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B75" w:rsidRPr="00E73B61" w:rsidRDefault="001D2409" w:rsidP="00E73B61">
      <w:pPr>
        <w:ind w:left="5041"/>
        <w:jc w:val="right"/>
        <w:rPr>
          <w:noProof/>
          <w:lang w:eastAsia="en-GB"/>
        </w:rPr>
      </w:pPr>
      <w:bookmarkStart w:id="0" w:name="_GoBack"/>
      <w:bookmarkEnd w:id="0"/>
      <w:r>
        <w:rPr>
          <w:noProof/>
          <w:lang w:eastAsia="en-GB"/>
        </w:rPr>
        <mc:AlternateContent>
          <mc:Choice Requires="wps">
            <w:drawing>
              <wp:anchor distT="0" distB="0" distL="114300" distR="114300" simplePos="0" relativeHeight="251658752" behindDoc="0" locked="0" layoutInCell="1" allowOverlap="1" wp14:anchorId="5F0FBCF2" wp14:editId="79D078A9">
                <wp:simplePos x="0" y="0"/>
                <wp:positionH relativeFrom="column">
                  <wp:posOffset>-86995</wp:posOffset>
                </wp:positionH>
                <wp:positionV relativeFrom="paragraph">
                  <wp:posOffset>393065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rsidR="007C526F" w:rsidRPr="000D1B0D" w:rsidRDefault="007C526F">
                            <w:pPr>
                              <w:rPr>
                                <w:rFonts w:ascii="Calibri" w:hAnsi="Calibri"/>
                                <w:b/>
                                <w:sz w:val="22"/>
                                <w:szCs w:val="22"/>
                              </w:rPr>
                            </w:pPr>
                            <w:r w:rsidRPr="000D1B0D">
                              <w:rPr>
                                <w:rFonts w:ascii="Calibri" w:hAnsi="Calibri"/>
                                <w:b/>
                                <w:sz w:val="22"/>
                                <w:szCs w:val="22"/>
                              </w:rPr>
                              <w:t>Agenda Item</w:t>
                            </w:r>
                            <w:r w:rsidR="00717618">
                              <w:rPr>
                                <w:rFonts w:ascii="Calibri" w:hAnsi="Calibri"/>
                                <w:b/>
                                <w:sz w:val="22"/>
                                <w:szCs w:val="22"/>
                              </w:rPr>
                              <w:t xml:space="preserve"> 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6.85pt;margin-top:30.95pt;width:160.8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NKAIAAEg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">
                <v:textbox>
                  <w:txbxContent>
                    <w:p w:rsidR="007C526F" w:rsidRPr="000D1B0D" w:rsidRDefault="007C526F">
                      <w:pPr>
                        <w:rPr>
                          <w:rFonts w:ascii="Calibri" w:hAnsi="Calibri"/>
                          <w:b/>
                          <w:sz w:val="22"/>
                          <w:szCs w:val="22"/>
                        </w:rPr>
                      </w:pPr>
                      <w:r w:rsidRPr="000D1B0D">
                        <w:rPr>
                          <w:rFonts w:ascii="Calibri" w:hAnsi="Calibri"/>
                          <w:b/>
                          <w:sz w:val="22"/>
                          <w:szCs w:val="22"/>
                        </w:rPr>
                        <w:t>Agenda Item</w:t>
                      </w:r>
                      <w:r w:rsidR="00717618">
                        <w:rPr>
                          <w:rFonts w:ascii="Calibri" w:hAnsi="Calibri"/>
                          <w:b/>
                          <w:sz w:val="22"/>
                          <w:szCs w:val="22"/>
                        </w:rPr>
                        <w:t xml:space="preserve"> 07</w:t>
                      </w:r>
                    </w:p>
                  </w:txbxContent>
                </v:textbox>
              </v:rect>
            </w:pict>
          </mc:Fallback>
        </mc:AlternateContent>
      </w:r>
      <w:r w:rsidR="003D7845" w:rsidRPr="003D7845">
        <w:t xml:space="preserve"> </w:t>
      </w:r>
      <w:r>
        <w:rPr>
          <w:noProof/>
          <w:lang w:eastAsia="en-GB"/>
        </w:rPr>
        <w:drawing>
          <wp:inline distT="0" distB="0" distL="0" distR="0" wp14:anchorId="4DB1E90C" wp14:editId="3D4662BA">
            <wp:extent cx="1994535" cy="7239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4696" t="16959" r="6470" b="27486"/>
                    <a:stretch>
                      <a:fillRect/>
                    </a:stretch>
                  </pic:blipFill>
                  <pic:spPr bwMode="auto">
                    <a:xfrm>
                      <a:off x="0" y="0"/>
                      <a:ext cx="1994535" cy="723900"/>
                    </a:xfrm>
                    <a:prstGeom prst="rect">
                      <a:avLst/>
                    </a:prstGeom>
                    <a:noFill/>
                    <a:ln>
                      <a:noFill/>
                    </a:ln>
                  </pic:spPr>
                </pic:pic>
              </a:graphicData>
            </a:graphic>
          </wp:inline>
        </w:drawing>
      </w:r>
      <w:r w:rsidR="00A977E0" w:rsidRPr="00A977E0">
        <w:rPr>
          <w:noProof/>
          <w:lang w:eastAsia="en-GB"/>
        </w:rPr>
        <w:t xml:space="preserve"> </w:t>
      </w:r>
    </w:p>
    <w:p w:rsidR="00136B75" w:rsidRDefault="00E402F3"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6704" behindDoc="0" locked="0" layoutInCell="1" allowOverlap="1" wp14:anchorId="50464C97" wp14:editId="33F52096">
                <wp:simplePos x="0" y="0"/>
                <wp:positionH relativeFrom="column">
                  <wp:posOffset>-85725</wp:posOffset>
                </wp:positionH>
                <wp:positionV relativeFrom="paragraph">
                  <wp:posOffset>71755</wp:posOffset>
                </wp:positionV>
                <wp:extent cx="6911340" cy="1371600"/>
                <wp:effectExtent l="19050" t="19050" r="22860" b="1905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371600"/>
                        </a:xfrm>
                        <a:prstGeom prst="rect">
                          <a:avLst/>
                        </a:prstGeom>
                        <a:solidFill>
                          <a:srgbClr val="FFFFFF"/>
                        </a:solidFill>
                        <a:ln w="38100" cmpd="dbl">
                          <a:solidFill>
                            <a:srgbClr val="000000"/>
                          </a:solidFill>
                          <a:miter lim="800000"/>
                          <a:headEnd/>
                          <a:tailEnd/>
                        </a:ln>
                      </wps:spPr>
                      <wps:txbx>
                        <w:txbxContent>
                          <w:p w:rsidR="00AE7CDB" w:rsidRPr="00511376" w:rsidRDefault="00136B75" w:rsidP="00AE7CDB">
                            <w:pPr>
                              <w:rPr>
                                <w:rFonts w:ascii="Calibri" w:hAnsi="Calibri"/>
                                <w:sz w:val="22"/>
                                <w:szCs w:val="22"/>
                              </w:rPr>
                            </w:pPr>
                            <w:r w:rsidRPr="00511376">
                              <w:rPr>
                                <w:rFonts w:ascii="Calibri" w:hAnsi="Calibri"/>
                                <w:sz w:val="22"/>
                                <w:szCs w:val="22"/>
                              </w:rPr>
                              <w:t>Report to</w:t>
                            </w:r>
                            <w:r w:rsidR="00E402F3" w:rsidRPr="00511376">
                              <w:rPr>
                                <w:rFonts w:ascii="Calibri" w:hAnsi="Calibri"/>
                                <w:sz w:val="22"/>
                                <w:szCs w:val="22"/>
                              </w:rPr>
                              <w:t>:</w:t>
                            </w:r>
                            <w:r w:rsidR="00FB449C" w:rsidRPr="00511376">
                              <w:rPr>
                                <w:rFonts w:ascii="Calibri" w:hAnsi="Calibri"/>
                                <w:sz w:val="22"/>
                                <w:szCs w:val="22"/>
                              </w:rPr>
                              <w:t xml:space="preserve"> (Board/Sub-Committee)</w:t>
                            </w:r>
                            <w:r w:rsidRPr="00511376">
                              <w:rPr>
                                <w:rFonts w:ascii="Calibri" w:hAnsi="Calibri"/>
                                <w:sz w:val="22"/>
                                <w:szCs w:val="22"/>
                              </w:rPr>
                              <w:t>:</w:t>
                            </w:r>
                            <w:r w:rsidR="007744F6">
                              <w:rPr>
                                <w:rFonts w:ascii="Calibri" w:hAnsi="Calibri"/>
                                <w:sz w:val="22"/>
                                <w:szCs w:val="22"/>
                              </w:rPr>
                              <w:t xml:space="preserve">       Partnership Board</w:t>
                            </w:r>
                            <w:r w:rsidR="00EC0292" w:rsidRPr="00511376">
                              <w:rPr>
                                <w:rFonts w:ascii="Calibri" w:hAnsi="Calibri"/>
                                <w:sz w:val="22"/>
                                <w:szCs w:val="22"/>
                              </w:rPr>
                              <w:t xml:space="preserve"> </w:t>
                            </w:r>
                          </w:p>
                          <w:p w:rsidR="00136B75" w:rsidRPr="00511376" w:rsidRDefault="00136B75">
                            <w:pPr>
                              <w:rPr>
                                <w:rFonts w:ascii="Calibri" w:hAnsi="Calibri"/>
                                <w:sz w:val="22"/>
                                <w:szCs w:val="22"/>
                              </w:rPr>
                            </w:pPr>
                          </w:p>
                          <w:p w:rsidR="00136B75" w:rsidRPr="00511376" w:rsidRDefault="00136B75">
                            <w:pPr>
                              <w:rPr>
                                <w:rFonts w:ascii="Calibri" w:hAnsi="Calibri"/>
                                <w:sz w:val="22"/>
                                <w:szCs w:val="22"/>
                              </w:rPr>
                            </w:pPr>
                            <w:r w:rsidRPr="00511376">
                              <w:rPr>
                                <w:rFonts w:ascii="Calibri" w:hAnsi="Calibri"/>
                                <w:sz w:val="22"/>
                                <w:szCs w:val="22"/>
                              </w:rPr>
                              <w:t>Date of Meeting:</w:t>
                            </w:r>
                            <w:r w:rsidR="00AE7CDB" w:rsidRPr="00511376">
                              <w:rPr>
                                <w:rFonts w:ascii="Calibri" w:hAnsi="Calibri"/>
                                <w:sz w:val="22"/>
                                <w:szCs w:val="22"/>
                              </w:rPr>
                              <w:tab/>
                            </w:r>
                            <w:r w:rsidR="00AE7CDB" w:rsidRPr="00511376">
                              <w:rPr>
                                <w:rFonts w:ascii="Calibri" w:hAnsi="Calibri"/>
                                <w:sz w:val="22"/>
                                <w:szCs w:val="22"/>
                              </w:rPr>
                              <w:tab/>
                            </w:r>
                            <w:r w:rsidR="00AE7CDB" w:rsidRPr="00511376">
                              <w:rPr>
                                <w:rFonts w:ascii="Calibri" w:hAnsi="Calibri"/>
                                <w:sz w:val="22"/>
                                <w:szCs w:val="22"/>
                              </w:rPr>
                              <w:tab/>
                            </w:r>
                            <w:r w:rsidR="00EC0292" w:rsidRPr="00511376">
                              <w:rPr>
                                <w:rFonts w:ascii="Calibri" w:hAnsi="Calibri"/>
                                <w:sz w:val="22"/>
                                <w:szCs w:val="22"/>
                              </w:rPr>
                              <w:t>8 March 2018</w:t>
                            </w:r>
                          </w:p>
                          <w:p w:rsidR="00136B75" w:rsidRPr="00511376" w:rsidRDefault="00136B75">
                            <w:pPr>
                              <w:rPr>
                                <w:rFonts w:ascii="Calibri" w:hAnsi="Calibri"/>
                                <w:sz w:val="22"/>
                                <w:szCs w:val="22"/>
                              </w:rPr>
                            </w:pPr>
                          </w:p>
                          <w:p w:rsidR="00AE7CDB" w:rsidRPr="00511376" w:rsidRDefault="00136B75" w:rsidP="00AE7CDB">
                            <w:pPr>
                              <w:rPr>
                                <w:rFonts w:ascii="Calibri" w:hAnsi="Calibri"/>
                                <w:b/>
                                <w:sz w:val="22"/>
                                <w:szCs w:val="22"/>
                              </w:rPr>
                            </w:pPr>
                            <w:r w:rsidRPr="00511376">
                              <w:rPr>
                                <w:rFonts w:ascii="Calibri" w:hAnsi="Calibri"/>
                                <w:sz w:val="22"/>
                                <w:szCs w:val="22"/>
                              </w:rPr>
                              <w:t>Subject:</w:t>
                            </w:r>
                            <w:r w:rsidR="00AE7CDB" w:rsidRPr="00511376">
                              <w:rPr>
                                <w:rFonts w:ascii="Calibri" w:hAnsi="Calibri"/>
                                <w:sz w:val="22"/>
                                <w:szCs w:val="22"/>
                              </w:rPr>
                              <w:tab/>
                            </w:r>
                            <w:r w:rsidR="00AE7CDB" w:rsidRPr="00511376">
                              <w:rPr>
                                <w:rFonts w:ascii="Calibri" w:hAnsi="Calibri"/>
                                <w:sz w:val="22"/>
                                <w:szCs w:val="22"/>
                              </w:rPr>
                              <w:tab/>
                            </w:r>
                            <w:r w:rsidR="00AE7CDB" w:rsidRPr="00511376">
                              <w:rPr>
                                <w:rFonts w:ascii="Calibri" w:hAnsi="Calibri"/>
                                <w:sz w:val="22"/>
                                <w:szCs w:val="22"/>
                              </w:rPr>
                              <w:tab/>
                            </w:r>
                            <w:r w:rsidR="00AE7CDB" w:rsidRPr="00511376">
                              <w:rPr>
                                <w:rFonts w:ascii="Calibri" w:hAnsi="Calibri"/>
                                <w:sz w:val="22"/>
                                <w:szCs w:val="22"/>
                              </w:rPr>
                              <w:tab/>
                            </w:r>
                            <w:r w:rsidR="00AE7CDB" w:rsidRPr="00511376">
                              <w:rPr>
                                <w:rFonts w:ascii="Calibri" w:hAnsi="Calibri"/>
                                <w:sz w:val="22"/>
                                <w:szCs w:val="22"/>
                              </w:rPr>
                              <w:tab/>
                            </w:r>
                            <w:r w:rsidR="007744F6" w:rsidRPr="007744F6">
                              <w:rPr>
                                <w:rFonts w:ascii="Calibri" w:hAnsi="Calibri"/>
                                <w:b/>
                                <w:sz w:val="22"/>
                                <w:szCs w:val="22"/>
                              </w:rPr>
                              <w:t xml:space="preserve">Board Assurance Framework </w:t>
                            </w:r>
                            <w:r w:rsidR="00EC0292" w:rsidRPr="00511376">
                              <w:rPr>
                                <w:rFonts w:ascii="Calibri" w:hAnsi="Calibri"/>
                                <w:b/>
                                <w:sz w:val="22"/>
                                <w:szCs w:val="22"/>
                              </w:rPr>
                              <w:t xml:space="preserve"> </w:t>
                            </w:r>
                          </w:p>
                          <w:p w:rsidR="00136B75" w:rsidRPr="00511376" w:rsidRDefault="00136B75">
                            <w:pPr>
                              <w:rPr>
                                <w:rFonts w:ascii="Calibri" w:hAnsi="Calibri"/>
                                <w:b/>
                                <w:sz w:val="22"/>
                                <w:szCs w:val="22"/>
                              </w:rPr>
                            </w:pPr>
                          </w:p>
                          <w:p w:rsidR="00136B75" w:rsidRPr="00511376" w:rsidRDefault="00136B75">
                            <w:pPr>
                              <w:rPr>
                                <w:rFonts w:ascii="Calibri" w:hAnsi="Calibri"/>
                                <w:sz w:val="22"/>
                                <w:szCs w:val="22"/>
                              </w:rPr>
                            </w:pPr>
                            <w:r w:rsidRPr="00511376">
                              <w:rPr>
                                <w:rFonts w:ascii="Calibri" w:hAnsi="Calibri"/>
                                <w:sz w:val="22"/>
                                <w:szCs w:val="22"/>
                              </w:rPr>
                              <w:t>Presented by:</w:t>
                            </w:r>
                            <w:r w:rsidR="00AE7CDB" w:rsidRPr="00511376">
                              <w:rPr>
                                <w:rFonts w:ascii="Calibri" w:hAnsi="Calibri"/>
                                <w:sz w:val="22"/>
                                <w:szCs w:val="22"/>
                              </w:rPr>
                              <w:tab/>
                            </w:r>
                            <w:r w:rsidR="00AE7CDB" w:rsidRPr="00511376">
                              <w:rPr>
                                <w:rFonts w:ascii="Calibri" w:hAnsi="Calibri"/>
                                <w:sz w:val="22"/>
                                <w:szCs w:val="22"/>
                              </w:rPr>
                              <w:tab/>
                            </w:r>
                            <w:r w:rsidR="00AE7CDB" w:rsidRPr="00511376">
                              <w:rPr>
                                <w:rFonts w:ascii="Calibri" w:hAnsi="Calibri"/>
                                <w:sz w:val="22"/>
                                <w:szCs w:val="22"/>
                              </w:rPr>
                              <w:tab/>
                            </w:r>
                            <w:r w:rsidR="00AE7CDB" w:rsidRPr="00511376">
                              <w:rPr>
                                <w:rFonts w:ascii="Calibri" w:hAnsi="Calibri"/>
                                <w:sz w:val="22"/>
                                <w:szCs w:val="22"/>
                              </w:rPr>
                              <w:tab/>
                            </w:r>
                            <w:r w:rsidR="00EC0292" w:rsidRPr="00511376">
                              <w:rPr>
                                <w:rFonts w:ascii="Calibri" w:hAnsi="Calibri"/>
                                <w:sz w:val="22"/>
                                <w:szCs w:val="22"/>
                              </w:rPr>
                              <w:t xml:space="preserve">Chief Finance Officer </w:t>
                            </w:r>
                          </w:p>
                          <w:p w:rsidR="00136B75" w:rsidRPr="000D1B0D" w:rsidRDefault="00136B75">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6.75pt;margin-top:5.65pt;width:544.2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" strokeweight="3pt">
                <v:stroke linestyle="thinThin"/>
                <v:textbox>
                  <w:txbxContent>
                    <w:p w:rsidR="00AE7CDB" w:rsidRPr="00511376" w:rsidRDefault="00136B75" w:rsidP="00AE7CDB">
                      <w:pPr>
                        <w:rPr>
                          <w:rFonts w:ascii="Calibri" w:hAnsi="Calibri"/>
                          <w:sz w:val="22"/>
                          <w:szCs w:val="22"/>
                        </w:rPr>
                      </w:pPr>
                      <w:r w:rsidRPr="00511376">
                        <w:rPr>
                          <w:rFonts w:ascii="Calibri" w:hAnsi="Calibri"/>
                          <w:sz w:val="22"/>
                          <w:szCs w:val="22"/>
                        </w:rPr>
                        <w:t>Report to</w:t>
                      </w:r>
                      <w:r w:rsidR="00E402F3" w:rsidRPr="00511376">
                        <w:rPr>
                          <w:rFonts w:ascii="Calibri" w:hAnsi="Calibri"/>
                          <w:sz w:val="22"/>
                          <w:szCs w:val="22"/>
                        </w:rPr>
                        <w:t>:</w:t>
                      </w:r>
                      <w:r w:rsidR="00FB449C" w:rsidRPr="00511376">
                        <w:rPr>
                          <w:rFonts w:ascii="Calibri" w:hAnsi="Calibri"/>
                          <w:sz w:val="22"/>
                          <w:szCs w:val="22"/>
                        </w:rPr>
                        <w:t xml:space="preserve"> (Board/Sub-Committee)</w:t>
                      </w:r>
                      <w:r w:rsidRPr="00511376">
                        <w:rPr>
                          <w:rFonts w:ascii="Calibri" w:hAnsi="Calibri"/>
                          <w:sz w:val="22"/>
                          <w:szCs w:val="22"/>
                        </w:rPr>
                        <w:t>:</w:t>
                      </w:r>
                      <w:r w:rsidR="007744F6">
                        <w:rPr>
                          <w:rFonts w:ascii="Calibri" w:hAnsi="Calibri"/>
                          <w:sz w:val="22"/>
                          <w:szCs w:val="22"/>
                        </w:rPr>
                        <w:t xml:space="preserve">       Partnership Board</w:t>
                      </w:r>
                      <w:r w:rsidR="00EC0292" w:rsidRPr="00511376">
                        <w:rPr>
                          <w:rFonts w:ascii="Calibri" w:hAnsi="Calibri"/>
                          <w:sz w:val="22"/>
                          <w:szCs w:val="22"/>
                        </w:rPr>
                        <w:t xml:space="preserve"> </w:t>
                      </w:r>
                    </w:p>
                    <w:p w:rsidR="00136B75" w:rsidRPr="00511376" w:rsidRDefault="00136B75">
                      <w:pPr>
                        <w:rPr>
                          <w:rFonts w:ascii="Calibri" w:hAnsi="Calibri"/>
                          <w:sz w:val="22"/>
                          <w:szCs w:val="22"/>
                        </w:rPr>
                      </w:pPr>
                    </w:p>
                    <w:p w:rsidR="00136B75" w:rsidRPr="00511376" w:rsidRDefault="00136B75">
                      <w:pPr>
                        <w:rPr>
                          <w:rFonts w:ascii="Calibri" w:hAnsi="Calibri"/>
                          <w:sz w:val="22"/>
                          <w:szCs w:val="22"/>
                        </w:rPr>
                      </w:pPr>
                      <w:r w:rsidRPr="00511376">
                        <w:rPr>
                          <w:rFonts w:ascii="Calibri" w:hAnsi="Calibri"/>
                          <w:sz w:val="22"/>
                          <w:szCs w:val="22"/>
                        </w:rPr>
                        <w:t>Date of Meeting:</w:t>
                      </w:r>
                      <w:r w:rsidR="00AE7CDB" w:rsidRPr="00511376">
                        <w:rPr>
                          <w:rFonts w:ascii="Calibri" w:hAnsi="Calibri"/>
                          <w:sz w:val="22"/>
                          <w:szCs w:val="22"/>
                        </w:rPr>
                        <w:tab/>
                      </w:r>
                      <w:r w:rsidR="00AE7CDB" w:rsidRPr="00511376">
                        <w:rPr>
                          <w:rFonts w:ascii="Calibri" w:hAnsi="Calibri"/>
                          <w:sz w:val="22"/>
                          <w:szCs w:val="22"/>
                        </w:rPr>
                        <w:tab/>
                      </w:r>
                      <w:r w:rsidR="00AE7CDB" w:rsidRPr="00511376">
                        <w:rPr>
                          <w:rFonts w:ascii="Calibri" w:hAnsi="Calibri"/>
                          <w:sz w:val="22"/>
                          <w:szCs w:val="22"/>
                        </w:rPr>
                        <w:tab/>
                      </w:r>
                      <w:r w:rsidR="00EC0292" w:rsidRPr="00511376">
                        <w:rPr>
                          <w:rFonts w:ascii="Calibri" w:hAnsi="Calibri"/>
                          <w:sz w:val="22"/>
                          <w:szCs w:val="22"/>
                        </w:rPr>
                        <w:t>8 March 2018</w:t>
                      </w:r>
                    </w:p>
                    <w:p w:rsidR="00136B75" w:rsidRPr="00511376" w:rsidRDefault="00136B75">
                      <w:pPr>
                        <w:rPr>
                          <w:rFonts w:ascii="Calibri" w:hAnsi="Calibri"/>
                          <w:sz w:val="22"/>
                          <w:szCs w:val="22"/>
                        </w:rPr>
                      </w:pPr>
                    </w:p>
                    <w:p w:rsidR="00AE7CDB" w:rsidRPr="00511376" w:rsidRDefault="00136B75" w:rsidP="00AE7CDB">
                      <w:pPr>
                        <w:rPr>
                          <w:rFonts w:ascii="Calibri" w:hAnsi="Calibri"/>
                          <w:b/>
                          <w:sz w:val="22"/>
                          <w:szCs w:val="22"/>
                        </w:rPr>
                      </w:pPr>
                      <w:r w:rsidRPr="00511376">
                        <w:rPr>
                          <w:rFonts w:ascii="Calibri" w:hAnsi="Calibri"/>
                          <w:sz w:val="22"/>
                          <w:szCs w:val="22"/>
                        </w:rPr>
                        <w:t>Subject:</w:t>
                      </w:r>
                      <w:r w:rsidR="00AE7CDB" w:rsidRPr="00511376">
                        <w:rPr>
                          <w:rFonts w:ascii="Calibri" w:hAnsi="Calibri"/>
                          <w:sz w:val="22"/>
                          <w:szCs w:val="22"/>
                        </w:rPr>
                        <w:tab/>
                      </w:r>
                      <w:r w:rsidR="00AE7CDB" w:rsidRPr="00511376">
                        <w:rPr>
                          <w:rFonts w:ascii="Calibri" w:hAnsi="Calibri"/>
                          <w:sz w:val="22"/>
                          <w:szCs w:val="22"/>
                        </w:rPr>
                        <w:tab/>
                      </w:r>
                      <w:r w:rsidR="00AE7CDB" w:rsidRPr="00511376">
                        <w:rPr>
                          <w:rFonts w:ascii="Calibri" w:hAnsi="Calibri"/>
                          <w:sz w:val="22"/>
                          <w:szCs w:val="22"/>
                        </w:rPr>
                        <w:tab/>
                      </w:r>
                      <w:r w:rsidR="00AE7CDB" w:rsidRPr="00511376">
                        <w:rPr>
                          <w:rFonts w:ascii="Calibri" w:hAnsi="Calibri"/>
                          <w:sz w:val="22"/>
                          <w:szCs w:val="22"/>
                        </w:rPr>
                        <w:tab/>
                      </w:r>
                      <w:r w:rsidR="00AE7CDB" w:rsidRPr="00511376">
                        <w:rPr>
                          <w:rFonts w:ascii="Calibri" w:hAnsi="Calibri"/>
                          <w:sz w:val="22"/>
                          <w:szCs w:val="22"/>
                        </w:rPr>
                        <w:tab/>
                      </w:r>
                      <w:r w:rsidR="007744F6" w:rsidRPr="007744F6">
                        <w:rPr>
                          <w:rFonts w:ascii="Calibri" w:hAnsi="Calibri"/>
                          <w:b/>
                          <w:sz w:val="22"/>
                          <w:szCs w:val="22"/>
                        </w:rPr>
                        <w:t xml:space="preserve">Board Assurance Framework </w:t>
                      </w:r>
                      <w:r w:rsidR="00EC0292" w:rsidRPr="00511376">
                        <w:rPr>
                          <w:rFonts w:ascii="Calibri" w:hAnsi="Calibri"/>
                          <w:b/>
                          <w:sz w:val="22"/>
                          <w:szCs w:val="22"/>
                        </w:rPr>
                        <w:t xml:space="preserve"> </w:t>
                      </w:r>
                    </w:p>
                    <w:p w:rsidR="00136B75" w:rsidRPr="00511376" w:rsidRDefault="00136B75">
                      <w:pPr>
                        <w:rPr>
                          <w:rFonts w:ascii="Calibri" w:hAnsi="Calibri"/>
                          <w:b/>
                          <w:sz w:val="22"/>
                          <w:szCs w:val="22"/>
                        </w:rPr>
                      </w:pPr>
                    </w:p>
                    <w:p w:rsidR="00136B75" w:rsidRPr="00511376" w:rsidRDefault="00136B75">
                      <w:pPr>
                        <w:rPr>
                          <w:rFonts w:ascii="Calibri" w:hAnsi="Calibri"/>
                          <w:sz w:val="22"/>
                          <w:szCs w:val="22"/>
                        </w:rPr>
                      </w:pPr>
                      <w:r w:rsidRPr="00511376">
                        <w:rPr>
                          <w:rFonts w:ascii="Calibri" w:hAnsi="Calibri"/>
                          <w:sz w:val="22"/>
                          <w:szCs w:val="22"/>
                        </w:rPr>
                        <w:t>Presented by:</w:t>
                      </w:r>
                      <w:r w:rsidR="00AE7CDB" w:rsidRPr="00511376">
                        <w:rPr>
                          <w:rFonts w:ascii="Calibri" w:hAnsi="Calibri"/>
                          <w:sz w:val="22"/>
                          <w:szCs w:val="22"/>
                        </w:rPr>
                        <w:tab/>
                      </w:r>
                      <w:r w:rsidR="00AE7CDB" w:rsidRPr="00511376">
                        <w:rPr>
                          <w:rFonts w:ascii="Calibri" w:hAnsi="Calibri"/>
                          <w:sz w:val="22"/>
                          <w:szCs w:val="22"/>
                        </w:rPr>
                        <w:tab/>
                      </w:r>
                      <w:r w:rsidR="00AE7CDB" w:rsidRPr="00511376">
                        <w:rPr>
                          <w:rFonts w:ascii="Calibri" w:hAnsi="Calibri"/>
                          <w:sz w:val="22"/>
                          <w:szCs w:val="22"/>
                        </w:rPr>
                        <w:tab/>
                      </w:r>
                      <w:r w:rsidR="00AE7CDB" w:rsidRPr="00511376">
                        <w:rPr>
                          <w:rFonts w:ascii="Calibri" w:hAnsi="Calibri"/>
                          <w:sz w:val="22"/>
                          <w:szCs w:val="22"/>
                        </w:rPr>
                        <w:tab/>
                      </w:r>
                      <w:r w:rsidR="00EC0292" w:rsidRPr="00511376">
                        <w:rPr>
                          <w:rFonts w:ascii="Calibri" w:hAnsi="Calibri"/>
                          <w:sz w:val="22"/>
                          <w:szCs w:val="22"/>
                        </w:rPr>
                        <w:t xml:space="preserve">Chief Finance Officer </w:t>
                      </w:r>
                    </w:p>
                    <w:p w:rsidR="00136B75" w:rsidRPr="000D1B0D" w:rsidRDefault="00136B75">
                      <w:pPr>
                        <w:rPr>
                          <w:rFonts w:ascii="Calibri" w:hAnsi="Calibri"/>
                          <w:sz w:val="22"/>
                          <w:szCs w:val="22"/>
                        </w:rPr>
                      </w:pP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D2409"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14:anchorId="5DEFEB43" wp14:editId="58216233">
                <wp:simplePos x="0" y="0"/>
                <wp:positionH relativeFrom="column">
                  <wp:posOffset>-78105</wp:posOffset>
                </wp:positionH>
                <wp:positionV relativeFrom="paragraph">
                  <wp:posOffset>139700</wp:posOffset>
                </wp:positionV>
                <wp:extent cx="6964680" cy="1493520"/>
                <wp:effectExtent l="0" t="0" r="2667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1493520"/>
                        </a:xfrm>
                        <a:prstGeom prst="rect">
                          <a:avLst/>
                        </a:prstGeom>
                        <a:solidFill>
                          <a:srgbClr val="FFFFFF"/>
                        </a:solidFill>
                        <a:ln w="9525">
                          <a:solidFill>
                            <a:srgbClr val="000000"/>
                          </a:solidFill>
                          <a:miter lim="800000"/>
                          <a:headEnd/>
                          <a:tailEnd/>
                        </a:ln>
                      </wps:spPr>
                      <wps:txb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1"/>
                                  <w14:checkedState w14:val="2612" w14:font="MS Gothic"/>
                                  <w14:uncheckedState w14:val="2610" w14:font="MS Gothic"/>
                                </w14:checkbox>
                              </w:sdtPr>
                              <w:sdtEndPr/>
                              <w:sdtContent>
                                <w:r w:rsidR="00EC0292">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0"/>
                                  <w14:checkedState w14:val="2612" w14:font="MS Gothic"/>
                                  <w14:uncheckedState w14:val="2610" w14:font="MS Gothic"/>
                                </w14:checkbox>
                              </w:sdtPr>
                              <w:sdtEndPr/>
                              <w:sdtContent>
                                <w:r w:rsidR="00EC0292">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AE7CDB">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6.15pt;margin-top:11pt;width:548.4pt;height:1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">
                <v:textbo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bookmarkStart w:id="1" w:name="_GoBack"/>
                      <w:bookmarkEnd w:id="1"/>
                      <w:r w:rsidRPr="000D1B0D">
                        <w:rPr>
                          <w:rFonts w:ascii="Calibri" w:hAnsi="Calibri"/>
                          <w:sz w:val="22"/>
                          <w:szCs w:val="22"/>
                        </w:rPr>
                        <w:tab/>
                      </w:r>
                      <w:sdt>
                        <w:sdtPr>
                          <w:rPr>
                            <w:rFonts w:ascii="Calibri" w:hAnsi="Calibri"/>
                            <w:sz w:val="22"/>
                            <w:szCs w:val="22"/>
                          </w:rPr>
                          <w:id w:val="-882863822"/>
                          <w14:checkbox>
                            <w14:checked w14:val="1"/>
                            <w14:checkedState w14:val="2612" w14:font="MS Gothic"/>
                            <w14:uncheckedState w14:val="2610" w14:font="MS Gothic"/>
                          </w14:checkbox>
                        </w:sdtPr>
                        <w:sdtEndPr/>
                        <w:sdtContent>
                          <w:r w:rsidR="00EC0292">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0"/>
                            <w14:checkedState w14:val="2612" w14:font="MS Gothic"/>
                            <w14:uncheckedState w14:val="2610" w14:font="MS Gothic"/>
                          </w14:checkbox>
                        </w:sdtPr>
                        <w:sdtEndPr/>
                        <w:sdtContent>
                          <w:r w:rsidR="00EC0292">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AE7CDB">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9D4EDC" w:rsidRDefault="009D4EDC"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8384"/>
      </w:tblGrid>
      <w:tr w:rsidR="009D4EDC" w:rsidRPr="000D1B0D" w:rsidTr="00144ED4">
        <w:tc>
          <w:tcPr>
            <w:tcW w:w="1183" w:type="pct"/>
            <w:tcBorders>
              <w:bottom w:val="single" w:sz="4" w:space="0" w:color="auto"/>
            </w:tcBorders>
            <w:shd w:val="clear" w:color="auto" w:fill="auto"/>
          </w:tcPr>
          <w:p w:rsidR="009D4EDC" w:rsidRDefault="009D4EDC" w:rsidP="009D4EDC">
            <w:pPr>
              <w:rPr>
                <w:rFonts w:ascii="Calibri" w:hAnsi="Calibri"/>
                <w:b/>
                <w:sz w:val="22"/>
                <w:szCs w:val="22"/>
              </w:rPr>
            </w:pPr>
            <w:r w:rsidRPr="000D1B0D">
              <w:rPr>
                <w:rFonts w:ascii="Calibri" w:hAnsi="Calibri"/>
                <w:b/>
                <w:sz w:val="22"/>
                <w:szCs w:val="22"/>
              </w:rPr>
              <w:t>PURPOSE OF REPORT:</w:t>
            </w:r>
          </w:p>
          <w:p w:rsidR="009D4EDC" w:rsidRPr="000D1B0D" w:rsidRDefault="009D4EDC" w:rsidP="00AE7CDB">
            <w:pPr>
              <w:pStyle w:val="NoSpacing"/>
              <w:rPr>
                <w:rFonts w:cs="Calibri"/>
                <w:b/>
                <w:sz w:val="20"/>
                <w:szCs w:val="20"/>
              </w:rPr>
            </w:pPr>
          </w:p>
        </w:tc>
        <w:tc>
          <w:tcPr>
            <w:tcW w:w="3817" w:type="pct"/>
            <w:shd w:val="clear" w:color="auto" w:fill="auto"/>
          </w:tcPr>
          <w:p w:rsidR="007744F6" w:rsidRPr="007744F6" w:rsidRDefault="007744F6" w:rsidP="007744F6">
            <w:pPr>
              <w:pStyle w:val="Default"/>
              <w:jc w:val="both"/>
              <w:rPr>
                <w:rFonts w:ascii="Calibri" w:hAnsi="Calibri" w:cs="Calibri"/>
                <w:sz w:val="20"/>
                <w:szCs w:val="20"/>
              </w:rPr>
            </w:pPr>
            <w:r w:rsidRPr="007744F6">
              <w:rPr>
                <w:rFonts w:ascii="Calibri" w:hAnsi="Calibri" w:cs="Calibri"/>
                <w:sz w:val="20"/>
                <w:szCs w:val="20"/>
              </w:rPr>
              <w:t xml:space="preserve">The North East Lincolnshire CCG Board Assurance Framework (hereafter CCG BAF) acts as a high-level risk identification system with regard to compliance with the CCG’s strategic objectives. The Board Assurance Framework highlights gaps in control, gaps in assurance processes and details of necessary action to be taken. The CCG BAF demonstrates positive assurance received to date and any outstanding gaps in control or assurance. </w:t>
            </w:r>
          </w:p>
          <w:p w:rsidR="007744F6" w:rsidRPr="007744F6" w:rsidRDefault="007744F6" w:rsidP="007744F6">
            <w:pPr>
              <w:pStyle w:val="Default"/>
              <w:jc w:val="both"/>
              <w:rPr>
                <w:rFonts w:ascii="Calibri" w:hAnsi="Calibri" w:cs="Calibri"/>
                <w:sz w:val="20"/>
                <w:szCs w:val="20"/>
              </w:rPr>
            </w:pPr>
          </w:p>
          <w:p w:rsidR="007744F6" w:rsidRDefault="007744F6" w:rsidP="007744F6">
            <w:pPr>
              <w:pStyle w:val="Default"/>
              <w:jc w:val="both"/>
              <w:rPr>
                <w:rFonts w:ascii="Calibri" w:hAnsi="Calibri" w:cs="Calibri"/>
                <w:sz w:val="20"/>
                <w:szCs w:val="20"/>
              </w:rPr>
            </w:pPr>
            <w:r w:rsidRPr="007744F6">
              <w:rPr>
                <w:rFonts w:ascii="Calibri" w:hAnsi="Calibri" w:cs="Calibri"/>
                <w:sz w:val="20"/>
                <w:szCs w:val="20"/>
              </w:rPr>
              <w:t>To support the Partnership Board in carrying out its duties effectively the Integrated Governance &amp; Audit Committee monitors the BAF on a quarterly basis, which ensures robust and adequate progression of the risks are kept live and relevant.  This is an on-going process and Integrated Governance &amp; Audit Committee informs the Partnership Board of the development of BAF for the CCG.</w:t>
            </w:r>
          </w:p>
          <w:p w:rsidR="00B74333" w:rsidRDefault="00B74333" w:rsidP="007744F6">
            <w:pPr>
              <w:pStyle w:val="Default"/>
              <w:jc w:val="both"/>
              <w:rPr>
                <w:rFonts w:ascii="Calibri" w:hAnsi="Calibri" w:cs="Calibri"/>
                <w:sz w:val="20"/>
                <w:szCs w:val="20"/>
              </w:rPr>
            </w:pPr>
          </w:p>
          <w:p w:rsidR="00B74333" w:rsidRPr="000D1B0D" w:rsidRDefault="00B74333" w:rsidP="007D260D">
            <w:pPr>
              <w:pStyle w:val="Default"/>
              <w:jc w:val="both"/>
              <w:rPr>
                <w:rFonts w:ascii="Calibri" w:hAnsi="Calibri" w:cs="Calibri"/>
                <w:sz w:val="20"/>
                <w:szCs w:val="20"/>
              </w:rPr>
            </w:pPr>
            <w:r>
              <w:rPr>
                <w:rFonts w:ascii="Calibri" w:hAnsi="Calibri" w:cs="Calibri"/>
                <w:sz w:val="22"/>
                <w:szCs w:val="22"/>
              </w:rPr>
              <w:t>Please refer to summary report below f</w:t>
            </w:r>
            <w:r w:rsidR="007D260D">
              <w:rPr>
                <w:rFonts w:ascii="Calibri" w:hAnsi="Calibri" w:cs="Calibri"/>
                <w:sz w:val="22"/>
                <w:szCs w:val="22"/>
              </w:rPr>
              <w:t xml:space="preserve">or full activity during 2017/18 and appendices/attachments section of this report for full copy Board Assurance Framework. </w:t>
            </w:r>
          </w:p>
        </w:tc>
      </w:tr>
      <w:tr w:rsidR="009D4EDC" w:rsidRPr="000D1B0D" w:rsidTr="00144ED4">
        <w:tc>
          <w:tcPr>
            <w:tcW w:w="1183" w:type="pct"/>
            <w:shd w:val="clear" w:color="auto" w:fill="595959"/>
          </w:tcPr>
          <w:p w:rsidR="009D4EDC" w:rsidRPr="000D1B0D" w:rsidRDefault="009D4EDC" w:rsidP="000D1B0D">
            <w:pPr>
              <w:pStyle w:val="Default"/>
              <w:jc w:val="both"/>
              <w:rPr>
                <w:rFonts w:ascii="Calibri" w:hAnsi="Calibri" w:cs="Calibri"/>
                <w:b/>
                <w:color w:val="FFFFFF"/>
                <w:sz w:val="20"/>
                <w:szCs w:val="20"/>
              </w:rPr>
            </w:pPr>
          </w:p>
          <w:p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3817" w:type="pct"/>
            <w:shd w:val="clear" w:color="auto" w:fill="auto"/>
          </w:tcPr>
          <w:p w:rsidR="00DD43FD" w:rsidRPr="00511376" w:rsidRDefault="00DD43FD" w:rsidP="000D1B0D">
            <w:pPr>
              <w:pStyle w:val="Default"/>
              <w:jc w:val="both"/>
              <w:rPr>
                <w:rFonts w:ascii="Calibri" w:hAnsi="Calibri" w:cs="Calibri"/>
                <w:sz w:val="22"/>
                <w:szCs w:val="22"/>
              </w:rPr>
            </w:pPr>
            <w:r w:rsidRPr="00511376">
              <w:rPr>
                <w:rFonts w:ascii="Calibri" w:hAnsi="Calibri" w:cs="Calibri"/>
                <w:sz w:val="22"/>
                <w:szCs w:val="22"/>
              </w:rPr>
              <w:t xml:space="preserve">The </w:t>
            </w:r>
            <w:r w:rsidR="007D260D">
              <w:rPr>
                <w:rFonts w:ascii="Calibri" w:hAnsi="Calibri" w:cs="Calibri"/>
                <w:sz w:val="22"/>
                <w:szCs w:val="22"/>
              </w:rPr>
              <w:t xml:space="preserve">Partnership Board </w:t>
            </w:r>
            <w:r w:rsidR="00511376" w:rsidRPr="00511376">
              <w:rPr>
                <w:rFonts w:ascii="Calibri" w:hAnsi="Calibri" w:cs="Calibri"/>
                <w:sz w:val="22"/>
                <w:szCs w:val="22"/>
              </w:rPr>
              <w:t>a</w:t>
            </w:r>
            <w:r w:rsidRPr="00511376">
              <w:rPr>
                <w:rFonts w:ascii="Calibri" w:hAnsi="Calibri" w:cs="Calibri"/>
                <w:sz w:val="22"/>
                <w:szCs w:val="22"/>
              </w:rPr>
              <w:t xml:space="preserve">sked to </w:t>
            </w:r>
            <w:r w:rsidR="007D260D">
              <w:rPr>
                <w:rFonts w:ascii="Calibri" w:hAnsi="Calibri" w:cs="Calibri"/>
                <w:sz w:val="22"/>
                <w:szCs w:val="22"/>
              </w:rPr>
              <w:t xml:space="preserve">note- </w:t>
            </w:r>
          </w:p>
          <w:p w:rsidR="007D260D" w:rsidRPr="007D260D" w:rsidRDefault="007D260D" w:rsidP="007D260D">
            <w:pPr>
              <w:pStyle w:val="Default"/>
              <w:numPr>
                <w:ilvl w:val="0"/>
                <w:numId w:val="7"/>
              </w:numPr>
              <w:jc w:val="both"/>
              <w:rPr>
                <w:rFonts w:ascii="Calibri" w:hAnsi="Calibri" w:cs="Calibri"/>
                <w:sz w:val="22"/>
                <w:szCs w:val="22"/>
              </w:rPr>
            </w:pPr>
            <w:r w:rsidRPr="007D260D">
              <w:rPr>
                <w:rFonts w:ascii="Calibri" w:hAnsi="Calibri" w:cs="Calibri"/>
                <w:sz w:val="22"/>
                <w:szCs w:val="22"/>
              </w:rPr>
              <w:t>The update provided and;</w:t>
            </w:r>
          </w:p>
          <w:p w:rsidR="00511376" w:rsidRPr="00511376" w:rsidRDefault="007D260D" w:rsidP="007D260D">
            <w:pPr>
              <w:pStyle w:val="Default"/>
              <w:numPr>
                <w:ilvl w:val="0"/>
                <w:numId w:val="7"/>
              </w:numPr>
              <w:jc w:val="both"/>
              <w:rPr>
                <w:rFonts w:ascii="Calibri" w:hAnsi="Calibri" w:cs="Calibri"/>
                <w:sz w:val="22"/>
                <w:szCs w:val="22"/>
              </w:rPr>
            </w:pPr>
            <w:r w:rsidRPr="007D260D">
              <w:rPr>
                <w:rFonts w:ascii="Calibri" w:hAnsi="Calibri" w:cs="Calibri"/>
                <w:sz w:val="22"/>
                <w:szCs w:val="22"/>
              </w:rPr>
              <w:t>The level of assurance received by the CCG, in relation to its strategic risk</w:t>
            </w:r>
            <w:r>
              <w:rPr>
                <w:rFonts w:ascii="Calibri" w:hAnsi="Calibri" w:cs="Calibri"/>
                <w:sz w:val="22"/>
                <w:szCs w:val="22"/>
              </w:rPr>
              <w:t>s and comment where appropriate.</w:t>
            </w:r>
            <w:r w:rsidR="00511376" w:rsidRPr="00511376">
              <w:rPr>
                <w:rFonts w:ascii="Calibri" w:hAnsi="Calibri" w:cs="Calibri"/>
                <w:sz w:val="22"/>
                <w:szCs w:val="22"/>
              </w:rPr>
              <w:t xml:space="preserve"> </w:t>
            </w:r>
          </w:p>
        </w:tc>
      </w:tr>
      <w:tr w:rsidR="009D4EDC" w:rsidRPr="000D1B0D" w:rsidTr="00144ED4">
        <w:tc>
          <w:tcPr>
            <w:tcW w:w="1183" w:type="pct"/>
            <w:shd w:val="clear" w:color="auto" w:fill="auto"/>
          </w:tcPr>
          <w:p w:rsidR="009D4EDC" w:rsidRPr="00046B77" w:rsidRDefault="009D4EDC" w:rsidP="00DD43FD">
            <w:pPr>
              <w:pStyle w:val="Default"/>
              <w:rPr>
                <w:rFonts w:ascii="Calibri" w:hAnsi="Calibri" w:cs="Calibri"/>
                <w:i/>
                <w:sz w:val="20"/>
                <w:szCs w:val="20"/>
              </w:rPr>
            </w:pPr>
            <w:r w:rsidRPr="000D1B0D">
              <w:rPr>
                <w:rFonts w:ascii="Calibri" w:hAnsi="Calibri" w:cs="Calibri"/>
                <w:b/>
                <w:sz w:val="20"/>
                <w:szCs w:val="20"/>
              </w:rPr>
              <w:t>Sub Committee Process and Assurance:</w:t>
            </w:r>
          </w:p>
        </w:tc>
        <w:tc>
          <w:tcPr>
            <w:tcW w:w="3817" w:type="pct"/>
            <w:shd w:val="clear" w:color="auto" w:fill="auto"/>
          </w:tcPr>
          <w:p w:rsidR="00144ED4" w:rsidRPr="00511376" w:rsidRDefault="007D260D" w:rsidP="00511376">
            <w:pPr>
              <w:pStyle w:val="Default"/>
              <w:jc w:val="both"/>
              <w:rPr>
                <w:rFonts w:ascii="Calibri" w:hAnsi="Calibri" w:cs="Calibri"/>
                <w:sz w:val="22"/>
                <w:szCs w:val="22"/>
              </w:rPr>
            </w:pPr>
            <w:r>
              <w:rPr>
                <w:rFonts w:ascii="Calibri" w:hAnsi="Calibri" w:cs="Calibri"/>
                <w:sz w:val="22"/>
                <w:szCs w:val="22"/>
              </w:rPr>
              <w:t>T</w:t>
            </w:r>
            <w:r w:rsidRPr="007D260D">
              <w:rPr>
                <w:rFonts w:ascii="Calibri" w:hAnsi="Calibri" w:cs="Calibri"/>
                <w:sz w:val="22"/>
                <w:szCs w:val="22"/>
              </w:rPr>
              <w:t>he Integrated Governance &amp; Audit Committee</w:t>
            </w:r>
          </w:p>
        </w:tc>
      </w:tr>
      <w:tr w:rsidR="00473CC5" w:rsidRPr="000D1B0D" w:rsidTr="00144ED4">
        <w:tc>
          <w:tcPr>
            <w:tcW w:w="1183" w:type="pct"/>
            <w:shd w:val="clear" w:color="auto" w:fill="D9D9D9"/>
          </w:tcPr>
          <w:p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t>Implications:</w:t>
            </w:r>
          </w:p>
        </w:tc>
        <w:tc>
          <w:tcPr>
            <w:tcW w:w="3817" w:type="pct"/>
            <w:shd w:val="clear" w:color="auto" w:fill="D9D9D9"/>
          </w:tcPr>
          <w:p w:rsidR="00473CC5" w:rsidRPr="000D1B0D" w:rsidRDefault="00473CC5"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DD43FD" w:rsidP="009D4EDC">
            <w:pPr>
              <w:pStyle w:val="Default"/>
              <w:rPr>
                <w:rFonts w:ascii="Calibri" w:hAnsi="Calibri" w:cs="Calibri"/>
                <w:b/>
                <w:sz w:val="20"/>
                <w:szCs w:val="20"/>
              </w:rPr>
            </w:pPr>
            <w:r>
              <w:br w:type="page"/>
            </w:r>
            <w:r w:rsidR="007E1C2F" w:rsidRPr="000D1B0D">
              <w:rPr>
                <w:rFonts w:ascii="Calibri" w:hAnsi="Calibri" w:cs="Calibri"/>
                <w:b/>
                <w:sz w:val="20"/>
                <w:szCs w:val="20"/>
              </w:rPr>
              <w:t>Risk Assurance Framework</w:t>
            </w:r>
            <w:r w:rsidR="00246EFA">
              <w:rPr>
                <w:rFonts w:ascii="Calibri" w:hAnsi="Calibri" w:cs="Calibri"/>
                <w:b/>
                <w:sz w:val="20"/>
                <w:szCs w:val="20"/>
              </w:rPr>
              <w:t xml:space="preserve"> Implications</w:t>
            </w:r>
            <w:r w:rsidR="007E1C2F" w:rsidRPr="000D1B0D">
              <w:rPr>
                <w:rFonts w:ascii="Calibri" w:hAnsi="Calibri" w:cs="Calibri"/>
                <w:b/>
                <w:sz w:val="20"/>
                <w:szCs w:val="20"/>
              </w:rPr>
              <w:t>:</w:t>
            </w:r>
          </w:p>
          <w:p w:rsidR="007E1C2F" w:rsidRPr="00E73B61" w:rsidRDefault="007E1C2F" w:rsidP="009D4EDC">
            <w:pPr>
              <w:pStyle w:val="Default"/>
              <w:rPr>
                <w:rFonts w:ascii="Calibri" w:hAnsi="Calibri" w:cs="Calibri"/>
                <w:i/>
                <w:sz w:val="20"/>
                <w:szCs w:val="20"/>
              </w:rPr>
            </w:pPr>
          </w:p>
        </w:tc>
        <w:tc>
          <w:tcPr>
            <w:tcW w:w="3817" w:type="pct"/>
            <w:shd w:val="clear" w:color="auto" w:fill="auto"/>
          </w:tcPr>
          <w:p w:rsidR="00144ED4" w:rsidRPr="00511376" w:rsidRDefault="002A50E7" w:rsidP="002A50E7">
            <w:pPr>
              <w:pStyle w:val="Default"/>
              <w:jc w:val="both"/>
              <w:rPr>
                <w:rFonts w:ascii="Calibri" w:hAnsi="Calibri" w:cs="Calibri"/>
                <w:sz w:val="22"/>
                <w:szCs w:val="22"/>
              </w:rPr>
            </w:pPr>
            <w:r w:rsidRPr="002A50E7">
              <w:rPr>
                <w:rFonts w:ascii="Calibri" w:hAnsi="Calibri" w:cs="Calibri"/>
                <w:sz w:val="22"/>
                <w:szCs w:val="22"/>
              </w:rPr>
              <w:t>The Board Assurance Framework is a key component of the CCG’s system of internal control</w:t>
            </w:r>
            <w:r>
              <w:rPr>
                <w:rFonts w:ascii="Calibri" w:hAnsi="Calibri" w:cs="Calibri"/>
                <w:sz w:val="22"/>
                <w:szCs w:val="22"/>
              </w:rPr>
              <w:t xml:space="preserve">. </w:t>
            </w:r>
          </w:p>
        </w:tc>
      </w:tr>
      <w:tr w:rsidR="007E1C2F" w:rsidRPr="000D1B0D" w:rsidTr="00144ED4">
        <w:tc>
          <w:tcPr>
            <w:tcW w:w="1183" w:type="pct"/>
            <w:shd w:val="clear" w:color="auto" w:fill="auto"/>
          </w:tcPr>
          <w:p w:rsidR="007E1C2F" w:rsidRPr="00E73B61" w:rsidRDefault="007E1C2F" w:rsidP="00DD43FD">
            <w:pPr>
              <w:pStyle w:val="Default"/>
              <w:rPr>
                <w:rFonts w:ascii="Calibri" w:hAnsi="Calibri" w:cs="Calibri"/>
                <w:i/>
                <w:sz w:val="20"/>
                <w:szCs w:val="20"/>
              </w:rPr>
            </w:pPr>
            <w:r w:rsidRPr="000D1B0D">
              <w:rPr>
                <w:rFonts w:ascii="Calibri" w:hAnsi="Calibri" w:cs="Calibri"/>
                <w:b/>
                <w:sz w:val="20"/>
                <w:szCs w:val="20"/>
              </w:rPr>
              <w:t>Legal Implications:</w:t>
            </w:r>
          </w:p>
        </w:tc>
        <w:tc>
          <w:tcPr>
            <w:tcW w:w="3817" w:type="pct"/>
            <w:shd w:val="clear" w:color="auto" w:fill="auto"/>
          </w:tcPr>
          <w:p w:rsidR="002054A0" w:rsidRPr="00511376" w:rsidRDefault="002A50E7" w:rsidP="000D1B0D">
            <w:pPr>
              <w:pStyle w:val="Default"/>
              <w:jc w:val="both"/>
              <w:rPr>
                <w:rFonts w:ascii="Calibri" w:hAnsi="Calibri" w:cs="Calibri"/>
                <w:sz w:val="22"/>
                <w:szCs w:val="22"/>
              </w:rPr>
            </w:pPr>
            <w:r>
              <w:rPr>
                <w:rFonts w:ascii="Calibri" w:hAnsi="Calibri" w:cs="Calibri"/>
                <w:sz w:val="22"/>
                <w:szCs w:val="22"/>
              </w:rPr>
              <w:t>Not applicable for this report</w:t>
            </w:r>
          </w:p>
        </w:tc>
      </w:tr>
      <w:tr w:rsidR="007E1C2F" w:rsidRPr="000D1B0D" w:rsidTr="00144ED4">
        <w:tc>
          <w:tcPr>
            <w:tcW w:w="1183" w:type="pct"/>
            <w:shd w:val="clear" w:color="auto" w:fill="auto"/>
          </w:tcPr>
          <w:p w:rsidR="00473CC5" w:rsidRPr="00E73B61" w:rsidRDefault="00473CC5" w:rsidP="00DD43FD">
            <w:pPr>
              <w:pStyle w:val="Default"/>
              <w:rPr>
                <w:rFonts w:ascii="Calibri" w:hAnsi="Calibri" w:cs="Calibri"/>
                <w:sz w:val="20"/>
                <w:szCs w:val="20"/>
              </w:rPr>
            </w:pPr>
            <w:r w:rsidRPr="000D1B0D">
              <w:rPr>
                <w:rFonts w:ascii="Calibri" w:hAnsi="Calibri" w:cs="Calibri"/>
                <w:b/>
                <w:sz w:val="20"/>
                <w:szCs w:val="20"/>
              </w:rPr>
              <w:t>Equality Impact Assessment implications:</w:t>
            </w:r>
          </w:p>
        </w:tc>
        <w:tc>
          <w:tcPr>
            <w:tcW w:w="3817" w:type="pct"/>
            <w:shd w:val="clear" w:color="auto" w:fill="auto"/>
          </w:tcPr>
          <w:p w:rsidR="00E73B61" w:rsidRDefault="00AB645B" w:rsidP="00AB645B">
            <w:pPr>
              <w:pStyle w:val="Default"/>
              <w:jc w:val="right"/>
              <w:rPr>
                <w:rFonts w:ascii="Calibri" w:hAnsi="Calibri" w:cs="Calibri"/>
                <w:sz w:val="20"/>
                <w:szCs w:val="20"/>
              </w:rPr>
            </w:pPr>
            <w:r>
              <w:rPr>
                <w:rFonts w:ascii="Calibri" w:hAnsi="Calibri" w:cs="Calibri"/>
                <w:b/>
                <w:i/>
                <w:sz w:val="20"/>
                <w:szCs w:val="20"/>
              </w:rPr>
              <w:t xml:space="preserve">                                                                                                                          </w:t>
            </w:r>
          </w:p>
          <w:p w:rsidR="007405E7" w:rsidRPr="007405E7"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is not required for this report                                                  </w:t>
            </w:r>
            <w:sdt>
              <w:sdtPr>
                <w:rPr>
                  <w:rFonts w:ascii="Calibri" w:hAnsi="Calibri" w:cs="Calibri"/>
                  <w:sz w:val="20"/>
                  <w:szCs w:val="20"/>
                </w:rPr>
                <w:id w:val="1967159954"/>
                <w14:checkbox>
                  <w14:checked w14:val="1"/>
                  <w14:checkedState w14:val="2612" w14:font="MS Gothic"/>
                  <w14:uncheckedState w14:val="2610" w14:font="MS Gothic"/>
                </w14:checkbox>
              </w:sdtPr>
              <w:sdtEndPr/>
              <w:sdtContent>
                <w:r w:rsidR="00B6163C">
                  <w:rPr>
                    <w:rFonts w:ascii="MS Gothic" w:eastAsia="MS Gothic" w:hAnsi="MS Gothic" w:cs="Calibri" w:hint="eastAsia"/>
                    <w:sz w:val="20"/>
                    <w:szCs w:val="20"/>
                  </w:rPr>
                  <w:t>☒</w:t>
                </w:r>
              </w:sdtContent>
            </w:sdt>
          </w:p>
          <w:p w:rsidR="00F97DC2" w:rsidRDefault="00F97DC2"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has been completed and approved by the EIA </w:t>
            </w: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Panel.  As a result of performing the analysis/assessment there are no actions arising                        </w:t>
            </w:r>
            <w:sdt>
              <w:sdtPr>
                <w:rPr>
                  <w:rFonts w:ascii="Calibri" w:hAnsi="Calibri" w:cs="Calibri"/>
                  <w:sz w:val="20"/>
                  <w:szCs w:val="20"/>
                </w:rPr>
                <w:id w:val="-1189671615"/>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w:t>
            </w:r>
          </w:p>
          <w:p w:rsidR="00AB645B" w:rsidRDefault="00AB645B"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An Equality Impact Analysis/Assessment has been completed a</w:t>
            </w:r>
            <w:r w:rsidR="006C1307">
              <w:rPr>
                <w:rFonts w:ascii="Calibri" w:hAnsi="Calibri" w:cs="Calibri"/>
                <w:sz w:val="20"/>
                <w:szCs w:val="20"/>
              </w:rPr>
              <w:t xml:space="preserve">nd there are actions arising   </w:t>
            </w:r>
            <w:r>
              <w:rPr>
                <w:rFonts w:ascii="Calibri" w:hAnsi="Calibri" w:cs="Calibri"/>
                <w:sz w:val="20"/>
                <w:szCs w:val="20"/>
              </w:rPr>
              <w:t xml:space="preserve">           </w:t>
            </w:r>
            <w:sdt>
              <w:sdtPr>
                <w:rPr>
                  <w:rFonts w:ascii="Calibri" w:hAnsi="Calibri" w:cs="Calibri"/>
                  <w:sz w:val="20"/>
                  <w:szCs w:val="20"/>
                </w:rPr>
                <w:id w:val="-88001142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Pr="00AB645B" w:rsidRDefault="00AB645B" w:rsidP="00E73B61">
            <w:pPr>
              <w:pStyle w:val="Default"/>
              <w:jc w:val="both"/>
              <w:rPr>
                <w:rFonts w:ascii="Calibri" w:hAnsi="Calibri" w:cs="Calibri"/>
                <w:sz w:val="20"/>
                <w:szCs w:val="20"/>
              </w:rPr>
            </w:pPr>
            <w:r>
              <w:rPr>
                <w:rFonts w:ascii="Calibri" w:hAnsi="Calibri" w:cs="Calibri"/>
                <w:sz w:val="20"/>
                <w:szCs w:val="20"/>
              </w:rPr>
              <w:lastRenderedPageBreak/>
              <w:t>from the analysis/assessment and these are included in section ____ of the enclosed report</w:t>
            </w:r>
          </w:p>
        </w:tc>
      </w:tr>
      <w:tr w:rsidR="00473CC5" w:rsidRPr="000D1B0D" w:rsidTr="00144ED4">
        <w:tc>
          <w:tcPr>
            <w:tcW w:w="1183" w:type="pct"/>
            <w:shd w:val="clear" w:color="auto" w:fill="auto"/>
          </w:tcPr>
          <w:p w:rsidR="00473CC5" w:rsidRPr="00B6163C" w:rsidRDefault="00473CC5" w:rsidP="00B6163C">
            <w:pPr>
              <w:pStyle w:val="Default"/>
              <w:rPr>
                <w:rFonts w:ascii="Calibri" w:hAnsi="Calibri" w:cs="Calibri"/>
                <w:b/>
                <w:sz w:val="20"/>
                <w:szCs w:val="20"/>
              </w:rPr>
            </w:pPr>
            <w:r w:rsidRPr="000D1B0D">
              <w:rPr>
                <w:rFonts w:ascii="Calibri" w:hAnsi="Calibri" w:cs="Calibri"/>
                <w:b/>
                <w:sz w:val="20"/>
                <w:szCs w:val="20"/>
              </w:rPr>
              <w:lastRenderedPageBreak/>
              <w:t>Finance Implications:</w:t>
            </w:r>
          </w:p>
        </w:tc>
        <w:tc>
          <w:tcPr>
            <w:tcW w:w="3817" w:type="pct"/>
            <w:shd w:val="clear" w:color="auto" w:fill="auto"/>
          </w:tcPr>
          <w:p w:rsidR="00246EFA" w:rsidRPr="00511376" w:rsidRDefault="009F1D16" w:rsidP="009F1D16">
            <w:pPr>
              <w:pStyle w:val="Default"/>
              <w:jc w:val="both"/>
              <w:rPr>
                <w:rFonts w:ascii="Calibri" w:hAnsi="Calibri" w:cs="Calibri"/>
                <w:sz w:val="22"/>
                <w:szCs w:val="22"/>
              </w:rPr>
            </w:pPr>
            <w:r w:rsidRPr="009F1D16">
              <w:rPr>
                <w:rFonts w:ascii="Calibri" w:hAnsi="Calibri" w:cs="Calibri"/>
                <w:sz w:val="22"/>
                <w:szCs w:val="22"/>
              </w:rPr>
              <w:t xml:space="preserve">The </w:t>
            </w:r>
            <w:r>
              <w:rPr>
                <w:rFonts w:ascii="Calibri" w:hAnsi="Calibri" w:cs="Calibri"/>
                <w:sz w:val="22"/>
                <w:szCs w:val="22"/>
              </w:rPr>
              <w:t>Board Assurance Framework</w:t>
            </w:r>
            <w:r w:rsidRPr="009F1D16">
              <w:rPr>
                <w:rFonts w:ascii="Calibri" w:hAnsi="Calibri" w:cs="Calibri"/>
                <w:sz w:val="22"/>
                <w:szCs w:val="22"/>
              </w:rPr>
              <w:t xml:space="preserve"> contains key financial risks to the organisation</w:t>
            </w:r>
          </w:p>
        </w:tc>
      </w:tr>
      <w:tr w:rsidR="00473CC5" w:rsidRPr="000D1B0D" w:rsidTr="00144ED4">
        <w:tc>
          <w:tcPr>
            <w:tcW w:w="1183" w:type="pct"/>
            <w:shd w:val="clear" w:color="auto" w:fill="auto"/>
          </w:tcPr>
          <w:p w:rsidR="00473CC5" w:rsidRPr="000D1B0D" w:rsidRDefault="00473CC5" w:rsidP="00B6163C">
            <w:pPr>
              <w:pStyle w:val="Default"/>
              <w:rPr>
                <w:rFonts w:ascii="Calibri" w:hAnsi="Calibri" w:cs="Calibri"/>
                <w:b/>
                <w:sz w:val="20"/>
                <w:szCs w:val="20"/>
              </w:rPr>
            </w:pPr>
            <w:r w:rsidRPr="000D1B0D">
              <w:rPr>
                <w:rFonts w:ascii="Calibri" w:hAnsi="Calibri" w:cs="Calibri"/>
                <w:b/>
                <w:sz w:val="20"/>
                <w:szCs w:val="20"/>
              </w:rPr>
              <w:t>Quality Implications:</w:t>
            </w:r>
          </w:p>
        </w:tc>
        <w:tc>
          <w:tcPr>
            <w:tcW w:w="3817" w:type="pct"/>
            <w:shd w:val="clear" w:color="auto" w:fill="auto"/>
          </w:tcPr>
          <w:p w:rsidR="00246EFA" w:rsidRPr="00511376" w:rsidRDefault="009F1D16" w:rsidP="000D1B0D">
            <w:pPr>
              <w:pStyle w:val="Default"/>
              <w:jc w:val="both"/>
              <w:rPr>
                <w:rFonts w:ascii="Calibri" w:hAnsi="Calibri" w:cs="Calibri"/>
                <w:sz w:val="22"/>
                <w:szCs w:val="22"/>
              </w:rPr>
            </w:pPr>
            <w:r>
              <w:rPr>
                <w:rFonts w:ascii="Calibri" w:hAnsi="Calibri" w:cs="Calibri"/>
                <w:sz w:val="22"/>
                <w:szCs w:val="22"/>
              </w:rPr>
              <w:t xml:space="preserve">The Board Assurance Framework contains key risks linked to quality/patient safety </w:t>
            </w:r>
          </w:p>
        </w:tc>
      </w:tr>
      <w:tr w:rsidR="009D4EDC" w:rsidRPr="000D1B0D" w:rsidTr="00144ED4">
        <w:tc>
          <w:tcPr>
            <w:tcW w:w="1183" w:type="pct"/>
            <w:shd w:val="clear" w:color="auto" w:fill="auto"/>
          </w:tcPr>
          <w:p w:rsidR="009D4EDC" w:rsidRPr="000D1B0D" w:rsidRDefault="009D4EDC" w:rsidP="00B6163C">
            <w:pPr>
              <w:pStyle w:val="Default"/>
              <w:rPr>
                <w:rFonts w:ascii="Calibri" w:hAnsi="Calibri" w:cs="Calibri"/>
                <w:b/>
                <w:sz w:val="20"/>
                <w:szCs w:val="20"/>
              </w:rPr>
            </w:pPr>
            <w:r w:rsidRPr="000D1B0D">
              <w:rPr>
                <w:rFonts w:ascii="Calibri" w:hAnsi="Calibri" w:cs="Calibri"/>
                <w:b/>
                <w:sz w:val="20"/>
                <w:szCs w:val="20"/>
              </w:rPr>
              <w:t>Procurement Decisions</w:t>
            </w:r>
            <w:r w:rsidR="00246EFA">
              <w:rPr>
                <w:rFonts w:ascii="Calibri" w:hAnsi="Calibri" w:cs="Calibri"/>
                <w:b/>
                <w:sz w:val="20"/>
                <w:szCs w:val="20"/>
              </w:rPr>
              <w:t>/Implications</w:t>
            </w:r>
            <w:r w:rsidR="00E76606" w:rsidRPr="000D1B0D">
              <w:rPr>
                <w:rFonts w:ascii="Calibri" w:hAnsi="Calibri" w:cs="Calibri"/>
                <w:b/>
                <w:sz w:val="20"/>
                <w:szCs w:val="20"/>
              </w:rPr>
              <w:t xml:space="preserve"> </w:t>
            </w:r>
            <w:r w:rsidR="00E76606" w:rsidRPr="000D1B0D">
              <w:rPr>
                <w:rFonts w:ascii="Calibri" w:hAnsi="Calibri" w:cs="Calibri"/>
                <w:b/>
                <w:i/>
                <w:sz w:val="20"/>
                <w:szCs w:val="20"/>
              </w:rPr>
              <w:t>(Care Contracting Committee)</w:t>
            </w:r>
            <w:r w:rsidRPr="000D1B0D">
              <w:rPr>
                <w:rFonts w:ascii="Calibri" w:hAnsi="Calibri" w:cs="Calibri"/>
                <w:b/>
                <w:i/>
                <w:sz w:val="20"/>
                <w:szCs w:val="20"/>
              </w:rPr>
              <w:t>:</w:t>
            </w:r>
          </w:p>
        </w:tc>
        <w:tc>
          <w:tcPr>
            <w:tcW w:w="3817" w:type="pct"/>
            <w:shd w:val="clear" w:color="auto" w:fill="auto"/>
          </w:tcPr>
          <w:p w:rsidR="00246EFA" w:rsidRPr="00511376" w:rsidRDefault="009F1D16" w:rsidP="009F1D16">
            <w:pPr>
              <w:pStyle w:val="Default"/>
              <w:jc w:val="both"/>
              <w:rPr>
                <w:rFonts w:ascii="Calibri" w:hAnsi="Calibri" w:cs="Calibri"/>
                <w:sz w:val="22"/>
                <w:szCs w:val="22"/>
              </w:rPr>
            </w:pPr>
            <w:r w:rsidRPr="009F1D16">
              <w:rPr>
                <w:rFonts w:ascii="Calibri" w:hAnsi="Calibri" w:cs="Calibri"/>
                <w:sz w:val="22"/>
                <w:szCs w:val="22"/>
              </w:rPr>
              <w:t xml:space="preserve">The Board Assurance Framework contains key risks linked to </w:t>
            </w:r>
            <w:r>
              <w:rPr>
                <w:rFonts w:ascii="Calibri" w:hAnsi="Calibri" w:cs="Calibri"/>
                <w:sz w:val="22"/>
                <w:szCs w:val="22"/>
              </w:rPr>
              <w:t>Contract Management</w:t>
            </w:r>
          </w:p>
        </w:tc>
      </w:tr>
      <w:tr w:rsidR="00473CC5" w:rsidRPr="000D1B0D" w:rsidTr="00144ED4">
        <w:tc>
          <w:tcPr>
            <w:tcW w:w="1183" w:type="pct"/>
            <w:shd w:val="clear" w:color="auto" w:fill="auto"/>
          </w:tcPr>
          <w:p w:rsidR="00473CC5" w:rsidRPr="00F300A1" w:rsidRDefault="00473CC5" w:rsidP="00B6163C">
            <w:pPr>
              <w:pStyle w:val="Default"/>
              <w:rPr>
                <w:rFonts w:ascii="Calibri" w:hAnsi="Calibri" w:cs="Calibri"/>
                <w:i/>
                <w:sz w:val="20"/>
                <w:szCs w:val="20"/>
              </w:rPr>
            </w:pPr>
            <w:r w:rsidRPr="000D1B0D">
              <w:rPr>
                <w:rFonts w:ascii="Calibri" w:hAnsi="Calibri" w:cs="Calibri"/>
                <w:b/>
                <w:sz w:val="20"/>
                <w:szCs w:val="20"/>
              </w:rPr>
              <w:t>Engagement Implications:</w:t>
            </w:r>
          </w:p>
        </w:tc>
        <w:tc>
          <w:tcPr>
            <w:tcW w:w="3817" w:type="pct"/>
            <w:shd w:val="clear" w:color="auto" w:fill="auto"/>
          </w:tcPr>
          <w:p w:rsidR="00246EFA" w:rsidRPr="00511376" w:rsidRDefault="009F1D16" w:rsidP="009F1D16">
            <w:pPr>
              <w:pStyle w:val="Default"/>
              <w:jc w:val="both"/>
              <w:rPr>
                <w:rFonts w:ascii="Calibri" w:hAnsi="Calibri" w:cs="Calibri"/>
                <w:sz w:val="22"/>
                <w:szCs w:val="22"/>
              </w:rPr>
            </w:pPr>
            <w:r w:rsidRPr="009F1D16">
              <w:rPr>
                <w:rFonts w:ascii="Calibri" w:hAnsi="Calibri" w:cs="Calibri"/>
                <w:sz w:val="22"/>
                <w:szCs w:val="22"/>
              </w:rPr>
              <w:t xml:space="preserve">The Board Assurance Framework contains key risks linked to </w:t>
            </w:r>
            <w:r>
              <w:rPr>
                <w:rFonts w:ascii="Calibri" w:hAnsi="Calibri" w:cs="Calibri"/>
                <w:sz w:val="22"/>
                <w:szCs w:val="22"/>
              </w:rPr>
              <w:t>communications and engagement</w:t>
            </w:r>
          </w:p>
        </w:tc>
      </w:tr>
      <w:tr w:rsidR="00246EFA" w:rsidRPr="000D1B0D" w:rsidTr="00144ED4">
        <w:trPr>
          <w:trHeight w:val="86"/>
        </w:trPr>
        <w:tc>
          <w:tcPr>
            <w:tcW w:w="1183" w:type="pct"/>
            <w:shd w:val="clear" w:color="auto" w:fill="D9D9D9"/>
          </w:tcPr>
          <w:p w:rsidR="00246EFA" w:rsidRPr="000D1B0D" w:rsidRDefault="00246EFA" w:rsidP="000D1B0D">
            <w:pPr>
              <w:pStyle w:val="Default"/>
              <w:jc w:val="both"/>
              <w:rPr>
                <w:rFonts w:ascii="Calibri" w:hAnsi="Calibri" w:cs="Calibri"/>
                <w:b/>
                <w:sz w:val="20"/>
                <w:szCs w:val="20"/>
              </w:rPr>
            </w:pPr>
          </w:p>
        </w:tc>
        <w:tc>
          <w:tcPr>
            <w:tcW w:w="3817" w:type="pct"/>
            <w:shd w:val="clear" w:color="auto" w:fill="D9D9D9"/>
          </w:tcPr>
          <w:p w:rsidR="00246EFA" w:rsidRPr="00511376" w:rsidRDefault="00246EFA" w:rsidP="000D1B0D">
            <w:pPr>
              <w:pStyle w:val="Default"/>
              <w:jc w:val="both"/>
              <w:rPr>
                <w:rFonts w:ascii="Calibri" w:hAnsi="Calibri" w:cs="Calibri"/>
                <w:sz w:val="22"/>
                <w:szCs w:val="22"/>
              </w:rPr>
            </w:pPr>
          </w:p>
        </w:tc>
      </w:tr>
      <w:tr w:rsidR="007E1C2F" w:rsidRPr="000D1B0D" w:rsidTr="00144ED4">
        <w:tc>
          <w:tcPr>
            <w:tcW w:w="1183" w:type="pct"/>
            <w:shd w:val="clear" w:color="auto" w:fill="auto"/>
          </w:tcPr>
          <w:p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t>Conflict</w:t>
            </w:r>
            <w:r w:rsidR="00006E07">
              <w:rPr>
                <w:rFonts w:ascii="Calibri" w:hAnsi="Calibri" w:cs="Calibri"/>
                <w:b/>
                <w:sz w:val="20"/>
                <w:szCs w:val="20"/>
              </w:rPr>
              <w:t>s of Interest</w:t>
            </w:r>
            <w:r w:rsidRPr="000D1B0D">
              <w:rPr>
                <w:rFonts w:ascii="Calibri" w:hAnsi="Calibri" w:cs="Calibri"/>
                <w:b/>
                <w:sz w:val="20"/>
                <w:szCs w:val="20"/>
              </w:rPr>
              <w:t xml:space="preserve"> </w:t>
            </w:r>
          </w:p>
          <w:p w:rsidR="00F97DC2" w:rsidRDefault="00F97DC2" w:rsidP="00F97DC2">
            <w:pPr>
              <w:pStyle w:val="Default"/>
              <w:rPr>
                <w:rFonts w:ascii="Calibri" w:hAnsi="Calibri" w:cs="Calibri"/>
                <w:i/>
                <w:sz w:val="20"/>
                <w:szCs w:val="20"/>
              </w:rPr>
            </w:pPr>
          </w:p>
          <w:p w:rsidR="007E1C2F" w:rsidRPr="00C450D4" w:rsidRDefault="007E1C2F" w:rsidP="007E1C2F">
            <w:pPr>
              <w:pStyle w:val="Default"/>
              <w:rPr>
                <w:rFonts w:ascii="Calibri" w:hAnsi="Calibri" w:cs="Calibri"/>
                <w:i/>
                <w:sz w:val="20"/>
                <w:szCs w:val="20"/>
              </w:rPr>
            </w:pPr>
          </w:p>
        </w:tc>
        <w:tc>
          <w:tcPr>
            <w:tcW w:w="3817" w:type="pct"/>
            <w:shd w:val="clear" w:color="auto" w:fill="auto"/>
          </w:tcPr>
          <w:p w:rsidR="00B6163C" w:rsidRPr="00511376" w:rsidRDefault="00B6163C" w:rsidP="00B6163C">
            <w:pPr>
              <w:pStyle w:val="Default"/>
              <w:jc w:val="both"/>
              <w:rPr>
                <w:rFonts w:ascii="Calibri" w:hAnsi="Calibri" w:cs="Calibri"/>
                <w:sz w:val="22"/>
                <w:szCs w:val="22"/>
              </w:rPr>
            </w:pPr>
            <w:r w:rsidRPr="00511376">
              <w:rPr>
                <w:rFonts w:ascii="Calibri" w:hAnsi="Calibri" w:cs="Calibri"/>
                <w:sz w:val="22"/>
                <w:szCs w:val="22"/>
              </w:rPr>
              <w:t xml:space="preserve">Any interests </w:t>
            </w:r>
            <w:proofErr w:type="gramStart"/>
            <w:r w:rsidRPr="00511376">
              <w:rPr>
                <w:rFonts w:ascii="Calibri" w:hAnsi="Calibri" w:cs="Calibri"/>
                <w:sz w:val="22"/>
                <w:szCs w:val="22"/>
              </w:rPr>
              <w:t>which</w:t>
            </w:r>
            <w:proofErr w:type="gramEnd"/>
            <w:r w:rsidRPr="00511376">
              <w:rPr>
                <w:rFonts w:ascii="Calibri" w:hAnsi="Calibri" w:cs="Calibri"/>
                <w:sz w:val="22"/>
                <w:szCs w:val="22"/>
              </w:rPr>
              <w:t xml:space="preserve"> are declared at a meeting will be included on the CCG’s Declaration of interest Register.</w:t>
            </w:r>
          </w:p>
          <w:p w:rsidR="00B6163C" w:rsidRPr="00511376" w:rsidRDefault="00B6163C" w:rsidP="000D1B0D">
            <w:pPr>
              <w:pStyle w:val="Default"/>
              <w:jc w:val="both"/>
              <w:rPr>
                <w:rFonts w:ascii="Calibri" w:hAnsi="Calibri" w:cs="Calibri"/>
                <w:i/>
                <w:sz w:val="22"/>
                <w:szCs w:val="22"/>
              </w:rPr>
            </w:pPr>
          </w:p>
          <w:p w:rsidR="00C450D4" w:rsidRPr="00511376" w:rsidRDefault="00E61AF0" w:rsidP="000D1B0D">
            <w:pPr>
              <w:pStyle w:val="Default"/>
              <w:jc w:val="both"/>
              <w:rPr>
                <w:rFonts w:ascii="Calibri" w:hAnsi="Calibri" w:cs="Calibri"/>
                <w:i/>
                <w:sz w:val="22"/>
                <w:szCs w:val="22"/>
              </w:rPr>
            </w:pPr>
            <w:proofErr w:type="gramStart"/>
            <w:r w:rsidRPr="00511376">
              <w:rPr>
                <w:rFonts w:ascii="Calibri" w:hAnsi="Calibri" w:cs="Calibri"/>
                <w:i/>
                <w:sz w:val="22"/>
                <w:szCs w:val="22"/>
              </w:rPr>
              <w:t>all</w:t>
            </w:r>
            <w:proofErr w:type="gramEnd"/>
            <w:r w:rsidRPr="00511376">
              <w:rPr>
                <w:rFonts w:ascii="Calibri" w:hAnsi="Calibri" w:cs="Calibri"/>
                <w:i/>
                <w:sz w:val="22"/>
                <w:szCs w:val="22"/>
              </w:rPr>
              <w:t xml:space="preserve"> </w:t>
            </w:r>
            <w:r w:rsidR="00B6163C" w:rsidRPr="00511376">
              <w:rPr>
                <w:rFonts w:ascii="Calibri" w:hAnsi="Calibri" w:cs="Calibri"/>
                <w:i/>
                <w:sz w:val="22"/>
                <w:szCs w:val="22"/>
              </w:rPr>
              <w:t xml:space="preserve">current </w:t>
            </w:r>
            <w:r w:rsidRPr="00511376">
              <w:rPr>
                <w:rFonts w:ascii="Calibri" w:hAnsi="Calibri" w:cs="Calibri"/>
                <w:i/>
                <w:sz w:val="22"/>
                <w:szCs w:val="22"/>
              </w:rPr>
              <w:t>conflicts and potential conflicts of interest been appropriately declared and entered in registers which are publicly available?</w:t>
            </w:r>
            <w:r w:rsidR="00006E07" w:rsidRPr="00511376">
              <w:rPr>
                <w:rFonts w:ascii="Calibri" w:hAnsi="Calibri" w:cs="Calibri"/>
                <w:i/>
                <w:sz w:val="22"/>
                <w:szCs w:val="22"/>
              </w:rPr>
              <w:t xml:space="preserve"> </w:t>
            </w:r>
            <w:r w:rsidR="006006E6" w:rsidRPr="00511376">
              <w:rPr>
                <w:rFonts w:ascii="Calibri" w:hAnsi="Calibri" w:cs="Calibri"/>
                <w:i/>
                <w:sz w:val="22"/>
                <w:szCs w:val="22"/>
              </w:rPr>
              <w:t xml:space="preserve">     </w:t>
            </w:r>
          </w:p>
          <w:p w:rsidR="00006E07" w:rsidRPr="00511376" w:rsidRDefault="00006E07" w:rsidP="000D1B0D">
            <w:pPr>
              <w:pStyle w:val="Default"/>
              <w:jc w:val="both"/>
              <w:rPr>
                <w:rFonts w:ascii="Calibri" w:hAnsi="Calibri" w:cs="Calibri"/>
                <w:b/>
                <w:sz w:val="22"/>
                <w:szCs w:val="22"/>
              </w:rPr>
            </w:pPr>
          </w:p>
          <w:p w:rsidR="00246EFA" w:rsidRPr="00511376" w:rsidRDefault="00717618" w:rsidP="00B6163C">
            <w:pPr>
              <w:pStyle w:val="Default"/>
              <w:tabs>
                <w:tab w:val="left" w:pos="936"/>
              </w:tabs>
              <w:jc w:val="both"/>
              <w:rPr>
                <w:rFonts w:ascii="Calibri" w:hAnsi="Calibri" w:cs="Calibri"/>
                <w:sz w:val="22"/>
                <w:szCs w:val="22"/>
              </w:rPr>
            </w:pPr>
            <w:sdt>
              <w:sdtPr>
                <w:rPr>
                  <w:rFonts w:ascii="Calibri" w:hAnsi="Calibri" w:cs="Calibri"/>
                  <w:sz w:val="22"/>
                  <w:szCs w:val="22"/>
                </w:rPr>
                <w:id w:val="419144559"/>
                <w14:checkbox>
                  <w14:checked w14:val="1"/>
                  <w14:checkedState w14:val="2612" w14:font="MS Gothic"/>
                  <w14:uncheckedState w14:val="2610" w14:font="MS Gothic"/>
                </w14:checkbox>
              </w:sdtPr>
              <w:sdtEndPr/>
              <w:sdtContent>
                <w:r w:rsidR="00B6163C" w:rsidRPr="00511376">
                  <w:rPr>
                    <w:rFonts w:ascii="MS Gothic" w:eastAsia="MS Gothic" w:hAnsi="MS Gothic" w:cs="Calibri" w:hint="eastAsia"/>
                    <w:sz w:val="22"/>
                    <w:szCs w:val="22"/>
                  </w:rPr>
                  <w:t>☒</w:t>
                </w:r>
              </w:sdtContent>
            </w:sdt>
            <w:r w:rsidR="006C1307" w:rsidRPr="00511376">
              <w:rPr>
                <w:rFonts w:ascii="Calibri" w:hAnsi="Calibri" w:cs="Calibri"/>
                <w:sz w:val="22"/>
                <w:szCs w:val="22"/>
              </w:rPr>
              <w:t xml:space="preserve">  Yes            </w:t>
            </w:r>
            <w:sdt>
              <w:sdtPr>
                <w:rPr>
                  <w:rFonts w:ascii="Calibri" w:hAnsi="Calibri" w:cs="Calibri"/>
                  <w:sz w:val="22"/>
                  <w:szCs w:val="22"/>
                </w:rPr>
                <w:id w:val="1133061687"/>
                <w14:checkbox>
                  <w14:checked w14:val="0"/>
                  <w14:checkedState w14:val="2612" w14:font="MS Gothic"/>
                  <w14:uncheckedState w14:val="2610" w14:font="MS Gothic"/>
                </w14:checkbox>
              </w:sdtPr>
              <w:sdtEndPr/>
              <w:sdtContent>
                <w:r w:rsidR="006C1307" w:rsidRPr="00511376">
                  <w:rPr>
                    <w:rFonts w:ascii="MS Gothic" w:eastAsia="MS Gothic" w:hAnsi="MS Gothic" w:cs="Calibri" w:hint="eastAsia"/>
                    <w:sz w:val="22"/>
                    <w:szCs w:val="22"/>
                  </w:rPr>
                  <w:t>☐</w:t>
                </w:r>
              </w:sdtContent>
            </w:sdt>
            <w:r w:rsidR="006C1307" w:rsidRPr="00511376">
              <w:rPr>
                <w:rFonts w:ascii="Calibri" w:hAnsi="Calibri" w:cs="Calibri"/>
                <w:sz w:val="22"/>
                <w:szCs w:val="22"/>
              </w:rPr>
              <w:t xml:space="preserve">  No</w:t>
            </w:r>
          </w:p>
        </w:tc>
      </w:tr>
      <w:tr w:rsidR="007663C8" w:rsidRPr="000D1B0D" w:rsidTr="00144ED4">
        <w:tc>
          <w:tcPr>
            <w:tcW w:w="1183" w:type="pct"/>
            <w:shd w:val="clear" w:color="auto" w:fill="auto"/>
          </w:tcPr>
          <w:p w:rsidR="007663C8" w:rsidRPr="006330C7" w:rsidRDefault="006330C7" w:rsidP="00306A1B">
            <w:pPr>
              <w:pStyle w:val="Default"/>
              <w:rPr>
                <w:rFonts w:ascii="Calibri" w:hAnsi="Calibri" w:cs="Calibri"/>
                <w:b/>
                <w:sz w:val="20"/>
                <w:szCs w:val="20"/>
              </w:rPr>
            </w:pPr>
            <w:r>
              <w:rPr>
                <w:rFonts w:ascii="Calibri" w:hAnsi="Calibri" w:cs="Calibri"/>
                <w:b/>
                <w:sz w:val="20"/>
                <w:szCs w:val="20"/>
              </w:rPr>
              <w:t xml:space="preserve">Links to CCG’s </w:t>
            </w:r>
            <w:r w:rsidR="007663C8">
              <w:rPr>
                <w:rFonts w:ascii="Calibri" w:hAnsi="Calibri" w:cs="Calibri"/>
                <w:b/>
                <w:sz w:val="20"/>
                <w:szCs w:val="20"/>
              </w:rPr>
              <w:t>Strategic Objectives</w:t>
            </w:r>
          </w:p>
        </w:tc>
        <w:tc>
          <w:tcPr>
            <w:tcW w:w="3817" w:type="pct"/>
            <w:shd w:val="clear" w:color="auto" w:fill="auto"/>
          </w:tcPr>
          <w:p w:rsidR="006330C7" w:rsidRPr="00511376" w:rsidRDefault="00717618" w:rsidP="006330C7">
            <w:pPr>
              <w:tabs>
                <w:tab w:val="left" w:pos="1020"/>
                <w:tab w:val="left" w:pos="4800"/>
              </w:tabs>
              <w:autoSpaceDE w:val="0"/>
              <w:autoSpaceDN w:val="0"/>
              <w:rPr>
                <w:rFonts w:ascii="Calibri" w:hAnsi="Calibri" w:cs="Calibri"/>
                <w:sz w:val="22"/>
                <w:szCs w:val="22"/>
              </w:rPr>
            </w:pPr>
            <w:sdt>
              <w:sdtPr>
                <w:rPr>
                  <w:rFonts w:ascii="Calibri" w:hAnsi="Calibri" w:cs="Calibri"/>
                  <w:sz w:val="22"/>
                  <w:szCs w:val="22"/>
                </w:rPr>
                <w:id w:val="-659457400"/>
                <w14:checkbox>
                  <w14:checked w14:val="1"/>
                  <w14:checkedState w14:val="2612" w14:font="MS Gothic"/>
                  <w14:uncheckedState w14:val="2610" w14:font="MS Gothic"/>
                </w14:checkbox>
              </w:sdtPr>
              <w:sdtEndPr/>
              <w:sdtContent>
                <w:r w:rsidR="00511376">
                  <w:rPr>
                    <w:rFonts w:ascii="MS Gothic" w:eastAsia="MS Gothic" w:hAnsi="MS Gothic" w:cs="Calibri" w:hint="eastAsia"/>
                    <w:sz w:val="22"/>
                    <w:szCs w:val="22"/>
                  </w:rPr>
                  <w:t>☒</w:t>
                </w:r>
              </w:sdtContent>
            </w:sdt>
            <w:r w:rsidR="006330C7">
              <w:rPr>
                <w:rFonts w:ascii="Calibri" w:hAnsi="Calibri" w:cs="Calibri"/>
                <w:sz w:val="22"/>
                <w:szCs w:val="22"/>
              </w:rPr>
              <w:t xml:space="preserve"> </w:t>
            </w:r>
            <w:r w:rsidR="006330C7" w:rsidRPr="00511376">
              <w:rPr>
                <w:rFonts w:ascii="Calibri" w:hAnsi="Calibri" w:cs="Calibri"/>
                <w:sz w:val="22"/>
                <w:szCs w:val="22"/>
              </w:rPr>
              <w:t xml:space="preserve">Sustainable services                                       </w:t>
            </w:r>
            <w:sdt>
              <w:sdtPr>
                <w:rPr>
                  <w:rFonts w:ascii="Calibri" w:hAnsi="Calibri" w:cs="Calibri"/>
                  <w:sz w:val="22"/>
                  <w:szCs w:val="22"/>
                </w:rPr>
                <w:id w:val="-225378782"/>
                <w14:checkbox>
                  <w14:checked w14:val="1"/>
                  <w14:checkedState w14:val="2612" w14:font="MS Gothic"/>
                  <w14:uncheckedState w14:val="2610" w14:font="MS Gothic"/>
                </w14:checkbox>
              </w:sdtPr>
              <w:sdtEndPr/>
              <w:sdtContent>
                <w:r w:rsidR="00511376" w:rsidRPr="00511376">
                  <w:rPr>
                    <w:rFonts w:ascii="MS Gothic" w:eastAsia="MS Gothic" w:hAnsi="MS Gothic" w:cs="Calibri" w:hint="eastAsia"/>
                    <w:sz w:val="22"/>
                    <w:szCs w:val="22"/>
                  </w:rPr>
                  <w:t>☒</w:t>
                </w:r>
              </w:sdtContent>
            </w:sdt>
            <w:r w:rsidR="006330C7" w:rsidRPr="00511376">
              <w:rPr>
                <w:rFonts w:ascii="Calibri" w:hAnsi="Calibri" w:cs="Calibri"/>
                <w:sz w:val="22"/>
                <w:szCs w:val="22"/>
              </w:rPr>
              <w:t xml:space="preserve"> Empowering people</w:t>
            </w:r>
          </w:p>
          <w:p w:rsidR="006330C7" w:rsidRPr="00511376" w:rsidRDefault="00717618" w:rsidP="00144ED4">
            <w:pPr>
              <w:tabs>
                <w:tab w:val="left" w:pos="1656"/>
                <w:tab w:val="left" w:pos="5364"/>
              </w:tabs>
              <w:autoSpaceDE w:val="0"/>
              <w:autoSpaceDN w:val="0"/>
              <w:rPr>
                <w:rFonts w:ascii="Calibri" w:hAnsi="Calibri" w:cs="Calibri"/>
                <w:sz w:val="22"/>
                <w:szCs w:val="22"/>
              </w:rPr>
            </w:pPr>
            <w:sdt>
              <w:sdtPr>
                <w:rPr>
                  <w:rFonts w:ascii="Calibri" w:hAnsi="Calibri" w:cs="Calibri"/>
                  <w:sz w:val="22"/>
                  <w:szCs w:val="22"/>
                </w:rPr>
                <w:id w:val="666679595"/>
                <w14:checkbox>
                  <w14:checked w14:val="1"/>
                  <w14:checkedState w14:val="2612" w14:font="MS Gothic"/>
                  <w14:uncheckedState w14:val="2610" w14:font="MS Gothic"/>
                </w14:checkbox>
              </w:sdtPr>
              <w:sdtEndPr/>
              <w:sdtContent>
                <w:r w:rsidR="00511376" w:rsidRPr="00511376">
                  <w:rPr>
                    <w:rFonts w:ascii="MS Gothic" w:eastAsia="MS Gothic" w:hAnsi="MS Gothic" w:cs="Calibri" w:hint="eastAsia"/>
                    <w:sz w:val="22"/>
                    <w:szCs w:val="22"/>
                  </w:rPr>
                  <w:t>☒</w:t>
                </w:r>
              </w:sdtContent>
            </w:sdt>
            <w:r w:rsidR="006330C7" w:rsidRPr="00511376">
              <w:rPr>
                <w:rFonts w:ascii="Calibri" w:hAnsi="Calibri" w:cs="Calibri"/>
                <w:sz w:val="22"/>
                <w:szCs w:val="22"/>
              </w:rPr>
              <w:t xml:space="preserve"> Supporting communities</w:t>
            </w:r>
            <w:r w:rsidR="00144ED4" w:rsidRPr="00511376">
              <w:rPr>
                <w:rFonts w:ascii="Calibri" w:hAnsi="Calibri" w:cs="Calibri"/>
                <w:sz w:val="22"/>
                <w:szCs w:val="22"/>
              </w:rPr>
              <w:t xml:space="preserve">                               </w:t>
            </w:r>
            <w:sdt>
              <w:sdtPr>
                <w:rPr>
                  <w:rFonts w:ascii="Calibri" w:hAnsi="Calibri" w:cs="Calibri"/>
                  <w:sz w:val="22"/>
                  <w:szCs w:val="22"/>
                </w:rPr>
                <w:id w:val="-690685341"/>
                <w14:checkbox>
                  <w14:checked w14:val="1"/>
                  <w14:checkedState w14:val="2612" w14:font="MS Gothic"/>
                  <w14:uncheckedState w14:val="2610" w14:font="MS Gothic"/>
                </w14:checkbox>
              </w:sdtPr>
              <w:sdtEndPr/>
              <w:sdtContent>
                <w:r w:rsidR="00B6163C" w:rsidRPr="00511376">
                  <w:rPr>
                    <w:rFonts w:ascii="MS Gothic" w:eastAsia="MS Gothic" w:hAnsi="MS Gothic" w:cs="Calibri" w:hint="eastAsia"/>
                    <w:sz w:val="22"/>
                    <w:szCs w:val="22"/>
                  </w:rPr>
                  <w:t>☒</w:t>
                </w:r>
              </w:sdtContent>
            </w:sdt>
            <w:r w:rsidR="00144ED4" w:rsidRPr="00511376">
              <w:rPr>
                <w:rFonts w:ascii="Calibri" w:hAnsi="Calibri" w:cs="Calibri"/>
                <w:sz w:val="22"/>
                <w:szCs w:val="22"/>
              </w:rPr>
              <w:t xml:space="preserve"> Delivering a fit for purpose organisation</w:t>
            </w:r>
          </w:p>
          <w:p w:rsidR="006330C7" w:rsidRPr="006330C7" w:rsidRDefault="006330C7" w:rsidP="007663C8">
            <w:pPr>
              <w:autoSpaceDE w:val="0"/>
              <w:autoSpaceDN w:val="0"/>
              <w:rPr>
                <w:rFonts w:ascii="Calibri" w:hAnsi="Calibri" w:cs="Calibri"/>
                <w:sz w:val="22"/>
                <w:szCs w:val="22"/>
              </w:rPr>
            </w:pPr>
          </w:p>
        </w:tc>
      </w:tr>
      <w:tr w:rsidR="00473CC5" w:rsidRPr="000D1B0D" w:rsidTr="00144ED4">
        <w:tc>
          <w:tcPr>
            <w:tcW w:w="1183" w:type="pct"/>
            <w:shd w:val="clear" w:color="auto" w:fill="auto"/>
          </w:tcPr>
          <w:p w:rsidR="00473CC5" w:rsidRPr="0009052F" w:rsidRDefault="00473CC5" w:rsidP="00B6163C">
            <w:pPr>
              <w:pStyle w:val="Default"/>
              <w:jc w:val="both"/>
              <w:rPr>
                <w:rFonts w:ascii="Calibri" w:hAnsi="Calibri" w:cs="Calibri"/>
                <w:i/>
                <w:sz w:val="20"/>
                <w:szCs w:val="20"/>
              </w:rPr>
            </w:pPr>
            <w:r w:rsidRPr="000D1B0D">
              <w:rPr>
                <w:rFonts w:ascii="Calibri" w:hAnsi="Calibri" w:cs="Calibri"/>
                <w:b/>
                <w:sz w:val="20"/>
                <w:szCs w:val="20"/>
              </w:rPr>
              <w:t>NHS Constitution:</w:t>
            </w:r>
          </w:p>
        </w:tc>
        <w:tc>
          <w:tcPr>
            <w:tcW w:w="3817" w:type="pct"/>
            <w:shd w:val="clear" w:color="auto" w:fill="auto"/>
          </w:tcPr>
          <w:p w:rsidR="00006E07" w:rsidRPr="00511376" w:rsidRDefault="00717618" w:rsidP="00B6163C">
            <w:pPr>
              <w:pStyle w:val="Default"/>
              <w:jc w:val="both"/>
              <w:rPr>
                <w:rFonts w:ascii="Calibri" w:hAnsi="Calibri" w:cs="Calibri"/>
                <w:sz w:val="22"/>
                <w:szCs w:val="22"/>
              </w:rPr>
            </w:pPr>
            <w:hyperlink r:id="rId10" w:history="1">
              <w:r w:rsidR="00160986" w:rsidRPr="00511376">
                <w:rPr>
                  <w:rStyle w:val="Hyperlink"/>
                  <w:rFonts w:ascii="Calibri" w:hAnsi="Calibri" w:cs="Calibri"/>
                  <w:sz w:val="22"/>
                  <w:szCs w:val="22"/>
                </w:rPr>
                <w:t>https://www.gov.uk/government/publications/the-nhs-constitution-for-england</w:t>
              </w:r>
            </w:hyperlink>
          </w:p>
        </w:tc>
      </w:tr>
      <w:tr w:rsidR="00E402F3" w:rsidRPr="000D1B0D" w:rsidTr="00144ED4">
        <w:tc>
          <w:tcPr>
            <w:tcW w:w="1183" w:type="pct"/>
            <w:shd w:val="clear" w:color="auto" w:fill="auto"/>
          </w:tcPr>
          <w:p w:rsidR="00E402F3" w:rsidRPr="000D1B0D" w:rsidRDefault="00E402F3" w:rsidP="00E402F3">
            <w:pPr>
              <w:pStyle w:val="Default"/>
              <w:rPr>
                <w:rFonts w:ascii="Calibri" w:hAnsi="Calibri" w:cs="Calibri"/>
                <w:b/>
                <w:sz w:val="20"/>
                <w:szCs w:val="20"/>
              </w:rPr>
            </w:pPr>
            <w:r w:rsidRPr="000D1B0D">
              <w:rPr>
                <w:rFonts w:ascii="Calibri" w:hAnsi="Calibri" w:cs="Calibri"/>
                <w:b/>
                <w:sz w:val="20"/>
                <w:szCs w:val="20"/>
              </w:rPr>
              <w:t>Appendices / attachments</w:t>
            </w:r>
          </w:p>
          <w:p w:rsidR="00E402F3" w:rsidRPr="000D1B0D" w:rsidRDefault="00E402F3" w:rsidP="00E402F3">
            <w:pPr>
              <w:pStyle w:val="Default"/>
              <w:rPr>
                <w:rFonts w:ascii="Calibri" w:hAnsi="Calibri" w:cs="Calibri"/>
                <w:b/>
                <w:sz w:val="20"/>
                <w:szCs w:val="20"/>
              </w:rPr>
            </w:pPr>
          </w:p>
        </w:tc>
        <w:bookmarkStart w:id="1" w:name="_MON_1581746795"/>
        <w:bookmarkEnd w:id="1"/>
        <w:tc>
          <w:tcPr>
            <w:tcW w:w="3817" w:type="pct"/>
            <w:shd w:val="clear" w:color="auto" w:fill="auto"/>
          </w:tcPr>
          <w:p w:rsidR="00E402F3" w:rsidRPr="000D1B0D" w:rsidRDefault="000D7BAF" w:rsidP="000D1B0D">
            <w:pPr>
              <w:pStyle w:val="Default"/>
              <w:jc w:val="both"/>
              <w:rPr>
                <w:rFonts w:ascii="Calibri" w:hAnsi="Calibri" w:cs="Calibri"/>
                <w:sz w:val="20"/>
                <w:szCs w:val="20"/>
              </w:rPr>
            </w:pPr>
            <w:r>
              <w:rPr>
                <w:rFonts w:ascii="Calibri" w:hAnsi="Calibri" w:cs="Calibri"/>
                <w:sz w:val="20"/>
                <w:szCs w:val="20"/>
              </w:rP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8pt" o:ole="">
                  <v:imagedata r:id="rId11" o:title=""/>
                </v:shape>
                <o:OLEObject Type="Embed" ProgID="Word.Document.8" ShapeID="_x0000_i1025" DrawAspect="Icon" ObjectID="_1581760447" r:id="rId12">
                  <o:FieldCodes>\s</o:FieldCodes>
                </o:OLEObject>
              </w:object>
            </w:r>
          </w:p>
        </w:tc>
      </w:tr>
    </w:tbl>
    <w:p w:rsidR="00B74333" w:rsidRDefault="00B74333" w:rsidP="00D3211A">
      <w:pPr>
        <w:pStyle w:val="Default"/>
        <w:jc w:val="both"/>
        <w:rPr>
          <w:rFonts w:ascii="Calibri" w:hAnsi="Calibri" w:cs="Calibri"/>
          <w:sz w:val="20"/>
          <w:szCs w:val="20"/>
        </w:rPr>
      </w:pPr>
    </w:p>
    <w:p w:rsidR="00B74333" w:rsidRDefault="00B74333">
      <w:pPr>
        <w:rPr>
          <w:rFonts w:ascii="Calibri" w:hAnsi="Calibri" w:cs="Calibri"/>
          <w:sz w:val="20"/>
        </w:rPr>
        <w:sectPr w:rsidR="00B74333" w:rsidSect="00144ED4">
          <w:headerReference w:type="default" r:id="rId13"/>
          <w:footerReference w:type="default" r:id="rId14"/>
          <w:pgSz w:w="11900" w:h="16840"/>
          <w:pgMar w:top="567" w:right="567" w:bottom="567" w:left="567" w:header="0" w:footer="1134" w:gutter="0"/>
          <w:cols w:space="708"/>
        </w:sectPr>
      </w:pPr>
      <w:r>
        <w:rPr>
          <w:rFonts w:ascii="Calibri" w:hAnsi="Calibri" w:cs="Calibri"/>
          <w:sz w:val="20"/>
        </w:rPr>
        <w:br w:type="page"/>
      </w:r>
    </w:p>
    <w:p w:rsidR="00B74333" w:rsidRDefault="00B74333">
      <w:pPr>
        <w:rPr>
          <w:rFonts w:ascii="Calibri" w:eastAsia="MS Mincho" w:hAnsi="Calibri" w:cs="Calibri"/>
          <w:color w:val="000000"/>
          <w:sz w:val="20"/>
          <w:lang w:eastAsia="en-GB"/>
        </w:rPr>
      </w:pPr>
    </w:p>
    <w:p w:rsidR="00B74333" w:rsidRDefault="00B74333">
      <w:pPr>
        <w:rPr>
          <w:rFonts w:ascii="Calibri" w:eastAsia="MS Mincho" w:hAnsi="Calibri" w:cs="Calibri"/>
          <w:color w:val="000000"/>
          <w:sz w:val="20"/>
          <w:lang w:eastAsia="en-GB"/>
        </w:rPr>
      </w:pPr>
    </w:p>
    <w:p w:rsidR="00B74333" w:rsidRDefault="00B74333">
      <w:pPr>
        <w:rPr>
          <w:rFonts w:ascii="Calibri" w:eastAsia="MS Mincho" w:hAnsi="Calibri" w:cs="Calibri"/>
          <w:color w:val="000000"/>
          <w:sz w:val="20"/>
          <w:lang w:eastAsia="en-GB"/>
        </w:rPr>
      </w:pPr>
    </w:p>
    <w:p w:rsidR="00B74333" w:rsidRDefault="00B74333">
      <w:pPr>
        <w:rPr>
          <w:rFonts w:ascii="Calibri" w:eastAsia="MS Mincho" w:hAnsi="Calibri" w:cs="Calibri"/>
          <w:color w:val="000000"/>
          <w:sz w:val="20"/>
          <w:lang w:eastAsia="en-GB"/>
        </w:rPr>
      </w:pPr>
    </w:p>
    <w:p w:rsidR="00B74333" w:rsidRPr="008970F3" w:rsidRDefault="00B74333" w:rsidP="00B74333">
      <w:pPr>
        <w:pStyle w:val="Default"/>
        <w:jc w:val="center"/>
        <w:rPr>
          <w:rFonts w:asciiTheme="minorHAnsi" w:hAnsiTheme="minorHAnsi"/>
          <w:b/>
          <w:sz w:val="28"/>
          <w:szCs w:val="28"/>
        </w:rPr>
      </w:pPr>
      <w:r>
        <w:rPr>
          <w:rFonts w:asciiTheme="minorHAnsi" w:hAnsiTheme="minorHAnsi"/>
          <w:b/>
          <w:sz w:val="28"/>
          <w:szCs w:val="28"/>
        </w:rPr>
        <w:t xml:space="preserve">Board Assurance Framework </w:t>
      </w:r>
    </w:p>
    <w:p w:rsidR="00B74333" w:rsidRPr="008970F3" w:rsidRDefault="00B74333" w:rsidP="00B74333">
      <w:pPr>
        <w:pStyle w:val="Default"/>
        <w:jc w:val="center"/>
        <w:rPr>
          <w:rFonts w:asciiTheme="minorHAnsi" w:hAnsiTheme="minorHAnsi"/>
          <w:b/>
          <w:sz w:val="28"/>
          <w:szCs w:val="28"/>
        </w:rPr>
      </w:pPr>
    </w:p>
    <w:p w:rsidR="00B74333" w:rsidRPr="008970F3" w:rsidRDefault="00B74333" w:rsidP="00B74333">
      <w:pPr>
        <w:pStyle w:val="Default"/>
        <w:jc w:val="center"/>
        <w:rPr>
          <w:rFonts w:asciiTheme="minorHAnsi" w:hAnsiTheme="minorHAnsi"/>
          <w:b/>
          <w:sz w:val="28"/>
          <w:szCs w:val="28"/>
        </w:rPr>
      </w:pPr>
      <w:r>
        <w:rPr>
          <w:rFonts w:asciiTheme="minorHAnsi" w:hAnsiTheme="minorHAnsi"/>
          <w:b/>
          <w:sz w:val="28"/>
          <w:szCs w:val="28"/>
        </w:rPr>
        <w:t>March</w:t>
      </w:r>
      <w:r w:rsidRPr="008970F3">
        <w:rPr>
          <w:rFonts w:asciiTheme="minorHAnsi" w:hAnsiTheme="minorHAnsi"/>
          <w:b/>
          <w:sz w:val="28"/>
          <w:szCs w:val="28"/>
        </w:rPr>
        <w:t xml:space="preserve"> 2018</w:t>
      </w:r>
    </w:p>
    <w:p w:rsidR="00B74333" w:rsidRDefault="00B74333" w:rsidP="00B74333">
      <w:pPr>
        <w:pStyle w:val="Default"/>
        <w:rPr>
          <w:rFonts w:ascii="Calibri" w:hAnsi="Calibri" w:cs="Calibri"/>
          <w:b/>
          <w:sz w:val="20"/>
          <w:szCs w:val="20"/>
        </w:rPr>
      </w:pPr>
    </w:p>
    <w:p w:rsidR="00B74333" w:rsidRPr="005F4ACE" w:rsidRDefault="00B74333" w:rsidP="00B74333">
      <w:pPr>
        <w:pStyle w:val="Default"/>
        <w:rPr>
          <w:rFonts w:ascii="Calibri" w:hAnsi="Calibri" w:cs="Calibri"/>
          <w:b/>
        </w:rPr>
      </w:pPr>
      <w:r w:rsidRPr="005F4ACE">
        <w:rPr>
          <w:rFonts w:ascii="Calibri" w:hAnsi="Calibri" w:cs="Calibri"/>
          <w:b/>
        </w:rPr>
        <w:t>Introduction</w:t>
      </w:r>
    </w:p>
    <w:p w:rsidR="00B74333" w:rsidRDefault="00B74333" w:rsidP="00B74333">
      <w:pPr>
        <w:pStyle w:val="Default"/>
        <w:jc w:val="both"/>
        <w:rPr>
          <w:rFonts w:ascii="Calibri" w:hAnsi="Calibri" w:cs="Calibri"/>
        </w:rPr>
      </w:pPr>
    </w:p>
    <w:p w:rsidR="00B74333" w:rsidRPr="005F4ACE" w:rsidRDefault="00B74333" w:rsidP="00B74333">
      <w:pPr>
        <w:pStyle w:val="Default"/>
        <w:jc w:val="both"/>
        <w:rPr>
          <w:rFonts w:ascii="Calibri" w:hAnsi="Calibri" w:cs="Calibri"/>
          <w:sz w:val="22"/>
          <w:szCs w:val="22"/>
        </w:rPr>
      </w:pPr>
      <w:r w:rsidRPr="005F4ACE">
        <w:rPr>
          <w:rFonts w:ascii="Calibri" w:hAnsi="Calibri" w:cs="Calibri"/>
          <w:sz w:val="22"/>
          <w:szCs w:val="22"/>
        </w:rPr>
        <w:t xml:space="preserve">The CCG Partnership Board monitors the achievement of its strategic and business objectives; the Board Assurance Framework captures how assurance has been received by the CCG and whether it </w:t>
      </w:r>
      <w:r w:rsidR="00793F63" w:rsidRPr="005F4ACE">
        <w:rPr>
          <w:rFonts w:ascii="Calibri" w:hAnsi="Calibri" w:cs="Calibri"/>
          <w:sz w:val="22"/>
          <w:szCs w:val="22"/>
        </w:rPr>
        <w:t>militates</w:t>
      </w:r>
      <w:r w:rsidRPr="005F4ACE">
        <w:rPr>
          <w:rFonts w:ascii="Calibri" w:hAnsi="Calibri" w:cs="Calibri"/>
          <w:sz w:val="22"/>
          <w:szCs w:val="22"/>
        </w:rPr>
        <w:t xml:space="preserve"> against the risks that the CCGs objectives might not be achieved.</w:t>
      </w:r>
    </w:p>
    <w:p w:rsidR="00B74333" w:rsidRPr="005F4ACE" w:rsidRDefault="00B74333" w:rsidP="00B74333">
      <w:pPr>
        <w:pStyle w:val="Default"/>
        <w:jc w:val="both"/>
        <w:rPr>
          <w:rFonts w:ascii="Calibri" w:hAnsi="Calibri" w:cs="Calibri"/>
          <w:sz w:val="22"/>
          <w:szCs w:val="22"/>
        </w:rPr>
      </w:pPr>
    </w:p>
    <w:p w:rsidR="00B74333" w:rsidRPr="005F4ACE" w:rsidRDefault="00B74333" w:rsidP="00B74333">
      <w:pPr>
        <w:pStyle w:val="Default"/>
        <w:jc w:val="both"/>
        <w:rPr>
          <w:rFonts w:ascii="Calibri" w:hAnsi="Calibri" w:cs="Calibri"/>
          <w:sz w:val="22"/>
          <w:szCs w:val="22"/>
        </w:rPr>
      </w:pPr>
      <w:r w:rsidRPr="005F4ACE">
        <w:rPr>
          <w:rFonts w:ascii="Calibri" w:hAnsi="Calibri" w:cs="Calibri"/>
          <w:sz w:val="22"/>
          <w:szCs w:val="22"/>
        </w:rPr>
        <w:t>The CCG Partnership Board should have the opportunity during the financial year to monitor the assurance it has received and identify any gaps that should be addressed in order to be assured.</w:t>
      </w:r>
    </w:p>
    <w:p w:rsidR="00B74333" w:rsidRPr="005F4ACE" w:rsidRDefault="00B74333" w:rsidP="00B74333">
      <w:pPr>
        <w:pStyle w:val="Default"/>
        <w:jc w:val="both"/>
        <w:rPr>
          <w:rFonts w:ascii="Calibri" w:hAnsi="Calibri" w:cs="Calibri"/>
          <w:sz w:val="22"/>
          <w:szCs w:val="22"/>
        </w:rPr>
      </w:pPr>
    </w:p>
    <w:p w:rsidR="00A054B5" w:rsidRPr="005F4ACE" w:rsidRDefault="00B74333" w:rsidP="00A054B5">
      <w:pPr>
        <w:pStyle w:val="Default"/>
        <w:jc w:val="both"/>
        <w:rPr>
          <w:rFonts w:ascii="Calibri" w:hAnsi="Calibri" w:cs="Calibri"/>
          <w:sz w:val="22"/>
          <w:szCs w:val="22"/>
        </w:rPr>
      </w:pPr>
      <w:r w:rsidRPr="005F4ACE">
        <w:rPr>
          <w:rFonts w:ascii="Calibri" w:hAnsi="Calibri" w:cs="Calibri"/>
          <w:sz w:val="22"/>
          <w:szCs w:val="22"/>
        </w:rPr>
        <w:t>The Board Assurance Framework domains are set ou</w:t>
      </w:r>
      <w:r w:rsidR="00A054B5" w:rsidRPr="005F4ACE">
        <w:rPr>
          <w:rFonts w:ascii="Calibri" w:hAnsi="Calibri" w:cs="Calibri"/>
          <w:sz w:val="22"/>
          <w:szCs w:val="22"/>
        </w:rPr>
        <w:t>t</w:t>
      </w:r>
      <w:r w:rsidRPr="005F4ACE">
        <w:rPr>
          <w:rFonts w:ascii="Calibri" w:hAnsi="Calibri" w:cs="Calibri"/>
          <w:sz w:val="22"/>
          <w:szCs w:val="22"/>
        </w:rPr>
        <w:t xml:space="preserve"> as per NHS England’s CCG improvement and assessment framework for 2016-17</w:t>
      </w:r>
      <w:r w:rsidR="00A054B5" w:rsidRPr="005F4ACE">
        <w:rPr>
          <w:rFonts w:ascii="Calibri" w:hAnsi="Calibri" w:cs="Calibri"/>
          <w:sz w:val="22"/>
          <w:szCs w:val="22"/>
        </w:rPr>
        <w:t>. The four key ‘domains are set our below:</w:t>
      </w:r>
    </w:p>
    <w:p w:rsidR="00A054B5" w:rsidRPr="005F4ACE" w:rsidRDefault="00A054B5" w:rsidP="00A054B5">
      <w:pPr>
        <w:pStyle w:val="Default"/>
        <w:jc w:val="both"/>
        <w:rPr>
          <w:rFonts w:ascii="Calibri" w:hAnsi="Calibri" w:cs="Calibri"/>
          <w:sz w:val="22"/>
          <w:szCs w:val="22"/>
        </w:rPr>
      </w:pPr>
    </w:p>
    <w:p w:rsidR="00A054B5" w:rsidRPr="005F4ACE" w:rsidRDefault="00A054B5" w:rsidP="00A054B5">
      <w:pPr>
        <w:pStyle w:val="Default"/>
        <w:jc w:val="both"/>
        <w:rPr>
          <w:rFonts w:ascii="Calibri" w:hAnsi="Calibri" w:cs="Calibri"/>
          <w:sz w:val="22"/>
          <w:szCs w:val="22"/>
        </w:rPr>
      </w:pPr>
      <w:r w:rsidRPr="005F4ACE">
        <w:rPr>
          <w:rFonts w:ascii="Calibri" w:hAnsi="Calibri" w:cs="Calibri"/>
          <w:b/>
          <w:sz w:val="22"/>
          <w:szCs w:val="22"/>
        </w:rPr>
        <w:t>Better Health</w:t>
      </w:r>
      <w:r w:rsidRPr="005F4ACE">
        <w:rPr>
          <w:rFonts w:ascii="Calibri" w:hAnsi="Calibri" w:cs="Calibri"/>
          <w:sz w:val="22"/>
          <w:szCs w:val="22"/>
        </w:rPr>
        <w:t>: this section looks at how the CCG is contributing towards improving the health and wellbeing of its population;</w:t>
      </w:r>
    </w:p>
    <w:p w:rsidR="00A054B5" w:rsidRPr="005F4ACE" w:rsidRDefault="00A054B5" w:rsidP="00A054B5">
      <w:pPr>
        <w:pStyle w:val="Default"/>
        <w:jc w:val="both"/>
        <w:rPr>
          <w:rFonts w:ascii="Calibri" w:hAnsi="Calibri" w:cs="Calibri"/>
          <w:sz w:val="22"/>
          <w:szCs w:val="22"/>
        </w:rPr>
      </w:pPr>
      <w:r w:rsidRPr="005F4ACE">
        <w:rPr>
          <w:rFonts w:ascii="Calibri" w:hAnsi="Calibri" w:cs="Calibri"/>
          <w:b/>
          <w:sz w:val="22"/>
          <w:szCs w:val="22"/>
        </w:rPr>
        <w:t>Better Care</w:t>
      </w:r>
      <w:r w:rsidRPr="005F4ACE">
        <w:rPr>
          <w:rFonts w:ascii="Calibri" w:hAnsi="Calibri" w:cs="Calibri"/>
          <w:sz w:val="22"/>
          <w:szCs w:val="22"/>
        </w:rPr>
        <w:t>: this principally focuses on care redesign, performance of constitutional standards, and outcomes, including in important clinical areas;</w:t>
      </w:r>
    </w:p>
    <w:p w:rsidR="00A054B5" w:rsidRPr="005F4ACE" w:rsidRDefault="00A054B5" w:rsidP="00A054B5">
      <w:pPr>
        <w:pStyle w:val="Default"/>
        <w:jc w:val="both"/>
        <w:rPr>
          <w:rFonts w:ascii="Calibri" w:hAnsi="Calibri" w:cs="Calibri"/>
          <w:sz w:val="22"/>
          <w:szCs w:val="22"/>
        </w:rPr>
      </w:pPr>
      <w:r w:rsidRPr="005F4ACE">
        <w:rPr>
          <w:rFonts w:ascii="Calibri" w:hAnsi="Calibri" w:cs="Calibri"/>
          <w:b/>
          <w:sz w:val="22"/>
          <w:szCs w:val="22"/>
        </w:rPr>
        <w:t>Sustainability</w:t>
      </w:r>
      <w:r w:rsidRPr="005F4ACE">
        <w:rPr>
          <w:rFonts w:ascii="Calibri" w:hAnsi="Calibri" w:cs="Calibri"/>
          <w:sz w:val="22"/>
          <w:szCs w:val="22"/>
        </w:rPr>
        <w:t>: this section looks at how the CCG is remaining in financial balance, and is securing good value for patients and the public from the money it spends;</w:t>
      </w:r>
    </w:p>
    <w:p w:rsidR="00B74333" w:rsidRPr="005F4ACE" w:rsidRDefault="00A054B5" w:rsidP="00A054B5">
      <w:pPr>
        <w:pStyle w:val="Default"/>
        <w:jc w:val="both"/>
        <w:rPr>
          <w:rFonts w:ascii="Calibri" w:hAnsi="Calibri" w:cs="Calibri"/>
          <w:sz w:val="22"/>
          <w:szCs w:val="22"/>
        </w:rPr>
      </w:pPr>
      <w:r w:rsidRPr="005F4ACE">
        <w:rPr>
          <w:rFonts w:ascii="Calibri" w:hAnsi="Calibri" w:cs="Calibri"/>
          <w:b/>
          <w:sz w:val="22"/>
          <w:szCs w:val="22"/>
        </w:rPr>
        <w:t>Leadership:</w:t>
      </w:r>
      <w:r w:rsidRPr="005F4ACE">
        <w:rPr>
          <w:rFonts w:ascii="Calibri" w:hAnsi="Calibri" w:cs="Calibri"/>
          <w:sz w:val="22"/>
          <w:szCs w:val="22"/>
        </w:rPr>
        <w:t xml:space="preserve"> this domain assesses the quality of the CCG’s leadership, the quality of its plans, how the CCG works with its partners, and the governance arrangements, for example in managing conflicts of interest.</w:t>
      </w:r>
    </w:p>
    <w:p w:rsidR="005F4ACE" w:rsidRDefault="005F4ACE" w:rsidP="00B74333">
      <w:pPr>
        <w:pStyle w:val="Default"/>
        <w:jc w:val="both"/>
        <w:rPr>
          <w:rFonts w:ascii="Calibri" w:hAnsi="Calibri" w:cs="Calibri"/>
          <w:b/>
          <w:sz w:val="28"/>
          <w:szCs w:val="28"/>
        </w:rPr>
      </w:pPr>
    </w:p>
    <w:p w:rsidR="00B74333" w:rsidRPr="005F4ACE" w:rsidRDefault="005F4ACE" w:rsidP="00B74333">
      <w:pPr>
        <w:pStyle w:val="Default"/>
        <w:jc w:val="both"/>
        <w:rPr>
          <w:rFonts w:ascii="Calibri" w:hAnsi="Calibri" w:cs="Calibri"/>
          <w:b/>
        </w:rPr>
      </w:pPr>
      <w:r w:rsidRPr="005F4ACE">
        <w:rPr>
          <w:rFonts w:ascii="Calibri" w:hAnsi="Calibri" w:cs="Calibri"/>
          <w:b/>
        </w:rPr>
        <w:t>Key Progress 2017/18</w:t>
      </w:r>
      <w:r w:rsidR="00793F63" w:rsidRPr="005F4ACE">
        <w:rPr>
          <w:rFonts w:ascii="Calibri" w:hAnsi="Calibri" w:cs="Calibri"/>
          <w:b/>
        </w:rPr>
        <w:t xml:space="preserve"> </w:t>
      </w:r>
    </w:p>
    <w:p w:rsidR="00793F63" w:rsidRDefault="00793F63" w:rsidP="00B74333">
      <w:pPr>
        <w:pStyle w:val="Default"/>
        <w:jc w:val="both"/>
        <w:rPr>
          <w:rFonts w:ascii="Calibri" w:hAnsi="Calibri" w:cs="Calibri"/>
        </w:rPr>
      </w:pPr>
    </w:p>
    <w:p w:rsidR="00793F63" w:rsidRPr="005F4ACE" w:rsidRDefault="00793F63" w:rsidP="00B74333">
      <w:pPr>
        <w:pStyle w:val="Default"/>
        <w:jc w:val="both"/>
        <w:rPr>
          <w:rFonts w:ascii="Calibri" w:hAnsi="Calibri" w:cs="Calibri"/>
          <w:sz w:val="22"/>
          <w:szCs w:val="22"/>
        </w:rPr>
      </w:pPr>
      <w:r w:rsidRPr="005F4ACE">
        <w:rPr>
          <w:rFonts w:ascii="Calibri" w:hAnsi="Calibri" w:cs="Calibri"/>
          <w:sz w:val="22"/>
          <w:szCs w:val="22"/>
        </w:rPr>
        <w:t>Individual risk assignees are responsible for updating, reviewing and managing their risks.  Risk management reviews have taken place w</w:t>
      </w:r>
      <w:r w:rsidR="005F4ACE" w:rsidRPr="005F4ACE">
        <w:rPr>
          <w:rFonts w:ascii="Calibri" w:hAnsi="Calibri" w:cs="Calibri"/>
          <w:sz w:val="22"/>
          <w:szCs w:val="22"/>
        </w:rPr>
        <w:t>ith risk managers and assignees.  The purpose of these sessions are to provide the opportunity for Managers/Assignees to work together to review their risks paying particular attention to the risk ratings/internal controls and look at ways of improving our risk registers.  This is also an opportunity to undertake an internal confirm &amp; challenge and monitor static risks, for example if the risk rating of a risk hasn’t changed within the last 12 months, to evaluate whether the risk remains relevant and if so what actions will be taken.</w:t>
      </w:r>
    </w:p>
    <w:p w:rsidR="005F4ACE" w:rsidRPr="005F4ACE" w:rsidRDefault="005F4ACE" w:rsidP="00B74333">
      <w:pPr>
        <w:pStyle w:val="Default"/>
        <w:jc w:val="both"/>
        <w:rPr>
          <w:rFonts w:ascii="Calibri" w:hAnsi="Calibri" w:cs="Calibri"/>
          <w:sz w:val="22"/>
          <w:szCs w:val="22"/>
        </w:rPr>
      </w:pPr>
    </w:p>
    <w:p w:rsidR="005F4ACE" w:rsidRDefault="005F4ACE" w:rsidP="00B74333">
      <w:pPr>
        <w:pStyle w:val="Default"/>
        <w:jc w:val="both"/>
        <w:rPr>
          <w:rFonts w:ascii="Calibri" w:hAnsi="Calibri" w:cs="Calibri"/>
          <w:sz w:val="22"/>
          <w:szCs w:val="22"/>
        </w:rPr>
      </w:pPr>
      <w:r w:rsidRPr="005F4ACE">
        <w:rPr>
          <w:rFonts w:ascii="Calibri" w:hAnsi="Calibri" w:cs="Calibri"/>
          <w:sz w:val="22"/>
          <w:szCs w:val="22"/>
        </w:rPr>
        <w:t xml:space="preserve">A Board Risk Awareness/Assurance workshop took place in January 2018, giving the board the opportunity to review </w:t>
      </w:r>
      <w:r w:rsidR="001F4888">
        <w:rPr>
          <w:rFonts w:ascii="Calibri" w:hAnsi="Calibri" w:cs="Calibri"/>
          <w:sz w:val="22"/>
          <w:szCs w:val="22"/>
        </w:rPr>
        <w:t xml:space="preserve">Board Assurance Framework to ensure includes </w:t>
      </w:r>
      <w:r w:rsidRPr="005F4ACE">
        <w:rPr>
          <w:rFonts w:ascii="Calibri" w:hAnsi="Calibri" w:cs="Calibri"/>
          <w:sz w:val="22"/>
          <w:szCs w:val="22"/>
        </w:rPr>
        <w:t>the key strategic risks the organisation currently faces</w:t>
      </w:r>
      <w:r w:rsidR="001F4888">
        <w:rPr>
          <w:rFonts w:ascii="Calibri" w:hAnsi="Calibri" w:cs="Calibri"/>
          <w:sz w:val="22"/>
          <w:szCs w:val="22"/>
        </w:rPr>
        <w:t xml:space="preserve"> and that </w:t>
      </w:r>
      <w:r w:rsidR="001F4888" w:rsidRPr="001F4888">
        <w:rPr>
          <w:rFonts w:ascii="Calibri" w:hAnsi="Calibri" w:cs="Calibri"/>
          <w:sz w:val="22"/>
          <w:szCs w:val="22"/>
        </w:rPr>
        <w:t xml:space="preserve">the risk scores reflective </w:t>
      </w:r>
      <w:r w:rsidR="001F4888">
        <w:rPr>
          <w:rFonts w:ascii="Calibri" w:hAnsi="Calibri" w:cs="Calibri"/>
          <w:sz w:val="22"/>
          <w:szCs w:val="22"/>
        </w:rPr>
        <w:t xml:space="preserve">the level of mitigated risk.   Following the workshop the board recommended that the CCG reviews the current escalation process and produces an escalation process map.  This has been considered and shared with the CCG Operational Leadership Team. </w:t>
      </w:r>
      <w:r w:rsidR="00315AC1">
        <w:rPr>
          <w:rFonts w:ascii="Calibri" w:hAnsi="Calibri" w:cs="Calibri"/>
          <w:sz w:val="22"/>
          <w:szCs w:val="22"/>
        </w:rPr>
        <w:t xml:space="preserve"> A deep dive session is to be arranged in early 2018.</w:t>
      </w:r>
      <w:r w:rsidR="001F4888">
        <w:rPr>
          <w:rFonts w:ascii="Calibri" w:hAnsi="Calibri" w:cs="Calibri"/>
          <w:sz w:val="22"/>
          <w:szCs w:val="22"/>
        </w:rPr>
        <w:t xml:space="preserve"> </w:t>
      </w:r>
    </w:p>
    <w:p w:rsidR="00315AC1" w:rsidRDefault="00315AC1" w:rsidP="00B74333">
      <w:pPr>
        <w:pStyle w:val="Default"/>
        <w:jc w:val="both"/>
        <w:rPr>
          <w:rFonts w:ascii="Calibri" w:hAnsi="Calibri" w:cs="Calibri"/>
          <w:sz w:val="22"/>
          <w:szCs w:val="22"/>
        </w:rPr>
      </w:pPr>
    </w:p>
    <w:p w:rsidR="00315AC1" w:rsidRPr="00315AC1" w:rsidRDefault="00315AC1" w:rsidP="00B74333">
      <w:pPr>
        <w:pStyle w:val="Default"/>
        <w:jc w:val="both"/>
        <w:rPr>
          <w:rFonts w:ascii="Calibri" w:hAnsi="Calibri" w:cs="Calibri"/>
          <w:b/>
        </w:rPr>
      </w:pPr>
      <w:r w:rsidRPr="00315AC1">
        <w:rPr>
          <w:rFonts w:ascii="Calibri" w:hAnsi="Calibri" w:cs="Calibri"/>
          <w:b/>
        </w:rPr>
        <w:t>Current Position</w:t>
      </w:r>
    </w:p>
    <w:p w:rsidR="00A054B5" w:rsidRDefault="00A054B5">
      <w:pPr>
        <w:rPr>
          <w:rFonts w:ascii="Calibri" w:eastAsia="MS Mincho" w:hAnsi="Calibri" w:cs="Calibri"/>
          <w:color w:val="000000"/>
          <w:sz w:val="20"/>
          <w:lang w:eastAsia="en-GB"/>
        </w:rPr>
      </w:pPr>
    </w:p>
    <w:p w:rsidR="009B1AB7" w:rsidRPr="004B0E55" w:rsidRDefault="000F61D1">
      <w:pPr>
        <w:rPr>
          <w:rFonts w:ascii="Calibri" w:eastAsia="MS Mincho" w:hAnsi="Calibri" w:cs="Calibri"/>
          <w:color w:val="000000"/>
          <w:sz w:val="22"/>
          <w:szCs w:val="22"/>
          <w:lang w:eastAsia="en-GB"/>
        </w:rPr>
      </w:pPr>
      <w:r w:rsidRPr="004B0E55">
        <w:rPr>
          <w:rFonts w:ascii="Calibri" w:eastAsia="MS Mincho" w:hAnsi="Calibri" w:cs="Calibri"/>
          <w:color w:val="000000"/>
          <w:sz w:val="22"/>
          <w:szCs w:val="22"/>
          <w:lang w:eastAsia="en-GB"/>
        </w:rPr>
        <w:t>At the time of writing this report, there</w:t>
      </w:r>
      <w:r w:rsidR="009B1AB7" w:rsidRPr="004B0E55">
        <w:rPr>
          <w:rFonts w:ascii="Calibri" w:eastAsia="MS Mincho" w:hAnsi="Calibri" w:cs="Calibri"/>
          <w:color w:val="000000"/>
          <w:sz w:val="22"/>
          <w:szCs w:val="22"/>
          <w:lang w:eastAsia="en-GB"/>
        </w:rPr>
        <w:t xml:space="preserve"> are currently 7 risk on the Board Assurance Framework, of these, </w:t>
      </w:r>
      <w:r w:rsidRPr="004B0E55">
        <w:rPr>
          <w:rFonts w:ascii="Calibri" w:eastAsia="MS Mincho" w:hAnsi="Calibri" w:cs="Calibri"/>
          <w:color w:val="000000"/>
          <w:sz w:val="22"/>
          <w:szCs w:val="22"/>
          <w:lang w:eastAsia="en-GB"/>
        </w:rPr>
        <w:t>2</w:t>
      </w:r>
      <w:r w:rsidR="009B1AB7" w:rsidRPr="004B0E55">
        <w:rPr>
          <w:rFonts w:ascii="Calibri" w:eastAsia="MS Mincho" w:hAnsi="Calibri" w:cs="Calibri"/>
          <w:color w:val="000000"/>
          <w:sz w:val="22"/>
          <w:szCs w:val="22"/>
          <w:lang w:eastAsia="en-GB"/>
        </w:rPr>
        <w:t xml:space="preserve"> have a current risk rating of high (15 or above), please refer to table below.</w:t>
      </w:r>
    </w:p>
    <w:p w:rsidR="00A054B5" w:rsidRDefault="009B1AB7">
      <w:pPr>
        <w:rPr>
          <w:rFonts w:ascii="Calibri" w:eastAsia="MS Mincho" w:hAnsi="Calibri" w:cs="Calibri"/>
          <w:color w:val="000000"/>
          <w:sz w:val="20"/>
          <w:lang w:eastAsia="en-GB"/>
        </w:rPr>
      </w:pPr>
      <w:r>
        <w:rPr>
          <w:rFonts w:ascii="Calibri" w:eastAsia="MS Mincho" w:hAnsi="Calibri" w:cs="Calibri"/>
          <w:color w:val="000000"/>
          <w:sz w:val="20"/>
          <w:lang w:eastAsia="en-GB"/>
        </w:rPr>
        <w:t xml:space="preserve"> </w:t>
      </w:r>
    </w:p>
    <w:tbl>
      <w:tblPr>
        <w:tblpPr w:leftFromText="180" w:rightFromText="180" w:vertAnchor="text" w:horzAnchor="page" w:tblpX="7309"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1603"/>
      </w:tblGrid>
      <w:tr w:rsidR="00DF67E9" w:rsidRPr="00DF67E9" w:rsidTr="00DF67E9">
        <w:trPr>
          <w:trHeight w:val="70"/>
        </w:trPr>
        <w:tc>
          <w:tcPr>
            <w:tcW w:w="3359" w:type="dxa"/>
            <w:tcBorders>
              <w:top w:val="single" w:sz="4" w:space="0" w:color="auto"/>
              <w:left w:val="single" w:sz="4" w:space="0" w:color="auto"/>
              <w:bottom w:val="single" w:sz="4" w:space="0" w:color="auto"/>
              <w:right w:val="single" w:sz="4" w:space="0" w:color="auto"/>
            </w:tcBorders>
          </w:tcPr>
          <w:p w:rsidR="00DF67E9" w:rsidRPr="00DF67E9" w:rsidRDefault="00DF67E9" w:rsidP="00DF67E9">
            <w:pPr>
              <w:rPr>
                <w:rFonts w:ascii="Arial" w:eastAsia="Calibri" w:hAnsi="Arial" w:cs="Arial"/>
                <w:sz w:val="22"/>
                <w:szCs w:val="22"/>
              </w:rPr>
            </w:pPr>
          </w:p>
        </w:tc>
        <w:tc>
          <w:tcPr>
            <w:tcW w:w="1603" w:type="dxa"/>
            <w:tcBorders>
              <w:top w:val="single" w:sz="4" w:space="0" w:color="auto"/>
              <w:left w:val="single" w:sz="4" w:space="0" w:color="auto"/>
              <w:bottom w:val="single" w:sz="4" w:space="0" w:color="auto"/>
              <w:right w:val="single" w:sz="4" w:space="0" w:color="auto"/>
            </w:tcBorders>
            <w:hideMark/>
          </w:tcPr>
          <w:p w:rsidR="00DF67E9" w:rsidRPr="00DF67E9" w:rsidRDefault="00DF67E9" w:rsidP="00DF67E9">
            <w:pPr>
              <w:rPr>
                <w:rFonts w:asciiTheme="minorHAnsi" w:eastAsia="Calibri" w:hAnsiTheme="minorHAnsi" w:cs="Arial"/>
                <w:sz w:val="22"/>
                <w:szCs w:val="22"/>
              </w:rPr>
            </w:pPr>
            <w:r w:rsidRPr="003214C3">
              <w:rPr>
                <w:rFonts w:asciiTheme="minorHAnsi" w:eastAsia="Calibri" w:hAnsiTheme="minorHAnsi" w:cs="Arial"/>
                <w:sz w:val="22"/>
                <w:szCs w:val="22"/>
              </w:rPr>
              <w:t>March 2017</w:t>
            </w:r>
          </w:p>
        </w:tc>
      </w:tr>
      <w:tr w:rsidR="00DF67E9" w:rsidRPr="00DF67E9" w:rsidTr="00DF67E9">
        <w:tc>
          <w:tcPr>
            <w:tcW w:w="3359" w:type="dxa"/>
            <w:tcBorders>
              <w:top w:val="single" w:sz="4" w:space="0" w:color="auto"/>
              <w:left w:val="single" w:sz="4" w:space="0" w:color="auto"/>
              <w:bottom w:val="single" w:sz="4" w:space="0" w:color="auto"/>
              <w:right w:val="single" w:sz="4" w:space="0" w:color="auto"/>
            </w:tcBorders>
            <w:hideMark/>
          </w:tcPr>
          <w:p w:rsidR="00DF67E9" w:rsidRPr="00DF67E9" w:rsidRDefault="00DF67E9" w:rsidP="00DF67E9">
            <w:pPr>
              <w:rPr>
                <w:rFonts w:asciiTheme="minorHAnsi" w:eastAsia="Calibri" w:hAnsiTheme="minorHAnsi" w:cs="Arial"/>
                <w:sz w:val="22"/>
                <w:szCs w:val="22"/>
              </w:rPr>
            </w:pPr>
            <w:r w:rsidRPr="00DF67E9">
              <w:rPr>
                <w:rFonts w:asciiTheme="minorHAnsi" w:eastAsia="Calibri" w:hAnsiTheme="minorHAnsi" w:cs="Arial"/>
                <w:sz w:val="22"/>
                <w:szCs w:val="22"/>
              </w:rPr>
              <w:t>Total number of risks</w:t>
            </w:r>
          </w:p>
        </w:tc>
        <w:tc>
          <w:tcPr>
            <w:tcW w:w="1603" w:type="dxa"/>
            <w:tcBorders>
              <w:top w:val="single" w:sz="4" w:space="0" w:color="auto"/>
              <w:left w:val="single" w:sz="4" w:space="0" w:color="auto"/>
              <w:bottom w:val="single" w:sz="4" w:space="0" w:color="auto"/>
              <w:right w:val="single" w:sz="4" w:space="0" w:color="auto"/>
            </w:tcBorders>
            <w:hideMark/>
          </w:tcPr>
          <w:p w:rsidR="00DF67E9" w:rsidRPr="00DF67E9" w:rsidRDefault="00DF67E9" w:rsidP="00DF67E9">
            <w:pPr>
              <w:rPr>
                <w:rFonts w:asciiTheme="minorHAnsi" w:eastAsia="Calibri" w:hAnsiTheme="minorHAnsi" w:cs="Arial"/>
                <w:sz w:val="22"/>
                <w:szCs w:val="22"/>
              </w:rPr>
            </w:pPr>
            <w:r w:rsidRPr="00DF67E9">
              <w:rPr>
                <w:rFonts w:asciiTheme="minorHAnsi" w:eastAsia="Calibri" w:hAnsiTheme="minorHAnsi" w:cs="Arial"/>
                <w:sz w:val="22"/>
                <w:szCs w:val="22"/>
              </w:rPr>
              <w:t xml:space="preserve">        </w:t>
            </w:r>
            <w:r w:rsidR="003214C3">
              <w:rPr>
                <w:rFonts w:asciiTheme="minorHAnsi" w:eastAsia="Calibri" w:hAnsiTheme="minorHAnsi" w:cs="Arial"/>
                <w:sz w:val="22"/>
                <w:szCs w:val="22"/>
              </w:rPr>
              <w:t xml:space="preserve">   </w:t>
            </w:r>
            <w:r w:rsidRPr="00DF67E9">
              <w:rPr>
                <w:rFonts w:asciiTheme="minorHAnsi" w:eastAsia="Calibri" w:hAnsiTheme="minorHAnsi" w:cs="Arial"/>
                <w:sz w:val="22"/>
                <w:szCs w:val="22"/>
              </w:rPr>
              <w:t xml:space="preserve"> </w:t>
            </w:r>
            <w:r w:rsidRPr="003214C3">
              <w:rPr>
                <w:rFonts w:asciiTheme="minorHAnsi" w:eastAsia="Calibri" w:hAnsiTheme="minorHAnsi" w:cs="Arial"/>
                <w:sz w:val="22"/>
                <w:szCs w:val="22"/>
              </w:rPr>
              <w:t xml:space="preserve"> 7</w:t>
            </w:r>
          </w:p>
        </w:tc>
      </w:tr>
      <w:tr w:rsidR="00DF67E9" w:rsidRPr="00DF67E9" w:rsidTr="00DF67E9">
        <w:tc>
          <w:tcPr>
            <w:tcW w:w="3359" w:type="dxa"/>
            <w:tcBorders>
              <w:top w:val="single" w:sz="4" w:space="0" w:color="auto"/>
              <w:left w:val="single" w:sz="4" w:space="0" w:color="auto"/>
              <w:bottom w:val="single" w:sz="4" w:space="0" w:color="auto"/>
              <w:right w:val="single" w:sz="4" w:space="0" w:color="auto"/>
            </w:tcBorders>
            <w:hideMark/>
          </w:tcPr>
          <w:p w:rsidR="00DF67E9" w:rsidRPr="00DF67E9" w:rsidRDefault="00DF67E9" w:rsidP="00DF67E9">
            <w:pPr>
              <w:rPr>
                <w:rFonts w:asciiTheme="minorHAnsi" w:eastAsia="Calibri" w:hAnsiTheme="minorHAnsi" w:cs="Arial"/>
                <w:sz w:val="22"/>
                <w:szCs w:val="22"/>
              </w:rPr>
            </w:pPr>
            <w:r w:rsidRPr="00DF67E9">
              <w:rPr>
                <w:rFonts w:asciiTheme="minorHAnsi" w:eastAsia="Calibri" w:hAnsiTheme="minorHAnsi" w:cs="Arial"/>
                <w:sz w:val="22"/>
                <w:szCs w:val="22"/>
              </w:rPr>
              <w:t xml:space="preserve">High level risks (rated at 15+)   </w:t>
            </w:r>
          </w:p>
        </w:tc>
        <w:tc>
          <w:tcPr>
            <w:tcW w:w="1603" w:type="dxa"/>
            <w:tcBorders>
              <w:top w:val="single" w:sz="4" w:space="0" w:color="auto"/>
              <w:left w:val="single" w:sz="4" w:space="0" w:color="auto"/>
              <w:bottom w:val="single" w:sz="4" w:space="0" w:color="auto"/>
              <w:right w:val="single" w:sz="4" w:space="0" w:color="auto"/>
            </w:tcBorders>
            <w:hideMark/>
          </w:tcPr>
          <w:p w:rsidR="00DF67E9" w:rsidRPr="00DF67E9" w:rsidRDefault="000F61D1" w:rsidP="00DF67E9">
            <w:pPr>
              <w:jc w:val="center"/>
              <w:rPr>
                <w:rFonts w:asciiTheme="minorHAnsi" w:eastAsia="Calibri" w:hAnsiTheme="minorHAnsi" w:cs="Arial"/>
                <w:sz w:val="22"/>
                <w:szCs w:val="22"/>
              </w:rPr>
            </w:pPr>
            <w:r>
              <w:rPr>
                <w:rFonts w:asciiTheme="minorHAnsi" w:eastAsia="Calibri" w:hAnsiTheme="minorHAnsi" w:cs="Arial"/>
                <w:sz w:val="22"/>
                <w:szCs w:val="22"/>
              </w:rPr>
              <w:t>2</w:t>
            </w:r>
          </w:p>
        </w:tc>
      </w:tr>
      <w:tr w:rsidR="00DF67E9" w:rsidRPr="00DF67E9" w:rsidTr="00DF67E9">
        <w:tc>
          <w:tcPr>
            <w:tcW w:w="3359" w:type="dxa"/>
            <w:tcBorders>
              <w:top w:val="single" w:sz="4" w:space="0" w:color="auto"/>
              <w:left w:val="single" w:sz="4" w:space="0" w:color="auto"/>
              <w:bottom w:val="single" w:sz="4" w:space="0" w:color="auto"/>
              <w:right w:val="single" w:sz="4" w:space="0" w:color="auto"/>
            </w:tcBorders>
            <w:hideMark/>
          </w:tcPr>
          <w:p w:rsidR="00DF67E9" w:rsidRPr="00DF67E9" w:rsidRDefault="00DF67E9" w:rsidP="00DF67E9">
            <w:pPr>
              <w:rPr>
                <w:rFonts w:asciiTheme="minorHAnsi" w:eastAsia="Calibri" w:hAnsiTheme="minorHAnsi" w:cs="Arial"/>
                <w:sz w:val="22"/>
                <w:szCs w:val="22"/>
              </w:rPr>
            </w:pPr>
            <w:r w:rsidRPr="00DF67E9">
              <w:rPr>
                <w:rFonts w:asciiTheme="minorHAnsi" w:eastAsia="Calibri" w:hAnsiTheme="minorHAnsi" w:cs="Arial"/>
                <w:sz w:val="22"/>
                <w:szCs w:val="22"/>
              </w:rPr>
              <w:t>Medium to high level risks (rated at 12+)</w:t>
            </w:r>
          </w:p>
        </w:tc>
        <w:tc>
          <w:tcPr>
            <w:tcW w:w="1603" w:type="dxa"/>
            <w:tcBorders>
              <w:top w:val="single" w:sz="4" w:space="0" w:color="auto"/>
              <w:left w:val="single" w:sz="4" w:space="0" w:color="auto"/>
              <w:bottom w:val="single" w:sz="4" w:space="0" w:color="auto"/>
              <w:right w:val="single" w:sz="4" w:space="0" w:color="auto"/>
            </w:tcBorders>
            <w:hideMark/>
          </w:tcPr>
          <w:p w:rsidR="00DF67E9" w:rsidRPr="00DF67E9" w:rsidRDefault="00DF67E9" w:rsidP="00DF67E9">
            <w:pPr>
              <w:jc w:val="center"/>
              <w:rPr>
                <w:rFonts w:asciiTheme="minorHAnsi" w:eastAsia="Calibri" w:hAnsiTheme="minorHAnsi" w:cs="Arial"/>
                <w:sz w:val="22"/>
                <w:szCs w:val="22"/>
              </w:rPr>
            </w:pPr>
            <w:r w:rsidRPr="003214C3">
              <w:rPr>
                <w:rFonts w:asciiTheme="minorHAnsi" w:eastAsia="Calibri" w:hAnsiTheme="minorHAnsi" w:cs="Arial"/>
                <w:sz w:val="22"/>
                <w:szCs w:val="22"/>
              </w:rPr>
              <w:t>3</w:t>
            </w:r>
          </w:p>
        </w:tc>
      </w:tr>
      <w:tr w:rsidR="00DF67E9" w:rsidRPr="00DF67E9" w:rsidTr="00DF67E9">
        <w:tc>
          <w:tcPr>
            <w:tcW w:w="3359" w:type="dxa"/>
            <w:tcBorders>
              <w:top w:val="single" w:sz="4" w:space="0" w:color="auto"/>
              <w:left w:val="single" w:sz="4" w:space="0" w:color="auto"/>
              <w:bottom w:val="single" w:sz="4" w:space="0" w:color="auto"/>
              <w:right w:val="single" w:sz="4" w:space="0" w:color="auto"/>
            </w:tcBorders>
            <w:hideMark/>
          </w:tcPr>
          <w:p w:rsidR="00DF67E9" w:rsidRPr="00DF67E9" w:rsidRDefault="00DF67E9" w:rsidP="00DF67E9">
            <w:pPr>
              <w:rPr>
                <w:rFonts w:asciiTheme="minorHAnsi" w:eastAsia="Calibri" w:hAnsiTheme="minorHAnsi" w:cs="Arial"/>
                <w:sz w:val="22"/>
                <w:szCs w:val="22"/>
              </w:rPr>
            </w:pPr>
            <w:r w:rsidRPr="00DF67E9">
              <w:rPr>
                <w:rFonts w:asciiTheme="minorHAnsi" w:eastAsia="Calibri" w:hAnsiTheme="minorHAnsi" w:cs="Arial"/>
                <w:sz w:val="22"/>
                <w:szCs w:val="22"/>
              </w:rPr>
              <w:t>Low to medium level risks (rated at 9+),</w:t>
            </w:r>
          </w:p>
        </w:tc>
        <w:tc>
          <w:tcPr>
            <w:tcW w:w="1603" w:type="dxa"/>
            <w:tcBorders>
              <w:top w:val="single" w:sz="4" w:space="0" w:color="auto"/>
              <w:left w:val="single" w:sz="4" w:space="0" w:color="auto"/>
              <w:bottom w:val="single" w:sz="4" w:space="0" w:color="auto"/>
              <w:right w:val="single" w:sz="4" w:space="0" w:color="auto"/>
            </w:tcBorders>
            <w:hideMark/>
          </w:tcPr>
          <w:p w:rsidR="00DF67E9" w:rsidRPr="00DF67E9" w:rsidRDefault="000F61D1" w:rsidP="00DF67E9">
            <w:pPr>
              <w:jc w:val="center"/>
              <w:rPr>
                <w:rFonts w:asciiTheme="minorHAnsi" w:eastAsia="Calibri" w:hAnsiTheme="minorHAnsi" w:cs="Arial"/>
                <w:sz w:val="22"/>
                <w:szCs w:val="22"/>
              </w:rPr>
            </w:pPr>
            <w:r>
              <w:rPr>
                <w:rFonts w:asciiTheme="minorHAnsi" w:eastAsia="Calibri" w:hAnsiTheme="minorHAnsi" w:cs="Arial"/>
                <w:sz w:val="22"/>
                <w:szCs w:val="22"/>
              </w:rPr>
              <w:t>2</w:t>
            </w:r>
          </w:p>
        </w:tc>
      </w:tr>
      <w:tr w:rsidR="00DF67E9" w:rsidRPr="00DF67E9" w:rsidTr="00DF67E9">
        <w:tc>
          <w:tcPr>
            <w:tcW w:w="3359" w:type="dxa"/>
            <w:tcBorders>
              <w:top w:val="single" w:sz="4" w:space="0" w:color="auto"/>
              <w:left w:val="single" w:sz="4" w:space="0" w:color="auto"/>
              <w:bottom w:val="single" w:sz="4" w:space="0" w:color="auto"/>
              <w:right w:val="single" w:sz="4" w:space="0" w:color="auto"/>
            </w:tcBorders>
            <w:hideMark/>
          </w:tcPr>
          <w:p w:rsidR="00DF67E9" w:rsidRPr="00DF67E9" w:rsidRDefault="00DF67E9" w:rsidP="00DF67E9">
            <w:pPr>
              <w:rPr>
                <w:rFonts w:asciiTheme="minorHAnsi" w:eastAsia="Calibri" w:hAnsiTheme="minorHAnsi" w:cs="Arial"/>
                <w:sz w:val="22"/>
                <w:szCs w:val="22"/>
              </w:rPr>
            </w:pPr>
            <w:r w:rsidRPr="00DF67E9">
              <w:rPr>
                <w:rFonts w:asciiTheme="minorHAnsi" w:eastAsia="Calibri" w:hAnsiTheme="minorHAnsi" w:cs="Arial"/>
                <w:sz w:val="22"/>
                <w:szCs w:val="22"/>
              </w:rPr>
              <w:t>Low level risks (rated at 3+)</w:t>
            </w:r>
          </w:p>
        </w:tc>
        <w:tc>
          <w:tcPr>
            <w:tcW w:w="1603" w:type="dxa"/>
            <w:tcBorders>
              <w:top w:val="single" w:sz="4" w:space="0" w:color="auto"/>
              <w:left w:val="single" w:sz="4" w:space="0" w:color="auto"/>
              <w:bottom w:val="single" w:sz="4" w:space="0" w:color="auto"/>
              <w:right w:val="single" w:sz="4" w:space="0" w:color="auto"/>
            </w:tcBorders>
            <w:hideMark/>
          </w:tcPr>
          <w:p w:rsidR="00DF67E9" w:rsidRPr="00DF67E9" w:rsidRDefault="00DF67E9" w:rsidP="00DF67E9">
            <w:pPr>
              <w:jc w:val="center"/>
              <w:rPr>
                <w:rFonts w:asciiTheme="minorHAnsi" w:eastAsia="Calibri" w:hAnsiTheme="minorHAnsi" w:cs="Arial"/>
                <w:sz w:val="22"/>
                <w:szCs w:val="22"/>
              </w:rPr>
            </w:pPr>
            <w:r w:rsidRPr="003214C3">
              <w:rPr>
                <w:rFonts w:asciiTheme="minorHAnsi" w:eastAsia="Calibri" w:hAnsiTheme="minorHAnsi" w:cs="Arial"/>
                <w:sz w:val="22"/>
                <w:szCs w:val="22"/>
              </w:rPr>
              <w:t>0</w:t>
            </w:r>
          </w:p>
        </w:tc>
      </w:tr>
    </w:tbl>
    <w:p w:rsidR="00DF67E9" w:rsidRDefault="00DF67E9">
      <w:pPr>
        <w:rPr>
          <w:rFonts w:ascii="Calibri" w:eastAsia="MS Mincho" w:hAnsi="Calibri" w:cs="Calibri"/>
          <w:color w:val="000000"/>
          <w:sz w:val="20"/>
          <w:lang w:eastAsia="en-GB"/>
        </w:rPr>
      </w:pPr>
      <w:r>
        <w:rPr>
          <w:rFonts w:ascii="Calibri" w:eastAsia="MS Mincho" w:hAnsi="Calibri" w:cs="Calibri"/>
          <w:color w:val="000000"/>
          <w:sz w:val="20"/>
          <w:lang w:eastAsia="en-GB"/>
        </w:rPr>
        <w:tab/>
      </w:r>
      <w:r w:rsidR="000F61D1">
        <w:rPr>
          <w:rFonts w:ascii="Verdana" w:eastAsia="Verdana" w:hAnsi="Verdana" w:cs="Verdana"/>
          <w:noProof/>
          <w:color w:val="000000"/>
          <w:sz w:val="16"/>
          <w:lang w:eastAsia="en-GB"/>
        </w:rPr>
        <w:drawing>
          <wp:inline distT="0" distB="0" distL="0" distR="0" wp14:anchorId="0B5BC7EB" wp14:editId="5B1144AE">
            <wp:extent cx="1303020" cy="1325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3020" cy="1325880"/>
                    </a:xfrm>
                    <a:prstGeom prst="rect">
                      <a:avLst/>
                    </a:prstGeom>
                    <a:noFill/>
                    <a:ln>
                      <a:noFill/>
                    </a:ln>
                  </pic:spPr>
                </pic:pic>
              </a:graphicData>
            </a:graphic>
          </wp:inline>
        </w:drawing>
      </w:r>
      <w:r>
        <w:rPr>
          <w:rFonts w:ascii="Calibri" w:eastAsia="MS Mincho" w:hAnsi="Calibri" w:cs="Calibri"/>
          <w:color w:val="000000"/>
          <w:sz w:val="20"/>
          <w:lang w:eastAsia="en-GB"/>
        </w:rPr>
        <w:tab/>
      </w:r>
      <w:r>
        <w:rPr>
          <w:rFonts w:ascii="Calibri" w:eastAsia="MS Mincho" w:hAnsi="Calibri" w:cs="Calibri"/>
          <w:color w:val="000000"/>
          <w:sz w:val="20"/>
          <w:lang w:eastAsia="en-GB"/>
        </w:rPr>
        <w:tab/>
      </w:r>
      <w:r>
        <w:rPr>
          <w:rFonts w:ascii="Calibri" w:eastAsia="MS Mincho" w:hAnsi="Calibri" w:cs="Calibri"/>
          <w:color w:val="000000"/>
          <w:sz w:val="20"/>
          <w:lang w:eastAsia="en-GB"/>
        </w:rPr>
        <w:tab/>
      </w:r>
      <w:r>
        <w:rPr>
          <w:rFonts w:ascii="Calibri" w:eastAsia="MS Mincho" w:hAnsi="Calibri" w:cs="Calibri"/>
          <w:color w:val="000000"/>
          <w:sz w:val="20"/>
          <w:lang w:eastAsia="en-GB"/>
        </w:rPr>
        <w:tab/>
      </w:r>
      <w:r>
        <w:rPr>
          <w:rFonts w:ascii="Calibri" w:eastAsia="MS Mincho" w:hAnsi="Calibri" w:cs="Calibri"/>
          <w:color w:val="000000"/>
          <w:sz w:val="20"/>
          <w:lang w:eastAsia="en-GB"/>
        </w:rPr>
        <w:tab/>
      </w:r>
    </w:p>
    <w:p w:rsidR="00B74333" w:rsidRDefault="00B74333">
      <w:pPr>
        <w:rPr>
          <w:rFonts w:ascii="Calibri" w:eastAsia="MS Mincho" w:hAnsi="Calibri" w:cs="Calibri"/>
          <w:color w:val="000000"/>
          <w:sz w:val="20"/>
          <w:lang w:eastAsia="en-GB"/>
        </w:rPr>
      </w:pPr>
    </w:p>
    <w:p w:rsidR="00DF67E9" w:rsidRDefault="00DF67E9">
      <w:pPr>
        <w:rPr>
          <w:rFonts w:ascii="Calibri" w:eastAsia="MS Mincho" w:hAnsi="Calibri" w:cs="Calibri"/>
          <w:color w:val="000000"/>
          <w:sz w:val="20"/>
          <w:lang w:eastAsia="en-GB"/>
        </w:rPr>
      </w:pPr>
    </w:p>
    <w:p w:rsidR="00DF67E9" w:rsidRPr="004B0E55" w:rsidRDefault="00DF67E9" w:rsidP="00DF67E9">
      <w:pPr>
        <w:rPr>
          <w:rFonts w:ascii="Calibri" w:eastAsia="MS Mincho" w:hAnsi="Calibri" w:cs="Calibri"/>
          <w:color w:val="000000"/>
          <w:sz w:val="22"/>
          <w:szCs w:val="22"/>
          <w:lang w:eastAsia="en-GB"/>
        </w:rPr>
      </w:pPr>
      <w:r w:rsidRPr="004B0E55">
        <w:rPr>
          <w:rFonts w:ascii="Calibri" w:eastAsia="MS Mincho" w:hAnsi="Calibri" w:cs="Calibri"/>
          <w:color w:val="000000"/>
          <w:sz w:val="22"/>
          <w:szCs w:val="22"/>
          <w:lang w:eastAsia="en-GB"/>
        </w:rPr>
        <w:t>The table below demonstrates the principal risks (that is a risk rating of 15 and above) as at March 2017</w:t>
      </w:r>
    </w:p>
    <w:p w:rsidR="00DF67E9" w:rsidRDefault="00DF67E9" w:rsidP="00DF67E9">
      <w:pPr>
        <w:rPr>
          <w:rFonts w:ascii="Calibri" w:eastAsia="MS Mincho" w:hAnsi="Calibri" w:cs="Calibri"/>
          <w:color w:val="000000"/>
          <w:sz w:val="20"/>
          <w:lang w:eastAsia="en-GB"/>
        </w:rPr>
      </w:pPr>
    </w:p>
    <w:tbl>
      <w:tblPr>
        <w:tblW w:w="5163"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709"/>
        <w:gridCol w:w="709"/>
        <w:gridCol w:w="709"/>
        <w:gridCol w:w="850"/>
        <w:gridCol w:w="1701"/>
        <w:gridCol w:w="9071"/>
      </w:tblGrid>
      <w:tr w:rsidR="00DF67E9" w:rsidRPr="00DF67E9" w:rsidTr="00DF67E9">
        <w:trPr>
          <w:trHeight w:val="668"/>
        </w:trPr>
        <w:tc>
          <w:tcPr>
            <w:tcW w:w="851" w:type="dxa"/>
            <w:tcBorders>
              <w:top w:val="single" w:sz="8" w:space="0" w:color="000000"/>
              <w:left w:val="single" w:sz="8" w:space="0" w:color="000000"/>
              <w:bottom w:val="single" w:sz="8" w:space="0" w:color="000000"/>
              <w:right w:val="single" w:sz="8" w:space="0" w:color="000000"/>
            </w:tcBorders>
            <w:shd w:val="clear" w:color="auto" w:fill="E6E6FA"/>
            <w:tcMar>
              <w:top w:w="40" w:type="dxa"/>
              <w:left w:w="40" w:type="dxa"/>
              <w:bottom w:w="40" w:type="dxa"/>
              <w:right w:w="40" w:type="dxa"/>
            </w:tcMar>
          </w:tcPr>
          <w:p w:rsidR="00DF67E9" w:rsidRPr="00DF67E9" w:rsidRDefault="00DF67E9" w:rsidP="00DF67E9">
            <w:pPr>
              <w:rPr>
                <w:szCs w:val="24"/>
                <w:lang w:eastAsia="en-GB"/>
              </w:rPr>
            </w:pPr>
            <w:r w:rsidRPr="00DF67E9">
              <w:rPr>
                <w:rFonts w:ascii="Tahoma" w:eastAsia="Tahoma" w:hAnsi="Tahoma" w:cs="Tahoma"/>
                <w:b/>
                <w:color w:val="000000"/>
                <w:sz w:val="16"/>
                <w:szCs w:val="24"/>
                <w:lang w:eastAsia="en-GB"/>
              </w:rPr>
              <w:t>Risk Code</w:t>
            </w:r>
          </w:p>
        </w:tc>
        <w:tc>
          <w:tcPr>
            <w:tcW w:w="1701" w:type="dxa"/>
            <w:tcBorders>
              <w:top w:val="single" w:sz="8" w:space="0" w:color="000000"/>
              <w:left w:val="single" w:sz="8" w:space="0" w:color="000000"/>
              <w:bottom w:val="single" w:sz="8" w:space="0" w:color="000000"/>
              <w:right w:val="single" w:sz="8" w:space="0" w:color="000000"/>
            </w:tcBorders>
            <w:shd w:val="clear" w:color="auto" w:fill="E6E6FA"/>
            <w:tcMar>
              <w:top w:w="40" w:type="dxa"/>
              <w:left w:w="40" w:type="dxa"/>
              <w:bottom w:w="40" w:type="dxa"/>
              <w:right w:w="40" w:type="dxa"/>
            </w:tcMar>
          </w:tcPr>
          <w:p w:rsidR="00DF67E9" w:rsidRPr="00DF67E9" w:rsidRDefault="00DF67E9" w:rsidP="00DF67E9">
            <w:pPr>
              <w:rPr>
                <w:rFonts w:ascii="Tahoma" w:eastAsia="Tahoma" w:hAnsi="Tahoma" w:cs="Tahoma"/>
                <w:b/>
                <w:color w:val="000000"/>
                <w:sz w:val="16"/>
                <w:szCs w:val="24"/>
                <w:lang w:eastAsia="en-GB"/>
              </w:rPr>
            </w:pPr>
            <w:r w:rsidRPr="00DF67E9">
              <w:rPr>
                <w:rFonts w:ascii="Tahoma" w:eastAsia="Tahoma" w:hAnsi="Tahoma" w:cs="Tahoma"/>
                <w:b/>
                <w:color w:val="000000"/>
                <w:sz w:val="16"/>
                <w:szCs w:val="24"/>
                <w:lang w:eastAsia="en-GB"/>
              </w:rPr>
              <w:t>Risk Summary</w:t>
            </w:r>
          </w:p>
        </w:tc>
        <w:tc>
          <w:tcPr>
            <w:tcW w:w="709" w:type="dxa"/>
            <w:tcBorders>
              <w:top w:val="single" w:sz="8" w:space="0" w:color="000000"/>
              <w:left w:val="single" w:sz="8" w:space="0" w:color="000000"/>
              <w:bottom w:val="single" w:sz="8" w:space="0" w:color="000000"/>
              <w:right w:val="single" w:sz="8" w:space="0" w:color="000000"/>
            </w:tcBorders>
            <w:shd w:val="clear" w:color="auto" w:fill="E6E6FA"/>
            <w:tcMar>
              <w:top w:w="40" w:type="dxa"/>
              <w:left w:w="40" w:type="dxa"/>
              <w:bottom w:w="40" w:type="dxa"/>
              <w:right w:w="40" w:type="dxa"/>
            </w:tcMar>
          </w:tcPr>
          <w:p w:rsidR="00DF67E9" w:rsidRPr="00DF67E9" w:rsidRDefault="00DF67E9" w:rsidP="00DF67E9">
            <w:pPr>
              <w:rPr>
                <w:rFonts w:ascii="Tahoma" w:eastAsia="Tahoma" w:hAnsi="Tahoma" w:cs="Tahoma"/>
                <w:b/>
                <w:color w:val="000000"/>
                <w:sz w:val="16"/>
                <w:szCs w:val="24"/>
                <w:lang w:eastAsia="en-GB"/>
              </w:rPr>
            </w:pPr>
            <w:r w:rsidRPr="00DF67E9">
              <w:rPr>
                <w:rFonts w:ascii="Tahoma" w:eastAsia="Tahoma" w:hAnsi="Tahoma" w:cs="Tahoma"/>
                <w:b/>
                <w:color w:val="000000"/>
                <w:sz w:val="16"/>
                <w:szCs w:val="24"/>
                <w:lang w:eastAsia="en-GB"/>
              </w:rPr>
              <w:t>Initial Risk Rating</w:t>
            </w:r>
          </w:p>
        </w:tc>
        <w:tc>
          <w:tcPr>
            <w:tcW w:w="709" w:type="dxa"/>
            <w:tcBorders>
              <w:top w:val="single" w:sz="8" w:space="0" w:color="000000"/>
              <w:left w:val="single" w:sz="8" w:space="0" w:color="000000"/>
              <w:bottom w:val="single" w:sz="8" w:space="0" w:color="000000"/>
              <w:right w:val="single" w:sz="8" w:space="0" w:color="000000"/>
            </w:tcBorders>
            <w:shd w:val="clear" w:color="auto" w:fill="E6E6FA"/>
            <w:tcMar>
              <w:top w:w="40" w:type="dxa"/>
              <w:left w:w="40" w:type="dxa"/>
              <w:bottom w:w="40" w:type="dxa"/>
              <w:right w:w="40" w:type="dxa"/>
            </w:tcMar>
          </w:tcPr>
          <w:p w:rsidR="00DF67E9" w:rsidRPr="00DF67E9" w:rsidRDefault="00DF67E9" w:rsidP="00DF67E9">
            <w:pPr>
              <w:rPr>
                <w:rFonts w:ascii="Tahoma" w:eastAsia="Tahoma" w:hAnsi="Tahoma" w:cs="Tahoma"/>
                <w:b/>
                <w:color w:val="000000"/>
                <w:sz w:val="16"/>
                <w:szCs w:val="24"/>
                <w:lang w:eastAsia="en-GB"/>
              </w:rPr>
            </w:pPr>
            <w:r w:rsidRPr="00DF67E9">
              <w:rPr>
                <w:rFonts w:ascii="Tahoma" w:eastAsia="Tahoma" w:hAnsi="Tahoma" w:cs="Tahoma"/>
                <w:b/>
                <w:color w:val="000000"/>
                <w:sz w:val="16"/>
                <w:szCs w:val="24"/>
                <w:lang w:eastAsia="en-GB"/>
              </w:rPr>
              <w:t>Current Risk rating</w:t>
            </w:r>
          </w:p>
        </w:tc>
        <w:tc>
          <w:tcPr>
            <w:tcW w:w="709" w:type="dxa"/>
            <w:tcBorders>
              <w:top w:val="single" w:sz="8" w:space="0" w:color="000000"/>
              <w:left w:val="single" w:sz="8" w:space="0" w:color="000000"/>
              <w:bottom w:val="single" w:sz="8" w:space="0" w:color="000000"/>
              <w:right w:val="single" w:sz="8" w:space="0" w:color="000000"/>
            </w:tcBorders>
            <w:shd w:val="clear" w:color="auto" w:fill="E6E6FA"/>
            <w:tcMar>
              <w:top w:w="40" w:type="dxa"/>
              <w:left w:w="40" w:type="dxa"/>
              <w:bottom w:w="40" w:type="dxa"/>
              <w:right w:w="40" w:type="dxa"/>
            </w:tcMar>
          </w:tcPr>
          <w:p w:rsidR="00DF67E9" w:rsidRPr="00DF67E9" w:rsidRDefault="00DF67E9" w:rsidP="00DF67E9">
            <w:pPr>
              <w:rPr>
                <w:rFonts w:ascii="Tahoma" w:eastAsia="Tahoma" w:hAnsi="Tahoma" w:cs="Tahoma"/>
                <w:b/>
                <w:color w:val="000000"/>
                <w:sz w:val="16"/>
                <w:szCs w:val="24"/>
                <w:lang w:eastAsia="en-GB"/>
              </w:rPr>
            </w:pPr>
            <w:r w:rsidRPr="00DF67E9">
              <w:rPr>
                <w:rFonts w:ascii="Tahoma" w:eastAsia="Tahoma" w:hAnsi="Tahoma" w:cs="Tahoma"/>
                <w:b/>
                <w:color w:val="000000"/>
                <w:sz w:val="16"/>
                <w:szCs w:val="24"/>
                <w:lang w:eastAsia="en-GB"/>
              </w:rPr>
              <w:t>Current Risk Trend Icon</w:t>
            </w:r>
          </w:p>
        </w:tc>
        <w:tc>
          <w:tcPr>
            <w:tcW w:w="850" w:type="dxa"/>
            <w:tcBorders>
              <w:top w:val="single" w:sz="8" w:space="0" w:color="000000"/>
              <w:left w:val="single" w:sz="8" w:space="0" w:color="000000"/>
              <w:bottom w:val="single" w:sz="8" w:space="0" w:color="000000"/>
              <w:right w:val="single" w:sz="8" w:space="0" w:color="000000"/>
            </w:tcBorders>
            <w:shd w:val="clear" w:color="auto" w:fill="E6E6FA"/>
            <w:tcMar>
              <w:top w:w="40" w:type="dxa"/>
              <w:left w:w="40" w:type="dxa"/>
              <w:bottom w:w="40" w:type="dxa"/>
              <w:right w:w="40" w:type="dxa"/>
            </w:tcMar>
          </w:tcPr>
          <w:p w:rsidR="00DF67E9" w:rsidRPr="00DF67E9" w:rsidRDefault="00DF67E9" w:rsidP="00DF67E9">
            <w:pPr>
              <w:rPr>
                <w:rFonts w:ascii="Tahoma" w:eastAsia="Tahoma" w:hAnsi="Tahoma" w:cs="Tahoma"/>
                <w:b/>
                <w:color w:val="000000"/>
                <w:sz w:val="16"/>
                <w:szCs w:val="24"/>
                <w:lang w:eastAsia="en-GB"/>
              </w:rPr>
            </w:pPr>
            <w:r w:rsidRPr="00DF67E9">
              <w:rPr>
                <w:rFonts w:ascii="Tahoma" w:eastAsia="Tahoma" w:hAnsi="Tahoma" w:cs="Tahoma"/>
                <w:b/>
                <w:color w:val="000000"/>
                <w:sz w:val="16"/>
                <w:szCs w:val="24"/>
                <w:lang w:eastAsia="en-GB"/>
              </w:rPr>
              <w:t>Last reviewed date</w:t>
            </w:r>
          </w:p>
        </w:tc>
        <w:tc>
          <w:tcPr>
            <w:tcW w:w="10772" w:type="dxa"/>
            <w:gridSpan w:val="2"/>
            <w:tcBorders>
              <w:top w:val="single" w:sz="8" w:space="0" w:color="000000"/>
              <w:left w:val="single" w:sz="8" w:space="0" w:color="000000"/>
              <w:bottom w:val="single" w:sz="8" w:space="0" w:color="000000"/>
              <w:right w:val="single" w:sz="8" w:space="0" w:color="000000"/>
            </w:tcBorders>
            <w:shd w:val="clear" w:color="auto" w:fill="E6E6FA"/>
            <w:tcMar>
              <w:top w:w="40" w:type="dxa"/>
              <w:left w:w="40" w:type="dxa"/>
              <w:bottom w:w="40" w:type="dxa"/>
              <w:right w:w="40" w:type="dxa"/>
            </w:tcMar>
            <w:vAlign w:val="center"/>
          </w:tcPr>
          <w:p w:rsidR="00DF67E9" w:rsidRPr="00DF67E9" w:rsidRDefault="00DF67E9" w:rsidP="00DF67E9">
            <w:pPr>
              <w:jc w:val="center"/>
              <w:rPr>
                <w:rFonts w:ascii="Tahoma" w:eastAsia="Tahoma" w:hAnsi="Tahoma" w:cs="Tahoma"/>
                <w:b/>
                <w:color w:val="000000"/>
                <w:sz w:val="16"/>
                <w:szCs w:val="24"/>
                <w:lang w:eastAsia="en-GB"/>
              </w:rPr>
            </w:pPr>
            <w:r w:rsidRPr="00DF67E9">
              <w:rPr>
                <w:rFonts w:ascii="Tahoma" w:eastAsia="Tahoma" w:hAnsi="Tahoma" w:cs="Tahoma"/>
                <w:b/>
                <w:color w:val="000000"/>
                <w:sz w:val="16"/>
                <w:szCs w:val="24"/>
                <w:lang w:eastAsia="en-GB"/>
              </w:rPr>
              <w:t>Control</w:t>
            </w:r>
          </w:p>
        </w:tc>
      </w:tr>
      <w:tr w:rsidR="00DF67E9" w:rsidRPr="00DF67E9" w:rsidTr="00DF67E9">
        <w:trPr>
          <w:trHeight w:val="301"/>
        </w:trPr>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b/>
                <w:color w:val="000000"/>
                <w:sz w:val="16"/>
                <w:szCs w:val="24"/>
                <w:lang w:eastAsia="en-GB"/>
              </w:rPr>
            </w:pPr>
            <w:r w:rsidRPr="00DF67E9">
              <w:rPr>
                <w:rFonts w:ascii="Tahoma" w:eastAsia="Tahoma" w:hAnsi="Tahoma" w:cs="Tahoma"/>
                <w:color w:val="1D2828"/>
                <w:sz w:val="16"/>
                <w:szCs w:val="24"/>
                <w:lang w:eastAsia="en-GB"/>
              </w:rPr>
              <w:t>CCG-BAF.2002</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r w:rsidRPr="00DF67E9">
              <w:rPr>
                <w:rFonts w:ascii="Tahoma" w:eastAsia="Tahoma" w:hAnsi="Tahoma" w:cs="Tahoma"/>
                <w:color w:val="1D2828"/>
                <w:sz w:val="16"/>
                <w:szCs w:val="24"/>
                <w:lang w:eastAsia="en-GB"/>
              </w:rPr>
              <w:t>Risks in delivery of key annual performance indicators and standards including constitutional standards</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r w:rsidRPr="00DF67E9">
              <w:rPr>
                <w:rFonts w:ascii="Tahoma" w:eastAsia="Tahoma" w:hAnsi="Tahoma" w:cs="Tahoma"/>
                <w:color w:val="1D2828"/>
                <w:sz w:val="16"/>
                <w:szCs w:val="24"/>
                <w:lang w:eastAsia="en-GB"/>
              </w:rPr>
              <w:t>12</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r w:rsidRPr="00DF67E9">
              <w:rPr>
                <w:rFonts w:ascii="Tahoma" w:eastAsia="Tahoma" w:hAnsi="Tahoma" w:cs="Tahoma"/>
                <w:color w:val="1D2828"/>
                <w:sz w:val="16"/>
                <w:szCs w:val="24"/>
                <w:lang w:eastAsia="en-GB"/>
              </w:rPr>
              <w:t>20</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r>
              <w:rPr>
                <w:rFonts w:ascii="Lucida Sans Unicode" w:eastAsia="Lucida Sans Unicode" w:hAnsi="Lucida Sans Unicode" w:cs="Lucida Sans Unicode"/>
                <w:noProof/>
                <w:color w:val="1D2828"/>
                <w:sz w:val="18"/>
                <w:szCs w:val="24"/>
                <w:lang w:eastAsia="en-GB"/>
              </w:rPr>
              <w:drawing>
                <wp:inline distT="0" distB="0" distL="0" distR="0" wp14:anchorId="20FC8F56" wp14:editId="1413A06D">
                  <wp:extent cx="205740" cy="20574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Lucida Sans Unicode" w:eastAsia="Lucida Sans Unicode" w:hAnsi="Lucida Sans Unicode" w:cs="Lucida Sans Unicode"/>
                <w:color w:val="1D2828"/>
                <w:sz w:val="18"/>
                <w:szCs w:val="24"/>
                <w:lang w:eastAsia="en-GB"/>
              </w:rPr>
            </w:pPr>
            <w:r w:rsidRPr="00DF67E9">
              <w:rPr>
                <w:rFonts w:ascii="Tahoma" w:eastAsia="Tahoma" w:hAnsi="Tahoma" w:cs="Tahoma"/>
                <w:color w:val="1D2828"/>
                <w:sz w:val="16"/>
                <w:szCs w:val="24"/>
                <w:lang w:eastAsia="en-GB"/>
              </w:rPr>
              <w:t>15 Feb 2018</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r w:rsidRPr="00DF67E9">
              <w:rPr>
                <w:rFonts w:ascii="Tahoma" w:eastAsia="Tahoma" w:hAnsi="Tahoma" w:cs="Tahoma"/>
                <w:b/>
                <w:color w:val="000000"/>
                <w:sz w:val="16"/>
                <w:szCs w:val="24"/>
                <w:lang w:eastAsia="en-GB"/>
              </w:rPr>
              <w:t>Assurance on controls</w:t>
            </w:r>
          </w:p>
        </w:tc>
        <w:tc>
          <w:tcPr>
            <w:tcW w:w="907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r w:rsidRPr="00DF67E9">
              <w:rPr>
                <w:rFonts w:ascii="Tahoma" w:eastAsia="Tahoma" w:hAnsi="Tahoma" w:cs="Tahoma"/>
                <w:color w:val="1D2828"/>
                <w:sz w:val="16"/>
                <w:szCs w:val="24"/>
                <w:lang w:eastAsia="en-GB"/>
              </w:rPr>
              <w:t xml:space="preserve">Regular reporting in to Partnership Board, Delivery Assurance Committee, </w:t>
            </w:r>
            <w:proofErr w:type="spellStart"/>
            <w:r w:rsidRPr="00DF67E9">
              <w:rPr>
                <w:rFonts w:ascii="Tahoma" w:eastAsia="Tahoma" w:hAnsi="Tahoma" w:cs="Tahoma"/>
                <w:color w:val="1D2828"/>
                <w:sz w:val="16"/>
                <w:szCs w:val="24"/>
                <w:lang w:eastAsia="en-GB"/>
              </w:rPr>
              <w:t>CoM</w:t>
            </w:r>
            <w:proofErr w:type="spellEnd"/>
            <w:r w:rsidRPr="00DF67E9">
              <w:rPr>
                <w:rFonts w:ascii="Tahoma" w:eastAsia="Tahoma" w:hAnsi="Tahoma" w:cs="Tahoma"/>
                <w:color w:val="1D2828"/>
                <w:sz w:val="16"/>
                <w:szCs w:val="24"/>
                <w:lang w:eastAsia="en-GB"/>
              </w:rPr>
              <w:t xml:space="preserve"> and the operational leadership team. </w:t>
            </w:r>
          </w:p>
        </w:tc>
      </w:tr>
      <w:tr w:rsidR="00DF67E9" w:rsidRPr="00DF67E9" w:rsidTr="00DF67E9">
        <w:tc>
          <w:tcPr>
            <w:tcW w:w="851"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Lucida Sans Unicode" w:eastAsia="Lucida Sans Unicode" w:hAnsi="Lucida Sans Unicode" w:cs="Lucida Sans Unicode"/>
                <w:color w:val="1D2828"/>
                <w:sz w:val="18"/>
                <w:szCs w:val="24"/>
                <w:lang w:eastAsia="en-GB"/>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r w:rsidRPr="00DF67E9">
              <w:rPr>
                <w:rFonts w:ascii="Tahoma" w:eastAsia="Tahoma" w:hAnsi="Tahoma" w:cs="Tahoma"/>
                <w:b/>
                <w:color w:val="000000"/>
                <w:sz w:val="16"/>
                <w:szCs w:val="24"/>
                <w:lang w:eastAsia="en-GB"/>
              </w:rPr>
              <w:t>Positive Assurances</w:t>
            </w:r>
          </w:p>
        </w:tc>
        <w:tc>
          <w:tcPr>
            <w:tcW w:w="907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b/>
                <w:color w:val="000000"/>
                <w:sz w:val="16"/>
                <w:szCs w:val="24"/>
                <w:lang w:eastAsia="en-GB"/>
              </w:rPr>
            </w:pPr>
            <w:r w:rsidRPr="00DF67E9">
              <w:rPr>
                <w:rFonts w:ascii="Tahoma" w:eastAsia="Tahoma" w:hAnsi="Tahoma" w:cs="Tahoma"/>
                <w:color w:val="1D2828"/>
                <w:sz w:val="16"/>
                <w:szCs w:val="24"/>
                <w:lang w:eastAsia="en-GB"/>
              </w:rPr>
              <w:t xml:space="preserve">July 2017 NHS E </w:t>
            </w:r>
            <w:proofErr w:type="gramStart"/>
            <w:r w:rsidRPr="00DF67E9">
              <w:rPr>
                <w:rFonts w:ascii="Tahoma" w:eastAsia="Tahoma" w:hAnsi="Tahoma" w:cs="Tahoma"/>
                <w:color w:val="1D2828"/>
                <w:sz w:val="16"/>
                <w:szCs w:val="24"/>
                <w:lang w:eastAsia="en-GB"/>
              </w:rPr>
              <w:t>have</w:t>
            </w:r>
            <w:proofErr w:type="gramEnd"/>
            <w:r w:rsidRPr="00DF67E9">
              <w:rPr>
                <w:rFonts w:ascii="Tahoma" w:eastAsia="Tahoma" w:hAnsi="Tahoma" w:cs="Tahoma"/>
                <w:color w:val="1D2828"/>
                <w:sz w:val="16"/>
                <w:szCs w:val="24"/>
                <w:lang w:eastAsia="en-GB"/>
              </w:rPr>
              <w:t xml:space="preserve"> acknowledged the CCG is taking an active leadership role to address the issues in relation to </w:t>
            </w:r>
            <w:proofErr w:type="spellStart"/>
            <w:r w:rsidRPr="00DF67E9">
              <w:rPr>
                <w:rFonts w:ascii="Tahoma" w:eastAsia="Tahoma" w:hAnsi="Tahoma" w:cs="Tahoma"/>
                <w:color w:val="1D2828"/>
                <w:sz w:val="16"/>
                <w:szCs w:val="24"/>
                <w:lang w:eastAsia="en-GB"/>
              </w:rPr>
              <w:t>NLaG</w:t>
            </w:r>
            <w:proofErr w:type="spellEnd"/>
            <w:r w:rsidRPr="00DF67E9">
              <w:rPr>
                <w:rFonts w:ascii="Tahoma" w:eastAsia="Tahoma" w:hAnsi="Tahoma" w:cs="Tahoma"/>
                <w:color w:val="1D2828"/>
                <w:sz w:val="16"/>
                <w:szCs w:val="24"/>
                <w:lang w:eastAsia="en-GB"/>
              </w:rPr>
              <w:t>.</w:t>
            </w:r>
          </w:p>
          <w:p w:rsidR="00DF67E9" w:rsidRPr="00DF67E9" w:rsidRDefault="00DF67E9" w:rsidP="00DF67E9">
            <w:pPr>
              <w:rPr>
                <w:rFonts w:ascii="Tahoma" w:eastAsia="Tahoma" w:hAnsi="Tahoma" w:cs="Tahoma"/>
                <w:color w:val="1D2828"/>
                <w:sz w:val="16"/>
                <w:szCs w:val="24"/>
                <w:lang w:eastAsia="en-GB"/>
              </w:rPr>
            </w:pPr>
            <w:r w:rsidRPr="00DF67E9">
              <w:rPr>
                <w:rFonts w:ascii="Tahoma" w:eastAsia="Tahoma" w:hAnsi="Tahoma" w:cs="Tahoma"/>
                <w:color w:val="1D2828"/>
                <w:sz w:val="16"/>
                <w:szCs w:val="24"/>
                <w:lang w:eastAsia="en-GB"/>
              </w:rPr>
              <w:t>Further assessment of six clinical areas in the CCG Improvement and Assessment Framework demonstrate that NEL are in the top five CCGs in the country, although improvement is required in three.</w:t>
            </w:r>
          </w:p>
          <w:p w:rsidR="00DF67E9" w:rsidRPr="00DF67E9" w:rsidRDefault="00DF67E9" w:rsidP="00DF67E9">
            <w:pPr>
              <w:rPr>
                <w:rFonts w:ascii="Tahoma" w:eastAsia="Tahoma" w:hAnsi="Tahoma" w:cs="Tahoma"/>
                <w:color w:val="1D2828"/>
                <w:sz w:val="16"/>
                <w:szCs w:val="24"/>
                <w:lang w:eastAsia="en-GB"/>
              </w:rPr>
            </w:pPr>
            <w:r w:rsidRPr="00DF67E9">
              <w:rPr>
                <w:rFonts w:ascii="Tahoma" w:eastAsia="Tahoma" w:hAnsi="Tahoma" w:cs="Tahoma"/>
                <w:color w:val="1D2828"/>
                <w:sz w:val="16"/>
                <w:szCs w:val="24"/>
                <w:lang w:eastAsia="en-GB"/>
              </w:rPr>
              <w:t xml:space="preserve">NHSE's overall assessment of the CCG in the improvement and assessment framework was ‘Good’.  </w:t>
            </w:r>
          </w:p>
          <w:p w:rsidR="00DF67E9" w:rsidRPr="00DF67E9" w:rsidRDefault="00DF67E9" w:rsidP="00DF67E9">
            <w:pPr>
              <w:rPr>
                <w:rFonts w:ascii="Tahoma" w:eastAsia="Tahoma" w:hAnsi="Tahoma" w:cs="Tahoma"/>
                <w:color w:val="1D2828"/>
                <w:sz w:val="16"/>
                <w:szCs w:val="24"/>
                <w:lang w:eastAsia="en-GB"/>
              </w:rPr>
            </w:pPr>
            <w:r w:rsidRPr="00DF67E9">
              <w:rPr>
                <w:rFonts w:ascii="Tahoma" w:eastAsia="Tahoma" w:hAnsi="Tahoma" w:cs="Tahoma"/>
                <w:color w:val="1D2828"/>
                <w:sz w:val="16"/>
                <w:szCs w:val="24"/>
                <w:lang w:eastAsia="en-GB"/>
              </w:rPr>
              <w:t xml:space="preserve">In particular A&amp;E four hour wait performance saw significant improvement in quarter 3 of 2017-18 and met the national expectation of 90%. This is a measure that has not met this level of performance for over a year. Q4 performance has dipped again but the Trust </w:t>
            </w:r>
            <w:proofErr w:type="gramStart"/>
            <w:r w:rsidRPr="00DF67E9">
              <w:rPr>
                <w:rFonts w:ascii="Tahoma" w:eastAsia="Tahoma" w:hAnsi="Tahoma" w:cs="Tahoma"/>
                <w:color w:val="1D2828"/>
                <w:sz w:val="16"/>
                <w:szCs w:val="24"/>
                <w:lang w:eastAsia="en-GB"/>
              </w:rPr>
              <w:t>are</w:t>
            </w:r>
            <w:proofErr w:type="gramEnd"/>
            <w:r w:rsidRPr="00DF67E9">
              <w:rPr>
                <w:rFonts w:ascii="Tahoma" w:eastAsia="Tahoma" w:hAnsi="Tahoma" w:cs="Tahoma"/>
                <w:color w:val="1D2828"/>
                <w:sz w:val="16"/>
                <w:szCs w:val="24"/>
                <w:lang w:eastAsia="en-GB"/>
              </w:rPr>
              <w:t xml:space="preserve"> still performing better than the average.</w:t>
            </w:r>
          </w:p>
          <w:p w:rsidR="00DF67E9" w:rsidRPr="00DF67E9" w:rsidRDefault="00DF67E9" w:rsidP="00DF67E9">
            <w:pPr>
              <w:rPr>
                <w:rFonts w:ascii="Tahoma" w:eastAsia="Tahoma" w:hAnsi="Tahoma" w:cs="Tahoma"/>
                <w:color w:val="1D2828"/>
                <w:sz w:val="16"/>
                <w:szCs w:val="24"/>
                <w:lang w:eastAsia="en-GB"/>
              </w:rPr>
            </w:pPr>
            <w:r w:rsidRPr="00DF67E9">
              <w:rPr>
                <w:rFonts w:ascii="Tahoma" w:eastAsia="Tahoma" w:hAnsi="Tahoma" w:cs="Tahoma"/>
                <w:color w:val="1D2828"/>
                <w:sz w:val="16"/>
                <w:szCs w:val="24"/>
                <w:lang w:eastAsia="en-GB"/>
              </w:rPr>
              <w:t>2016/17 Year end position of ASC targets was positive and the Local Account was positive.</w:t>
            </w:r>
          </w:p>
          <w:p w:rsidR="00DF67E9" w:rsidRPr="00DF67E9" w:rsidRDefault="00DF67E9" w:rsidP="00DF67E9">
            <w:pPr>
              <w:rPr>
                <w:rFonts w:ascii="Tahoma" w:eastAsia="Tahoma" w:hAnsi="Tahoma" w:cs="Tahoma"/>
                <w:color w:val="1D2828"/>
                <w:sz w:val="16"/>
                <w:szCs w:val="24"/>
                <w:lang w:eastAsia="en-GB"/>
              </w:rPr>
            </w:pPr>
            <w:r w:rsidRPr="00DF67E9">
              <w:rPr>
                <w:rFonts w:ascii="Tahoma" w:eastAsia="Tahoma" w:hAnsi="Tahoma" w:cs="Tahoma"/>
                <w:color w:val="1D2828"/>
                <w:sz w:val="16"/>
                <w:szCs w:val="24"/>
                <w:lang w:eastAsia="en-GB"/>
              </w:rPr>
              <w:t>The CCG also recently received the best available ratings for diabetes services (Outstanding) and  Patient &amp; Community Engagement (Green Star)</w:t>
            </w:r>
          </w:p>
        </w:tc>
      </w:tr>
      <w:tr w:rsidR="00DF67E9" w:rsidRPr="00DF67E9" w:rsidTr="00DF67E9">
        <w:tc>
          <w:tcPr>
            <w:tcW w:w="851"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Lucida Sans Unicode" w:eastAsia="Lucida Sans Unicode" w:hAnsi="Lucida Sans Unicode" w:cs="Lucida Sans Unicode"/>
                <w:color w:val="1D2828"/>
                <w:sz w:val="18"/>
                <w:szCs w:val="24"/>
                <w:lang w:eastAsia="en-GB"/>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r w:rsidRPr="00DF67E9">
              <w:rPr>
                <w:rFonts w:ascii="Tahoma" w:eastAsia="Tahoma" w:hAnsi="Tahoma" w:cs="Tahoma"/>
                <w:b/>
                <w:color w:val="000000"/>
                <w:sz w:val="16"/>
                <w:szCs w:val="24"/>
                <w:lang w:eastAsia="en-GB"/>
              </w:rPr>
              <w:t>Gaps in controls</w:t>
            </w:r>
          </w:p>
        </w:tc>
        <w:tc>
          <w:tcPr>
            <w:tcW w:w="907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b/>
                <w:color w:val="000000"/>
                <w:sz w:val="16"/>
                <w:szCs w:val="24"/>
                <w:lang w:eastAsia="en-GB"/>
              </w:rPr>
            </w:pPr>
            <w:r w:rsidRPr="00DF67E9">
              <w:rPr>
                <w:rFonts w:ascii="Tahoma" w:eastAsia="Tahoma" w:hAnsi="Tahoma" w:cs="Tahoma"/>
                <w:color w:val="1D2828"/>
                <w:sz w:val="16"/>
                <w:szCs w:val="24"/>
                <w:lang w:eastAsia="en-GB"/>
              </w:rPr>
              <w:t xml:space="preserve">None </w:t>
            </w:r>
          </w:p>
        </w:tc>
      </w:tr>
      <w:tr w:rsidR="00DF67E9" w:rsidRPr="00DF67E9" w:rsidTr="00DF67E9">
        <w:tc>
          <w:tcPr>
            <w:tcW w:w="851"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Lucida Sans Unicode" w:eastAsia="Lucida Sans Unicode" w:hAnsi="Lucida Sans Unicode" w:cs="Lucida Sans Unicode"/>
                <w:color w:val="1D2828"/>
                <w:sz w:val="18"/>
                <w:szCs w:val="24"/>
                <w:lang w:eastAsia="en-GB"/>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r w:rsidRPr="00DF67E9">
              <w:rPr>
                <w:rFonts w:ascii="Tahoma" w:eastAsia="Tahoma" w:hAnsi="Tahoma" w:cs="Tahoma"/>
                <w:b/>
                <w:color w:val="000000"/>
                <w:sz w:val="16"/>
                <w:szCs w:val="24"/>
                <w:lang w:eastAsia="en-GB"/>
              </w:rPr>
              <w:t>Gaps in assurances</w:t>
            </w:r>
          </w:p>
        </w:tc>
        <w:tc>
          <w:tcPr>
            <w:tcW w:w="907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b/>
                <w:color w:val="000000"/>
                <w:sz w:val="16"/>
                <w:szCs w:val="24"/>
                <w:lang w:eastAsia="en-GB"/>
              </w:rPr>
            </w:pPr>
            <w:r w:rsidRPr="00DF67E9">
              <w:rPr>
                <w:rFonts w:ascii="Tahoma" w:eastAsia="Tahoma" w:hAnsi="Tahoma" w:cs="Tahoma"/>
                <w:color w:val="1D2828"/>
                <w:sz w:val="16"/>
                <w:szCs w:val="24"/>
                <w:lang w:eastAsia="en-GB"/>
              </w:rPr>
              <w:t xml:space="preserve">We recognise that there is significantly increased oversight and assurance mechanisms in place to oversee </w:t>
            </w:r>
            <w:proofErr w:type="spellStart"/>
            <w:r w:rsidRPr="00DF67E9">
              <w:rPr>
                <w:rFonts w:ascii="Tahoma" w:eastAsia="Tahoma" w:hAnsi="Tahoma" w:cs="Tahoma"/>
                <w:color w:val="1D2828"/>
                <w:sz w:val="16"/>
                <w:szCs w:val="24"/>
                <w:lang w:eastAsia="en-GB"/>
              </w:rPr>
              <w:t>NLaG</w:t>
            </w:r>
            <w:proofErr w:type="spellEnd"/>
            <w:r w:rsidRPr="00DF67E9">
              <w:rPr>
                <w:rFonts w:ascii="Tahoma" w:eastAsia="Tahoma" w:hAnsi="Tahoma" w:cs="Tahoma"/>
                <w:color w:val="1D2828"/>
                <w:sz w:val="16"/>
                <w:szCs w:val="24"/>
                <w:lang w:eastAsia="en-GB"/>
              </w:rPr>
              <w:t xml:space="preserve"> performance however gaps will remain until we start to see improvements feeding through.  Some improvements have been noted around A&amp;E and Cancer Waiting Times performance but this needs to be delivered consistently to gain greater assurances.</w:t>
            </w:r>
          </w:p>
        </w:tc>
      </w:tr>
    </w:tbl>
    <w:p w:rsidR="00DF67E9" w:rsidRDefault="00DF67E9" w:rsidP="00DF67E9">
      <w:pPr>
        <w:rPr>
          <w:rFonts w:ascii="Calibri" w:eastAsia="MS Mincho" w:hAnsi="Calibri" w:cs="Calibri"/>
          <w:color w:val="000000"/>
          <w:sz w:val="20"/>
          <w:lang w:eastAsia="en-GB"/>
        </w:rPr>
      </w:pPr>
      <w:r>
        <w:rPr>
          <w:rFonts w:ascii="Calibri" w:eastAsia="MS Mincho" w:hAnsi="Calibri" w:cs="Calibri"/>
          <w:color w:val="000000"/>
          <w:sz w:val="20"/>
          <w:lang w:eastAsia="en-GB"/>
        </w:rPr>
        <w:t xml:space="preserve">   </w:t>
      </w:r>
    </w:p>
    <w:p w:rsidR="00DF67E9" w:rsidRDefault="00DF67E9" w:rsidP="00DF67E9">
      <w:pPr>
        <w:rPr>
          <w:rFonts w:ascii="Calibri" w:eastAsia="MS Mincho" w:hAnsi="Calibri" w:cs="Calibri"/>
          <w:color w:val="000000"/>
          <w:sz w:val="20"/>
          <w:lang w:eastAsia="en-GB"/>
        </w:rPr>
      </w:pPr>
    </w:p>
    <w:p w:rsidR="00DF67E9" w:rsidRDefault="00DF67E9" w:rsidP="00DF67E9">
      <w:pPr>
        <w:rPr>
          <w:rFonts w:ascii="Calibri" w:eastAsia="MS Mincho" w:hAnsi="Calibri" w:cs="Calibri"/>
          <w:color w:val="000000"/>
          <w:sz w:val="20"/>
          <w:lang w:eastAsia="en-GB"/>
        </w:rPr>
      </w:pPr>
      <w:r>
        <w:rPr>
          <w:rFonts w:ascii="Calibri" w:eastAsia="MS Mincho" w:hAnsi="Calibri" w:cs="Calibri"/>
          <w:color w:val="000000"/>
          <w:sz w:val="20"/>
          <w:lang w:eastAsia="en-GB"/>
        </w:rPr>
        <w:t xml:space="preserve"> </w:t>
      </w:r>
    </w:p>
    <w:tbl>
      <w:tblPr>
        <w:tblW w:w="5163"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1648"/>
        <w:gridCol w:w="788"/>
        <w:gridCol w:w="709"/>
        <w:gridCol w:w="709"/>
        <w:gridCol w:w="850"/>
        <w:gridCol w:w="1484"/>
        <w:gridCol w:w="9288"/>
      </w:tblGrid>
      <w:tr w:rsidR="00DF67E9" w:rsidRPr="00DF67E9" w:rsidTr="00245645">
        <w:tc>
          <w:tcPr>
            <w:tcW w:w="825" w:type="dxa"/>
            <w:tcBorders>
              <w:top w:val="single" w:sz="8" w:space="0" w:color="000000"/>
              <w:left w:val="single" w:sz="8" w:space="0" w:color="000000"/>
              <w:bottom w:val="single" w:sz="8" w:space="0" w:color="000000"/>
              <w:right w:val="single" w:sz="8" w:space="0" w:color="000000"/>
            </w:tcBorders>
            <w:shd w:val="clear" w:color="auto" w:fill="E6E6FA"/>
            <w:tcMar>
              <w:top w:w="40" w:type="dxa"/>
              <w:left w:w="40" w:type="dxa"/>
              <w:bottom w:w="40" w:type="dxa"/>
              <w:right w:w="40" w:type="dxa"/>
            </w:tcMar>
          </w:tcPr>
          <w:p w:rsidR="00DF67E9" w:rsidRPr="00DF67E9" w:rsidRDefault="00DF67E9" w:rsidP="00DF67E9">
            <w:pPr>
              <w:rPr>
                <w:szCs w:val="24"/>
                <w:lang w:eastAsia="en-GB"/>
              </w:rPr>
            </w:pPr>
            <w:r w:rsidRPr="00DF67E9">
              <w:rPr>
                <w:rFonts w:ascii="Tahoma" w:eastAsia="Tahoma" w:hAnsi="Tahoma" w:cs="Tahoma"/>
                <w:b/>
                <w:color w:val="000000"/>
                <w:sz w:val="16"/>
                <w:szCs w:val="24"/>
                <w:lang w:eastAsia="en-GB"/>
              </w:rPr>
              <w:t>Risk Code</w:t>
            </w:r>
          </w:p>
        </w:tc>
        <w:tc>
          <w:tcPr>
            <w:tcW w:w="1648" w:type="dxa"/>
            <w:tcBorders>
              <w:top w:val="single" w:sz="8" w:space="0" w:color="000000"/>
              <w:left w:val="single" w:sz="8" w:space="0" w:color="000000"/>
              <w:bottom w:val="single" w:sz="8" w:space="0" w:color="000000"/>
              <w:right w:val="single" w:sz="8" w:space="0" w:color="000000"/>
            </w:tcBorders>
            <w:shd w:val="clear" w:color="auto" w:fill="E6E6FA"/>
            <w:tcMar>
              <w:top w:w="40" w:type="dxa"/>
              <w:left w:w="40" w:type="dxa"/>
              <w:bottom w:w="40" w:type="dxa"/>
              <w:right w:w="40" w:type="dxa"/>
            </w:tcMar>
          </w:tcPr>
          <w:p w:rsidR="00DF67E9" w:rsidRPr="00DF67E9" w:rsidRDefault="00DF67E9" w:rsidP="00DF67E9">
            <w:pPr>
              <w:rPr>
                <w:rFonts w:ascii="Tahoma" w:eastAsia="Tahoma" w:hAnsi="Tahoma" w:cs="Tahoma"/>
                <w:b/>
                <w:color w:val="000000"/>
                <w:sz w:val="16"/>
                <w:szCs w:val="24"/>
                <w:lang w:eastAsia="en-GB"/>
              </w:rPr>
            </w:pPr>
            <w:r w:rsidRPr="00DF67E9">
              <w:rPr>
                <w:rFonts w:ascii="Tahoma" w:eastAsia="Tahoma" w:hAnsi="Tahoma" w:cs="Tahoma"/>
                <w:b/>
                <w:color w:val="000000"/>
                <w:sz w:val="16"/>
                <w:szCs w:val="24"/>
                <w:lang w:eastAsia="en-GB"/>
              </w:rPr>
              <w:t>Risk Summary</w:t>
            </w:r>
          </w:p>
        </w:tc>
        <w:tc>
          <w:tcPr>
            <w:tcW w:w="788" w:type="dxa"/>
            <w:tcBorders>
              <w:top w:val="single" w:sz="8" w:space="0" w:color="000000"/>
              <w:left w:val="single" w:sz="8" w:space="0" w:color="000000"/>
              <w:bottom w:val="single" w:sz="8" w:space="0" w:color="000000"/>
              <w:right w:val="single" w:sz="8" w:space="0" w:color="000000"/>
            </w:tcBorders>
            <w:shd w:val="clear" w:color="auto" w:fill="E6E6FA"/>
            <w:tcMar>
              <w:top w:w="40" w:type="dxa"/>
              <w:left w:w="40" w:type="dxa"/>
              <w:bottom w:w="40" w:type="dxa"/>
              <w:right w:w="40" w:type="dxa"/>
            </w:tcMar>
          </w:tcPr>
          <w:p w:rsidR="00DF67E9" w:rsidRPr="00DF67E9" w:rsidRDefault="00DF67E9" w:rsidP="00DF67E9">
            <w:pPr>
              <w:rPr>
                <w:rFonts w:ascii="Tahoma" w:eastAsia="Tahoma" w:hAnsi="Tahoma" w:cs="Tahoma"/>
                <w:b/>
                <w:color w:val="000000"/>
                <w:sz w:val="16"/>
                <w:szCs w:val="24"/>
                <w:lang w:eastAsia="en-GB"/>
              </w:rPr>
            </w:pPr>
            <w:r w:rsidRPr="00DF67E9">
              <w:rPr>
                <w:rFonts w:ascii="Tahoma" w:eastAsia="Tahoma" w:hAnsi="Tahoma" w:cs="Tahoma"/>
                <w:b/>
                <w:color w:val="000000"/>
                <w:sz w:val="16"/>
                <w:szCs w:val="24"/>
                <w:lang w:eastAsia="en-GB"/>
              </w:rPr>
              <w:t>Initial Risk Rating</w:t>
            </w:r>
          </w:p>
        </w:tc>
        <w:tc>
          <w:tcPr>
            <w:tcW w:w="709" w:type="dxa"/>
            <w:tcBorders>
              <w:top w:val="single" w:sz="8" w:space="0" w:color="000000"/>
              <w:left w:val="single" w:sz="8" w:space="0" w:color="000000"/>
              <w:bottom w:val="single" w:sz="8" w:space="0" w:color="000000"/>
              <w:right w:val="single" w:sz="8" w:space="0" w:color="000000"/>
            </w:tcBorders>
            <w:shd w:val="clear" w:color="auto" w:fill="E6E6FA"/>
            <w:tcMar>
              <w:top w:w="40" w:type="dxa"/>
              <w:left w:w="40" w:type="dxa"/>
              <w:bottom w:w="40" w:type="dxa"/>
              <w:right w:w="40" w:type="dxa"/>
            </w:tcMar>
          </w:tcPr>
          <w:p w:rsidR="00DF67E9" w:rsidRPr="00DF67E9" w:rsidRDefault="00DF67E9" w:rsidP="00DF67E9">
            <w:pPr>
              <w:rPr>
                <w:rFonts w:ascii="Tahoma" w:eastAsia="Tahoma" w:hAnsi="Tahoma" w:cs="Tahoma"/>
                <w:b/>
                <w:color w:val="000000"/>
                <w:sz w:val="16"/>
                <w:szCs w:val="24"/>
                <w:lang w:eastAsia="en-GB"/>
              </w:rPr>
            </w:pPr>
            <w:r w:rsidRPr="00DF67E9">
              <w:rPr>
                <w:rFonts w:ascii="Tahoma" w:eastAsia="Tahoma" w:hAnsi="Tahoma" w:cs="Tahoma"/>
                <w:b/>
                <w:color w:val="000000"/>
                <w:sz w:val="16"/>
                <w:szCs w:val="24"/>
                <w:lang w:eastAsia="en-GB"/>
              </w:rPr>
              <w:t>Current Risk rating</w:t>
            </w:r>
          </w:p>
        </w:tc>
        <w:tc>
          <w:tcPr>
            <w:tcW w:w="709" w:type="dxa"/>
            <w:tcBorders>
              <w:top w:val="single" w:sz="8" w:space="0" w:color="000000"/>
              <w:left w:val="single" w:sz="8" w:space="0" w:color="000000"/>
              <w:bottom w:val="single" w:sz="8" w:space="0" w:color="000000"/>
              <w:right w:val="single" w:sz="8" w:space="0" w:color="000000"/>
            </w:tcBorders>
            <w:shd w:val="clear" w:color="auto" w:fill="E6E6FA"/>
            <w:tcMar>
              <w:top w:w="40" w:type="dxa"/>
              <w:left w:w="40" w:type="dxa"/>
              <w:bottom w:w="40" w:type="dxa"/>
              <w:right w:w="40" w:type="dxa"/>
            </w:tcMar>
          </w:tcPr>
          <w:p w:rsidR="00DF67E9" w:rsidRPr="00DF67E9" w:rsidRDefault="00DF67E9" w:rsidP="00DF67E9">
            <w:pPr>
              <w:rPr>
                <w:rFonts w:ascii="Tahoma" w:eastAsia="Tahoma" w:hAnsi="Tahoma" w:cs="Tahoma"/>
                <w:b/>
                <w:color w:val="000000"/>
                <w:sz w:val="16"/>
                <w:szCs w:val="24"/>
                <w:lang w:eastAsia="en-GB"/>
              </w:rPr>
            </w:pPr>
            <w:r w:rsidRPr="00DF67E9">
              <w:rPr>
                <w:rFonts w:ascii="Tahoma" w:eastAsia="Tahoma" w:hAnsi="Tahoma" w:cs="Tahoma"/>
                <w:b/>
                <w:color w:val="000000"/>
                <w:sz w:val="16"/>
                <w:szCs w:val="24"/>
                <w:lang w:eastAsia="en-GB"/>
              </w:rPr>
              <w:t>Current Risk Trend Icon</w:t>
            </w:r>
          </w:p>
        </w:tc>
        <w:tc>
          <w:tcPr>
            <w:tcW w:w="850" w:type="dxa"/>
            <w:tcBorders>
              <w:top w:val="single" w:sz="8" w:space="0" w:color="000000"/>
              <w:left w:val="single" w:sz="8" w:space="0" w:color="000000"/>
              <w:bottom w:val="single" w:sz="8" w:space="0" w:color="000000"/>
              <w:right w:val="single" w:sz="8" w:space="0" w:color="000000"/>
            </w:tcBorders>
            <w:shd w:val="clear" w:color="auto" w:fill="E6E6FA"/>
            <w:tcMar>
              <w:top w:w="40" w:type="dxa"/>
              <w:left w:w="40" w:type="dxa"/>
              <w:bottom w:w="40" w:type="dxa"/>
              <w:right w:w="40" w:type="dxa"/>
            </w:tcMar>
          </w:tcPr>
          <w:p w:rsidR="00DF67E9" w:rsidRPr="00DF67E9" w:rsidRDefault="00DF67E9" w:rsidP="00DF67E9">
            <w:pPr>
              <w:rPr>
                <w:rFonts w:ascii="Tahoma" w:eastAsia="Tahoma" w:hAnsi="Tahoma" w:cs="Tahoma"/>
                <w:b/>
                <w:color w:val="000000"/>
                <w:sz w:val="16"/>
                <w:szCs w:val="24"/>
                <w:lang w:eastAsia="en-GB"/>
              </w:rPr>
            </w:pPr>
            <w:r w:rsidRPr="00DF67E9">
              <w:rPr>
                <w:rFonts w:ascii="Tahoma" w:eastAsia="Tahoma" w:hAnsi="Tahoma" w:cs="Tahoma"/>
                <w:b/>
                <w:color w:val="000000"/>
                <w:sz w:val="16"/>
                <w:szCs w:val="24"/>
                <w:lang w:eastAsia="en-GB"/>
              </w:rPr>
              <w:t>Last reviewed date</w:t>
            </w:r>
          </w:p>
        </w:tc>
        <w:tc>
          <w:tcPr>
            <w:tcW w:w="10772" w:type="dxa"/>
            <w:gridSpan w:val="2"/>
            <w:tcBorders>
              <w:top w:val="single" w:sz="8" w:space="0" w:color="000000"/>
              <w:left w:val="single" w:sz="8" w:space="0" w:color="000000"/>
              <w:bottom w:val="single" w:sz="8" w:space="0" w:color="000000"/>
              <w:right w:val="single" w:sz="8" w:space="0" w:color="000000"/>
            </w:tcBorders>
            <w:shd w:val="clear" w:color="auto" w:fill="E6E6FA"/>
            <w:tcMar>
              <w:top w:w="40" w:type="dxa"/>
              <w:left w:w="40" w:type="dxa"/>
              <w:bottom w:w="40" w:type="dxa"/>
              <w:right w:w="40" w:type="dxa"/>
            </w:tcMar>
            <w:vAlign w:val="center"/>
          </w:tcPr>
          <w:p w:rsidR="00DF67E9" w:rsidRPr="00DF67E9" w:rsidRDefault="00DF67E9" w:rsidP="00DF67E9">
            <w:pPr>
              <w:jc w:val="center"/>
              <w:rPr>
                <w:rFonts w:ascii="Tahoma" w:eastAsia="Tahoma" w:hAnsi="Tahoma" w:cs="Tahoma"/>
                <w:b/>
                <w:color w:val="000000"/>
                <w:sz w:val="16"/>
                <w:szCs w:val="24"/>
                <w:lang w:eastAsia="en-GB"/>
              </w:rPr>
            </w:pPr>
            <w:r w:rsidRPr="00DF67E9">
              <w:rPr>
                <w:rFonts w:ascii="Tahoma" w:eastAsia="Tahoma" w:hAnsi="Tahoma" w:cs="Tahoma"/>
                <w:b/>
                <w:color w:val="000000"/>
                <w:sz w:val="16"/>
                <w:szCs w:val="24"/>
                <w:lang w:eastAsia="en-GB"/>
              </w:rPr>
              <w:t>Control</w:t>
            </w:r>
          </w:p>
        </w:tc>
      </w:tr>
      <w:tr w:rsidR="00DF67E9" w:rsidRPr="00DF67E9" w:rsidTr="00245645">
        <w:tc>
          <w:tcPr>
            <w:tcW w:w="8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b/>
                <w:color w:val="000000"/>
                <w:sz w:val="16"/>
                <w:szCs w:val="24"/>
                <w:lang w:eastAsia="en-GB"/>
              </w:rPr>
            </w:pPr>
            <w:r w:rsidRPr="00DF67E9">
              <w:rPr>
                <w:rFonts w:ascii="Tahoma" w:eastAsia="Tahoma" w:hAnsi="Tahoma" w:cs="Tahoma"/>
                <w:color w:val="1D2828"/>
                <w:sz w:val="16"/>
                <w:szCs w:val="24"/>
                <w:lang w:eastAsia="en-GB"/>
              </w:rPr>
              <w:t>CCG-BAF.2003</w:t>
            </w:r>
          </w:p>
        </w:tc>
        <w:tc>
          <w:tcPr>
            <w:tcW w:w="16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proofErr w:type="spellStart"/>
            <w:r w:rsidRPr="00DF67E9">
              <w:rPr>
                <w:rFonts w:ascii="Tahoma" w:eastAsia="Tahoma" w:hAnsi="Tahoma" w:cs="Tahoma"/>
                <w:color w:val="1D2828"/>
                <w:sz w:val="16"/>
                <w:szCs w:val="24"/>
                <w:lang w:eastAsia="en-GB"/>
              </w:rPr>
              <w:t>NLaG</w:t>
            </w:r>
            <w:proofErr w:type="spellEnd"/>
            <w:r w:rsidRPr="00DF67E9">
              <w:rPr>
                <w:rFonts w:ascii="Tahoma" w:eastAsia="Tahoma" w:hAnsi="Tahoma" w:cs="Tahoma"/>
                <w:color w:val="1D2828"/>
                <w:sz w:val="16"/>
                <w:szCs w:val="24"/>
                <w:lang w:eastAsia="en-GB"/>
              </w:rPr>
              <w:t xml:space="preserve"> Service Sustainability</w:t>
            </w:r>
          </w:p>
        </w:tc>
        <w:tc>
          <w:tcPr>
            <w:tcW w:w="788" w:type="dxa"/>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r w:rsidRPr="00DF67E9">
              <w:rPr>
                <w:rFonts w:ascii="Tahoma" w:eastAsia="Tahoma" w:hAnsi="Tahoma" w:cs="Tahoma"/>
                <w:color w:val="1D2828"/>
                <w:sz w:val="16"/>
                <w:szCs w:val="24"/>
                <w:lang w:eastAsia="en-GB"/>
              </w:rPr>
              <w:t>20</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r w:rsidRPr="00DF67E9">
              <w:rPr>
                <w:rFonts w:ascii="Tahoma" w:eastAsia="Tahoma" w:hAnsi="Tahoma" w:cs="Tahoma"/>
                <w:color w:val="1D2828"/>
                <w:sz w:val="16"/>
                <w:szCs w:val="24"/>
                <w:lang w:eastAsia="en-GB"/>
              </w:rPr>
              <w:t>20</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r>
              <w:rPr>
                <w:rFonts w:ascii="Lucida Sans Unicode" w:eastAsia="Lucida Sans Unicode" w:hAnsi="Lucida Sans Unicode" w:cs="Lucida Sans Unicode"/>
                <w:noProof/>
                <w:color w:val="1D2828"/>
                <w:sz w:val="18"/>
                <w:szCs w:val="24"/>
                <w:lang w:eastAsia="en-GB"/>
              </w:rPr>
              <w:drawing>
                <wp:inline distT="0" distB="0" distL="0" distR="0" wp14:anchorId="673023FB" wp14:editId="3CE1512A">
                  <wp:extent cx="205740" cy="20574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0D7BAF">
            <w:pPr>
              <w:rPr>
                <w:rFonts w:ascii="Lucida Sans Unicode" w:eastAsia="Lucida Sans Unicode" w:hAnsi="Lucida Sans Unicode" w:cs="Lucida Sans Unicode"/>
                <w:color w:val="1D2828"/>
                <w:sz w:val="18"/>
                <w:szCs w:val="24"/>
                <w:lang w:eastAsia="en-GB"/>
              </w:rPr>
            </w:pPr>
            <w:r w:rsidRPr="00DF67E9">
              <w:rPr>
                <w:rFonts w:ascii="Tahoma" w:eastAsia="Tahoma" w:hAnsi="Tahoma" w:cs="Tahoma"/>
                <w:color w:val="1D2828"/>
                <w:sz w:val="16"/>
                <w:szCs w:val="24"/>
                <w:lang w:eastAsia="en-GB"/>
              </w:rPr>
              <w:t>1</w:t>
            </w:r>
            <w:r w:rsidR="000D7BAF">
              <w:rPr>
                <w:rFonts w:ascii="Tahoma" w:eastAsia="Tahoma" w:hAnsi="Tahoma" w:cs="Tahoma"/>
                <w:color w:val="1D2828"/>
                <w:sz w:val="16"/>
                <w:szCs w:val="24"/>
                <w:lang w:eastAsia="en-GB"/>
              </w:rPr>
              <w:t xml:space="preserve"> Mar</w:t>
            </w:r>
            <w:r w:rsidRPr="00DF67E9">
              <w:rPr>
                <w:rFonts w:ascii="Tahoma" w:eastAsia="Tahoma" w:hAnsi="Tahoma" w:cs="Tahoma"/>
                <w:color w:val="1D2828"/>
                <w:sz w:val="16"/>
                <w:szCs w:val="24"/>
                <w:lang w:eastAsia="en-GB"/>
              </w:rPr>
              <w:t xml:space="preserve"> 2018</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r w:rsidRPr="00DF67E9">
              <w:rPr>
                <w:rFonts w:ascii="Tahoma" w:eastAsia="Tahoma" w:hAnsi="Tahoma" w:cs="Tahoma"/>
                <w:b/>
                <w:color w:val="000000"/>
                <w:sz w:val="16"/>
                <w:szCs w:val="24"/>
                <w:lang w:eastAsia="en-GB"/>
              </w:rPr>
              <w:t>Assurance on controls</w:t>
            </w:r>
          </w:p>
        </w:tc>
        <w:tc>
          <w:tcPr>
            <w:tcW w:w="928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b/>
                <w:color w:val="000000"/>
                <w:sz w:val="16"/>
                <w:szCs w:val="24"/>
                <w:lang w:eastAsia="en-GB"/>
              </w:rPr>
            </w:pPr>
          </w:p>
          <w:p w:rsidR="00DF67E9" w:rsidRPr="00DF67E9" w:rsidRDefault="00DF67E9" w:rsidP="00DF67E9">
            <w:pPr>
              <w:rPr>
                <w:rFonts w:ascii="Tahoma" w:eastAsia="Tahoma" w:hAnsi="Tahoma" w:cs="Tahoma"/>
                <w:color w:val="1D2828"/>
                <w:sz w:val="16"/>
                <w:szCs w:val="24"/>
                <w:lang w:eastAsia="en-GB"/>
              </w:rPr>
            </w:pPr>
            <w:r w:rsidRPr="00DF67E9">
              <w:rPr>
                <w:rFonts w:ascii="Tahoma" w:eastAsia="Tahoma" w:hAnsi="Tahoma" w:cs="Tahoma"/>
                <w:color w:val="1D2828"/>
                <w:sz w:val="16"/>
                <w:szCs w:val="24"/>
                <w:lang w:eastAsia="en-GB"/>
              </w:rPr>
              <w:t xml:space="preserve">Chief Executive representation from NL &amp; NEL CCGs and </w:t>
            </w:r>
            <w:proofErr w:type="spellStart"/>
            <w:r w:rsidRPr="00DF67E9">
              <w:rPr>
                <w:rFonts w:ascii="Tahoma" w:eastAsia="Tahoma" w:hAnsi="Tahoma" w:cs="Tahoma"/>
                <w:color w:val="1D2828"/>
                <w:sz w:val="16"/>
                <w:szCs w:val="24"/>
                <w:lang w:eastAsia="en-GB"/>
              </w:rPr>
              <w:t>NLaG</w:t>
            </w:r>
            <w:proofErr w:type="spellEnd"/>
            <w:r w:rsidRPr="00DF67E9">
              <w:rPr>
                <w:rFonts w:ascii="Tahoma" w:eastAsia="Tahoma" w:hAnsi="Tahoma" w:cs="Tahoma"/>
                <w:color w:val="1D2828"/>
                <w:sz w:val="16"/>
                <w:szCs w:val="24"/>
                <w:lang w:eastAsia="en-GB"/>
              </w:rPr>
              <w:t xml:space="preserve"> on the System Improvement Board (SIB) </w:t>
            </w:r>
          </w:p>
          <w:p w:rsidR="00DF67E9" w:rsidRPr="00DF67E9" w:rsidRDefault="00DF67E9" w:rsidP="000D7BAF">
            <w:pPr>
              <w:rPr>
                <w:rFonts w:ascii="Tahoma" w:eastAsia="Tahoma" w:hAnsi="Tahoma" w:cs="Tahoma"/>
                <w:color w:val="1D2828"/>
                <w:sz w:val="16"/>
                <w:szCs w:val="24"/>
                <w:lang w:eastAsia="en-GB"/>
              </w:rPr>
            </w:pPr>
            <w:r w:rsidRPr="00DF67E9">
              <w:rPr>
                <w:rFonts w:ascii="Tahoma" w:eastAsia="Tahoma" w:hAnsi="Tahoma" w:cs="Tahoma"/>
                <w:color w:val="1D2828"/>
                <w:sz w:val="16"/>
                <w:szCs w:val="24"/>
                <w:lang w:eastAsia="en-GB"/>
              </w:rPr>
              <w:t xml:space="preserve">The CCG's Chief Finance Officer represents the CCG on the aligned incentive contract group </w:t>
            </w:r>
          </w:p>
        </w:tc>
      </w:tr>
      <w:tr w:rsidR="00DF67E9" w:rsidRPr="00DF67E9" w:rsidTr="00245645">
        <w:trPr>
          <w:trHeight w:val="915"/>
        </w:trPr>
        <w:tc>
          <w:tcPr>
            <w:tcW w:w="825"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p>
        </w:tc>
        <w:tc>
          <w:tcPr>
            <w:tcW w:w="1648"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p>
        </w:tc>
        <w:tc>
          <w:tcPr>
            <w:tcW w:w="788"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Lucida Sans Unicode" w:eastAsia="Lucida Sans Unicode" w:hAnsi="Lucida Sans Unicode" w:cs="Lucida Sans Unicode"/>
                <w:color w:val="1D2828"/>
                <w:sz w:val="18"/>
                <w:szCs w:val="24"/>
                <w:lang w:eastAsia="en-GB"/>
              </w:rPr>
            </w:pP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r w:rsidRPr="00DF67E9">
              <w:rPr>
                <w:rFonts w:ascii="Tahoma" w:eastAsia="Tahoma" w:hAnsi="Tahoma" w:cs="Tahoma"/>
                <w:b/>
                <w:color w:val="000000"/>
                <w:sz w:val="16"/>
                <w:szCs w:val="24"/>
                <w:lang w:eastAsia="en-GB"/>
              </w:rPr>
              <w:t>Positive Assurances</w:t>
            </w:r>
          </w:p>
        </w:tc>
        <w:tc>
          <w:tcPr>
            <w:tcW w:w="928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b/>
                <w:color w:val="000000"/>
                <w:sz w:val="16"/>
                <w:szCs w:val="24"/>
                <w:lang w:eastAsia="en-GB"/>
              </w:rPr>
            </w:pPr>
            <w:r w:rsidRPr="00DF67E9">
              <w:rPr>
                <w:rFonts w:ascii="Tahoma" w:eastAsia="Tahoma" w:hAnsi="Tahoma" w:cs="Tahoma"/>
                <w:color w:val="1D2828"/>
                <w:sz w:val="16"/>
                <w:szCs w:val="24"/>
                <w:lang w:eastAsia="en-GB"/>
              </w:rPr>
              <w:t>System Improvement Board whose membership includes NHS England and NHS Improvement.</w:t>
            </w:r>
          </w:p>
          <w:p w:rsidR="00DF67E9" w:rsidRPr="00DF67E9" w:rsidRDefault="00DF67E9" w:rsidP="00DF67E9">
            <w:pPr>
              <w:rPr>
                <w:rFonts w:ascii="Tahoma" w:eastAsia="Tahoma" w:hAnsi="Tahoma" w:cs="Tahoma"/>
                <w:color w:val="1D2828"/>
                <w:sz w:val="16"/>
                <w:szCs w:val="24"/>
                <w:lang w:eastAsia="en-GB"/>
              </w:rPr>
            </w:pPr>
            <w:r w:rsidRPr="00DF67E9">
              <w:rPr>
                <w:rFonts w:ascii="Tahoma" w:eastAsia="Tahoma" w:hAnsi="Tahoma" w:cs="Tahoma"/>
                <w:color w:val="1D2828"/>
                <w:sz w:val="16"/>
                <w:szCs w:val="24"/>
                <w:lang w:eastAsia="en-GB"/>
              </w:rPr>
              <w:t>NEL CCG received positive feedback in the second quarter of 2017 at its assurance meeting with NHS England</w:t>
            </w:r>
          </w:p>
          <w:p w:rsidR="00DF67E9" w:rsidRPr="00DF67E9" w:rsidRDefault="00DF67E9" w:rsidP="00DF67E9">
            <w:pPr>
              <w:rPr>
                <w:rFonts w:ascii="Tahoma" w:eastAsia="Tahoma" w:hAnsi="Tahoma" w:cs="Tahoma"/>
                <w:color w:val="1D2828"/>
                <w:sz w:val="16"/>
                <w:szCs w:val="24"/>
                <w:lang w:eastAsia="en-GB"/>
              </w:rPr>
            </w:pPr>
            <w:r w:rsidRPr="00DF67E9">
              <w:rPr>
                <w:rFonts w:ascii="Tahoma" w:eastAsia="Tahoma" w:hAnsi="Tahoma" w:cs="Tahoma"/>
                <w:color w:val="1D2828"/>
                <w:sz w:val="16"/>
                <w:szCs w:val="24"/>
                <w:lang w:eastAsia="en-GB"/>
              </w:rPr>
              <w:t>The STP In-hospital Working Group is starting to work more effectively and is addressing issues across providers</w:t>
            </w:r>
          </w:p>
          <w:p w:rsidR="00DF67E9" w:rsidRPr="00DF67E9" w:rsidRDefault="00DF67E9" w:rsidP="00DF67E9">
            <w:pPr>
              <w:rPr>
                <w:rFonts w:ascii="Tahoma" w:eastAsia="Tahoma" w:hAnsi="Tahoma" w:cs="Tahoma"/>
                <w:color w:val="1D2828"/>
                <w:sz w:val="16"/>
                <w:szCs w:val="24"/>
                <w:lang w:eastAsia="en-GB"/>
              </w:rPr>
            </w:pPr>
            <w:r w:rsidRPr="00DF67E9">
              <w:rPr>
                <w:rFonts w:ascii="Tahoma" w:eastAsia="Tahoma" w:hAnsi="Tahoma" w:cs="Tahoma"/>
                <w:color w:val="1D2828"/>
                <w:sz w:val="16"/>
                <w:szCs w:val="24"/>
                <w:lang w:eastAsia="en-GB"/>
              </w:rPr>
              <w:t>The ACP is getting more involved and starting to come up with proposals to divert activity and release pressures</w:t>
            </w:r>
          </w:p>
        </w:tc>
      </w:tr>
      <w:tr w:rsidR="00DF67E9" w:rsidRPr="00DF67E9" w:rsidTr="00245645">
        <w:tc>
          <w:tcPr>
            <w:tcW w:w="825"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p>
        </w:tc>
        <w:tc>
          <w:tcPr>
            <w:tcW w:w="1648"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p>
        </w:tc>
        <w:tc>
          <w:tcPr>
            <w:tcW w:w="788"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Lucida Sans Unicode" w:eastAsia="Lucida Sans Unicode" w:hAnsi="Lucida Sans Unicode" w:cs="Lucida Sans Unicode"/>
                <w:color w:val="1D2828"/>
                <w:sz w:val="18"/>
                <w:szCs w:val="24"/>
                <w:lang w:eastAsia="en-GB"/>
              </w:rPr>
            </w:pP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r w:rsidRPr="00DF67E9">
              <w:rPr>
                <w:rFonts w:ascii="Tahoma" w:eastAsia="Tahoma" w:hAnsi="Tahoma" w:cs="Tahoma"/>
                <w:b/>
                <w:color w:val="000000"/>
                <w:sz w:val="16"/>
                <w:szCs w:val="24"/>
                <w:lang w:eastAsia="en-GB"/>
              </w:rPr>
              <w:t>Gaps in controls</w:t>
            </w:r>
          </w:p>
        </w:tc>
        <w:tc>
          <w:tcPr>
            <w:tcW w:w="928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r w:rsidRPr="00DF67E9">
              <w:rPr>
                <w:rFonts w:ascii="Tahoma" w:eastAsia="Tahoma" w:hAnsi="Tahoma" w:cs="Tahoma"/>
                <w:color w:val="1D2828"/>
                <w:sz w:val="16"/>
                <w:szCs w:val="24"/>
                <w:lang w:eastAsia="en-GB"/>
              </w:rPr>
              <w:t xml:space="preserve">All of the controls listed have only been established very recently and need time to bed in before their full effectiveness can be evaluated. All of the groups have now been operating for a number of months, and improvements in quality and performance are starting to be seen </w:t>
            </w:r>
          </w:p>
        </w:tc>
      </w:tr>
      <w:tr w:rsidR="00DF67E9" w:rsidRPr="00DF67E9" w:rsidTr="00245645">
        <w:tc>
          <w:tcPr>
            <w:tcW w:w="825"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p>
        </w:tc>
        <w:tc>
          <w:tcPr>
            <w:tcW w:w="1648"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p>
        </w:tc>
        <w:tc>
          <w:tcPr>
            <w:tcW w:w="788"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Lucida Sans Unicode" w:eastAsia="Lucida Sans Unicode" w:hAnsi="Lucida Sans Unicode" w:cs="Lucida Sans Unicode"/>
                <w:color w:val="1D2828"/>
                <w:sz w:val="18"/>
                <w:szCs w:val="24"/>
                <w:lang w:eastAsia="en-GB"/>
              </w:rPr>
            </w:pP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color w:val="1D2828"/>
                <w:sz w:val="16"/>
                <w:szCs w:val="24"/>
                <w:lang w:eastAsia="en-GB"/>
              </w:rPr>
            </w:pPr>
            <w:r w:rsidRPr="00DF67E9">
              <w:rPr>
                <w:rFonts w:ascii="Tahoma" w:eastAsia="Tahoma" w:hAnsi="Tahoma" w:cs="Tahoma"/>
                <w:b/>
                <w:color w:val="000000"/>
                <w:sz w:val="16"/>
                <w:szCs w:val="24"/>
                <w:lang w:eastAsia="en-GB"/>
              </w:rPr>
              <w:t>Gaps in assurances</w:t>
            </w:r>
          </w:p>
        </w:tc>
        <w:tc>
          <w:tcPr>
            <w:tcW w:w="928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DF67E9" w:rsidRPr="00DF67E9" w:rsidRDefault="00DF67E9" w:rsidP="00DF67E9">
            <w:pPr>
              <w:rPr>
                <w:rFonts w:ascii="Tahoma" w:eastAsia="Tahoma" w:hAnsi="Tahoma" w:cs="Tahoma"/>
                <w:b/>
                <w:color w:val="000000"/>
                <w:sz w:val="16"/>
                <w:szCs w:val="24"/>
                <w:lang w:eastAsia="en-GB"/>
              </w:rPr>
            </w:pPr>
            <w:r w:rsidRPr="00DF67E9">
              <w:rPr>
                <w:rFonts w:ascii="Tahoma" w:eastAsia="Tahoma" w:hAnsi="Tahoma" w:cs="Tahoma"/>
                <w:color w:val="1D2828"/>
                <w:sz w:val="16"/>
                <w:szCs w:val="24"/>
                <w:lang w:eastAsia="en-GB"/>
              </w:rPr>
              <w:t>All of the assurances listed have only been established very recently and need time to bed in before their full effectiveness can be evaluated</w:t>
            </w:r>
          </w:p>
          <w:p w:rsidR="00DF67E9" w:rsidRPr="00DF67E9" w:rsidRDefault="00DF67E9" w:rsidP="00DF67E9">
            <w:pPr>
              <w:rPr>
                <w:rFonts w:ascii="Tahoma" w:eastAsia="Tahoma" w:hAnsi="Tahoma" w:cs="Tahoma"/>
                <w:color w:val="1D2828"/>
                <w:sz w:val="16"/>
                <w:szCs w:val="24"/>
                <w:lang w:eastAsia="en-GB"/>
              </w:rPr>
            </w:pPr>
            <w:r w:rsidRPr="00DF67E9">
              <w:rPr>
                <w:rFonts w:ascii="Tahoma" w:eastAsia="Tahoma" w:hAnsi="Tahoma" w:cs="Tahoma"/>
                <w:color w:val="1D2828"/>
                <w:sz w:val="16"/>
                <w:szCs w:val="24"/>
                <w:lang w:eastAsia="en-GB"/>
              </w:rPr>
              <w:t xml:space="preserve">Lack of consistent leadership presence from </w:t>
            </w:r>
            <w:proofErr w:type="spellStart"/>
            <w:r w:rsidRPr="00DF67E9">
              <w:rPr>
                <w:rFonts w:ascii="Tahoma" w:eastAsia="Tahoma" w:hAnsi="Tahoma" w:cs="Tahoma"/>
                <w:color w:val="1D2828"/>
                <w:sz w:val="16"/>
                <w:szCs w:val="24"/>
                <w:lang w:eastAsia="en-GB"/>
              </w:rPr>
              <w:t>NLaG</w:t>
            </w:r>
            <w:proofErr w:type="spellEnd"/>
            <w:r w:rsidRPr="00DF67E9">
              <w:rPr>
                <w:rFonts w:ascii="Tahoma" w:eastAsia="Tahoma" w:hAnsi="Tahoma" w:cs="Tahoma"/>
                <w:color w:val="1D2828"/>
                <w:sz w:val="16"/>
                <w:szCs w:val="24"/>
                <w:lang w:eastAsia="en-GB"/>
              </w:rPr>
              <w:t xml:space="preserve"> due to a number of time limited interims in place</w:t>
            </w:r>
          </w:p>
        </w:tc>
      </w:tr>
    </w:tbl>
    <w:p w:rsidR="00DF67E9" w:rsidRDefault="00DF67E9" w:rsidP="00DF67E9">
      <w:pPr>
        <w:rPr>
          <w:rFonts w:ascii="Calibri" w:eastAsia="MS Mincho" w:hAnsi="Calibri" w:cs="Calibri"/>
          <w:color w:val="000000"/>
          <w:sz w:val="20"/>
          <w:lang w:eastAsia="en-GB"/>
        </w:rPr>
      </w:pPr>
    </w:p>
    <w:p w:rsidR="007D260D" w:rsidRDefault="007D260D" w:rsidP="00DF67E9">
      <w:pPr>
        <w:rPr>
          <w:rFonts w:ascii="Calibri" w:eastAsia="MS Mincho" w:hAnsi="Calibri" w:cs="Calibri"/>
          <w:color w:val="000000"/>
          <w:sz w:val="20"/>
          <w:lang w:eastAsia="en-GB"/>
        </w:rPr>
      </w:pPr>
      <w:r>
        <w:rPr>
          <w:rFonts w:ascii="Calibri" w:eastAsia="MS Mincho" w:hAnsi="Calibri" w:cs="Calibri"/>
          <w:color w:val="000000"/>
          <w:sz w:val="20"/>
          <w:lang w:eastAsia="en-GB"/>
        </w:rPr>
        <w:t xml:space="preserve">   </w:t>
      </w:r>
    </w:p>
    <w:p w:rsidR="007D260D" w:rsidRPr="007D260D" w:rsidRDefault="007D260D" w:rsidP="007D260D">
      <w:pPr>
        <w:rPr>
          <w:rFonts w:ascii="Calibri" w:eastAsia="MS Mincho" w:hAnsi="Calibri" w:cs="Calibri"/>
          <w:b/>
          <w:color w:val="000000"/>
          <w:szCs w:val="24"/>
          <w:lang w:eastAsia="en-GB"/>
        </w:rPr>
      </w:pPr>
      <w:r w:rsidRPr="007D260D">
        <w:rPr>
          <w:rFonts w:ascii="Calibri" w:eastAsia="MS Mincho" w:hAnsi="Calibri" w:cs="Calibri"/>
          <w:b/>
          <w:color w:val="000000"/>
          <w:szCs w:val="24"/>
          <w:lang w:eastAsia="en-GB"/>
        </w:rPr>
        <w:t xml:space="preserve">Recommendations </w:t>
      </w:r>
    </w:p>
    <w:p w:rsidR="007D260D" w:rsidRDefault="007D260D" w:rsidP="007D260D">
      <w:pPr>
        <w:pStyle w:val="ListParagraph"/>
        <w:numPr>
          <w:ilvl w:val="0"/>
          <w:numId w:val="7"/>
        </w:numPr>
        <w:rPr>
          <w:rFonts w:eastAsia="MS Mincho" w:cs="Calibri"/>
          <w:color w:val="000000"/>
          <w:lang w:eastAsia="en-GB"/>
        </w:rPr>
      </w:pPr>
      <w:r w:rsidRPr="007D260D">
        <w:rPr>
          <w:rFonts w:eastAsia="MS Mincho" w:cs="Calibri"/>
          <w:color w:val="000000"/>
          <w:lang w:eastAsia="en-GB"/>
        </w:rPr>
        <w:t>Board members are asked to note:</w:t>
      </w:r>
    </w:p>
    <w:p w:rsidR="007D260D" w:rsidRDefault="007D260D" w:rsidP="007D260D">
      <w:pPr>
        <w:pStyle w:val="ListParagraph"/>
        <w:numPr>
          <w:ilvl w:val="0"/>
          <w:numId w:val="14"/>
        </w:numPr>
        <w:rPr>
          <w:rFonts w:eastAsia="MS Mincho" w:cs="Calibri"/>
          <w:color w:val="000000"/>
          <w:lang w:eastAsia="en-GB"/>
        </w:rPr>
      </w:pPr>
      <w:r>
        <w:rPr>
          <w:rFonts w:eastAsia="MS Mincho" w:cs="Calibri"/>
          <w:color w:val="000000"/>
          <w:lang w:eastAsia="en-GB"/>
        </w:rPr>
        <w:t>The update provided and;</w:t>
      </w:r>
    </w:p>
    <w:p w:rsidR="007D260D" w:rsidRDefault="007D260D" w:rsidP="007D260D">
      <w:pPr>
        <w:pStyle w:val="ListParagraph"/>
        <w:numPr>
          <w:ilvl w:val="0"/>
          <w:numId w:val="14"/>
        </w:numPr>
        <w:rPr>
          <w:rFonts w:eastAsia="MS Mincho" w:cs="Calibri"/>
          <w:color w:val="000000"/>
          <w:lang w:eastAsia="en-GB"/>
        </w:rPr>
      </w:pPr>
      <w:r w:rsidRPr="007D260D">
        <w:rPr>
          <w:rFonts w:eastAsia="MS Mincho" w:cs="Calibri"/>
          <w:color w:val="000000"/>
          <w:lang w:eastAsia="en-GB"/>
        </w:rPr>
        <w:t xml:space="preserve">The level of assurance received by the CCG, in relation to its strategic risks and comment where appropriate </w:t>
      </w:r>
    </w:p>
    <w:sectPr w:rsidR="007D260D" w:rsidSect="00B74333">
      <w:pgSz w:w="16840" w:h="11900" w:orient="landscape"/>
      <w:pgMar w:top="567" w:right="567" w:bottom="567" w:left="567" w:header="0" w:footer="113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301" w:rsidRDefault="007E6301" w:rsidP="00E1284E">
      <w:r>
        <w:separator/>
      </w:r>
    </w:p>
  </w:endnote>
  <w:endnote w:type="continuationSeparator" w:id="0">
    <w:p w:rsidR="007E6301" w:rsidRDefault="007E6301"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19C" w:rsidRDefault="0028419C">
    <w:pPr>
      <w:pStyle w:val="Footer"/>
    </w:pPr>
    <w:r>
      <w:fldChar w:fldCharType="begin"/>
    </w:r>
    <w:r>
      <w:instrText xml:space="preserve"> PAGE   \* MERGEFORMAT </w:instrText>
    </w:r>
    <w:r>
      <w:fldChar w:fldCharType="separate"/>
    </w:r>
    <w:r w:rsidR="00717618">
      <w:rPr>
        <w:noProof/>
      </w:rPr>
      <w:t>1</w:t>
    </w:r>
    <w:r>
      <w:rPr>
        <w:noProof/>
      </w:rPr>
      <w:fldChar w:fldCharType="end"/>
    </w:r>
  </w:p>
  <w:p w:rsidR="0028419C" w:rsidRDefault="00284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301" w:rsidRDefault="007E6301" w:rsidP="00E1284E">
      <w:r>
        <w:separator/>
      </w:r>
    </w:p>
  </w:footnote>
  <w:footnote w:type="continuationSeparator" w:id="0">
    <w:p w:rsidR="007E6301" w:rsidRDefault="007E6301" w:rsidP="00E12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09" w:rsidRDefault="001D2409">
    <w:pPr>
      <w:pStyle w:val="Header"/>
    </w:pPr>
    <w:r>
      <w:rPr>
        <w:noProof/>
        <w:lang w:val="en-GB" w:eastAsia="en-GB"/>
      </w:rPr>
      <mc:AlternateContent>
        <mc:Choice Requires="wps">
          <w:drawing>
            <wp:anchor distT="0" distB="0" distL="114300" distR="114300" simplePos="0" relativeHeight="251657728" behindDoc="0" locked="0" layoutInCell="0" allowOverlap="1" wp14:anchorId="7DF53C96" wp14:editId="44224738">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09" w:rsidRPr="00893409" w:rsidRDefault="00893409">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893409" w:rsidRPr="00893409" w:rsidRDefault="00893409">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5964369"/>
    <w:multiLevelType w:val="hybridMultilevel"/>
    <w:tmpl w:val="DD70AC2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E4C12A5"/>
    <w:multiLevelType w:val="hybridMultilevel"/>
    <w:tmpl w:val="5BEE1CF6"/>
    <w:lvl w:ilvl="0" w:tplc="A47C9D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5C28B8"/>
    <w:multiLevelType w:val="hybridMultilevel"/>
    <w:tmpl w:val="53FC72EE"/>
    <w:lvl w:ilvl="0" w:tplc="81CCD448">
      <w:start w:val="4"/>
      <w:numFmt w:val="bullet"/>
      <w:lvlText w:val="-"/>
      <w:lvlJc w:val="left"/>
      <w:pPr>
        <w:ind w:left="1080" w:hanging="360"/>
      </w:pPr>
      <w:rPr>
        <w:rFonts w:ascii="Calibri" w:eastAsia="MS Mincho"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4BC7D6B"/>
    <w:multiLevelType w:val="hybridMultilevel"/>
    <w:tmpl w:val="B9B0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6410E03"/>
    <w:multiLevelType w:val="hybridMultilevel"/>
    <w:tmpl w:val="57E0B586"/>
    <w:lvl w:ilvl="0" w:tplc="0C4E6F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684405"/>
    <w:multiLevelType w:val="hybridMultilevel"/>
    <w:tmpl w:val="61F6B4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42B592C"/>
    <w:multiLevelType w:val="hybridMultilevel"/>
    <w:tmpl w:val="4404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6"/>
  </w:num>
  <w:num w:numId="5">
    <w:abstractNumId w:val="0"/>
  </w:num>
  <w:num w:numId="6">
    <w:abstractNumId w:val="10"/>
  </w:num>
  <w:num w:numId="7">
    <w:abstractNumId w:val="5"/>
  </w:num>
  <w:num w:numId="8">
    <w:abstractNumId w:val="2"/>
  </w:num>
  <w:num w:numId="9">
    <w:abstractNumId w:val="2"/>
  </w:num>
  <w:num w:numId="10">
    <w:abstractNumId w:val="9"/>
  </w:num>
  <w:num w:numId="11">
    <w:abstractNumId w:val="7"/>
  </w:num>
  <w:num w:numId="12">
    <w:abstractNumId w:val="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92546C"/>
    <w:rsid w:val="00005BBC"/>
    <w:rsid w:val="00006E07"/>
    <w:rsid w:val="00034CF6"/>
    <w:rsid w:val="000350E4"/>
    <w:rsid w:val="000355C0"/>
    <w:rsid w:val="00046B77"/>
    <w:rsid w:val="00072AD5"/>
    <w:rsid w:val="0009052F"/>
    <w:rsid w:val="00096E41"/>
    <w:rsid w:val="000A554D"/>
    <w:rsid w:val="000A7EB7"/>
    <w:rsid w:val="000C2980"/>
    <w:rsid w:val="000C4D3C"/>
    <w:rsid w:val="000C70E4"/>
    <w:rsid w:val="000D1426"/>
    <w:rsid w:val="000D1B0D"/>
    <w:rsid w:val="000D7BAF"/>
    <w:rsid w:val="000F61D1"/>
    <w:rsid w:val="00107535"/>
    <w:rsid w:val="001139C9"/>
    <w:rsid w:val="00136B75"/>
    <w:rsid w:val="00144ED4"/>
    <w:rsid w:val="001556E0"/>
    <w:rsid w:val="00160986"/>
    <w:rsid w:val="0016479A"/>
    <w:rsid w:val="001945F9"/>
    <w:rsid w:val="001C120E"/>
    <w:rsid w:val="001D2409"/>
    <w:rsid w:val="001F4888"/>
    <w:rsid w:val="002044CF"/>
    <w:rsid w:val="002054A0"/>
    <w:rsid w:val="00245645"/>
    <w:rsid w:val="00246A4E"/>
    <w:rsid w:val="00246EFA"/>
    <w:rsid w:val="0028419C"/>
    <w:rsid w:val="002A50E7"/>
    <w:rsid w:val="002F38A7"/>
    <w:rsid w:val="00306A1B"/>
    <w:rsid w:val="00315AC1"/>
    <w:rsid w:val="003214C3"/>
    <w:rsid w:val="00330F3B"/>
    <w:rsid w:val="003D7845"/>
    <w:rsid w:val="0043214C"/>
    <w:rsid w:val="0044275E"/>
    <w:rsid w:val="00453E4B"/>
    <w:rsid w:val="00462732"/>
    <w:rsid w:val="00473CC5"/>
    <w:rsid w:val="004B0E55"/>
    <w:rsid w:val="004E32B5"/>
    <w:rsid w:val="004F5317"/>
    <w:rsid w:val="004F6116"/>
    <w:rsid w:val="00511376"/>
    <w:rsid w:val="00515DFE"/>
    <w:rsid w:val="005310F1"/>
    <w:rsid w:val="0054308A"/>
    <w:rsid w:val="005A0D0A"/>
    <w:rsid w:val="005A46C8"/>
    <w:rsid w:val="005A4EC5"/>
    <w:rsid w:val="005A53D1"/>
    <w:rsid w:val="005B0C13"/>
    <w:rsid w:val="005F4ACE"/>
    <w:rsid w:val="006006E6"/>
    <w:rsid w:val="006164AC"/>
    <w:rsid w:val="006330C7"/>
    <w:rsid w:val="00663808"/>
    <w:rsid w:val="00697B0F"/>
    <w:rsid w:val="006A23CE"/>
    <w:rsid w:val="006B1125"/>
    <w:rsid w:val="006C1307"/>
    <w:rsid w:val="006F3A4E"/>
    <w:rsid w:val="00703268"/>
    <w:rsid w:val="0071072D"/>
    <w:rsid w:val="00717618"/>
    <w:rsid w:val="00734128"/>
    <w:rsid w:val="007405E7"/>
    <w:rsid w:val="00751561"/>
    <w:rsid w:val="00755446"/>
    <w:rsid w:val="007663C8"/>
    <w:rsid w:val="007744F6"/>
    <w:rsid w:val="00793F63"/>
    <w:rsid w:val="00793F90"/>
    <w:rsid w:val="007C526F"/>
    <w:rsid w:val="007D1C13"/>
    <w:rsid w:val="007D260D"/>
    <w:rsid w:val="007E1C2F"/>
    <w:rsid w:val="007E2A23"/>
    <w:rsid w:val="007E6301"/>
    <w:rsid w:val="008044FD"/>
    <w:rsid w:val="008130BC"/>
    <w:rsid w:val="00816299"/>
    <w:rsid w:val="008336DE"/>
    <w:rsid w:val="00846301"/>
    <w:rsid w:val="00876931"/>
    <w:rsid w:val="00893409"/>
    <w:rsid w:val="008970F3"/>
    <w:rsid w:val="008C5A15"/>
    <w:rsid w:val="00901CC0"/>
    <w:rsid w:val="00911F40"/>
    <w:rsid w:val="009169E9"/>
    <w:rsid w:val="009245B1"/>
    <w:rsid w:val="0092546C"/>
    <w:rsid w:val="0098436E"/>
    <w:rsid w:val="00991754"/>
    <w:rsid w:val="00991A1C"/>
    <w:rsid w:val="00995A9E"/>
    <w:rsid w:val="009B1AB7"/>
    <w:rsid w:val="009D39DE"/>
    <w:rsid w:val="009D4EDC"/>
    <w:rsid w:val="009E45D2"/>
    <w:rsid w:val="009F1D16"/>
    <w:rsid w:val="00A0148B"/>
    <w:rsid w:val="00A054B5"/>
    <w:rsid w:val="00A218A3"/>
    <w:rsid w:val="00A34173"/>
    <w:rsid w:val="00A66D55"/>
    <w:rsid w:val="00A9358C"/>
    <w:rsid w:val="00A977E0"/>
    <w:rsid w:val="00AB645B"/>
    <w:rsid w:val="00AE7CDB"/>
    <w:rsid w:val="00AF4A4F"/>
    <w:rsid w:val="00B04A55"/>
    <w:rsid w:val="00B24425"/>
    <w:rsid w:val="00B6163C"/>
    <w:rsid w:val="00B62F45"/>
    <w:rsid w:val="00B658DC"/>
    <w:rsid w:val="00B74333"/>
    <w:rsid w:val="00B76E57"/>
    <w:rsid w:val="00B96B78"/>
    <w:rsid w:val="00B971B9"/>
    <w:rsid w:val="00BB0439"/>
    <w:rsid w:val="00BB40A8"/>
    <w:rsid w:val="00BE2870"/>
    <w:rsid w:val="00BE53CE"/>
    <w:rsid w:val="00BE727A"/>
    <w:rsid w:val="00BE7CCE"/>
    <w:rsid w:val="00C41576"/>
    <w:rsid w:val="00C450D4"/>
    <w:rsid w:val="00C52984"/>
    <w:rsid w:val="00C64AF0"/>
    <w:rsid w:val="00C70D6A"/>
    <w:rsid w:val="00C81EF3"/>
    <w:rsid w:val="00CA348E"/>
    <w:rsid w:val="00CA4E8E"/>
    <w:rsid w:val="00CB1860"/>
    <w:rsid w:val="00CB1C02"/>
    <w:rsid w:val="00CC2C55"/>
    <w:rsid w:val="00CF20A6"/>
    <w:rsid w:val="00CF347F"/>
    <w:rsid w:val="00CF395E"/>
    <w:rsid w:val="00D00012"/>
    <w:rsid w:val="00D3211A"/>
    <w:rsid w:val="00D7667F"/>
    <w:rsid w:val="00DB37E5"/>
    <w:rsid w:val="00DD43FD"/>
    <w:rsid w:val="00DE0BED"/>
    <w:rsid w:val="00DE185E"/>
    <w:rsid w:val="00DF67E9"/>
    <w:rsid w:val="00E1284E"/>
    <w:rsid w:val="00E26D6F"/>
    <w:rsid w:val="00E402F3"/>
    <w:rsid w:val="00E52FDA"/>
    <w:rsid w:val="00E56787"/>
    <w:rsid w:val="00E61AF0"/>
    <w:rsid w:val="00E72942"/>
    <w:rsid w:val="00E72F52"/>
    <w:rsid w:val="00E73B61"/>
    <w:rsid w:val="00E76606"/>
    <w:rsid w:val="00E86651"/>
    <w:rsid w:val="00E97542"/>
    <w:rsid w:val="00EA4E01"/>
    <w:rsid w:val="00EB634A"/>
    <w:rsid w:val="00EC0292"/>
    <w:rsid w:val="00ED2845"/>
    <w:rsid w:val="00F300A1"/>
    <w:rsid w:val="00F40F69"/>
    <w:rsid w:val="00F54DEB"/>
    <w:rsid w:val="00F97DC2"/>
    <w:rsid w:val="00FB449C"/>
    <w:rsid w:val="00FB7D1F"/>
    <w:rsid w:val="00FD1F7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477695552">
      <w:bodyDiv w:val="1"/>
      <w:marLeft w:val="0"/>
      <w:marRight w:val="0"/>
      <w:marTop w:val="0"/>
      <w:marBottom w:val="0"/>
      <w:divBdr>
        <w:top w:val="none" w:sz="0" w:space="0" w:color="auto"/>
        <w:left w:val="none" w:sz="0" w:space="0" w:color="auto"/>
        <w:bottom w:val="none" w:sz="0" w:space="0" w:color="auto"/>
        <w:right w:val="none" w:sz="0" w:space="0" w:color="auto"/>
      </w:divBdr>
    </w:div>
    <w:div w:id="897666563">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Word_97_-_2003_Document1.doc"/><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www.gov.uk/government/publications/the-nhs-constitution-for-englan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05BF3-6B26-4039-B024-2B96211FF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1649</Words>
  <Characters>8365</Characters>
  <Application>Microsoft Office Word</Application>
  <DocSecurity>4</DocSecurity>
  <Lines>246</Lines>
  <Paragraphs>92</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Jablonski</dc:creator>
  <cp:lastModifiedBy>Helen Askham</cp:lastModifiedBy>
  <cp:revision>2</cp:revision>
  <cp:lastPrinted>2015-02-05T14:14:00Z</cp:lastPrinted>
  <dcterms:created xsi:type="dcterms:W3CDTF">2018-03-05T13:07:00Z</dcterms:created>
  <dcterms:modified xsi:type="dcterms:W3CDTF">2018-03-05T13:07:00Z</dcterms:modified>
</cp:coreProperties>
</file>