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59C0" w:rsidRDefault="006759C0" w:rsidP="00CA348E">
      <w:pPr>
        <w:ind w:left="5041"/>
        <w:jc w:val="right"/>
      </w:pPr>
    </w:p>
    <w:p w:rsidR="00E72F52" w:rsidRDefault="0069784F" w:rsidP="00CA348E">
      <w:pPr>
        <w:ind w:left="5041"/>
        <w:jc w:val="right"/>
        <w:rPr>
          <w:noProof/>
          <w:lang w:eastAsia="en-GB"/>
        </w:rPr>
      </w:pPr>
      <w:bookmarkStart w:id="0" w:name="_GoBack"/>
      <w:bookmarkEnd w:id="0"/>
      <w:r>
        <w:rPr>
          <w:noProof/>
          <w:lang w:eastAsia="en-GB"/>
        </w:rPr>
        <mc:AlternateContent>
          <mc:Choice Requires="wps">
            <w:drawing>
              <wp:anchor distT="0" distB="0" distL="114300" distR="114300" simplePos="0" relativeHeight="251656192" behindDoc="0" locked="0" layoutInCell="1" allowOverlap="1">
                <wp:simplePos x="0" y="0"/>
                <wp:positionH relativeFrom="column">
                  <wp:posOffset>-2540</wp:posOffset>
                </wp:positionH>
                <wp:positionV relativeFrom="paragraph">
                  <wp:posOffset>393065</wp:posOffset>
                </wp:positionV>
                <wp:extent cx="1958340" cy="297180"/>
                <wp:effectExtent l="6985" t="12065" r="6350" b="5080"/>
                <wp:wrapNone/>
                <wp:docPr id="8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8340" cy="297180"/>
                        </a:xfrm>
                        <a:prstGeom prst="rect">
                          <a:avLst/>
                        </a:prstGeom>
                        <a:solidFill>
                          <a:srgbClr val="FFFFFF"/>
                        </a:solidFill>
                        <a:ln w="9525">
                          <a:solidFill>
                            <a:srgbClr val="000000"/>
                          </a:solidFill>
                          <a:miter lim="800000"/>
                          <a:headEnd/>
                          <a:tailEnd/>
                        </a:ln>
                      </wps:spPr>
                      <wps:txbx>
                        <w:txbxContent>
                          <w:p w:rsidR="00595080" w:rsidRPr="000D1B0D" w:rsidRDefault="00595080">
                            <w:pPr>
                              <w:rPr>
                                <w:rFonts w:ascii="Calibri" w:hAnsi="Calibri"/>
                                <w:b/>
                                <w:sz w:val="22"/>
                                <w:szCs w:val="22"/>
                              </w:rPr>
                            </w:pPr>
                            <w:r w:rsidRPr="000D1B0D">
                              <w:rPr>
                                <w:rFonts w:ascii="Calibri" w:hAnsi="Calibri"/>
                                <w:b/>
                                <w:sz w:val="22"/>
                                <w:szCs w:val="22"/>
                              </w:rPr>
                              <w:t>Agenda Item</w:t>
                            </w:r>
                            <w:r w:rsidR="0076166C">
                              <w:rPr>
                                <w:rFonts w:ascii="Calibri" w:hAnsi="Calibri"/>
                                <w:b/>
                                <w:sz w:val="22"/>
                                <w:szCs w:val="22"/>
                              </w:rPr>
                              <w:t xml:space="preserve"> 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left:0;text-align:left;margin-left:-.2pt;margin-top:30.95pt;width:154.2pt;height:23.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">
                <v:textbox>
                  <w:txbxContent>
                    <w:p w:rsidR="00595080" w:rsidRPr="000D1B0D" w:rsidRDefault="00595080">
                      <w:pPr>
                        <w:rPr>
                          <w:rFonts w:ascii="Calibri" w:hAnsi="Calibri"/>
                          <w:b/>
                          <w:sz w:val="22"/>
                          <w:szCs w:val="22"/>
                        </w:rPr>
                      </w:pPr>
                      <w:r w:rsidRPr="000D1B0D">
                        <w:rPr>
                          <w:rFonts w:ascii="Calibri" w:hAnsi="Calibri"/>
                          <w:b/>
                          <w:sz w:val="22"/>
                          <w:szCs w:val="22"/>
                        </w:rPr>
                        <w:t>Agenda Item</w:t>
                      </w:r>
                      <w:r w:rsidR="0076166C">
                        <w:rPr>
                          <w:rFonts w:ascii="Calibri" w:hAnsi="Calibri"/>
                          <w:b/>
                          <w:sz w:val="22"/>
                          <w:szCs w:val="22"/>
                        </w:rPr>
                        <w:t xml:space="preserve"> 06</w:t>
                      </w:r>
                    </w:p>
                  </w:txbxContent>
                </v:textbox>
              </v:rect>
            </w:pict>
          </mc:Fallback>
        </mc:AlternateContent>
      </w:r>
      <w:r w:rsidR="003D7845" w:rsidRPr="003D7845">
        <w:t xml:space="preserve"> </w:t>
      </w:r>
      <w:r>
        <w:rPr>
          <w:noProof/>
          <w:lang w:eastAsia="en-GB"/>
        </w:rPr>
        <w:drawing>
          <wp:inline distT="0" distB="0" distL="0" distR="0">
            <wp:extent cx="2006600" cy="520700"/>
            <wp:effectExtent l="0" t="0" r="0" b="0"/>
            <wp:docPr id="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6600" cy="520700"/>
                    </a:xfrm>
                    <a:prstGeom prst="rect">
                      <a:avLst/>
                    </a:prstGeom>
                    <a:noFill/>
                  </pic:spPr>
                </pic:pic>
              </a:graphicData>
            </a:graphic>
          </wp:inline>
        </w:drawing>
      </w:r>
      <w:r w:rsidR="00A977E0" w:rsidRPr="00A977E0">
        <w:rPr>
          <w:noProof/>
          <w:lang w:eastAsia="en-GB"/>
        </w:rPr>
        <w:t xml:space="preserve"> </w:t>
      </w: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69784F" w:rsidP="00D3211A">
      <w:pPr>
        <w:pStyle w:val="Default"/>
        <w:jc w:val="both"/>
        <w:rPr>
          <w:rFonts w:ascii="Calibri" w:hAnsi="Calibri" w:cs="Calibri"/>
          <w:sz w:val="20"/>
          <w:szCs w:val="20"/>
        </w:rPr>
      </w:pPr>
      <w:r>
        <w:rPr>
          <w:rFonts w:ascii="Calibri" w:hAnsi="Calibri" w:cs="Calibri"/>
          <w:noProof/>
          <w:sz w:val="20"/>
          <w:szCs w:val="20"/>
        </w:rPr>
        <mc:AlternateContent>
          <mc:Choice Requires="wps">
            <w:drawing>
              <wp:anchor distT="0" distB="0" distL="114300" distR="114300" simplePos="0" relativeHeight="251654144" behindDoc="0" locked="0" layoutInCell="1" allowOverlap="1">
                <wp:simplePos x="0" y="0"/>
                <wp:positionH relativeFrom="column">
                  <wp:posOffset>-2540</wp:posOffset>
                </wp:positionH>
                <wp:positionV relativeFrom="paragraph">
                  <wp:posOffset>-6350</wp:posOffset>
                </wp:positionV>
                <wp:extent cx="6393180" cy="1494790"/>
                <wp:effectExtent l="26035" t="22225" r="19685" b="26035"/>
                <wp:wrapNone/>
                <wp:docPr id="8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3180" cy="1494790"/>
                        </a:xfrm>
                        <a:prstGeom prst="rect">
                          <a:avLst/>
                        </a:prstGeom>
                        <a:solidFill>
                          <a:srgbClr val="FFFFFF"/>
                        </a:solidFill>
                        <a:ln w="38100" cmpd="dbl">
                          <a:solidFill>
                            <a:srgbClr val="000000"/>
                          </a:solidFill>
                          <a:miter lim="800000"/>
                          <a:headEnd/>
                          <a:tailEnd/>
                        </a:ln>
                      </wps:spPr>
                      <wps:txbx>
                        <w:txbxContent>
                          <w:p w:rsidR="00595080" w:rsidRPr="000D1B0D" w:rsidRDefault="00595080">
                            <w:pPr>
                              <w:rPr>
                                <w:rFonts w:ascii="Calibri" w:hAnsi="Calibri"/>
                                <w:sz w:val="22"/>
                                <w:szCs w:val="22"/>
                              </w:rPr>
                            </w:pPr>
                            <w:r w:rsidRPr="000D1B0D">
                              <w:rPr>
                                <w:rFonts w:ascii="Calibri" w:hAnsi="Calibri"/>
                                <w:sz w:val="22"/>
                                <w:szCs w:val="22"/>
                              </w:rPr>
                              <w:t>Report to (Board/Sub-Committee):</w:t>
                            </w:r>
                            <w:r>
                              <w:rPr>
                                <w:rFonts w:ascii="Calibri" w:hAnsi="Calibri"/>
                                <w:sz w:val="22"/>
                                <w:szCs w:val="22"/>
                              </w:rPr>
                              <w:t xml:space="preserve"> </w:t>
                            </w:r>
                            <w:r w:rsidRPr="00EA2734">
                              <w:rPr>
                                <w:rFonts w:ascii="Calibri" w:hAnsi="Calibri" w:cs="Calibri"/>
                                <w:bCs/>
                                <w:sz w:val="22"/>
                                <w:szCs w:val="22"/>
                              </w:rPr>
                              <w:t>NEL CCG Partnership Board</w:t>
                            </w:r>
                          </w:p>
                          <w:p w:rsidR="00595080" w:rsidRPr="000D1B0D" w:rsidRDefault="00595080">
                            <w:pPr>
                              <w:rPr>
                                <w:rFonts w:ascii="Calibri" w:hAnsi="Calibri"/>
                                <w:sz w:val="22"/>
                                <w:szCs w:val="22"/>
                              </w:rPr>
                            </w:pPr>
                          </w:p>
                          <w:p w:rsidR="00595080" w:rsidRPr="000D1B0D" w:rsidRDefault="00595080">
                            <w:pPr>
                              <w:rPr>
                                <w:rFonts w:ascii="Calibri" w:hAnsi="Calibri"/>
                                <w:sz w:val="22"/>
                                <w:szCs w:val="22"/>
                              </w:rPr>
                            </w:pPr>
                            <w:r w:rsidRPr="000D1B0D">
                              <w:rPr>
                                <w:rFonts w:ascii="Calibri" w:hAnsi="Calibri"/>
                                <w:sz w:val="22"/>
                                <w:szCs w:val="22"/>
                              </w:rPr>
                              <w:t>Date of Meeting:</w:t>
                            </w:r>
                            <w:r>
                              <w:rPr>
                                <w:rFonts w:ascii="Calibri" w:hAnsi="Calibri"/>
                                <w:sz w:val="22"/>
                                <w:szCs w:val="22"/>
                              </w:rPr>
                              <w:t xml:space="preserve"> </w:t>
                            </w:r>
                            <w:r>
                              <w:rPr>
                                <w:rFonts w:ascii="Calibri" w:hAnsi="Calibri" w:cs="Calibri"/>
                                <w:bCs/>
                                <w:sz w:val="22"/>
                                <w:szCs w:val="22"/>
                              </w:rPr>
                              <w:t>8</w:t>
                            </w:r>
                            <w:r w:rsidRPr="00EA2734">
                              <w:rPr>
                                <w:rFonts w:ascii="Calibri" w:hAnsi="Calibri" w:cs="Calibri"/>
                                <w:bCs/>
                                <w:sz w:val="22"/>
                                <w:szCs w:val="22"/>
                              </w:rPr>
                              <w:t xml:space="preserve">th </w:t>
                            </w:r>
                            <w:r>
                              <w:rPr>
                                <w:rFonts w:ascii="Calibri" w:hAnsi="Calibri" w:cs="Calibri"/>
                                <w:bCs/>
                                <w:sz w:val="22"/>
                                <w:szCs w:val="22"/>
                              </w:rPr>
                              <w:t xml:space="preserve">November 2018 </w:t>
                            </w:r>
                          </w:p>
                          <w:p w:rsidR="00595080" w:rsidRPr="000D1B0D" w:rsidRDefault="00595080">
                            <w:pPr>
                              <w:rPr>
                                <w:rFonts w:ascii="Calibri" w:hAnsi="Calibri"/>
                                <w:sz w:val="22"/>
                                <w:szCs w:val="22"/>
                              </w:rPr>
                            </w:pPr>
                          </w:p>
                          <w:p w:rsidR="00595080" w:rsidRPr="000D1B0D" w:rsidRDefault="00595080">
                            <w:pPr>
                              <w:rPr>
                                <w:rFonts w:ascii="Calibri" w:hAnsi="Calibri"/>
                                <w:sz w:val="22"/>
                                <w:szCs w:val="22"/>
                              </w:rPr>
                            </w:pPr>
                            <w:r w:rsidRPr="000D1B0D">
                              <w:rPr>
                                <w:rFonts w:ascii="Calibri" w:hAnsi="Calibri"/>
                                <w:sz w:val="22"/>
                                <w:szCs w:val="22"/>
                              </w:rPr>
                              <w:t>Subject:</w:t>
                            </w:r>
                            <w:r>
                              <w:rPr>
                                <w:rFonts w:ascii="Calibri" w:hAnsi="Calibri"/>
                                <w:sz w:val="22"/>
                                <w:szCs w:val="22"/>
                              </w:rPr>
                              <w:t xml:space="preserve"> </w:t>
                            </w:r>
                            <w:r w:rsidRPr="00EA2734">
                              <w:rPr>
                                <w:rFonts w:ascii="Calibri" w:hAnsi="Calibri" w:cs="Calibri"/>
                                <w:bCs/>
                                <w:sz w:val="22"/>
                                <w:szCs w:val="22"/>
                              </w:rPr>
                              <w:t>Integrated Assurance and Quality Report</w:t>
                            </w:r>
                            <w:r>
                              <w:rPr>
                                <w:rFonts w:ascii="Calibri" w:hAnsi="Calibri"/>
                                <w:sz w:val="22"/>
                                <w:szCs w:val="22"/>
                              </w:rPr>
                              <w:tab/>
                            </w:r>
                          </w:p>
                          <w:p w:rsidR="00595080" w:rsidRPr="000D1B0D" w:rsidRDefault="00595080">
                            <w:pPr>
                              <w:rPr>
                                <w:rFonts w:ascii="Calibri" w:hAnsi="Calibri"/>
                                <w:sz w:val="22"/>
                                <w:szCs w:val="22"/>
                              </w:rPr>
                            </w:pPr>
                          </w:p>
                          <w:p w:rsidR="00595080" w:rsidRPr="000D1B0D" w:rsidRDefault="00595080">
                            <w:pPr>
                              <w:rPr>
                                <w:rFonts w:ascii="Calibri" w:hAnsi="Calibri"/>
                                <w:sz w:val="22"/>
                                <w:szCs w:val="22"/>
                              </w:rPr>
                            </w:pPr>
                            <w:r w:rsidRPr="000D1B0D">
                              <w:rPr>
                                <w:rFonts w:ascii="Calibri" w:hAnsi="Calibri"/>
                                <w:sz w:val="22"/>
                                <w:szCs w:val="22"/>
                              </w:rPr>
                              <w:t xml:space="preserve">Presented </w:t>
                            </w:r>
                            <w:r>
                              <w:rPr>
                                <w:rFonts w:ascii="Calibri" w:hAnsi="Calibri"/>
                                <w:sz w:val="22"/>
                                <w:szCs w:val="22"/>
                              </w:rPr>
                              <w:t xml:space="preserve">by: </w:t>
                            </w:r>
                            <w:r>
                              <w:rPr>
                                <w:rFonts w:ascii="Calibri" w:hAnsi="Calibri" w:cs="Calibri"/>
                                <w:bCs/>
                                <w:sz w:val="22"/>
                                <w:szCs w:val="22"/>
                              </w:rPr>
                              <w:t>Jan Haxby Director of Quality &amp; Nursing</w:t>
                            </w:r>
                          </w:p>
                          <w:p w:rsidR="00595080" w:rsidRPr="000D1B0D" w:rsidRDefault="00595080">
                            <w:pPr>
                              <w:rPr>
                                <w:rFonts w:ascii="Calibri" w:hAnsi="Calibr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7" style="position:absolute;left:0;text-align:left;margin-left:-.2pt;margin-top:-.5pt;width:503.4pt;height:117.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" strokeweight="3pt">
                <v:stroke linestyle="thinThin"/>
                <v:textbox>
                  <w:txbxContent>
                    <w:p w:rsidR="00595080" w:rsidRPr="000D1B0D" w:rsidRDefault="00595080">
                      <w:pPr>
                        <w:rPr>
                          <w:rFonts w:ascii="Calibri" w:hAnsi="Calibri"/>
                          <w:sz w:val="22"/>
                          <w:szCs w:val="22"/>
                        </w:rPr>
                      </w:pPr>
                      <w:r w:rsidRPr="000D1B0D">
                        <w:rPr>
                          <w:rFonts w:ascii="Calibri" w:hAnsi="Calibri"/>
                          <w:sz w:val="22"/>
                          <w:szCs w:val="22"/>
                        </w:rPr>
                        <w:t>Report to (Board/Sub-Committee):</w:t>
                      </w:r>
                      <w:r>
                        <w:rPr>
                          <w:rFonts w:ascii="Calibri" w:hAnsi="Calibri"/>
                          <w:sz w:val="22"/>
                          <w:szCs w:val="22"/>
                        </w:rPr>
                        <w:t xml:space="preserve"> </w:t>
                      </w:r>
                      <w:r w:rsidRPr="00EA2734">
                        <w:rPr>
                          <w:rFonts w:ascii="Calibri" w:hAnsi="Calibri" w:cs="Calibri"/>
                          <w:bCs/>
                          <w:sz w:val="22"/>
                          <w:szCs w:val="22"/>
                        </w:rPr>
                        <w:t>NEL CCG Partnership Board</w:t>
                      </w:r>
                    </w:p>
                    <w:p w:rsidR="00595080" w:rsidRPr="000D1B0D" w:rsidRDefault="00595080">
                      <w:pPr>
                        <w:rPr>
                          <w:rFonts w:ascii="Calibri" w:hAnsi="Calibri"/>
                          <w:sz w:val="22"/>
                          <w:szCs w:val="22"/>
                        </w:rPr>
                      </w:pPr>
                    </w:p>
                    <w:p w:rsidR="00595080" w:rsidRPr="000D1B0D" w:rsidRDefault="00595080">
                      <w:pPr>
                        <w:rPr>
                          <w:rFonts w:ascii="Calibri" w:hAnsi="Calibri"/>
                          <w:sz w:val="22"/>
                          <w:szCs w:val="22"/>
                        </w:rPr>
                      </w:pPr>
                      <w:r w:rsidRPr="000D1B0D">
                        <w:rPr>
                          <w:rFonts w:ascii="Calibri" w:hAnsi="Calibri"/>
                          <w:sz w:val="22"/>
                          <w:szCs w:val="22"/>
                        </w:rPr>
                        <w:t>Date of Meeting:</w:t>
                      </w:r>
                      <w:r>
                        <w:rPr>
                          <w:rFonts w:ascii="Calibri" w:hAnsi="Calibri"/>
                          <w:sz w:val="22"/>
                          <w:szCs w:val="22"/>
                        </w:rPr>
                        <w:t xml:space="preserve"> </w:t>
                      </w:r>
                      <w:r>
                        <w:rPr>
                          <w:rFonts w:ascii="Calibri" w:hAnsi="Calibri" w:cs="Calibri"/>
                          <w:bCs/>
                          <w:sz w:val="22"/>
                          <w:szCs w:val="22"/>
                        </w:rPr>
                        <w:t>8</w:t>
                      </w:r>
                      <w:r w:rsidRPr="00EA2734">
                        <w:rPr>
                          <w:rFonts w:ascii="Calibri" w:hAnsi="Calibri" w:cs="Calibri"/>
                          <w:bCs/>
                          <w:sz w:val="22"/>
                          <w:szCs w:val="22"/>
                        </w:rPr>
                        <w:t xml:space="preserve">th </w:t>
                      </w:r>
                      <w:r>
                        <w:rPr>
                          <w:rFonts w:ascii="Calibri" w:hAnsi="Calibri" w:cs="Calibri"/>
                          <w:bCs/>
                          <w:sz w:val="22"/>
                          <w:szCs w:val="22"/>
                        </w:rPr>
                        <w:t xml:space="preserve">November 2018 </w:t>
                      </w:r>
                    </w:p>
                    <w:p w:rsidR="00595080" w:rsidRPr="000D1B0D" w:rsidRDefault="00595080">
                      <w:pPr>
                        <w:rPr>
                          <w:rFonts w:ascii="Calibri" w:hAnsi="Calibri"/>
                          <w:sz w:val="22"/>
                          <w:szCs w:val="22"/>
                        </w:rPr>
                      </w:pPr>
                    </w:p>
                    <w:p w:rsidR="00595080" w:rsidRPr="000D1B0D" w:rsidRDefault="00595080">
                      <w:pPr>
                        <w:rPr>
                          <w:rFonts w:ascii="Calibri" w:hAnsi="Calibri"/>
                          <w:sz w:val="22"/>
                          <w:szCs w:val="22"/>
                        </w:rPr>
                      </w:pPr>
                      <w:r w:rsidRPr="000D1B0D">
                        <w:rPr>
                          <w:rFonts w:ascii="Calibri" w:hAnsi="Calibri"/>
                          <w:sz w:val="22"/>
                          <w:szCs w:val="22"/>
                        </w:rPr>
                        <w:t>Subject:</w:t>
                      </w:r>
                      <w:r>
                        <w:rPr>
                          <w:rFonts w:ascii="Calibri" w:hAnsi="Calibri"/>
                          <w:sz w:val="22"/>
                          <w:szCs w:val="22"/>
                        </w:rPr>
                        <w:t xml:space="preserve"> </w:t>
                      </w:r>
                      <w:r w:rsidRPr="00EA2734">
                        <w:rPr>
                          <w:rFonts w:ascii="Calibri" w:hAnsi="Calibri" w:cs="Calibri"/>
                          <w:bCs/>
                          <w:sz w:val="22"/>
                          <w:szCs w:val="22"/>
                        </w:rPr>
                        <w:t>Integrated Assurance and Quality Report</w:t>
                      </w:r>
                      <w:r>
                        <w:rPr>
                          <w:rFonts w:ascii="Calibri" w:hAnsi="Calibri"/>
                          <w:sz w:val="22"/>
                          <w:szCs w:val="22"/>
                        </w:rPr>
                        <w:tab/>
                      </w:r>
                    </w:p>
                    <w:p w:rsidR="00595080" w:rsidRPr="000D1B0D" w:rsidRDefault="00595080">
                      <w:pPr>
                        <w:rPr>
                          <w:rFonts w:ascii="Calibri" w:hAnsi="Calibri"/>
                          <w:sz w:val="22"/>
                          <w:szCs w:val="22"/>
                        </w:rPr>
                      </w:pPr>
                    </w:p>
                    <w:p w:rsidR="00595080" w:rsidRPr="000D1B0D" w:rsidRDefault="00595080">
                      <w:pPr>
                        <w:rPr>
                          <w:rFonts w:ascii="Calibri" w:hAnsi="Calibri"/>
                          <w:sz w:val="22"/>
                          <w:szCs w:val="22"/>
                        </w:rPr>
                      </w:pPr>
                      <w:r w:rsidRPr="000D1B0D">
                        <w:rPr>
                          <w:rFonts w:ascii="Calibri" w:hAnsi="Calibri"/>
                          <w:sz w:val="22"/>
                          <w:szCs w:val="22"/>
                        </w:rPr>
                        <w:t xml:space="preserve">Presented </w:t>
                      </w:r>
                      <w:r>
                        <w:rPr>
                          <w:rFonts w:ascii="Calibri" w:hAnsi="Calibri"/>
                          <w:sz w:val="22"/>
                          <w:szCs w:val="22"/>
                        </w:rPr>
                        <w:t xml:space="preserve">by: </w:t>
                      </w:r>
                      <w:r>
                        <w:rPr>
                          <w:rFonts w:ascii="Calibri" w:hAnsi="Calibri" w:cs="Calibri"/>
                          <w:bCs/>
                          <w:sz w:val="22"/>
                          <w:szCs w:val="22"/>
                        </w:rPr>
                        <w:t>Jan Haxby Director of Quality &amp; Nursing</w:t>
                      </w:r>
                    </w:p>
                    <w:p w:rsidR="00595080" w:rsidRPr="000D1B0D" w:rsidRDefault="00595080">
                      <w:pPr>
                        <w:rPr>
                          <w:rFonts w:ascii="Calibri" w:hAnsi="Calibri"/>
                          <w:sz w:val="22"/>
                          <w:szCs w:val="22"/>
                        </w:rPr>
                      </w:pPr>
                    </w:p>
                  </w:txbxContent>
                </v:textbox>
              </v:rect>
            </w:pict>
          </mc:Fallback>
        </mc:AlternateContent>
      </w: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69784F" w:rsidP="00D3211A">
      <w:pPr>
        <w:pStyle w:val="Default"/>
        <w:jc w:val="both"/>
        <w:rPr>
          <w:rFonts w:ascii="Calibri" w:hAnsi="Calibri" w:cs="Calibri"/>
          <w:sz w:val="20"/>
          <w:szCs w:val="20"/>
        </w:rPr>
      </w:pPr>
      <w:r>
        <w:rPr>
          <w:rFonts w:ascii="Calibri" w:hAnsi="Calibri" w:cs="Calibri"/>
          <w:noProof/>
          <w:sz w:val="20"/>
          <w:szCs w:val="20"/>
        </w:rPr>
        <mc:AlternateContent>
          <mc:Choice Requires="wps">
            <w:drawing>
              <wp:anchor distT="0" distB="0" distL="114300" distR="114300" simplePos="0" relativeHeight="251655168" behindDoc="0" locked="0" layoutInCell="1" allowOverlap="1">
                <wp:simplePos x="0" y="0"/>
                <wp:positionH relativeFrom="column">
                  <wp:posOffset>-2540</wp:posOffset>
                </wp:positionH>
                <wp:positionV relativeFrom="paragraph">
                  <wp:posOffset>29210</wp:posOffset>
                </wp:positionV>
                <wp:extent cx="6393180" cy="1227455"/>
                <wp:effectExtent l="6985" t="10160" r="10160" b="10160"/>
                <wp:wrapNone/>
                <wp:docPr id="8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3180" cy="1227455"/>
                        </a:xfrm>
                        <a:prstGeom prst="rect">
                          <a:avLst/>
                        </a:prstGeom>
                        <a:solidFill>
                          <a:srgbClr val="FFFFFF"/>
                        </a:solidFill>
                        <a:ln w="9525">
                          <a:solidFill>
                            <a:srgbClr val="000000"/>
                          </a:solidFill>
                          <a:miter lim="800000"/>
                          <a:headEnd/>
                          <a:tailEnd/>
                        </a:ln>
                      </wps:spPr>
                      <wps:txbx>
                        <w:txbxContent>
                          <w:p w:rsidR="00595080" w:rsidRPr="000D1B0D" w:rsidRDefault="00595080" w:rsidP="007C526F">
                            <w:pPr>
                              <w:rPr>
                                <w:rFonts w:ascii="Calibri" w:hAnsi="Calibri"/>
                                <w:b/>
                                <w:sz w:val="22"/>
                                <w:szCs w:val="22"/>
                              </w:rPr>
                            </w:pPr>
                            <w:r w:rsidRPr="000D1B0D">
                              <w:rPr>
                                <w:rFonts w:ascii="Calibri" w:hAnsi="Calibri"/>
                                <w:b/>
                                <w:sz w:val="22"/>
                                <w:szCs w:val="22"/>
                              </w:rPr>
                              <w:t>STATUS OF THE REPORT</w:t>
                            </w:r>
                          </w:p>
                          <w:p w:rsidR="00595080" w:rsidRPr="000D1B0D" w:rsidRDefault="00595080">
                            <w:pPr>
                              <w:rPr>
                                <w:rFonts w:ascii="Calibri" w:hAnsi="Calibri"/>
                                <w:sz w:val="22"/>
                                <w:szCs w:val="22"/>
                              </w:rPr>
                            </w:pPr>
                          </w:p>
                          <w:p w:rsidR="00595080" w:rsidRPr="000D1B0D" w:rsidRDefault="00595080" w:rsidP="00136B75">
                            <w:pPr>
                              <w:spacing w:line="360" w:lineRule="auto"/>
                              <w:rPr>
                                <w:rFonts w:ascii="Calibri" w:hAnsi="Calibri"/>
                                <w:sz w:val="22"/>
                                <w:szCs w:val="22"/>
                              </w:rPr>
                            </w:pPr>
                            <w:r w:rsidRPr="000D1B0D">
                              <w:rPr>
                                <w:rFonts w:ascii="Calibri" w:hAnsi="Calibri"/>
                                <w:sz w:val="22"/>
                                <w:szCs w:val="22"/>
                              </w:rPr>
                              <w:t xml:space="preserve">For Information </w:t>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r>
                              <w:rPr>
                                <w:rFonts w:ascii="Calibri" w:hAnsi="Calibri"/>
                                <w:noProof/>
                                <w:sz w:val="22"/>
                                <w:szCs w:val="22"/>
                                <w:lang w:eastAsia="en-GB"/>
                              </w:rPr>
                              <w:drawing>
                                <wp:inline distT="0" distB="0" distL="0" distR="0">
                                  <wp:extent cx="152400" cy="1428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p>
                          <w:p w:rsidR="00595080" w:rsidRPr="000D1B0D" w:rsidRDefault="00595080" w:rsidP="00136B75">
                            <w:pPr>
                              <w:spacing w:line="360" w:lineRule="auto"/>
                              <w:rPr>
                                <w:rFonts w:ascii="Calibri" w:hAnsi="Calibri"/>
                                <w:sz w:val="22"/>
                                <w:szCs w:val="22"/>
                              </w:rPr>
                            </w:pPr>
                            <w:r w:rsidRPr="000D1B0D">
                              <w:rPr>
                                <w:rFonts w:ascii="Calibri" w:hAnsi="Calibri"/>
                                <w:sz w:val="22"/>
                                <w:szCs w:val="22"/>
                              </w:rPr>
                              <w:t>For Discussion</w:t>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r w:rsidRPr="00100FD9">
                              <w:rPr>
                                <w:rFonts w:ascii="Calibri" w:hAnsi="Calibri"/>
                                <w:sz w:val="32"/>
                                <w:szCs w:val="32"/>
                              </w:rPr>
                              <w:sym w:font="Wingdings 2" w:char="F054"/>
                            </w:r>
                          </w:p>
                          <w:p w:rsidR="00595080" w:rsidRPr="000D1B0D" w:rsidRDefault="00595080" w:rsidP="00136B75">
                            <w:pPr>
                              <w:spacing w:line="360" w:lineRule="auto"/>
                              <w:rPr>
                                <w:rFonts w:ascii="Calibri" w:hAnsi="Calibri"/>
                                <w:sz w:val="22"/>
                                <w:szCs w:val="22"/>
                              </w:rPr>
                            </w:pPr>
                            <w:r w:rsidRPr="000D1B0D">
                              <w:rPr>
                                <w:rFonts w:ascii="Calibri" w:hAnsi="Calibri"/>
                                <w:sz w:val="22"/>
                                <w:szCs w:val="22"/>
                              </w:rPr>
                              <w:t>For Approval / Ratification</w:t>
                            </w:r>
                            <w:r w:rsidRPr="000D1B0D">
                              <w:rPr>
                                <w:rFonts w:ascii="Calibri" w:hAnsi="Calibri"/>
                                <w:sz w:val="22"/>
                                <w:szCs w:val="22"/>
                              </w:rPr>
                              <w:tab/>
                            </w:r>
                            <w:r w:rsidRPr="000D1B0D">
                              <w:rPr>
                                <w:rFonts w:ascii="Calibri" w:hAnsi="Calibri"/>
                                <w:sz w:val="22"/>
                                <w:szCs w:val="22"/>
                              </w:rPr>
                              <w:tab/>
                            </w:r>
                            <w:r>
                              <w:rPr>
                                <w:rFonts w:ascii="Calibri" w:hAnsi="Calibri"/>
                                <w:noProof/>
                                <w:sz w:val="22"/>
                                <w:szCs w:val="22"/>
                                <w:lang w:eastAsia="en-GB"/>
                              </w:rPr>
                              <w:drawing>
                                <wp:inline distT="0" distB="0" distL="0" distR="0">
                                  <wp:extent cx="152400" cy="14287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8" style="position:absolute;left:0;text-align:left;margin-left:-.2pt;margin-top:2.3pt;width:503.4pt;height:96.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">
                <v:textbox>
                  <w:txbxContent>
                    <w:p w:rsidR="00595080" w:rsidRPr="000D1B0D" w:rsidRDefault="00595080" w:rsidP="007C526F">
                      <w:pPr>
                        <w:rPr>
                          <w:rFonts w:ascii="Calibri" w:hAnsi="Calibri"/>
                          <w:b/>
                          <w:sz w:val="22"/>
                          <w:szCs w:val="22"/>
                        </w:rPr>
                      </w:pPr>
                      <w:r w:rsidRPr="000D1B0D">
                        <w:rPr>
                          <w:rFonts w:ascii="Calibri" w:hAnsi="Calibri"/>
                          <w:b/>
                          <w:sz w:val="22"/>
                          <w:szCs w:val="22"/>
                        </w:rPr>
                        <w:t>STATUS OF THE REPORT</w:t>
                      </w:r>
                    </w:p>
                    <w:p w:rsidR="00595080" w:rsidRPr="000D1B0D" w:rsidRDefault="00595080">
                      <w:pPr>
                        <w:rPr>
                          <w:rFonts w:ascii="Calibri" w:hAnsi="Calibri"/>
                          <w:sz w:val="22"/>
                          <w:szCs w:val="22"/>
                        </w:rPr>
                      </w:pPr>
                    </w:p>
                    <w:p w:rsidR="00595080" w:rsidRPr="000D1B0D" w:rsidRDefault="00595080" w:rsidP="00136B75">
                      <w:pPr>
                        <w:spacing w:line="360" w:lineRule="auto"/>
                        <w:rPr>
                          <w:rFonts w:ascii="Calibri" w:hAnsi="Calibri"/>
                          <w:sz w:val="22"/>
                          <w:szCs w:val="22"/>
                        </w:rPr>
                      </w:pPr>
                      <w:r w:rsidRPr="000D1B0D">
                        <w:rPr>
                          <w:rFonts w:ascii="Calibri" w:hAnsi="Calibri"/>
                          <w:sz w:val="22"/>
                          <w:szCs w:val="22"/>
                        </w:rPr>
                        <w:t xml:space="preserve">For Information </w:t>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r>
                        <w:rPr>
                          <w:rFonts w:ascii="Calibri" w:hAnsi="Calibri"/>
                          <w:noProof/>
                          <w:sz w:val="22"/>
                          <w:szCs w:val="22"/>
                          <w:lang w:eastAsia="en-GB"/>
                        </w:rPr>
                        <w:drawing>
                          <wp:inline distT="0" distB="0" distL="0" distR="0">
                            <wp:extent cx="152400" cy="1428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p>
                    <w:p w:rsidR="00595080" w:rsidRPr="000D1B0D" w:rsidRDefault="00595080" w:rsidP="00136B75">
                      <w:pPr>
                        <w:spacing w:line="360" w:lineRule="auto"/>
                        <w:rPr>
                          <w:rFonts w:ascii="Calibri" w:hAnsi="Calibri"/>
                          <w:sz w:val="22"/>
                          <w:szCs w:val="22"/>
                        </w:rPr>
                      </w:pPr>
                      <w:r w:rsidRPr="000D1B0D">
                        <w:rPr>
                          <w:rFonts w:ascii="Calibri" w:hAnsi="Calibri"/>
                          <w:sz w:val="22"/>
                          <w:szCs w:val="22"/>
                        </w:rPr>
                        <w:t>For Discussion</w:t>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r w:rsidRPr="00100FD9">
                        <w:rPr>
                          <w:rFonts w:ascii="Calibri" w:hAnsi="Calibri"/>
                          <w:sz w:val="32"/>
                          <w:szCs w:val="32"/>
                        </w:rPr>
                        <w:sym w:font="Wingdings 2" w:char="F054"/>
                      </w:r>
                    </w:p>
                    <w:p w:rsidR="00595080" w:rsidRPr="000D1B0D" w:rsidRDefault="00595080" w:rsidP="00136B75">
                      <w:pPr>
                        <w:spacing w:line="360" w:lineRule="auto"/>
                        <w:rPr>
                          <w:rFonts w:ascii="Calibri" w:hAnsi="Calibri"/>
                          <w:sz w:val="22"/>
                          <w:szCs w:val="22"/>
                        </w:rPr>
                      </w:pPr>
                      <w:r w:rsidRPr="000D1B0D">
                        <w:rPr>
                          <w:rFonts w:ascii="Calibri" w:hAnsi="Calibri"/>
                          <w:sz w:val="22"/>
                          <w:szCs w:val="22"/>
                        </w:rPr>
                        <w:t>For Approval / Ratification</w:t>
                      </w:r>
                      <w:r w:rsidRPr="000D1B0D">
                        <w:rPr>
                          <w:rFonts w:ascii="Calibri" w:hAnsi="Calibri"/>
                          <w:sz w:val="22"/>
                          <w:szCs w:val="22"/>
                        </w:rPr>
                        <w:tab/>
                      </w:r>
                      <w:r w:rsidRPr="000D1B0D">
                        <w:rPr>
                          <w:rFonts w:ascii="Calibri" w:hAnsi="Calibri"/>
                          <w:sz w:val="22"/>
                          <w:szCs w:val="22"/>
                        </w:rPr>
                        <w:tab/>
                      </w:r>
                      <w:r>
                        <w:rPr>
                          <w:rFonts w:ascii="Calibri" w:hAnsi="Calibri"/>
                          <w:noProof/>
                          <w:sz w:val="22"/>
                          <w:szCs w:val="22"/>
                          <w:lang w:eastAsia="en-GB"/>
                        </w:rPr>
                        <w:drawing>
                          <wp:inline distT="0" distB="0" distL="0" distR="0">
                            <wp:extent cx="152400" cy="14287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xbxContent>
                </v:textbox>
              </v:rect>
            </w:pict>
          </mc:Fallback>
        </mc:AlternateContent>
      </w: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Pr="004B597D" w:rsidRDefault="00136B75" w:rsidP="00D3211A">
      <w:pPr>
        <w:pStyle w:val="Default"/>
        <w:jc w:val="both"/>
        <w:rPr>
          <w:rFonts w:ascii="Calibri" w:hAnsi="Calibri" w:cs="Calibri"/>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7977"/>
      </w:tblGrid>
      <w:tr w:rsidR="009D4EDC" w:rsidRPr="000D1B0D" w:rsidTr="007663C8">
        <w:tc>
          <w:tcPr>
            <w:tcW w:w="2103" w:type="dxa"/>
            <w:tcBorders>
              <w:bottom w:val="single" w:sz="4" w:space="0" w:color="auto"/>
            </w:tcBorders>
            <w:shd w:val="clear" w:color="auto" w:fill="auto"/>
          </w:tcPr>
          <w:p w:rsidR="009D4EDC" w:rsidRPr="000D1B0D" w:rsidRDefault="009D4EDC" w:rsidP="009D4EDC">
            <w:pPr>
              <w:rPr>
                <w:rFonts w:ascii="Calibri" w:hAnsi="Calibri"/>
                <w:b/>
                <w:sz w:val="22"/>
                <w:szCs w:val="22"/>
              </w:rPr>
            </w:pPr>
            <w:r w:rsidRPr="000D1B0D">
              <w:rPr>
                <w:rFonts w:ascii="Calibri" w:hAnsi="Calibri"/>
                <w:b/>
                <w:sz w:val="22"/>
                <w:szCs w:val="22"/>
              </w:rPr>
              <w:t>PURPOSE OF REPORT:</w:t>
            </w:r>
          </w:p>
          <w:p w:rsidR="009D4EDC" w:rsidRPr="000D1B0D" w:rsidRDefault="009D4EDC" w:rsidP="000D1B0D">
            <w:pPr>
              <w:pStyle w:val="Default"/>
              <w:jc w:val="both"/>
              <w:rPr>
                <w:rFonts w:ascii="Calibri" w:hAnsi="Calibri" w:cs="Calibri"/>
                <w:b/>
                <w:sz w:val="20"/>
                <w:szCs w:val="20"/>
              </w:rPr>
            </w:pPr>
          </w:p>
        </w:tc>
        <w:tc>
          <w:tcPr>
            <w:tcW w:w="7977" w:type="dxa"/>
            <w:shd w:val="clear" w:color="auto" w:fill="auto"/>
          </w:tcPr>
          <w:p w:rsidR="003B7D1C" w:rsidRPr="00EA2734" w:rsidRDefault="003B7D1C" w:rsidP="003B7D1C">
            <w:pPr>
              <w:jc w:val="both"/>
              <w:rPr>
                <w:rFonts w:ascii="Calibri" w:hAnsi="Calibri" w:cs="Calibri"/>
                <w:bCs/>
                <w:sz w:val="22"/>
                <w:szCs w:val="22"/>
              </w:rPr>
            </w:pPr>
            <w:r w:rsidRPr="00EA2734">
              <w:rPr>
                <w:rFonts w:ascii="Calibri" w:hAnsi="Calibri" w:cs="Calibri"/>
                <w:bCs/>
                <w:sz w:val="22"/>
                <w:szCs w:val="22"/>
              </w:rPr>
              <w:t>The report advises the Partnership Board of how NELCCG are performing against;</w:t>
            </w:r>
          </w:p>
          <w:p w:rsidR="003B7D1C" w:rsidRPr="00EA2734" w:rsidRDefault="003B7D1C" w:rsidP="003B7D1C">
            <w:pPr>
              <w:jc w:val="both"/>
              <w:rPr>
                <w:rFonts w:ascii="Calibri" w:hAnsi="Calibri" w:cs="Calibri"/>
                <w:bCs/>
                <w:sz w:val="22"/>
                <w:szCs w:val="22"/>
              </w:rPr>
            </w:pPr>
          </w:p>
          <w:p w:rsidR="003B7D1C" w:rsidRPr="00EA2734" w:rsidRDefault="003B7D1C" w:rsidP="00197E49">
            <w:pPr>
              <w:numPr>
                <w:ilvl w:val="0"/>
                <w:numId w:val="3"/>
              </w:numPr>
              <w:rPr>
                <w:rFonts w:ascii="Calibri" w:hAnsi="Calibri" w:cs="Calibri"/>
                <w:bCs/>
                <w:sz w:val="22"/>
                <w:szCs w:val="22"/>
              </w:rPr>
            </w:pPr>
            <w:r w:rsidRPr="00EA2734">
              <w:rPr>
                <w:rFonts w:ascii="Calibri" w:hAnsi="Calibri" w:cs="Calibri"/>
                <w:bCs/>
                <w:sz w:val="22"/>
                <w:szCs w:val="22"/>
              </w:rPr>
              <w:t>six domains developed for the performance dashboard</w:t>
            </w:r>
            <w:r w:rsidR="005F244A">
              <w:rPr>
                <w:rFonts w:ascii="Calibri" w:hAnsi="Calibri" w:cs="Calibri"/>
                <w:bCs/>
                <w:sz w:val="22"/>
                <w:szCs w:val="22"/>
              </w:rPr>
              <w:t xml:space="preserve"> and</w:t>
            </w:r>
            <w:r w:rsidRPr="00EA2734">
              <w:rPr>
                <w:rFonts w:ascii="Calibri" w:hAnsi="Calibri" w:cs="Calibri"/>
                <w:bCs/>
                <w:sz w:val="22"/>
                <w:szCs w:val="22"/>
              </w:rPr>
              <w:t>;</w:t>
            </w:r>
          </w:p>
          <w:p w:rsidR="003B7D1C" w:rsidRPr="00EA2734" w:rsidRDefault="003B7D1C" w:rsidP="00197E49">
            <w:pPr>
              <w:numPr>
                <w:ilvl w:val="0"/>
                <w:numId w:val="3"/>
              </w:numPr>
              <w:rPr>
                <w:rFonts w:ascii="Calibri" w:hAnsi="Calibri" w:cs="Calibri"/>
                <w:bCs/>
                <w:sz w:val="22"/>
                <w:szCs w:val="22"/>
              </w:rPr>
            </w:pPr>
            <w:proofErr w:type="gramStart"/>
            <w:r w:rsidRPr="00EA2734">
              <w:rPr>
                <w:rFonts w:ascii="Calibri" w:hAnsi="Calibri" w:cs="Calibri"/>
                <w:bCs/>
                <w:sz w:val="22"/>
                <w:szCs w:val="22"/>
              </w:rPr>
              <w:t>three</w:t>
            </w:r>
            <w:proofErr w:type="gramEnd"/>
            <w:r w:rsidRPr="00EA2734">
              <w:rPr>
                <w:rFonts w:ascii="Calibri" w:hAnsi="Calibri" w:cs="Calibri"/>
                <w:bCs/>
                <w:sz w:val="22"/>
                <w:szCs w:val="22"/>
              </w:rPr>
              <w:t xml:space="preserve"> domains d</w:t>
            </w:r>
            <w:r w:rsidR="005F244A">
              <w:rPr>
                <w:rFonts w:ascii="Calibri" w:hAnsi="Calibri" w:cs="Calibri"/>
                <w:bCs/>
                <w:sz w:val="22"/>
                <w:szCs w:val="22"/>
              </w:rPr>
              <w:t xml:space="preserve">eveloped for quality dashboard. </w:t>
            </w:r>
          </w:p>
          <w:p w:rsidR="003B7D1C" w:rsidRPr="00EA2734" w:rsidRDefault="003B7D1C" w:rsidP="003B7D1C">
            <w:pPr>
              <w:rPr>
                <w:rFonts w:ascii="Calibri" w:hAnsi="Calibri" w:cs="Calibri"/>
                <w:bCs/>
                <w:sz w:val="22"/>
                <w:szCs w:val="22"/>
              </w:rPr>
            </w:pPr>
          </w:p>
          <w:p w:rsidR="003B7D1C" w:rsidRPr="00EA2734" w:rsidRDefault="003B7D1C" w:rsidP="003B7D1C">
            <w:pPr>
              <w:rPr>
                <w:rFonts w:ascii="Calibri" w:hAnsi="Calibri" w:cs="Calibri"/>
                <w:bCs/>
                <w:sz w:val="22"/>
                <w:szCs w:val="22"/>
              </w:rPr>
            </w:pPr>
            <w:r w:rsidRPr="00EA2734">
              <w:rPr>
                <w:rFonts w:ascii="Calibri" w:hAnsi="Calibri" w:cs="Calibri"/>
                <w:bCs/>
                <w:sz w:val="22"/>
                <w:szCs w:val="22"/>
              </w:rPr>
              <w:t xml:space="preserve">The dashboards are managed via the Delivery Assurance Committee, the </w:t>
            </w:r>
            <w:r w:rsidR="00920869">
              <w:rPr>
                <w:rFonts w:ascii="Calibri" w:hAnsi="Calibri" w:cs="Calibri"/>
                <w:bCs/>
                <w:sz w:val="22"/>
                <w:szCs w:val="22"/>
              </w:rPr>
              <w:t xml:space="preserve">Clinical Governance </w:t>
            </w:r>
            <w:r w:rsidRPr="00EA2734">
              <w:rPr>
                <w:rFonts w:ascii="Calibri" w:hAnsi="Calibri" w:cs="Calibri"/>
                <w:bCs/>
                <w:sz w:val="22"/>
                <w:szCs w:val="22"/>
              </w:rPr>
              <w:t xml:space="preserve">Committee and the Integrated Governance and Audit Committee. </w:t>
            </w:r>
          </w:p>
          <w:p w:rsidR="003B7D1C" w:rsidRPr="00EA2734" w:rsidRDefault="003B7D1C" w:rsidP="003B7D1C">
            <w:pPr>
              <w:rPr>
                <w:rFonts w:ascii="Calibri" w:hAnsi="Calibri" w:cs="Calibri"/>
                <w:bCs/>
                <w:sz w:val="22"/>
                <w:szCs w:val="22"/>
              </w:rPr>
            </w:pPr>
          </w:p>
          <w:p w:rsidR="00E76606" w:rsidRPr="000D1B0D" w:rsidRDefault="00FB533E" w:rsidP="00920869">
            <w:pPr>
              <w:pStyle w:val="Default"/>
              <w:rPr>
                <w:rFonts w:ascii="Calibri" w:hAnsi="Calibri" w:cs="Calibri"/>
                <w:sz w:val="20"/>
                <w:szCs w:val="20"/>
              </w:rPr>
            </w:pPr>
            <w:r w:rsidRPr="00EA2734">
              <w:rPr>
                <w:rFonts w:ascii="Calibri" w:eastAsia="Times New Roman" w:hAnsi="Calibri" w:cs="Calibri"/>
                <w:bCs/>
                <w:color w:val="auto"/>
                <w:sz w:val="22"/>
                <w:szCs w:val="22"/>
                <w:lang w:eastAsia="en-US"/>
              </w:rPr>
              <w:t>For more detail on per</w:t>
            </w:r>
            <w:r w:rsidR="0004594E">
              <w:rPr>
                <w:rFonts w:ascii="Calibri" w:eastAsia="Times New Roman" w:hAnsi="Calibri" w:cs="Calibri"/>
                <w:bCs/>
                <w:color w:val="auto"/>
                <w:sz w:val="22"/>
                <w:szCs w:val="22"/>
                <w:lang w:eastAsia="en-US"/>
              </w:rPr>
              <w:t>f</w:t>
            </w:r>
            <w:r w:rsidR="00D2303C">
              <w:rPr>
                <w:rFonts w:ascii="Calibri" w:eastAsia="Times New Roman" w:hAnsi="Calibri" w:cs="Calibri"/>
                <w:bCs/>
                <w:color w:val="auto"/>
                <w:sz w:val="22"/>
                <w:szCs w:val="22"/>
                <w:lang w:eastAsia="en-US"/>
              </w:rPr>
              <w:t>ormance</w:t>
            </w:r>
            <w:r w:rsidRPr="00EA2734">
              <w:rPr>
                <w:rFonts w:ascii="Calibri" w:eastAsia="Times New Roman" w:hAnsi="Calibri" w:cs="Calibri"/>
                <w:bCs/>
                <w:color w:val="auto"/>
                <w:sz w:val="22"/>
                <w:szCs w:val="22"/>
                <w:lang w:eastAsia="en-US"/>
              </w:rPr>
              <w:t xml:space="preserve"> </w:t>
            </w:r>
            <w:r w:rsidR="0004594E">
              <w:rPr>
                <w:rFonts w:ascii="Calibri" w:eastAsia="Times New Roman" w:hAnsi="Calibri" w:cs="Calibri"/>
                <w:bCs/>
                <w:color w:val="auto"/>
                <w:sz w:val="22"/>
                <w:szCs w:val="22"/>
                <w:lang w:eastAsia="en-US"/>
              </w:rPr>
              <w:t xml:space="preserve">and quality </w:t>
            </w:r>
            <w:r w:rsidRPr="00EA2734">
              <w:rPr>
                <w:rFonts w:ascii="Calibri" w:eastAsia="Times New Roman" w:hAnsi="Calibri" w:cs="Calibri"/>
                <w:bCs/>
                <w:color w:val="auto"/>
                <w:sz w:val="22"/>
                <w:szCs w:val="22"/>
                <w:lang w:eastAsia="en-US"/>
              </w:rPr>
              <w:t xml:space="preserve">the latest integrated assurance report presented to the Delivery Assurance Committee </w:t>
            </w:r>
            <w:r w:rsidR="0004594E">
              <w:rPr>
                <w:rFonts w:ascii="Calibri" w:eastAsia="Times New Roman" w:hAnsi="Calibri" w:cs="Calibri"/>
                <w:bCs/>
                <w:color w:val="auto"/>
                <w:sz w:val="22"/>
                <w:szCs w:val="22"/>
                <w:lang w:eastAsia="en-US"/>
              </w:rPr>
              <w:t xml:space="preserve">and </w:t>
            </w:r>
            <w:r w:rsidR="00920869">
              <w:rPr>
                <w:rFonts w:ascii="Calibri" w:eastAsia="Times New Roman" w:hAnsi="Calibri" w:cs="Calibri"/>
                <w:bCs/>
                <w:color w:val="auto"/>
                <w:sz w:val="22"/>
                <w:szCs w:val="22"/>
                <w:lang w:eastAsia="en-US"/>
              </w:rPr>
              <w:t xml:space="preserve">the </w:t>
            </w:r>
            <w:r w:rsidR="0004594E">
              <w:rPr>
                <w:rFonts w:ascii="Calibri" w:eastAsia="Times New Roman" w:hAnsi="Calibri" w:cs="Calibri"/>
                <w:bCs/>
                <w:color w:val="auto"/>
                <w:sz w:val="22"/>
                <w:szCs w:val="22"/>
                <w:lang w:eastAsia="en-US"/>
              </w:rPr>
              <w:t xml:space="preserve">quality dashboard report </w:t>
            </w:r>
            <w:r w:rsidR="00920869">
              <w:rPr>
                <w:rFonts w:ascii="Calibri" w:eastAsia="Times New Roman" w:hAnsi="Calibri" w:cs="Calibri"/>
                <w:bCs/>
                <w:color w:val="auto"/>
                <w:sz w:val="22"/>
                <w:szCs w:val="22"/>
                <w:lang w:eastAsia="en-US"/>
              </w:rPr>
              <w:t xml:space="preserve">verbally </w:t>
            </w:r>
            <w:r w:rsidR="0004594E">
              <w:rPr>
                <w:rFonts w:ascii="Calibri" w:eastAsia="Times New Roman" w:hAnsi="Calibri" w:cs="Calibri"/>
                <w:bCs/>
                <w:color w:val="auto"/>
                <w:sz w:val="22"/>
                <w:szCs w:val="22"/>
                <w:lang w:eastAsia="en-US"/>
              </w:rPr>
              <w:t xml:space="preserve">presented to the </w:t>
            </w:r>
            <w:r w:rsidR="00920869">
              <w:rPr>
                <w:rFonts w:ascii="Calibri" w:eastAsia="Times New Roman" w:hAnsi="Calibri" w:cs="Calibri"/>
                <w:bCs/>
                <w:color w:val="auto"/>
                <w:sz w:val="22"/>
                <w:szCs w:val="22"/>
                <w:lang w:eastAsia="en-US"/>
              </w:rPr>
              <w:t xml:space="preserve">Clinical Governance </w:t>
            </w:r>
            <w:r w:rsidR="0004594E">
              <w:rPr>
                <w:rFonts w:ascii="Calibri" w:eastAsia="Times New Roman" w:hAnsi="Calibri" w:cs="Calibri"/>
                <w:bCs/>
                <w:color w:val="auto"/>
                <w:sz w:val="22"/>
                <w:szCs w:val="22"/>
                <w:lang w:eastAsia="en-US"/>
              </w:rPr>
              <w:t xml:space="preserve">Committee </w:t>
            </w:r>
            <w:r w:rsidRPr="00EA2734">
              <w:rPr>
                <w:rFonts w:ascii="Calibri" w:eastAsia="Times New Roman" w:hAnsi="Calibri" w:cs="Calibri"/>
                <w:bCs/>
                <w:color w:val="auto"/>
                <w:sz w:val="22"/>
                <w:szCs w:val="22"/>
                <w:lang w:eastAsia="en-US"/>
              </w:rPr>
              <w:t>can be found via the embedded file</w:t>
            </w:r>
            <w:r w:rsidR="0004594E">
              <w:rPr>
                <w:rFonts w:ascii="Calibri" w:eastAsia="Times New Roman" w:hAnsi="Calibri" w:cs="Calibri"/>
                <w:bCs/>
                <w:color w:val="auto"/>
                <w:sz w:val="22"/>
                <w:szCs w:val="22"/>
                <w:lang w:eastAsia="en-US"/>
              </w:rPr>
              <w:t>s</w:t>
            </w:r>
            <w:r w:rsidRPr="00EA2734">
              <w:rPr>
                <w:rFonts w:ascii="Calibri" w:eastAsia="Times New Roman" w:hAnsi="Calibri" w:cs="Calibri"/>
                <w:bCs/>
                <w:color w:val="auto"/>
                <w:sz w:val="22"/>
                <w:szCs w:val="22"/>
                <w:lang w:eastAsia="en-US"/>
              </w:rPr>
              <w:t xml:space="preserve"> in the ‘Appendices / attachments’ section of this cover sheet.</w:t>
            </w:r>
          </w:p>
        </w:tc>
      </w:tr>
      <w:tr w:rsidR="009D4EDC" w:rsidRPr="000D1B0D" w:rsidTr="007663C8">
        <w:tc>
          <w:tcPr>
            <w:tcW w:w="2103" w:type="dxa"/>
            <w:shd w:val="clear" w:color="auto" w:fill="595959"/>
          </w:tcPr>
          <w:p w:rsidR="009D4EDC" w:rsidRPr="000D1B0D" w:rsidRDefault="009D4EDC" w:rsidP="000D1B0D">
            <w:pPr>
              <w:pStyle w:val="Default"/>
              <w:jc w:val="both"/>
              <w:rPr>
                <w:rFonts w:ascii="Calibri" w:hAnsi="Calibri" w:cs="Calibri"/>
                <w:b/>
                <w:color w:val="FFFFFF"/>
                <w:sz w:val="20"/>
                <w:szCs w:val="20"/>
              </w:rPr>
            </w:pPr>
          </w:p>
          <w:p w:rsidR="009D4EDC" w:rsidRPr="000D1B0D" w:rsidRDefault="009D4EDC" w:rsidP="000D1B0D">
            <w:pPr>
              <w:pStyle w:val="Default"/>
              <w:jc w:val="both"/>
              <w:rPr>
                <w:rFonts w:ascii="Calibri" w:hAnsi="Calibri" w:cs="Calibri"/>
                <w:b/>
                <w:color w:val="FFFFFF"/>
                <w:sz w:val="20"/>
                <w:szCs w:val="20"/>
              </w:rPr>
            </w:pPr>
            <w:r w:rsidRPr="000D1B0D">
              <w:rPr>
                <w:rFonts w:ascii="Calibri" w:hAnsi="Calibri" w:cs="Calibri"/>
                <w:b/>
                <w:color w:val="FFFFFF"/>
                <w:sz w:val="20"/>
                <w:szCs w:val="20"/>
              </w:rPr>
              <w:t>Recommendations:</w:t>
            </w:r>
          </w:p>
        </w:tc>
        <w:tc>
          <w:tcPr>
            <w:tcW w:w="7977" w:type="dxa"/>
            <w:shd w:val="clear" w:color="auto" w:fill="auto"/>
          </w:tcPr>
          <w:p w:rsidR="00FB533E" w:rsidRPr="00EA2734" w:rsidRDefault="00FB533E" w:rsidP="00FB533E">
            <w:pPr>
              <w:jc w:val="both"/>
              <w:rPr>
                <w:rFonts w:ascii="Calibri" w:hAnsi="Calibri" w:cs="Calibri"/>
                <w:bCs/>
                <w:sz w:val="22"/>
                <w:szCs w:val="22"/>
              </w:rPr>
            </w:pPr>
            <w:r w:rsidRPr="00EA2734">
              <w:rPr>
                <w:rFonts w:ascii="Calibri" w:hAnsi="Calibri" w:cs="Calibri"/>
                <w:bCs/>
                <w:sz w:val="22"/>
                <w:szCs w:val="22"/>
              </w:rPr>
              <w:t>The Partnership Board is asked:</w:t>
            </w:r>
          </w:p>
          <w:p w:rsidR="00FB533E" w:rsidRDefault="00FB533E" w:rsidP="00AF50F5">
            <w:pPr>
              <w:numPr>
                <w:ilvl w:val="0"/>
                <w:numId w:val="2"/>
              </w:numPr>
              <w:rPr>
                <w:rFonts w:ascii="Calibri" w:hAnsi="Calibri" w:cs="Calibri"/>
                <w:bCs/>
                <w:sz w:val="22"/>
                <w:szCs w:val="22"/>
              </w:rPr>
            </w:pPr>
            <w:r w:rsidRPr="00EA2734">
              <w:rPr>
                <w:rFonts w:ascii="Calibri" w:hAnsi="Calibri" w:cs="Calibri"/>
                <w:bCs/>
                <w:sz w:val="22"/>
                <w:szCs w:val="22"/>
              </w:rPr>
              <w:t>to note judgements made against the domains of the dashboards</w:t>
            </w:r>
          </w:p>
          <w:p w:rsidR="009D4EDC" w:rsidRPr="006A0A2E" w:rsidRDefault="00FB533E" w:rsidP="00AF50F5">
            <w:pPr>
              <w:numPr>
                <w:ilvl w:val="0"/>
                <w:numId w:val="2"/>
              </w:numPr>
              <w:rPr>
                <w:rFonts w:ascii="Calibri" w:hAnsi="Calibri" w:cs="Calibri"/>
                <w:sz w:val="20"/>
              </w:rPr>
            </w:pPr>
            <w:proofErr w:type="gramStart"/>
            <w:r w:rsidRPr="00EA2734">
              <w:rPr>
                <w:rFonts w:ascii="Calibri" w:hAnsi="Calibri" w:cs="Calibri"/>
                <w:bCs/>
                <w:sz w:val="22"/>
                <w:szCs w:val="22"/>
              </w:rPr>
              <w:t>for</w:t>
            </w:r>
            <w:proofErr w:type="gramEnd"/>
            <w:r w:rsidRPr="00EA2734">
              <w:rPr>
                <w:rFonts w:ascii="Calibri" w:hAnsi="Calibri" w:cs="Calibri"/>
                <w:bCs/>
                <w:sz w:val="22"/>
                <w:szCs w:val="22"/>
              </w:rPr>
              <w:t xml:space="preserve"> further feedback on ways to improve the report</w:t>
            </w:r>
            <w:r w:rsidR="00C148F8">
              <w:rPr>
                <w:rFonts w:ascii="Calibri" w:hAnsi="Calibri" w:cs="Calibri"/>
                <w:bCs/>
                <w:sz w:val="22"/>
                <w:szCs w:val="22"/>
              </w:rPr>
              <w:t>.</w:t>
            </w:r>
          </w:p>
          <w:p w:rsidR="006A0A2E" w:rsidRPr="000D1B0D" w:rsidRDefault="006A0A2E" w:rsidP="006A0A2E">
            <w:pPr>
              <w:numPr>
                <w:ilvl w:val="0"/>
                <w:numId w:val="2"/>
              </w:numPr>
              <w:rPr>
                <w:rFonts w:ascii="Calibri" w:hAnsi="Calibri" w:cs="Calibri"/>
                <w:sz w:val="20"/>
              </w:rPr>
            </w:pPr>
            <w:r>
              <w:rPr>
                <w:rFonts w:ascii="Calibri" w:hAnsi="Calibri" w:cs="Calibri"/>
                <w:bCs/>
                <w:sz w:val="22"/>
                <w:szCs w:val="22"/>
              </w:rPr>
              <w:t xml:space="preserve">to note information on </w:t>
            </w:r>
            <w:r w:rsidRPr="006A0A2E">
              <w:rPr>
                <w:rFonts w:ascii="Calibri" w:hAnsi="Calibri" w:cs="Calibri"/>
                <w:bCs/>
                <w:sz w:val="22"/>
                <w:szCs w:val="22"/>
              </w:rPr>
              <w:t>NELCCG Quarter 2 Assurance Meeting</w:t>
            </w:r>
          </w:p>
        </w:tc>
      </w:tr>
      <w:tr w:rsidR="009D4EDC" w:rsidRPr="000D1B0D" w:rsidTr="007663C8">
        <w:tc>
          <w:tcPr>
            <w:tcW w:w="2103" w:type="dxa"/>
            <w:shd w:val="clear" w:color="auto" w:fill="auto"/>
          </w:tcPr>
          <w:p w:rsidR="009D4EDC" w:rsidRPr="000D1B0D" w:rsidRDefault="009D4EDC" w:rsidP="008E6240">
            <w:pPr>
              <w:pStyle w:val="Default"/>
              <w:rPr>
                <w:rFonts w:ascii="Calibri" w:hAnsi="Calibri" w:cs="Calibri"/>
                <w:b/>
                <w:sz w:val="20"/>
                <w:szCs w:val="20"/>
              </w:rPr>
            </w:pPr>
            <w:r w:rsidRPr="000D1B0D">
              <w:rPr>
                <w:rFonts w:ascii="Calibri" w:hAnsi="Calibri" w:cs="Calibri"/>
                <w:b/>
                <w:sz w:val="20"/>
                <w:szCs w:val="20"/>
              </w:rPr>
              <w:t>Sub Committee Process and Assurance:</w:t>
            </w:r>
          </w:p>
        </w:tc>
        <w:tc>
          <w:tcPr>
            <w:tcW w:w="7977" w:type="dxa"/>
            <w:shd w:val="clear" w:color="auto" w:fill="auto"/>
          </w:tcPr>
          <w:p w:rsidR="00246EFA" w:rsidRDefault="000C416B" w:rsidP="00D2303C">
            <w:pPr>
              <w:pStyle w:val="Default"/>
              <w:jc w:val="both"/>
              <w:rPr>
                <w:rFonts w:ascii="Calibri" w:hAnsi="Calibri" w:cs="Calibri"/>
                <w:sz w:val="22"/>
                <w:szCs w:val="22"/>
              </w:rPr>
            </w:pPr>
            <w:r w:rsidRPr="00EA2734">
              <w:rPr>
                <w:rFonts w:ascii="Calibri" w:hAnsi="Calibri" w:cs="Calibri"/>
                <w:bCs/>
                <w:sz w:val="22"/>
                <w:szCs w:val="22"/>
              </w:rPr>
              <w:t>T</w:t>
            </w:r>
            <w:r w:rsidR="00D2303C">
              <w:rPr>
                <w:rFonts w:ascii="Calibri" w:hAnsi="Calibri" w:cs="Calibri"/>
                <w:bCs/>
                <w:sz w:val="22"/>
                <w:szCs w:val="22"/>
              </w:rPr>
              <w:t>he Delivery Assurance Committee and the</w:t>
            </w:r>
            <w:r w:rsidRPr="00EA2734">
              <w:rPr>
                <w:rFonts w:ascii="Calibri" w:hAnsi="Calibri" w:cs="Calibri"/>
                <w:bCs/>
                <w:sz w:val="22"/>
                <w:szCs w:val="22"/>
              </w:rPr>
              <w:t xml:space="preserve"> </w:t>
            </w:r>
            <w:r w:rsidR="00D2303C">
              <w:rPr>
                <w:rFonts w:ascii="Calibri" w:hAnsi="Calibri" w:cs="Calibri"/>
                <w:bCs/>
                <w:sz w:val="22"/>
                <w:szCs w:val="22"/>
              </w:rPr>
              <w:t>Clinical Governance</w:t>
            </w:r>
            <w:r w:rsidRPr="00EA2734">
              <w:rPr>
                <w:rFonts w:ascii="Calibri" w:hAnsi="Calibri" w:cs="Calibri"/>
                <w:bCs/>
                <w:sz w:val="22"/>
                <w:szCs w:val="22"/>
              </w:rPr>
              <w:t xml:space="preserve"> Committee </w:t>
            </w:r>
            <w:r w:rsidR="00EA2734" w:rsidRPr="00EA2734">
              <w:rPr>
                <w:rFonts w:ascii="Calibri" w:hAnsi="Calibri" w:cs="Calibri"/>
                <w:bCs/>
                <w:sz w:val="22"/>
                <w:szCs w:val="22"/>
              </w:rPr>
              <w:t>manage</w:t>
            </w:r>
            <w:r w:rsidRPr="00EA2734">
              <w:rPr>
                <w:rFonts w:ascii="Calibri" w:hAnsi="Calibri" w:cs="Calibri"/>
                <w:bCs/>
                <w:sz w:val="22"/>
                <w:szCs w:val="22"/>
              </w:rPr>
              <w:t xml:space="preserve"> and assure th</w:t>
            </w:r>
            <w:r w:rsidR="00D2303C">
              <w:rPr>
                <w:rFonts w:ascii="Calibri" w:hAnsi="Calibri" w:cs="Calibri"/>
                <w:bCs/>
                <w:sz w:val="22"/>
                <w:szCs w:val="22"/>
              </w:rPr>
              <w:t>e performance and quality</w:t>
            </w:r>
            <w:r w:rsidRPr="00EA2734">
              <w:rPr>
                <w:rFonts w:ascii="Calibri" w:hAnsi="Calibri" w:cs="Calibri"/>
                <w:bCs/>
                <w:sz w:val="22"/>
                <w:szCs w:val="22"/>
              </w:rPr>
              <w:t xml:space="preserve"> contained within these dashboards</w:t>
            </w:r>
            <w:r w:rsidRPr="00EA2734">
              <w:rPr>
                <w:rFonts w:ascii="Calibri" w:hAnsi="Calibri" w:cs="Calibri"/>
                <w:sz w:val="22"/>
                <w:szCs w:val="22"/>
              </w:rPr>
              <w:t>.</w:t>
            </w:r>
          </w:p>
          <w:p w:rsidR="00D57250" w:rsidRDefault="00D57250" w:rsidP="00D2303C">
            <w:pPr>
              <w:pStyle w:val="Default"/>
              <w:jc w:val="both"/>
              <w:rPr>
                <w:rFonts w:ascii="Calibri" w:hAnsi="Calibri" w:cs="Calibri"/>
                <w:sz w:val="22"/>
                <w:szCs w:val="22"/>
              </w:rPr>
            </w:pPr>
          </w:p>
          <w:p w:rsidR="00D57250" w:rsidRDefault="00D57250" w:rsidP="00D2303C">
            <w:pPr>
              <w:pStyle w:val="Default"/>
              <w:jc w:val="both"/>
              <w:rPr>
                <w:rFonts w:ascii="Calibri" w:hAnsi="Calibri" w:cs="Calibri"/>
                <w:sz w:val="22"/>
                <w:szCs w:val="22"/>
              </w:rPr>
            </w:pPr>
            <w:r>
              <w:rPr>
                <w:rFonts w:ascii="Calibri" w:hAnsi="Calibri" w:cs="Calibri"/>
                <w:sz w:val="22"/>
                <w:szCs w:val="22"/>
              </w:rPr>
              <w:t xml:space="preserve">The Delivery Assurance Committee cross </w:t>
            </w:r>
            <w:proofErr w:type="gramStart"/>
            <w:r>
              <w:rPr>
                <w:rFonts w:ascii="Calibri" w:hAnsi="Calibri" w:cs="Calibri"/>
                <w:sz w:val="22"/>
                <w:szCs w:val="22"/>
              </w:rPr>
              <w:t>reference</w:t>
            </w:r>
            <w:proofErr w:type="gramEnd"/>
            <w:r>
              <w:rPr>
                <w:rFonts w:ascii="Calibri" w:hAnsi="Calibri" w:cs="Calibri"/>
                <w:sz w:val="22"/>
                <w:szCs w:val="22"/>
              </w:rPr>
              <w:t xml:space="preserve"> the performance</w:t>
            </w:r>
            <w:r w:rsidR="003D0191">
              <w:rPr>
                <w:rFonts w:ascii="Calibri" w:hAnsi="Calibri" w:cs="Calibri"/>
                <w:sz w:val="22"/>
                <w:szCs w:val="22"/>
              </w:rPr>
              <w:t xml:space="preserve"> framework with the CCG Board Assurance framework and Risk Register.  This allows the Delivery Assurance Committee to identify any gaps in risk </w:t>
            </w:r>
            <w:proofErr w:type="gramStart"/>
            <w:r w:rsidR="003D0191">
              <w:rPr>
                <w:rFonts w:ascii="Calibri" w:hAnsi="Calibri" w:cs="Calibri"/>
                <w:sz w:val="22"/>
                <w:szCs w:val="22"/>
              </w:rPr>
              <w:t>management,</w:t>
            </w:r>
            <w:proofErr w:type="gramEnd"/>
            <w:r w:rsidR="003D0191">
              <w:rPr>
                <w:rFonts w:ascii="Calibri" w:hAnsi="Calibri" w:cs="Calibri"/>
                <w:sz w:val="22"/>
                <w:szCs w:val="22"/>
              </w:rPr>
              <w:t xml:space="preserve"> however none were identified at this time.</w:t>
            </w:r>
          </w:p>
          <w:p w:rsidR="00D57250" w:rsidRPr="00EA2734" w:rsidRDefault="00D57250" w:rsidP="00D2303C">
            <w:pPr>
              <w:pStyle w:val="Default"/>
              <w:jc w:val="both"/>
              <w:rPr>
                <w:rFonts w:ascii="Calibri" w:hAnsi="Calibri" w:cs="Calibri"/>
                <w:sz w:val="22"/>
                <w:szCs w:val="22"/>
              </w:rPr>
            </w:pPr>
          </w:p>
        </w:tc>
      </w:tr>
      <w:tr w:rsidR="00473CC5" w:rsidRPr="000D1B0D" w:rsidTr="007663C8">
        <w:tc>
          <w:tcPr>
            <w:tcW w:w="2103" w:type="dxa"/>
            <w:shd w:val="clear" w:color="auto" w:fill="D9D9D9"/>
          </w:tcPr>
          <w:p w:rsidR="00473CC5" w:rsidRPr="000D1B0D" w:rsidRDefault="00473CC5" w:rsidP="009D4EDC">
            <w:pPr>
              <w:pStyle w:val="Default"/>
              <w:rPr>
                <w:rFonts w:ascii="Calibri" w:hAnsi="Calibri" w:cs="Calibri"/>
                <w:b/>
                <w:i/>
                <w:sz w:val="20"/>
                <w:szCs w:val="20"/>
              </w:rPr>
            </w:pPr>
            <w:r w:rsidRPr="000D1B0D">
              <w:rPr>
                <w:rFonts w:ascii="Calibri" w:hAnsi="Calibri" w:cs="Calibri"/>
                <w:b/>
                <w:i/>
                <w:sz w:val="20"/>
                <w:szCs w:val="20"/>
              </w:rPr>
              <w:t>Implications:</w:t>
            </w:r>
          </w:p>
        </w:tc>
        <w:tc>
          <w:tcPr>
            <w:tcW w:w="7977" w:type="dxa"/>
            <w:shd w:val="clear" w:color="auto" w:fill="D9D9D9"/>
          </w:tcPr>
          <w:p w:rsidR="00473CC5" w:rsidRPr="000D1B0D" w:rsidRDefault="00473CC5" w:rsidP="000D1B0D">
            <w:pPr>
              <w:pStyle w:val="Default"/>
              <w:jc w:val="both"/>
              <w:rPr>
                <w:rFonts w:ascii="Calibri" w:hAnsi="Calibri" w:cs="Calibri"/>
                <w:sz w:val="20"/>
                <w:szCs w:val="20"/>
              </w:rPr>
            </w:pPr>
          </w:p>
        </w:tc>
      </w:tr>
      <w:tr w:rsidR="007E1C2F" w:rsidRPr="000D1B0D" w:rsidTr="007663C8">
        <w:tc>
          <w:tcPr>
            <w:tcW w:w="2103" w:type="dxa"/>
            <w:shd w:val="clear" w:color="auto" w:fill="auto"/>
          </w:tcPr>
          <w:p w:rsidR="007E1C2F" w:rsidRPr="000D1B0D" w:rsidRDefault="007E1C2F" w:rsidP="008E6240">
            <w:pPr>
              <w:pStyle w:val="Default"/>
              <w:rPr>
                <w:rFonts w:ascii="Calibri" w:hAnsi="Calibri" w:cs="Calibri"/>
                <w:b/>
                <w:sz w:val="20"/>
                <w:szCs w:val="20"/>
              </w:rPr>
            </w:pPr>
            <w:r w:rsidRPr="000D1B0D">
              <w:rPr>
                <w:rFonts w:ascii="Calibri" w:hAnsi="Calibri" w:cs="Calibri"/>
                <w:b/>
                <w:sz w:val="20"/>
                <w:szCs w:val="20"/>
              </w:rPr>
              <w:t>Risk Assurance Framework</w:t>
            </w:r>
            <w:r w:rsidR="00246EFA">
              <w:rPr>
                <w:rFonts w:ascii="Calibri" w:hAnsi="Calibri" w:cs="Calibri"/>
                <w:b/>
                <w:sz w:val="20"/>
                <w:szCs w:val="20"/>
              </w:rPr>
              <w:t xml:space="preserve"> Implications</w:t>
            </w:r>
            <w:r w:rsidRPr="000D1B0D">
              <w:rPr>
                <w:rFonts w:ascii="Calibri" w:hAnsi="Calibri" w:cs="Calibri"/>
                <w:b/>
                <w:sz w:val="20"/>
                <w:szCs w:val="20"/>
              </w:rPr>
              <w:t>:</w:t>
            </w:r>
          </w:p>
        </w:tc>
        <w:tc>
          <w:tcPr>
            <w:tcW w:w="7977" w:type="dxa"/>
            <w:shd w:val="clear" w:color="auto" w:fill="auto"/>
          </w:tcPr>
          <w:p w:rsidR="00246EFA" w:rsidRPr="00EA2734" w:rsidRDefault="000C416B" w:rsidP="00D2303C">
            <w:pPr>
              <w:pStyle w:val="Default"/>
              <w:jc w:val="both"/>
              <w:rPr>
                <w:rFonts w:ascii="Calibri" w:hAnsi="Calibri" w:cs="Calibri"/>
                <w:sz w:val="20"/>
                <w:szCs w:val="20"/>
              </w:rPr>
            </w:pPr>
            <w:r w:rsidRPr="00EA2734">
              <w:rPr>
                <w:rFonts w:ascii="Calibri" w:hAnsi="Calibri" w:cs="Calibri"/>
                <w:bCs/>
                <w:sz w:val="22"/>
                <w:szCs w:val="22"/>
              </w:rPr>
              <w:t>The dashboards associated with them are managed via the Delivery Assurance Commi</w:t>
            </w:r>
            <w:r w:rsidR="00D2303C">
              <w:rPr>
                <w:rFonts w:ascii="Calibri" w:hAnsi="Calibri" w:cs="Calibri"/>
                <w:bCs/>
                <w:sz w:val="22"/>
                <w:szCs w:val="22"/>
              </w:rPr>
              <w:t xml:space="preserve">ttee and </w:t>
            </w:r>
            <w:r w:rsidRPr="00EA2734">
              <w:rPr>
                <w:rFonts w:ascii="Calibri" w:hAnsi="Calibri" w:cs="Calibri"/>
                <w:bCs/>
                <w:sz w:val="22"/>
                <w:szCs w:val="22"/>
              </w:rPr>
              <w:t xml:space="preserve">the </w:t>
            </w:r>
            <w:r w:rsidR="00D2303C">
              <w:rPr>
                <w:rFonts w:ascii="Calibri" w:hAnsi="Calibri" w:cs="Calibri"/>
                <w:bCs/>
                <w:sz w:val="22"/>
                <w:szCs w:val="22"/>
              </w:rPr>
              <w:t>Clinical Governance</w:t>
            </w:r>
            <w:r w:rsidRPr="00EA2734">
              <w:rPr>
                <w:rFonts w:ascii="Calibri" w:hAnsi="Calibri" w:cs="Calibri"/>
                <w:bCs/>
                <w:sz w:val="22"/>
                <w:szCs w:val="22"/>
              </w:rPr>
              <w:t xml:space="preserve"> Committee</w:t>
            </w:r>
            <w:r w:rsidR="00D2303C">
              <w:rPr>
                <w:rFonts w:ascii="Calibri" w:hAnsi="Calibri" w:cs="Calibri"/>
                <w:bCs/>
                <w:sz w:val="22"/>
                <w:szCs w:val="22"/>
              </w:rPr>
              <w:t>.</w:t>
            </w:r>
          </w:p>
        </w:tc>
      </w:tr>
      <w:tr w:rsidR="007E1C2F" w:rsidRPr="000D1B0D" w:rsidTr="007663C8">
        <w:tc>
          <w:tcPr>
            <w:tcW w:w="2103" w:type="dxa"/>
            <w:shd w:val="clear" w:color="auto" w:fill="auto"/>
          </w:tcPr>
          <w:p w:rsidR="007E1C2F" w:rsidRPr="000D1B0D" w:rsidRDefault="007E1C2F" w:rsidP="008E6240">
            <w:pPr>
              <w:pStyle w:val="Default"/>
              <w:rPr>
                <w:rFonts w:ascii="Calibri" w:hAnsi="Calibri" w:cs="Calibri"/>
                <w:b/>
                <w:sz w:val="20"/>
                <w:szCs w:val="20"/>
              </w:rPr>
            </w:pPr>
            <w:r w:rsidRPr="000D1B0D">
              <w:rPr>
                <w:rFonts w:ascii="Calibri" w:hAnsi="Calibri" w:cs="Calibri"/>
                <w:b/>
                <w:sz w:val="20"/>
                <w:szCs w:val="20"/>
              </w:rPr>
              <w:t>Legal Implications:</w:t>
            </w:r>
          </w:p>
        </w:tc>
        <w:tc>
          <w:tcPr>
            <w:tcW w:w="7977" w:type="dxa"/>
            <w:shd w:val="clear" w:color="auto" w:fill="auto"/>
          </w:tcPr>
          <w:p w:rsidR="00246EFA" w:rsidRDefault="00EA2734" w:rsidP="00F128DE">
            <w:pPr>
              <w:pStyle w:val="Default"/>
              <w:jc w:val="both"/>
              <w:rPr>
                <w:rFonts w:ascii="Calibri" w:hAnsi="Calibri" w:cs="Calibri"/>
                <w:sz w:val="22"/>
                <w:szCs w:val="22"/>
              </w:rPr>
            </w:pPr>
            <w:r>
              <w:rPr>
                <w:rFonts w:ascii="Calibri" w:hAnsi="Calibri" w:cs="Calibri"/>
                <w:sz w:val="22"/>
                <w:szCs w:val="22"/>
              </w:rPr>
              <w:t>None</w:t>
            </w:r>
          </w:p>
          <w:p w:rsidR="00F128DE" w:rsidRPr="000D1B0D" w:rsidRDefault="00F128DE" w:rsidP="00F128DE">
            <w:pPr>
              <w:pStyle w:val="Default"/>
              <w:jc w:val="both"/>
              <w:rPr>
                <w:rFonts w:ascii="Calibri" w:hAnsi="Calibri" w:cs="Calibri"/>
                <w:sz w:val="20"/>
                <w:szCs w:val="20"/>
              </w:rPr>
            </w:pPr>
          </w:p>
        </w:tc>
      </w:tr>
      <w:tr w:rsidR="007E1C2F" w:rsidRPr="000D1B0D" w:rsidTr="007663C8">
        <w:tc>
          <w:tcPr>
            <w:tcW w:w="2103" w:type="dxa"/>
            <w:shd w:val="clear" w:color="auto" w:fill="auto"/>
          </w:tcPr>
          <w:p w:rsidR="00473CC5" w:rsidRPr="000D1B0D" w:rsidRDefault="00473CC5" w:rsidP="00EA2734">
            <w:pPr>
              <w:pStyle w:val="Default"/>
              <w:rPr>
                <w:rFonts w:ascii="Calibri" w:hAnsi="Calibri" w:cs="Calibri"/>
                <w:b/>
                <w:sz w:val="20"/>
                <w:szCs w:val="20"/>
              </w:rPr>
            </w:pPr>
            <w:r w:rsidRPr="000D1B0D">
              <w:rPr>
                <w:rFonts w:ascii="Calibri" w:hAnsi="Calibri" w:cs="Calibri"/>
                <w:b/>
                <w:sz w:val="20"/>
                <w:szCs w:val="20"/>
              </w:rPr>
              <w:lastRenderedPageBreak/>
              <w:t>Equality Impact Assessment implications:</w:t>
            </w:r>
          </w:p>
        </w:tc>
        <w:tc>
          <w:tcPr>
            <w:tcW w:w="7977" w:type="dxa"/>
            <w:shd w:val="clear" w:color="auto" w:fill="auto"/>
          </w:tcPr>
          <w:p w:rsidR="007E1C2F" w:rsidRPr="00EA2734" w:rsidRDefault="00060076" w:rsidP="000D1B0D">
            <w:pPr>
              <w:pStyle w:val="Default"/>
              <w:jc w:val="both"/>
              <w:rPr>
                <w:rFonts w:ascii="Calibri" w:hAnsi="Calibri" w:cs="Calibri"/>
                <w:sz w:val="22"/>
                <w:szCs w:val="22"/>
              </w:rPr>
            </w:pPr>
            <w:r w:rsidRPr="00EA2734">
              <w:rPr>
                <w:rFonts w:ascii="Calibri" w:hAnsi="Calibri" w:cs="Calibri"/>
                <w:sz w:val="22"/>
                <w:szCs w:val="22"/>
              </w:rPr>
              <w:t xml:space="preserve">An Equality Impact </w:t>
            </w:r>
            <w:r w:rsidR="00473CC5" w:rsidRPr="00EA2734">
              <w:rPr>
                <w:rFonts w:ascii="Calibri" w:hAnsi="Calibri" w:cs="Calibri"/>
                <w:sz w:val="22"/>
                <w:szCs w:val="22"/>
              </w:rPr>
              <w:t xml:space="preserve">Assessment is not required for this report. </w:t>
            </w:r>
          </w:p>
          <w:p w:rsidR="00BB40A8" w:rsidRPr="00BB40A8" w:rsidRDefault="00BB40A8" w:rsidP="000D1B0D">
            <w:pPr>
              <w:pStyle w:val="Default"/>
              <w:jc w:val="both"/>
              <w:rPr>
                <w:rFonts w:ascii="Calibri" w:hAnsi="Calibri" w:cs="Calibri"/>
                <w:i/>
                <w:sz w:val="20"/>
                <w:szCs w:val="20"/>
              </w:rPr>
            </w:pPr>
          </w:p>
          <w:p w:rsidR="00473CC5" w:rsidRPr="000D1B0D" w:rsidRDefault="00473CC5" w:rsidP="00060076">
            <w:pPr>
              <w:pStyle w:val="Default"/>
              <w:jc w:val="both"/>
              <w:rPr>
                <w:rFonts w:ascii="Calibri" w:hAnsi="Calibri" w:cs="Calibri"/>
                <w:sz w:val="20"/>
                <w:szCs w:val="20"/>
              </w:rPr>
            </w:pPr>
          </w:p>
        </w:tc>
      </w:tr>
      <w:tr w:rsidR="00473CC5" w:rsidRPr="000D1B0D" w:rsidTr="007663C8">
        <w:tc>
          <w:tcPr>
            <w:tcW w:w="2103" w:type="dxa"/>
            <w:shd w:val="clear" w:color="auto" w:fill="auto"/>
          </w:tcPr>
          <w:p w:rsidR="00473CC5" w:rsidRPr="000D1B0D" w:rsidRDefault="00473CC5" w:rsidP="009D4EDC">
            <w:pPr>
              <w:pStyle w:val="Default"/>
              <w:rPr>
                <w:rFonts w:ascii="Calibri" w:hAnsi="Calibri" w:cs="Calibri"/>
                <w:b/>
                <w:sz w:val="20"/>
                <w:szCs w:val="20"/>
              </w:rPr>
            </w:pPr>
            <w:r w:rsidRPr="000D1B0D">
              <w:rPr>
                <w:rFonts w:ascii="Calibri" w:hAnsi="Calibri" w:cs="Calibri"/>
                <w:b/>
                <w:sz w:val="20"/>
                <w:szCs w:val="20"/>
              </w:rPr>
              <w:t>Finance Implications:</w:t>
            </w:r>
          </w:p>
          <w:p w:rsidR="00473CC5" w:rsidRPr="000D1B0D" w:rsidRDefault="00473CC5" w:rsidP="009D4EDC">
            <w:pPr>
              <w:pStyle w:val="Default"/>
              <w:rPr>
                <w:rFonts w:ascii="Calibri" w:hAnsi="Calibri" w:cs="Calibri"/>
                <w:b/>
                <w:sz w:val="20"/>
                <w:szCs w:val="20"/>
              </w:rPr>
            </w:pPr>
          </w:p>
        </w:tc>
        <w:tc>
          <w:tcPr>
            <w:tcW w:w="7977" w:type="dxa"/>
            <w:shd w:val="clear" w:color="auto" w:fill="auto"/>
          </w:tcPr>
          <w:p w:rsidR="00246EFA" w:rsidRPr="000D1B0D" w:rsidRDefault="002A7028" w:rsidP="008E6240">
            <w:pPr>
              <w:pStyle w:val="Default"/>
              <w:jc w:val="both"/>
              <w:rPr>
                <w:rFonts w:ascii="Calibri" w:hAnsi="Calibri" w:cs="Calibri"/>
                <w:sz w:val="20"/>
                <w:szCs w:val="20"/>
              </w:rPr>
            </w:pPr>
            <w:r w:rsidRPr="002A7028">
              <w:rPr>
                <w:rFonts w:ascii="Calibri" w:hAnsi="Calibri" w:cs="Calibri"/>
                <w:sz w:val="22"/>
                <w:szCs w:val="22"/>
              </w:rPr>
              <w:t>There are a number of measures within the Performance Dashboard with a financial implication such as activity and Quality Premium measures, however the detail of these are dealt with separately within the Finance Report.</w:t>
            </w:r>
          </w:p>
        </w:tc>
      </w:tr>
      <w:tr w:rsidR="00473CC5" w:rsidRPr="000D1B0D" w:rsidTr="007663C8">
        <w:tc>
          <w:tcPr>
            <w:tcW w:w="2103" w:type="dxa"/>
            <w:shd w:val="clear" w:color="auto" w:fill="auto"/>
          </w:tcPr>
          <w:p w:rsidR="00473CC5" w:rsidRPr="000D1B0D" w:rsidRDefault="00473CC5" w:rsidP="009D4EDC">
            <w:pPr>
              <w:pStyle w:val="Default"/>
              <w:rPr>
                <w:rFonts w:ascii="Calibri" w:hAnsi="Calibri" w:cs="Calibri"/>
                <w:b/>
                <w:sz w:val="20"/>
                <w:szCs w:val="20"/>
              </w:rPr>
            </w:pPr>
            <w:r w:rsidRPr="000D1B0D">
              <w:rPr>
                <w:rFonts w:ascii="Calibri" w:hAnsi="Calibri" w:cs="Calibri"/>
                <w:b/>
                <w:sz w:val="20"/>
                <w:szCs w:val="20"/>
              </w:rPr>
              <w:t>Quality Implications:</w:t>
            </w:r>
          </w:p>
          <w:p w:rsidR="00473CC5" w:rsidRPr="000D1B0D" w:rsidRDefault="00473CC5" w:rsidP="009D4EDC">
            <w:pPr>
              <w:pStyle w:val="Default"/>
              <w:rPr>
                <w:rFonts w:ascii="Calibri" w:hAnsi="Calibri" w:cs="Calibri"/>
                <w:b/>
                <w:sz w:val="20"/>
                <w:szCs w:val="20"/>
              </w:rPr>
            </w:pPr>
          </w:p>
        </w:tc>
        <w:tc>
          <w:tcPr>
            <w:tcW w:w="7977" w:type="dxa"/>
            <w:shd w:val="clear" w:color="auto" w:fill="auto"/>
          </w:tcPr>
          <w:p w:rsidR="00246EFA" w:rsidRPr="00EA2734" w:rsidRDefault="000C416B" w:rsidP="00920869">
            <w:pPr>
              <w:pStyle w:val="Default"/>
              <w:jc w:val="both"/>
              <w:rPr>
                <w:rFonts w:ascii="Calibri" w:hAnsi="Calibri" w:cs="Calibri"/>
                <w:sz w:val="20"/>
                <w:szCs w:val="20"/>
              </w:rPr>
            </w:pPr>
            <w:r w:rsidRPr="00EA2734">
              <w:rPr>
                <w:rFonts w:ascii="Calibri" w:hAnsi="Calibri" w:cs="Calibri"/>
                <w:sz w:val="22"/>
                <w:szCs w:val="22"/>
              </w:rPr>
              <w:t xml:space="preserve">Quality implications are managed by the </w:t>
            </w:r>
            <w:r w:rsidR="00920869">
              <w:rPr>
                <w:rFonts w:ascii="Calibri" w:hAnsi="Calibri" w:cs="Calibri"/>
                <w:sz w:val="22"/>
                <w:szCs w:val="22"/>
              </w:rPr>
              <w:t>Clinical Governance C</w:t>
            </w:r>
            <w:r w:rsidRPr="00EA2734">
              <w:rPr>
                <w:rFonts w:ascii="Calibri" w:hAnsi="Calibri" w:cs="Calibri"/>
                <w:sz w:val="22"/>
                <w:szCs w:val="22"/>
              </w:rPr>
              <w:t>ommittee</w:t>
            </w:r>
            <w:r w:rsidR="00DB0F5A">
              <w:rPr>
                <w:rFonts w:ascii="Calibri" w:hAnsi="Calibri" w:cs="Calibri"/>
                <w:sz w:val="22"/>
                <w:szCs w:val="22"/>
              </w:rPr>
              <w:t xml:space="preserve"> and DAC</w:t>
            </w:r>
            <w:r w:rsidRPr="00EA2734">
              <w:rPr>
                <w:rFonts w:ascii="Calibri" w:hAnsi="Calibri" w:cs="Calibri"/>
                <w:sz w:val="22"/>
                <w:szCs w:val="22"/>
              </w:rPr>
              <w:t xml:space="preserve"> and </w:t>
            </w:r>
            <w:r w:rsidR="00DB0F5A">
              <w:rPr>
                <w:rFonts w:ascii="Calibri" w:hAnsi="Calibri" w:cs="Calibri"/>
                <w:sz w:val="22"/>
                <w:szCs w:val="22"/>
              </w:rPr>
              <w:t xml:space="preserve">are </w:t>
            </w:r>
            <w:r w:rsidRPr="00EA2734">
              <w:rPr>
                <w:rFonts w:ascii="Calibri" w:hAnsi="Calibri" w:cs="Calibri"/>
                <w:sz w:val="22"/>
                <w:szCs w:val="22"/>
              </w:rPr>
              <w:t>escalated within the main body of this report</w:t>
            </w:r>
            <w:r w:rsidR="00EA2734" w:rsidRPr="00EA2734">
              <w:rPr>
                <w:rFonts w:ascii="Calibri" w:hAnsi="Calibri" w:cs="Calibri"/>
                <w:sz w:val="22"/>
                <w:szCs w:val="22"/>
              </w:rPr>
              <w:t>.</w:t>
            </w:r>
          </w:p>
        </w:tc>
      </w:tr>
      <w:tr w:rsidR="009D4EDC" w:rsidRPr="000D1B0D" w:rsidTr="007663C8">
        <w:tc>
          <w:tcPr>
            <w:tcW w:w="2103" w:type="dxa"/>
            <w:shd w:val="clear" w:color="auto" w:fill="auto"/>
          </w:tcPr>
          <w:p w:rsidR="009D4EDC" w:rsidRPr="000D1B0D" w:rsidRDefault="009D4EDC" w:rsidP="00EA2734">
            <w:pPr>
              <w:pStyle w:val="Default"/>
              <w:rPr>
                <w:rFonts w:ascii="Calibri" w:hAnsi="Calibri" w:cs="Calibri"/>
                <w:b/>
                <w:sz w:val="20"/>
                <w:szCs w:val="20"/>
              </w:rPr>
            </w:pPr>
            <w:r w:rsidRPr="000D1B0D">
              <w:rPr>
                <w:rFonts w:ascii="Calibri" w:hAnsi="Calibri" w:cs="Calibri"/>
                <w:b/>
                <w:sz w:val="20"/>
                <w:szCs w:val="20"/>
              </w:rPr>
              <w:t>Procurement Decisions</w:t>
            </w:r>
            <w:r w:rsidR="00246EFA">
              <w:rPr>
                <w:rFonts w:ascii="Calibri" w:hAnsi="Calibri" w:cs="Calibri"/>
                <w:b/>
                <w:sz w:val="20"/>
                <w:szCs w:val="20"/>
              </w:rPr>
              <w:t>/Implications</w:t>
            </w:r>
            <w:r w:rsidR="00E76606" w:rsidRPr="000D1B0D">
              <w:rPr>
                <w:rFonts w:ascii="Calibri" w:hAnsi="Calibri" w:cs="Calibri"/>
                <w:b/>
                <w:sz w:val="20"/>
                <w:szCs w:val="20"/>
              </w:rPr>
              <w:t xml:space="preserve"> </w:t>
            </w:r>
            <w:r w:rsidR="00E76606" w:rsidRPr="000D1B0D">
              <w:rPr>
                <w:rFonts w:ascii="Calibri" w:hAnsi="Calibri" w:cs="Calibri"/>
                <w:b/>
                <w:i/>
                <w:sz w:val="20"/>
                <w:szCs w:val="20"/>
              </w:rPr>
              <w:t>(Care Contracting Committee)</w:t>
            </w:r>
            <w:r w:rsidRPr="000D1B0D">
              <w:rPr>
                <w:rFonts w:ascii="Calibri" w:hAnsi="Calibri" w:cs="Calibri"/>
                <w:b/>
                <w:i/>
                <w:sz w:val="20"/>
                <w:szCs w:val="20"/>
              </w:rPr>
              <w:t>:</w:t>
            </w:r>
          </w:p>
        </w:tc>
        <w:tc>
          <w:tcPr>
            <w:tcW w:w="7977" w:type="dxa"/>
            <w:shd w:val="clear" w:color="auto" w:fill="auto"/>
          </w:tcPr>
          <w:p w:rsidR="00246EFA" w:rsidRPr="00E61AF0" w:rsidRDefault="00060076" w:rsidP="00EA2734">
            <w:pPr>
              <w:pStyle w:val="Default"/>
              <w:jc w:val="both"/>
              <w:rPr>
                <w:rFonts w:ascii="Calibri" w:hAnsi="Calibri" w:cs="Calibri"/>
                <w:i/>
                <w:sz w:val="20"/>
                <w:szCs w:val="20"/>
              </w:rPr>
            </w:pPr>
            <w:r w:rsidRPr="00EA2734">
              <w:rPr>
                <w:rFonts w:ascii="Calibri" w:hAnsi="Calibri" w:cs="Calibri"/>
                <w:sz w:val="22"/>
                <w:szCs w:val="22"/>
              </w:rPr>
              <w:t>N</w:t>
            </w:r>
            <w:r w:rsidR="00EA2734">
              <w:rPr>
                <w:rFonts w:ascii="Calibri" w:hAnsi="Calibri" w:cs="Calibri"/>
                <w:sz w:val="22"/>
                <w:szCs w:val="22"/>
              </w:rPr>
              <w:t>one</w:t>
            </w:r>
          </w:p>
        </w:tc>
      </w:tr>
      <w:tr w:rsidR="00473CC5" w:rsidRPr="000D1B0D" w:rsidTr="007663C8">
        <w:tc>
          <w:tcPr>
            <w:tcW w:w="2103" w:type="dxa"/>
            <w:shd w:val="clear" w:color="auto" w:fill="auto"/>
          </w:tcPr>
          <w:p w:rsidR="00473CC5" w:rsidRPr="000D1B0D" w:rsidRDefault="00473CC5" w:rsidP="00EA2734">
            <w:pPr>
              <w:pStyle w:val="Default"/>
              <w:jc w:val="both"/>
              <w:rPr>
                <w:rFonts w:ascii="Calibri" w:hAnsi="Calibri" w:cs="Calibri"/>
                <w:b/>
                <w:sz w:val="20"/>
                <w:szCs w:val="20"/>
              </w:rPr>
            </w:pPr>
            <w:r w:rsidRPr="000D1B0D">
              <w:rPr>
                <w:rFonts w:ascii="Calibri" w:hAnsi="Calibri" w:cs="Calibri"/>
                <w:b/>
                <w:sz w:val="20"/>
                <w:szCs w:val="20"/>
              </w:rPr>
              <w:t>Engagement Implications:</w:t>
            </w:r>
          </w:p>
        </w:tc>
        <w:tc>
          <w:tcPr>
            <w:tcW w:w="7977" w:type="dxa"/>
            <w:shd w:val="clear" w:color="auto" w:fill="auto"/>
          </w:tcPr>
          <w:p w:rsidR="00246EFA" w:rsidRDefault="00EA2734" w:rsidP="000D1B0D">
            <w:pPr>
              <w:pStyle w:val="Default"/>
              <w:jc w:val="both"/>
              <w:rPr>
                <w:rFonts w:ascii="Calibri" w:hAnsi="Calibri" w:cs="Calibri"/>
                <w:sz w:val="20"/>
                <w:szCs w:val="20"/>
              </w:rPr>
            </w:pPr>
            <w:r>
              <w:rPr>
                <w:rFonts w:ascii="Calibri" w:hAnsi="Calibri" w:cs="Calibri"/>
                <w:sz w:val="22"/>
                <w:szCs w:val="22"/>
              </w:rPr>
              <w:t>None</w:t>
            </w:r>
          </w:p>
          <w:p w:rsidR="00246EFA" w:rsidRPr="000D1B0D" w:rsidRDefault="00246EFA" w:rsidP="000D1B0D">
            <w:pPr>
              <w:pStyle w:val="Default"/>
              <w:jc w:val="both"/>
              <w:rPr>
                <w:rFonts w:ascii="Calibri" w:hAnsi="Calibri" w:cs="Calibri"/>
                <w:sz w:val="20"/>
                <w:szCs w:val="20"/>
              </w:rPr>
            </w:pPr>
          </w:p>
        </w:tc>
      </w:tr>
      <w:tr w:rsidR="00246EFA" w:rsidRPr="000D1B0D" w:rsidTr="007663C8">
        <w:trPr>
          <w:trHeight w:val="86"/>
        </w:trPr>
        <w:tc>
          <w:tcPr>
            <w:tcW w:w="2103" w:type="dxa"/>
            <w:shd w:val="clear" w:color="auto" w:fill="D9D9D9"/>
          </w:tcPr>
          <w:p w:rsidR="00246EFA" w:rsidRPr="000D1B0D" w:rsidRDefault="00246EFA" w:rsidP="000D1B0D">
            <w:pPr>
              <w:pStyle w:val="Default"/>
              <w:jc w:val="both"/>
              <w:rPr>
                <w:rFonts w:ascii="Calibri" w:hAnsi="Calibri" w:cs="Calibri"/>
                <w:b/>
                <w:sz w:val="20"/>
                <w:szCs w:val="20"/>
              </w:rPr>
            </w:pPr>
          </w:p>
        </w:tc>
        <w:tc>
          <w:tcPr>
            <w:tcW w:w="7977" w:type="dxa"/>
            <w:shd w:val="clear" w:color="auto" w:fill="D9D9D9"/>
          </w:tcPr>
          <w:p w:rsidR="00246EFA" w:rsidRPr="000D1B0D" w:rsidRDefault="00246EFA" w:rsidP="000D1B0D">
            <w:pPr>
              <w:pStyle w:val="Default"/>
              <w:jc w:val="both"/>
              <w:rPr>
                <w:rFonts w:ascii="Calibri" w:hAnsi="Calibri" w:cs="Calibri"/>
                <w:sz w:val="20"/>
                <w:szCs w:val="20"/>
              </w:rPr>
            </w:pPr>
          </w:p>
        </w:tc>
      </w:tr>
      <w:tr w:rsidR="007E1C2F" w:rsidRPr="000D1B0D" w:rsidTr="007663C8">
        <w:tc>
          <w:tcPr>
            <w:tcW w:w="2103" w:type="dxa"/>
            <w:shd w:val="clear" w:color="auto" w:fill="auto"/>
          </w:tcPr>
          <w:p w:rsidR="007E1C2F" w:rsidRPr="000D1B0D" w:rsidRDefault="007E1C2F" w:rsidP="008E6240">
            <w:pPr>
              <w:pStyle w:val="Default"/>
              <w:rPr>
                <w:rFonts w:ascii="Calibri" w:hAnsi="Calibri" w:cs="Calibri"/>
                <w:b/>
                <w:sz w:val="20"/>
                <w:szCs w:val="20"/>
              </w:rPr>
            </w:pPr>
            <w:r w:rsidRPr="000D1B0D">
              <w:rPr>
                <w:rFonts w:ascii="Calibri" w:hAnsi="Calibri" w:cs="Calibri"/>
                <w:b/>
                <w:sz w:val="20"/>
                <w:szCs w:val="20"/>
              </w:rPr>
              <w:t>Conflict</w:t>
            </w:r>
            <w:r w:rsidR="00006E07">
              <w:rPr>
                <w:rFonts w:ascii="Calibri" w:hAnsi="Calibri" w:cs="Calibri"/>
                <w:b/>
                <w:sz w:val="20"/>
                <w:szCs w:val="20"/>
              </w:rPr>
              <w:t>s of Interest</w:t>
            </w:r>
            <w:r w:rsidRPr="000D1B0D">
              <w:rPr>
                <w:rFonts w:ascii="Calibri" w:hAnsi="Calibri" w:cs="Calibri"/>
                <w:b/>
                <w:sz w:val="20"/>
                <w:szCs w:val="20"/>
              </w:rPr>
              <w:t xml:space="preserve"> </w:t>
            </w:r>
          </w:p>
        </w:tc>
        <w:tc>
          <w:tcPr>
            <w:tcW w:w="7977" w:type="dxa"/>
            <w:shd w:val="clear" w:color="auto" w:fill="auto"/>
          </w:tcPr>
          <w:p w:rsidR="00246EFA" w:rsidRPr="000D1B0D" w:rsidRDefault="00EA2734" w:rsidP="008E6240">
            <w:pPr>
              <w:pStyle w:val="Default"/>
              <w:jc w:val="both"/>
              <w:rPr>
                <w:rFonts w:ascii="Calibri" w:hAnsi="Calibri" w:cs="Calibri"/>
                <w:sz w:val="20"/>
                <w:szCs w:val="20"/>
              </w:rPr>
            </w:pPr>
            <w:r w:rsidRPr="00EA2734">
              <w:rPr>
                <w:rFonts w:ascii="Calibri" w:hAnsi="Calibri" w:cs="Calibri"/>
                <w:sz w:val="22"/>
                <w:szCs w:val="22"/>
              </w:rPr>
              <w:t>None</w:t>
            </w:r>
          </w:p>
        </w:tc>
      </w:tr>
      <w:tr w:rsidR="007663C8" w:rsidRPr="000D1B0D" w:rsidTr="007663C8">
        <w:tc>
          <w:tcPr>
            <w:tcW w:w="2103" w:type="dxa"/>
            <w:vMerge w:val="restart"/>
            <w:shd w:val="clear" w:color="auto" w:fill="auto"/>
          </w:tcPr>
          <w:p w:rsidR="007663C8" w:rsidRDefault="007663C8" w:rsidP="000D1B0D">
            <w:pPr>
              <w:pStyle w:val="Default"/>
              <w:jc w:val="both"/>
              <w:rPr>
                <w:rFonts w:ascii="Calibri" w:hAnsi="Calibri" w:cs="Calibri"/>
                <w:b/>
                <w:sz w:val="20"/>
                <w:szCs w:val="20"/>
              </w:rPr>
            </w:pPr>
            <w:r>
              <w:rPr>
                <w:rFonts w:ascii="Calibri" w:hAnsi="Calibri" w:cs="Calibri"/>
                <w:b/>
                <w:sz w:val="20"/>
                <w:szCs w:val="20"/>
              </w:rPr>
              <w:t>Strategic Objectives</w:t>
            </w:r>
          </w:p>
          <w:p w:rsidR="007663C8" w:rsidRPr="007663C8" w:rsidRDefault="007663C8" w:rsidP="000D1B0D">
            <w:pPr>
              <w:pStyle w:val="Default"/>
              <w:jc w:val="both"/>
              <w:rPr>
                <w:rFonts w:ascii="Calibri" w:hAnsi="Calibri" w:cs="Calibri"/>
                <w:i/>
                <w:sz w:val="20"/>
                <w:szCs w:val="20"/>
              </w:rPr>
            </w:pPr>
            <w:r w:rsidRPr="007663C8">
              <w:rPr>
                <w:rFonts w:ascii="Calibri" w:hAnsi="Calibri" w:cs="Calibri"/>
                <w:i/>
                <w:sz w:val="20"/>
                <w:szCs w:val="20"/>
              </w:rPr>
              <w:t>Short summary as to how the report links to the CCG’s strategic objectives</w:t>
            </w:r>
          </w:p>
        </w:tc>
        <w:tc>
          <w:tcPr>
            <w:tcW w:w="7977" w:type="dxa"/>
            <w:shd w:val="clear" w:color="auto" w:fill="auto"/>
          </w:tcPr>
          <w:p w:rsidR="00E61AF0" w:rsidRDefault="007663C8" w:rsidP="00197E49">
            <w:pPr>
              <w:numPr>
                <w:ilvl w:val="0"/>
                <w:numId w:val="1"/>
              </w:numPr>
              <w:autoSpaceDE w:val="0"/>
              <w:autoSpaceDN w:val="0"/>
              <w:ind w:left="199" w:hanging="199"/>
              <w:rPr>
                <w:rFonts w:ascii="Calibri" w:hAnsi="Calibri"/>
                <w:i/>
                <w:sz w:val="22"/>
                <w:szCs w:val="22"/>
              </w:rPr>
            </w:pPr>
            <w:r w:rsidRPr="002A7028">
              <w:rPr>
                <w:rFonts w:ascii="Calibri" w:hAnsi="Calibri"/>
                <w:i/>
                <w:sz w:val="22"/>
                <w:szCs w:val="22"/>
              </w:rPr>
              <w:t>Sustainable Services</w:t>
            </w:r>
          </w:p>
          <w:p w:rsidR="008E6240" w:rsidRPr="002A7028" w:rsidRDefault="008E6240" w:rsidP="008E6240">
            <w:pPr>
              <w:autoSpaceDE w:val="0"/>
              <w:autoSpaceDN w:val="0"/>
              <w:ind w:left="199"/>
              <w:rPr>
                <w:rFonts w:ascii="Calibri" w:hAnsi="Calibri"/>
                <w:i/>
                <w:sz w:val="22"/>
                <w:szCs w:val="22"/>
              </w:rPr>
            </w:pPr>
          </w:p>
          <w:p w:rsidR="007663C8" w:rsidRPr="002A7028" w:rsidRDefault="00D2303C" w:rsidP="00D2303C">
            <w:pPr>
              <w:autoSpaceDE w:val="0"/>
              <w:autoSpaceDN w:val="0"/>
              <w:rPr>
                <w:rFonts w:ascii="Calibri" w:hAnsi="Calibri" w:cs="Calibri"/>
                <w:i/>
                <w:sz w:val="22"/>
                <w:szCs w:val="22"/>
              </w:rPr>
            </w:pPr>
            <w:r>
              <w:rPr>
                <w:rFonts w:ascii="Calibri" w:hAnsi="Calibri"/>
                <w:sz w:val="22"/>
                <w:szCs w:val="22"/>
              </w:rPr>
              <w:t>The performance and</w:t>
            </w:r>
            <w:r w:rsidR="002A7028" w:rsidRPr="002A7028">
              <w:rPr>
                <w:rFonts w:ascii="Calibri" w:hAnsi="Calibri"/>
                <w:sz w:val="22"/>
                <w:szCs w:val="22"/>
              </w:rPr>
              <w:t xml:space="preserve"> quality dashboards contain a number of national and local measures that support this objective.</w:t>
            </w:r>
            <w:r w:rsidR="007663C8" w:rsidRPr="002A7028">
              <w:rPr>
                <w:rFonts w:ascii="Calibri" w:hAnsi="Calibri"/>
                <w:i/>
                <w:sz w:val="22"/>
                <w:szCs w:val="22"/>
              </w:rPr>
              <w:t xml:space="preserve"> </w:t>
            </w:r>
          </w:p>
        </w:tc>
      </w:tr>
      <w:tr w:rsidR="007663C8" w:rsidRPr="000D1B0D" w:rsidTr="007663C8">
        <w:tc>
          <w:tcPr>
            <w:tcW w:w="2103" w:type="dxa"/>
            <w:vMerge/>
            <w:shd w:val="clear" w:color="auto" w:fill="auto"/>
          </w:tcPr>
          <w:p w:rsidR="007663C8" w:rsidRPr="000D1B0D" w:rsidRDefault="007663C8" w:rsidP="000D1B0D">
            <w:pPr>
              <w:pStyle w:val="Default"/>
              <w:jc w:val="both"/>
              <w:rPr>
                <w:rFonts w:ascii="Calibri" w:hAnsi="Calibri" w:cs="Calibri"/>
                <w:b/>
                <w:sz w:val="20"/>
                <w:szCs w:val="20"/>
              </w:rPr>
            </w:pPr>
          </w:p>
        </w:tc>
        <w:tc>
          <w:tcPr>
            <w:tcW w:w="7977" w:type="dxa"/>
            <w:shd w:val="clear" w:color="auto" w:fill="auto"/>
          </w:tcPr>
          <w:p w:rsidR="007663C8" w:rsidRDefault="007663C8" w:rsidP="00197E49">
            <w:pPr>
              <w:pStyle w:val="Default"/>
              <w:numPr>
                <w:ilvl w:val="0"/>
                <w:numId w:val="1"/>
              </w:numPr>
              <w:jc w:val="both"/>
              <w:rPr>
                <w:rFonts w:ascii="Calibri" w:hAnsi="Calibri"/>
                <w:i/>
                <w:sz w:val="22"/>
                <w:szCs w:val="22"/>
              </w:rPr>
            </w:pPr>
            <w:r w:rsidRPr="002A7028">
              <w:rPr>
                <w:rFonts w:ascii="Calibri" w:hAnsi="Calibri"/>
                <w:i/>
                <w:sz w:val="22"/>
                <w:szCs w:val="22"/>
              </w:rPr>
              <w:t>Empowering People</w:t>
            </w:r>
          </w:p>
          <w:p w:rsidR="008E6240" w:rsidRPr="002A7028" w:rsidRDefault="008E6240" w:rsidP="008E6240">
            <w:pPr>
              <w:pStyle w:val="Default"/>
              <w:ind w:left="360"/>
              <w:jc w:val="both"/>
              <w:rPr>
                <w:rFonts w:ascii="Calibri" w:hAnsi="Calibri"/>
                <w:i/>
                <w:sz w:val="22"/>
                <w:szCs w:val="22"/>
              </w:rPr>
            </w:pPr>
          </w:p>
          <w:p w:rsidR="007663C8" w:rsidRPr="002A7028" w:rsidRDefault="00D2303C" w:rsidP="00D2303C">
            <w:pPr>
              <w:autoSpaceDE w:val="0"/>
              <w:autoSpaceDN w:val="0"/>
              <w:rPr>
                <w:rFonts w:ascii="Calibri" w:hAnsi="Calibri" w:cs="Calibri"/>
                <w:i/>
                <w:sz w:val="22"/>
                <w:szCs w:val="22"/>
              </w:rPr>
            </w:pPr>
            <w:r>
              <w:rPr>
                <w:rFonts w:ascii="Calibri" w:hAnsi="Calibri"/>
                <w:sz w:val="22"/>
                <w:szCs w:val="22"/>
              </w:rPr>
              <w:t>The performance and</w:t>
            </w:r>
            <w:r w:rsidR="002A7028" w:rsidRPr="002A7028">
              <w:rPr>
                <w:rFonts w:ascii="Calibri" w:hAnsi="Calibri"/>
                <w:sz w:val="22"/>
                <w:szCs w:val="22"/>
              </w:rPr>
              <w:t xml:space="preserve"> quality dashboards contain a number of national and local measures that support this objective.</w:t>
            </w:r>
          </w:p>
        </w:tc>
      </w:tr>
      <w:tr w:rsidR="007663C8" w:rsidRPr="000D1B0D" w:rsidTr="007663C8">
        <w:tc>
          <w:tcPr>
            <w:tcW w:w="2103" w:type="dxa"/>
            <w:vMerge/>
            <w:shd w:val="clear" w:color="auto" w:fill="auto"/>
          </w:tcPr>
          <w:p w:rsidR="007663C8" w:rsidRPr="000D1B0D" w:rsidRDefault="007663C8" w:rsidP="000D1B0D">
            <w:pPr>
              <w:pStyle w:val="Default"/>
              <w:jc w:val="both"/>
              <w:rPr>
                <w:rFonts w:ascii="Calibri" w:hAnsi="Calibri" w:cs="Calibri"/>
                <w:b/>
                <w:sz w:val="20"/>
                <w:szCs w:val="20"/>
              </w:rPr>
            </w:pPr>
          </w:p>
        </w:tc>
        <w:tc>
          <w:tcPr>
            <w:tcW w:w="7977" w:type="dxa"/>
            <w:shd w:val="clear" w:color="auto" w:fill="auto"/>
          </w:tcPr>
          <w:p w:rsidR="007663C8" w:rsidRDefault="007663C8" w:rsidP="00197E49">
            <w:pPr>
              <w:pStyle w:val="Default"/>
              <w:numPr>
                <w:ilvl w:val="0"/>
                <w:numId w:val="1"/>
              </w:numPr>
              <w:jc w:val="both"/>
              <w:rPr>
                <w:rFonts w:ascii="Calibri" w:hAnsi="Calibri"/>
                <w:i/>
                <w:sz w:val="22"/>
                <w:szCs w:val="22"/>
              </w:rPr>
            </w:pPr>
            <w:r w:rsidRPr="002A7028">
              <w:rPr>
                <w:rFonts w:ascii="Calibri" w:hAnsi="Calibri"/>
                <w:i/>
                <w:sz w:val="22"/>
                <w:szCs w:val="22"/>
              </w:rPr>
              <w:t>Supporting Communities</w:t>
            </w:r>
          </w:p>
          <w:p w:rsidR="008E6240" w:rsidRDefault="008E6240" w:rsidP="008E6240">
            <w:pPr>
              <w:pStyle w:val="Default"/>
              <w:ind w:left="360"/>
              <w:jc w:val="both"/>
              <w:rPr>
                <w:rFonts w:ascii="Calibri" w:hAnsi="Calibri"/>
                <w:i/>
                <w:sz w:val="22"/>
                <w:szCs w:val="22"/>
              </w:rPr>
            </w:pPr>
          </w:p>
          <w:p w:rsidR="007663C8" w:rsidRPr="002A7028" w:rsidRDefault="00D2303C" w:rsidP="002A7028">
            <w:pPr>
              <w:autoSpaceDE w:val="0"/>
              <w:autoSpaceDN w:val="0"/>
              <w:rPr>
                <w:rFonts w:ascii="Calibri" w:hAnsi="Calibri" w:cs="Calibri"/>
                <w:i/>
                <w:sz w:val="22"/>
                <w:szCs w:val="22"/>
              </w:rPr>
            </w:pPr>
            <w:r>
              <w:rPr>
                <w:rFonts w:ascii="Calibri" w:hAnsi="Calibri"/>
                <w:sz w:val="22"/>
                <w:szCs w:val="22"/>
              </w:rPr>
              <w:t>The performance and</w:t>
            </w:r>
            <w:r w:rsidRPr="002A7028">
              <w:rPr>
                <w:rFonts w:ascii="Calibri" w:hAnsi="Calibri"/>
                <w:sz w:val="22"/>
                <w:szCs w:val="22"/>
              </w:rPr>
              <w:t xml:space="preserve"> quality dashboards contain a number of national and local measures that support this objective.</w:t>
            </w:r>
          </w:p>
        </w:tc>
      </w:tr>
      <w:tr w:rsidR="007663C8" w:rsidRPr="000D1B0D" w:rsidTr="007663C8">
        <w:tc>
          <w:tcPr>
            <w:tcW w:w="2103" w:type="dxa"/>
            <w:vMerge/>
            <w:shd w:val="clear" w:color="auto" w:fill="auto"/>
          </w:tcPr>
          <w:p w:rsidR="007663C8" w:rsidRPr="000D1B0D" w:rsidRDefault="007663C8" w:rsidP="000D1B0D">
            <w:pPr>
              <w:pStyle w:val="Default"/>
              <w:jc w:val="both"/>
              <w:rPr>
                <w:rFonts w:ascii="Calibri" w:hAnsi="Calibri" w:cs="Calibri"/>
                <w:b/>
                <w:sz w:val="20"/>
                <w:szCs w:val="20"/>
              </w:rPr>
            </w:pPr>
          </w:p>
        </w:tc>
        <w:tc>
          <w:tcPr>
            <w:tcW w:w="7977" w:type="dxa"/>
            <w:shd w:val="clear" w:color="auto" w:fill="auto"/>
          </w:tcPr>
          <w:p w:rsidR="007663C8" w:rsidRDefault="007663C8" w:rsidP="00197E49">
            <w:pPr>
              <w:numPr>
                <w:ilvl w:val="0"/>
                <w:numId w:val="1"/>
              </w:numPr>
              <w:autoSpaceDE w:val="0"/>
              <w:autoSpaceDN w:val="0"/>
              <w:rPr>
                <w:rFonts w:ascii="Calibri" w:hAnsi="Calibri"/>
                <w:i/>
                <w:sz w:val="22"/>
                <w:szCs w:val="22"/>
              </w:rPr>
            </w:pPr>
            <w:r w:rsidRPr="002A7028">
              <w:rPr>
                <w:rFonts w:ascii="Calibri" w:hAnsi="Calibri"/>
                <w:i/>
                <w:sz w:val="22"/>
                <w:szCs w:val="22"/>
              </w:rPr>
              <w:t>Delivering a fit for purpose organisation</w:t>
            </w:r>
          </w:p>
          <w:p w:rsidR="008E6240" w:rsidRPr="002A7028" w:rsidRDefault="008E6240" w:rsidP="008E6240">
            <w:pPr>
              <w:autoSpaceDE w:val="0"/>
              <w:autoSpaceDN w:val="0"/>
              <w:ind w:left="360"/>
              <w:rPr>
                <w:rFonts w:ascii="Calibri" w:hAnsi="Calibri"/>
                <w:i/>
                <w:sz w:val="22"/>
                <w:szCs w:val="22"/>
              </w:rPr>
            </w:pPr>
          </w:p>
          <w:p w:rsidR="007663C8" w:rsidRPr="002A7028" w:rsidRDefault="00D2303C" w:rsidP="002A7028">
            <w:pPr>
              <w:autoSpaceDE w:val="0"/>
              <w:autoSpaceDN w:val="0"/>
              <w:rPr>
                <w:rFonts w:ascii="Calibri" w:hAnsi="Calibri" w:cs="Calibri"/>
                <w:i/>
                <w:sz w:val="22"/>
                <w:szCs w:val="22"/>
              </w:rPr>
            </w:pPr>
            <w:r>
              <w:rPr>
                <w:rFonts w:ascii="Calibri" w:hAnsi="Calibri"/>
                <w:sz w:val="22"/>
                <w:szCs w:val="22"/>
              </w:rPr>
              <w:t>The performance and</w:t>
            </w:r>
            <w:r w:rsidRPr="002A7028">
              <w:rPr>
                <w:rFonts w:ascii="Calibri" w:hAnsi="Calibri"/>
                <w:sz w:val="22"/>
                <w:szCs w:val="22"/>
              </w:rPr>
              <w:t xml:space="preserve"> quality dashboards contain a number of national and local measures that support this objective.</w:t>
            </w:r>
          </w:p>
        </w:tc>
      </w:tr>
      <w:tr w:rsidR="00473CC5" w:rsidRPr="000D1B0D" w:rsidTr="007663C8">
        <w:tc>
          <w:tcPr>
            <w:tcW w:w="2103" w:type="dxa"/>
            <w:shd w:val="clear" w:color="auto" w:fill="auto"/>
          </w:tcPr>
          <w:p w:rsidR="00473CC5" w:rsidRPr="000D1B0D" w:rsidRDefault="00473CC5" w:rsidP="000D1B0D">
            <w:pPr>
              <w:pStyle w:val="Default"/>
              <w:jc w:val="both"/>
              <w:rPr>
                <w:rFonts w:ascii="Calibri" w:hAnsi="Calibri" w:cs="Calibri"/>
                <w:b/>
                <w:sz w:val="20"/>
                <w:szCs w:val="20"/>
              </w:rPr>
            </w:pPr>
            <w:r w:rsidRPr="000D1B0D">
              <w:rPr>
                <w:rFonts w:ascii="Calibri" w:hAnsi="Calibri" w:cs="Calibri"/>
                <w:b/>
                <w:sz w:val="20"/>
                <w:szCs w:val="20"/>
              </w:rPr>
              <w:t>NHS Constitution:</w:t>
            </w:r>
          </w:p>
          <w:p w:rsidR="00473CC5" w:rsidRPr="000D1B0D" w:rsidRDefault="00473CC5" w:rsidP="000D1B0D">
            <w:pPr>
              <w:pStyle w:val="Default"/>
              <w:jc w:val="both"/>
              <w:rPr>
                <w:rFonts w:ascii="Calibri" w:hAnsi="Calibri" w:cs="Calibri"/>
                <w:b/>
                <w:sz w:val="20"/>
                <w:szCs w:val="20"/>
              </w:rPr>
            </w:pPr>
          </w:p>
        </w:tc>
        <w:tc>
          <w:tcPr>
            <w:tcW w:w="7977" w:type="dxa"/>
            <w:shd w:val="clear" w:color="auto" w:fill="auto"/>
          </w:tcPr>
          <w:p w:rsidR="00006E07" w:rsidRPr="002A7028" w:rsidRDefault="00EA2734" w:rsidP="00D57250">
            <w:pPr>
              <w:pStyle w:val="Default"/>
              <w:jc w:val="both"/>
              <w:rPr>
                <w:rFonts w:ascii="Calibri" w:hAnsi="Calibri" w:cs="Calibri"/>
                <w:sz w:val="22"/>
                <w:szCs w:val="22"/>
              </w:rPr>
            </w:pPr>
            <w:r w:rsidRPr="002A7028">
              <w:rPr>
                <w:rFonts w:ascii="Calibri" w:hAnsi="Calibri" w:cs="Calibri"/>
                <w:sz w:val="22"/>
                <w:szCs w:val="22"/>
              </w:rPr>
              <w:t xml:space="preserve">The Performance and Quality dashboards contain measures from the NHS Constitution and the performance </w:t>
            </w:r>
            <w:r w:rsidR="00D57250">
              <w:rPr>
                <w:rFonts w:ascii="Calibri" w:hAnsi="Calibri" w:cs="Calibri"/>
                <w:sz w:val="22"/>
                <w:szCs w:val="22"/>
              </w:rPr>
              <w:t xml:space="preserve">and quality </w:t>
            </w:r>
            <w:r w:rsidR="003375B0" w:rsidRPr="002A7028">
              <w:rPr>
                <w:rFonts w:ascii="Calibri" w:hAnsi="Calibri" w:cs="Calibri"/>
                <w:sz w:val="22"/>
                <w:szCs w:val="22"/>
              </w:rPr>
              <w:t>associated with</w:t>
            </w:r>
            <w:r w:rsidRPr="002A7028">
              <w:rPr>
                <w:rFonts w:ascii="Calibri" w:hAnsi="Calibri" w:cs="Calibri"/>
                <w:sz w:val="22"/>
                <w:szCs w:val="22"/>
              </w:rPr>
              <w:t xml:space="preserve"> these are managed and assured through the </w:t>
            </w:r>
            <w:r w:rsidR="00D57250">
              <w:rPr>
                <w:rFonts w:ascii="Calibri" w:hAnsi="Calibri" w:cs="Calibri"/>
                <w:bCs/>
                <w:sz w:val="22"/>
                <w:szCs w:val="22"/>
              </w:rPr>
              <w:t xml:space="preserve">Delivery Assurance Committee and </w:t>
            </w:r>
            <w:r w:rsidR="003375B0" w:rsidRPr="002A7028">
              <w:rPr>
                <w:rFonts w:ascii="Calibri" w:hAnsi="Calibri" w:cs="Calibri"/>
                <w:bCs/>
                <w:sz w:val="22"/>
                <w:szCs w:val="22"/>
              </w:rPr>
              <w:t xml:space="preserve">the </w:t>
            </w:r>
            <w:r w:rsidR="00D57250">
              <w:rPr>
                <w:rFonts w:ascii="Calibri" w:hAnsi="Calibri" w:cs="Calibri"/>
                <w:bCs/>
                <w:sz w:val="22"/>
                <w:szCs w:val="22"/>
              </w:rPr>
              <w:t>Clinical Governance Committee</w:t>
            </w:r>
            <w:r w:rsidR="003375B0" w:rsidRPr="002A7028">
              <w:rPr>
                <w:rFonts w:ascii="Calibri" w:hAnsi="Calibri" w:cs="Calibri"/>
                <w:bCs/>
                <w:sz w:val="22"/>
                <w:szCs w:val="22"/>
              </w:rPr>
              <w:t>.</w:t>
            </w:r>
          </w:p>
        </w:tc>
      </w:tr>
      <w:tr w:rsidR="007E1C2F" w:rsidRPr="000D1B0D" w:rsidTr="007663C8">
        <w:tc>
          <w:tcPr>
            <w:tcW w:w="2103" w:type="dxa"/>
            <w:shd w:val="clear" w:color="auto" w:fill="auto"/>
          </w:tcPr>
          <w:p w:rsidR="007E1C2F" w:rsidRPr="000D1B0D" w:rsidRDefault="007E1C2F" w:rsidP="00F128DE">
            <w:pPr>
              <w:pStyle w:val="Default"/>
              <w:rPr>
                <w:rFonts w:ascii="Calibri" w:hAnsi="Calibri" w:cs="Calibri"/>
                <w:b/>
                <w:sz w:val="20"/>
                <w:szCs w:val="20"/>
              </w:rPr>
            </w:pPr>
            <w:r w:rsidRPr="000D1B0D">
              <w:rPr>
                <w:rFonts w:ascii="Calibri" w:hAnsi="Calibri" w:cs="Calibri"/>
                <w:b/>
                <w:sz w:val="20"/>
                <w:szCs w:val="20"/>
              </w:rPr>
              <w:t>Report exempt from Public Disclosure</w:t>
            </w:r>
          </w:p>
        </w:tc>
        <w:tc>
          <w:tcPr>
            <w:tcW w:w="7977" w:type="dxa"/>
            <w:shd w:val="clear" w:color="auto" w:fill="auto"/>
          </w:tcPr>
          <w:p w:rsidR="007E1C2F" w:rsidRPr="00060076" w:rsidRDefault="007E1C2F" w:rsidP="000D1B0D">
            <w:pPr>
              <w:pStyle w:val="Default"/>
              <w:jc w:val="both"/>
              <w:rPr>
                <w:sz w:val="20"/>
                <w:szCs w:val="20"/>
              </w:rPr>
            </w:pPr>
            <w:r w:rsidRPr="00060076">
              <w:rPr>
                <w:sz w:val="20"/>
                <w:szCs w:val="20"/>
              </w:rPr>
              <w:t>No</w:t>
            </w:r>
          </w:p>
        </w:tc>
      </w:tr>
    </w:tbl>
    <w:p w:rsidR="009D4EDC" w:rsidRDefault="009D4EDC" w:rsidP="00D3211A">
      <w:pPr>
        <w:pStyle w:val="Default"/>
        <w:jc w:val="both"/>
        <w:rPr>
          <w:rFonts w:ascii="Calibri" w:hAnsi="Calibri" w:cs="Calibr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938"/>
      </w:tblGrid>
      <w:tr w:rsidR="007E1C2F" w:rsidRPr="000D1B0D" w:rsidTr="00B658DC">
        <w:tc>
          <w:tcPr>
            <w:tcW w:w="2127" w:type="dxa"/>
            <w:shd w:val="clear" w:color="auto" w:fill="auto"/>
          </w:tcPr>
          <w:p w:rsidR="007E1C2F" w:rsidRPr="000D1B0D" w:rsidRDefault="007E1C2F" w:rsidP="00FB449C">
            <w:pPr>
              <w:pStyle w:val="Default"/>
              <w:rPr>
                <w:rFonts w:ascii="Calibri" w:hAnsi="Calibri" w:cs="Calibri"/>
                <w:b/>
                <w:sz w:val="20"/>
                <w:szCs w:val="20"/>
              </w:rPr>
            </w:pPr>
            <w:r w:rsidRPr="000D1B0D">
              <w:rPr>
                <w:rFonts w:ascii="Calibri" w:hAnsi="Calibri" w:cs="Calibri"/>
                <w:b/>
                <w:sz w:val="20"/>
                <w:szCs w:val="20"/>
              </w:rPr>
              <w:t>Appendices / attachments</w:t>
            </w:r>
          </w:p>
          <w:p w:rsidR="007E1C2F" w:rsidRPr="000D1B0D" w:rsidRDefault="007E1C2F" w:rsidP="000D1B0D">
            <w:pPr>
              <w:pStyle w:val="Default"/>
              <w:jc w:val="both"/>
              <w:rPr>
                <w:rFonts w:ascii="Calibri" w:hAnsi="Calibri" w:cs="Calibri"/>
                <w:sz w:val="20"/>
                <w:szCs w:val="20"/>
              </w:rPr>
            </w:pPr>
          </w:p>
        </w:tc>
        <w:tc>
          <w:tcPr>
            <w:tcW w:w="7938" w:type="dxa"/>
            <w:shd w:val="clear" w:color="auto" w:fill="auto"/>
          </w:tcPr>
          <w:p w:rsidR="00E61AF0" w:rsidRDefault="008A397F" w:rsidP="008A397F">
            <w:pPr>
              <w:pStyle w:val="Default"/>
              <w:tabs>
                <w:tab w:val="left" w:pos="3392"/>
              </w:tabs>
              <w:jc w:val="both"/>
              <w:rPr>
                <w:rFonts w:ascii="Calibri" w:hAnsi="Calibri" w:cs="Calibri"/>
                <w:sz w:val="20"/>
                <w:szCs w:val="20"/>
              </w:rPr>
            </w:pPr>
            <w:r>
              <w:rPr>
                <w:rFonts w:ascii="Calibri" w:hAnsi="Calibri" w:cs="Calibri"/>
                <w:sz w:val="20"/>
                <w:szCs w:val="20"/>
              </w:rPr>
              <w:t xml:space="preserve">  </w:t>
            </w:r>
            <w:r>
              <w:rPr>
                <w:rFonts w:ascii="Calibri" w:hAnsi="Calibri" w:cs="Calibri"/>
                <w:sz w:val="20"/>
                <w:szCs w:val="20"/>
              </w:rPr>
              <w:tab/>
            </w:r>
          </w:p>
          <w:p w:rsidR="00E61AF0" w:rsidRPr="000D1B0D" w:rsidRDefault="006A0A2E" w:rsidP="000D1B0D">
            <w:pPr>
              <w:pStyle w:val="Default"/>
              <w:jc w:val="both"/>
              <w:rPr>
                <w:rFonts w:ascii="Calibri" w:hAnsi="Calibri" w:cs="Calibri"/>
                <w:sz w:val="20"/>
                <w:szCs w:val="20"/>
              </w:rPr>
            </w:pPr>
            <w:r>
              <w:rPr>
                <w:rFonts w:ascii="Calibri" w:hAnsi="Calibri" w:cs="Calibri"/>
                <w:sz w:val="20"/>
                <w:szCs w:val="20"/>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5pt;height:50.2pt" o:ole="">
                  <v:imagedata r:id="rId12" o:title=""/>
                </v:shape>
                <o:OLEObject Type="Embed" ProgID="AcroExch.Document.DC" ShapeID="_x0000_i1025" DrawAspect="Icon" ObjectID="_1603003401" r:id="rId13"/>
              </w:object>
            </w:r>
          </w:p>
        </w:tc>
      </w:tr>
    </w:tbl>
    <w:p w:rsidR="00893409" w:rsidRDefault="00893409" w:rsidP="00D3211A">
      <w:pPr>
        <w:pStyle w:val="Default"/>
        <w:jc w:val="both"/>
        <w:rPr>
          <w:rFonts w:ascii="Calibri" w:hAnsi="Calibri" w:cs="Calibri"/>
          <w:sz w:val="20"/>
          <w:szCs w:val="20"/>
        </w:rPr>
      </w:pPr>
    </w:p>
    <w:p w:rsidR="00AF2374" w:rsidRDefault="00AF2374" w:rsidP="00D3211A">
      <w:pPr>
        <w:pStyle w:val="Default"/>
        <w:jc w:val="both"/>
        <w:rPr>
          <w:rFonts w:ascii="Calibri" w:hAnsi="Calibri" w:cs="Calibri"/>
          <w:sz w:val="20"/>
          <w:szCs w:val="20"/>
        </w:rPr>
      </w:pPr>
    </w:p>
    <w:p w:rsidR="00AF2374" w:rsidRDefault="00AF2374" w:rsidP="00D3211A">
      <w:pPr>
        <w:pStyle w:val="Default"/>
        <w:jc w:val="both"/>
        <w:rPr>
          <w:rFonts w:ascii="Calibri" w:hAnsi="Calibri" w:cs="Calibri"/>
          <w:sz w:val="20"/>
          <w:szCs w:val="20"/>
        </w:rPr>
      </w:pPr>
    </w:p>
    <w:p w:rsidR="00AF2374" w:rsidRDefault="00AF2374" w:rsidP="00D3211A">
      <w:pPr>
        <w:pStyle w:val="Default"/>
        <w:jc w:val="both"/>
        <w:rPr>
          <w:rFonts w:ascii="Calibri" w:hAnsi="Calibri" w:cs="Calibri"/>
          <w:sz w:val="20"/>
          <w:szCs w:val="20"/>
        </w:rPr>
      </w:pPr>
    </w:p>
    <w:p w:rsidR="00AF2374" w:rsidRDefault="00AF2374" w:rsidP="00D3211A">
      <w:pPr>
        <w:pStyle w:val="Default"/>
        <w:jc w:val="both"/>
        <w:rPr>
          <w:rFonts w:ascii="Calibri" w:hAnsi="Calibri" w:cs="Calibri"/>
          <w:sz w:val="20"/>
          <w:szCs w:val="20"/>
        </w:rPr>
      </w:pPr>
    </w:p>
    <w:p w:rsidR="00727B0D" w:rsidRDefault="00727B0D" w:rsidP="00D3211A">
      <w:pPr>
        <w:pStyle w:val="Default"/>
        <w:jc w:val="both"/>
        <w:rPr>
          <w:rFonts w:ascii="Calibri" w:hAnsi="Calibri" w:cs="Calibri"/>
          <w:sz w:val="20"/>
          <w:szCs w:val="20"/>
        </w:rPr>
        <w:sectPr w:rsidR="00727B0D" w:rsidSect="0092546C">
          <w:headerReference w:type="default" r:id="rId14"/>
          <w:footerReference w:type="default" r:id="rId15"/>
          <w:pgSz w:w="11900" w:h="16840"/>
          <w:pgMar w:top="737" w:right="964" w:bottom="567" w:left="964" w:header="0" w:footer="1134" w:gutter="0"/>
          <w:cols w:space="708"/>
        </w:sectPr>
      </w:pPr>
    </w:p>
    <w:p w:rsidR="00737E93" w:rsidRPr="00994A24" w:rsidRDefault="00737E93" w:rsidP="00737E93">
      <w:pPr>
        <w:jc w:val="center"/>
        <w:rPr>
          <w:rFonts w:ascii="Calibri" w:eastAsia="Verdana" w:hAnsi="Calibri" w:cs="Calibri"/>
          <w:b/>
          <w:color w:val="000000"/>
          <w:sz w:val="40"/>
          <w:szCs w:val="40"/>
        </w:rPr>
      </w:pPr>
      <w:r w:rsidRPr="00994A24">
        <w:rPr>
          <w:rFonts w:ascii="Calibri" w:eastAsia="Verdana" w:hAnsi="Calibri" w:cs="Calibri"/>
          <w:b/>
          <w:color w:val="000000"/>
          <w:sz w:val="40"/>
          <w:szCs w:val="40"/>
        </w:rPr>
        <w:lastRenderedPageBreak/>
        <w:t>Integrated Assurance &amp; Quality Report</w:t>
      </w:r>
    </w:p>
    <w:p w:rsidR="00737E93" w:rsidRPr="00590250" w:rsidRDefault="00737E93" w:rsidP="00737E93">
      <w:pPr>
        <w:jc w:val="center"/>
        <w:rPr>
          <w:rFonts w:ascii="Arial" w:eastAsia="Verdana" w:hAnsi="Arial" w:cs="Arial"/>
          <w:b/>
          <w:color w:val="000000"/>
          <w:sz w:val="20"/>
        </w:rPr>
      </w:pPr>
    </w:p>
    <w:p w:rsidR="00737E93" w:rsidRPr="00971F37" w:rsidRDefault="00737E93" w:rsidP="00737E93">
      <w:pPr>
        <w:rPr>
          <w:rFonts w:ascii="Calibri" w:hAnsi="Calibri" w:cs="Calibri"/>
          <w:szCs w:val="22"/>
        </w:rPr>
      </w:pPr>
      <w:r w:rsidRPr="00971F37">
        <w:rPr>
          <w:rFonts w:ascii="Calibri" w:hAnsi="Calibri" w:cs="Calibri"/>
          <w:b/>
          <w:szCs w:val="22"/>
        </w:rPr>
        <w:t>Introduction</w:t>
      </w:r>
    </w:p>
    <w:p w:rsidR="00737E93" w:rsidRPr="00737E93" w:rsidRDefault="00737E93" w:rsidP="00737E93">
      <w:pPr>
        <w:rPr>
          <w:rFonts w:ascii="Calibri" w:hAnsi="Calibri" w:cs="Calibri"/>
          <w:sz w:val="22"/>
          <w:szCs w:val="22"/>
        </w:rPr>
      </w:pPr>
      <w:r w:rsidRPr="00737E93">
        <w:rPr>
          <w:rFonts w:ascii="Calibri" w:hAnsi="Calibri" w:cs="Calibri"/>
          <w:sz w:val="22"/>
          <w:szCs w:val="22"/>
        </w:rPr>
        <w:t>The dashboards below represent an overview of performance and quality for health and social care services across North East Lincolnshire.</w:t>
      </w:r>
    </w:p>
    <w:p w:rsidR="00737E93" w:rsidRPr="00737E93" w:rsidRDefault="00737E93" w:rsidP="00737E93">
      <w:pPr>
        <w:rPr>
          <w:rFonts w:ascii="Calibri" w:hAnsi="Calibri" w:cs="Calibri"/>
          <w:sz w:val="22"/>
          <w:szCs w:val="22"/>
        </w:rPr>
      </w:pPr>
    </w:p>
    <w:p w:rsidR="00737E93" w:rsidRPr="00737E93" w:rsidRDefault="00737E93" w:rsidP="00B47EA5">
      <w:pPr>
        <w:rPr>
          <w:rFonts w:ascii="Calibri" w:hAnsi="Calibri" w:cs="Calibri"/>
          <w:sz w:val="22"/>
          <w:szCs w:val="22"/>
        </w:rPr>
      </w:pPr>
      <w:r w:rsidRPr="00737E93">
        <w:rPr>
          <w:rFonts w:ascii="Calibri" w:hAnsi="Calibri" w:cs="Calibri"/>
          <w:sz w:val="22"/>
          <w:szCs w:val="22"/>
        </w:rPr>
        <w:t>The performance dashboard consists of six domains and the quality dashboard three domains that incorporate all areas that North East Lincolnshire Clinical Commissioning Group strive to improve on. A judgement has been made of the status for each domain based on the measures and intelligence underpinning them. These judgements try to balance the current position with the expected outcome at the end of the year and weightings with respect to priority. They also represent the local perspective of performance and quality for North East Lincolnshire rather than the performance against the national definition which, on occasion, covers a broader footprint. It should be noted that those issues that have an impact on the CCGs corporate performance assessment will continue to be scrutinised at the Delivery Assurance Committee. The dash</w:t>
      </w:r>
      <w:r w:rsidR="007A6F6F">
        <w:rPr>
          <w:rFonts w:ascii="Calibri" w:hAnsi="Calibri" w:cs="Calibri"/>
          <w:sz w:val="22"/>
          <w:szCs w:val="22"/>
        </w:rPr>
        <w:t xml:space="preserve">boards reflect performance for </w:t>
      </w:r>
      <w:r w:rsidR="005F46EC">
        <w:rPr>
          <w:rFonts w:ascii="Calibri" w:hAnsi="Calibri" w:cs="Calibri"/>
          <w:sz w:val="22"/>
          <w:szCs w:val="22"/>
        </w:rPr>
        <w:t xml:space="preserve">the first </w:t>
      </w:r>
      <w:r w:rsidR="006F132B">
        <w:rPr>
          <w:rFonts w:ascii="Calibri" w:hAnsi="Calibri" w:cs="Calibri"/>
          <w:sz w:val="22"/>
          <w:szCs w:val="22"/>
        </w:rPr>
        <w:t>six</w:t>
      </w:r>
      <w:r w:rsidR="005F46EC">
        <w:rPr>
          <w:rFonts w:ascii="Calibri" w:hAnsi="Calibri" w:cs="Calibri"/>
          <w:sz w:val="22"/>
          <w:szCs w:val="22"/>
        </w:rPr>
        <w:t xml:space="preserve"> months of 2018-19</w:t>
      </w:r>
      <w:r w:rsidRPr="00737E93">
        <w:rPr>
          <w:rFonts w:ascii="Calibri" w:hAnsi="Calibri" w:cs="Calibri"/>
          <w:sz w:val="22"/>
          <w:szCs w:val="22"/>
        </w:rPr>
        <w:t>. The Delivery Assurance Committee and Quality Committee, respectively, are asked to make a decision on the final status of the dashboards before reporting to the CCG Partnership Board.  Full exception report summaries are also included for Performance (appendix A) detailing performance of indicators that are underperforming</w:t>
      </w:r>
      <w:r w:rsidR="006F132B">
        <w:rPr>
          <w:rFonts w:ascii="Calibri" w:hAnsi="Calibri" w:cs="Calibri"/>
          <w:sz w:val="22"/>
          <w:szCs w:val="22"/>
        </w:rPr>
        <w:t xml:space="preserve"> and </w:t>
      </w:r>
      <w:r w:rsidR="000976E0" w:rsidRPr="000976E0">
        <w:rPr>
          <w:rFonts w:ascii="Calibri" w:hAnsi="Calibri" w:cs="Calibri"/>
          <w:sz w:val="22"/>
          <w:szCs w:val="22"/>
        </w:rPr>
        <w:t>Provider-level Quality Dashboards</w:t>
      </w:r>
      <w:r w:rsidR="009D5435">
        <w:rPr>
          <w:rFonts w:ascii="Calibri" w:hAnsi="Calibri" w:cs="Calibri"/>
          <w:sz w:val="22"/>
          <w:szCs w:val="22"/>
        </w:rPr>
        <w:t xml:space="preserve"> (appendix B</w:t>
      </w:r>
      <w:r w:rsidR="006F132B">
        <w:rPr>
          <w:rFonts w:ascii="Calibri" w:hAnsi="Calibri" w:cs="Calibri"/>
          <w:sz w:val="22"/>
          <w:szCs w:val="22"/>
        </w:rPr>
        <w:t>).</w:t>
      </w:r>
    </w:p>
    <w:p w:rsidR="00737E93" w:rsidRDefault="00737E93" w:rsidP="008C731B">
      <w:pPr>
        <w:ind w:left="2160"/>
        <w:rPr>
          <w:rFonts w:ascii="Calibri" w:hAnsi="Calibri" w:cs="Calibri"/>
          <w:b/>
          <w:sz w:val="32"/>
          <w:szCs w:val="32"/>
        </w:rPr>
      </w:pPr>
      <w:r>
        <w:rPr>
          <w:rFonts w:ascii="Arial" w:hAnsi="Arial" w:cs="Arial"/>
          <w:b/>
          <w:sz w:val="20"/>
        </w:rPr>
        <w:t xml:space="preserve">         </w:t>
      </w:r>
      <w:r w:rsidRPr="00B47EA5">
        <w:rPr>
          <w:rFonts w:ascii="Arial" w:hAnsi="Arial" w:cs="Arial"/>
          <w:b/>
          <w:sz w:val="32"/>
          <w:szCs w:val="32"/>
        </w:rPr>
        <w:t xml:space="preserve"> </w:t>
      </w:r>
      <w:r w:rsidRPr="00B47EA5">
        <w:rPr>
          <w:rFonts w:ascii="Calibri" w:hAnsi="Calibri" w:cs="Calibri"/>
          <w:b/>
          <w:sz w:val="32"/>
          <w:szCs w:val="32"/>
        </w:rPr>
        <w:t>Performance</w:t>
      </w:r>
      <w:r w:rsidRPr="00FB7EB8">
        <w:rPr>
          <w:rFonts w:ascii="Arial" w:hAnsi="Arial" w:cs="Arial"/>
          <w:b/>
          <w:sz w:val="32"/>
        </w:rPr>
        <w:tab/>
      </w:r>
      <w:r w:rsidRPr="00FB7EB8">
        <w:rPr>
          <w:rFonts w:ascii="Arial" w:hAnsi="Arial" w:cs="Arial"/>
          <w:b/>
          <w:sz w:val="32"/>
        </w:rPr>
        <w:tab/>
      </w:r>
      <w:r w:rsidRPr="00FB7EB8">
        <w:rPr>
          <w:rFonts w:ascii="Arial" w:hAnsi="Arial" w:cs="Arial"/>
          <w:b/>
          <w:sz w:val="32"/>
        </w:rPr>
        <w:tab/>
      </w:r>
      <w:r w:rsidRPr="00FB7EB8">
        <w:rPr>
          <w:rFonts w:ascii="Arial" w:hAnsi="Arial" w:cs="Arial"/>
          <w:b/>
          <w:sz w:val="32"/>
        </w:rPr>
        <w:tab/>
      </w:r>
      <w:r w:rsidRPr="00FB7EB8">
        <w:rPr>
          <w:rFonts w:ascii="Arial" w:hAnsi="Arial" w:cs="Arial"/>
          <w:b/>
          <w:sz w:val="32"/>
        </w:rPr>
        <w:tab/>
      </w:r>
      <w:r w:rsidRPr="00FB7EB8">
        <w:rPr>
          <w:rFonts w:ascii="Arial" w:hAnsi="Arial" w:cs="Arial"/>
          <w:b/>
          <w:sz w:val="32"/>
        </w:rPr>
        <w:tab/>
        <w:t xml:space="preserve">  </w:t>
      </w:r>
      <w:r w:rsidRPr="00FB7EB8">
        <w:rPr>
          <w:rFonts w:ascii="Arial" w:hAnsi="Arial" w:cs="Arial"/>
          <w:b/>
          <w:sz w:val="32"/>
        </w:rPr>
        <w:tab/>
      </w:r>
      <w:r w:rsidR="00EB5BA1">
        <w:rPr>
          <w:rFonts w:ascii="Arial" w:hAnsi="Arial" w:cs="Arial"/>
          <w:b/>
          <w:sz w:val="32"/>
        </w:rPr>
        <w:t xml:space="preserve">   </w:t>
      </w:r>
      <w:r w:rsidRPr="00FB7EB8">
        <w:rPr>
          <w:rFonts w:ascii="Arial" w:hAnsi="Arial" w:cs="Arial"/>
          <w:b/>
          <w:sz w:val="32"/>
        </w:rPr>
        <w:t xml:space="preserve">      </w:t>
      </w:r>
      <w:r>
        <w:rPr>
          <w:rFonts w:ascii="Arial" w:hAnsi="Arial" w:cs="Arial"/>
          <w:b/>
          <w:sz w:val="32"/>
        </w:rPr>
        <w:t xml:space="preserve"> </w:t>
      </w:r>
      <w:r w:rsidRPr="00B47EA5">
        <w:rPr>
          <w:rFonts w:ascii="Calibri" w:hAnsi="Calibri" w:cs="Calibri"/>
          <w:b/>
          <w:sz w:val="32"/>
          <w:szCs w:val="32"/>
        </w:rPr>
        <w:t>Quality</w:t>
      </w:r>
    </w:p>
    <w:p w:rsidR="00282A26" w:rsidRDefault="006A0A2E" w:rsidP="00737E93">
      <w:r>
        <w:rPr>
          <w:noProof/>
          <w:lang w:eastAsia="en-GB"/>
        </w:rPr>
        <w:drawing>
          <wp:inline distT="0" distB="0" distL="0" distR="0" wp14:anchorId="35CC4E24" wp14:editId="79DE8F98">
            <wp:extent cx="4619625" cy="3486150"/>
            <wp:effectExtent l="38100" t="38100" r="47625" b="381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4808" t="20512" r="70952" b="31339"/>
                    <a:stretch>
                      <a:fillRect/>
                    </a:stretch>
                  </pic:blipFill>
                  <pic:spPr bwMode="auto">
                    <a:xfrm>
                      <a:off x="0" y="0"/>
                      <a:ext cx="4619625" cy="3486150"/>
                    </a:xfrm>
                    <a:prstGeom prst="rect">
                      <a:avLst/>
                    </a:prstGeom>
                    <a:noFill/>
                    <a:ln w="38100" cmpd="sng">
                      <a:solidFill>
                        <a:schemeClr val="bg1">
                          <a:lumMod val="65000"/>
                          <a:lumOff val="0"/>
                        </a:schemeClr>
                      </a:solidFill>
                      <a:miter lim="800000"/>
                      <a:headEnd/>
                      <a:tailEnd/>
                    </a:ln>
                    <a:effectLst/>
                  </pic:spPr>
                </pic:pic>
              </a:graphicData>
            </a:graphic>
          </wp:inline>
        </w:drawing>
      </w:r>
      <w:r w:rsidR="008C731B">
        <w:t xml:space="preserve">  </w:t>
      </w:r>
      <w:r w:rsidR="00282A26">
        <w:t xml:space="preserve">    </w:t>
      </w:r>
      <w:r w:rsidR="0069784F">
        <w:rPr>
          <w:noProof/>
          <w:lang w:eastAsia="en-GB"/>
        </w:rPr>
        <w:drawing>
          <wp:inline distT="0" distB="0" distL="0" distR="0">
            <wp:extent cx="3886200" cy="3400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90645" cy="3404315"/>
                    </a:xfrm>
                    <a:prstGeom prst="rect">
                      <a:avLst/>
                    </a:prstGeom>
                    <a:noFill/>
                    <a:ln>
                      <a:noFill/>
                    </a:ln>
                  </pic:spPr>
                </pic:pic>
              </a:graphicData>
            </a:graphic>
          </wp:inline>
        </w:drawing>
      </w:r>
    </w:p>
    <w:p w:rsidR="00282A26" w:rsidRDefault="00282A26" w:rsidP="00282A26">
      <w:pPr>
        <w:rPr>
          <w:rFonts w:ascii="Arial" w:hAnsi="Arial" w:cs="Arial"/>
          <w:b/>
          <w:i/>
          <w:sz w:val="16"/>
          <w:szCs w:val="16"/>
        </w:rPr>
      </w:pPr>
      <w:r>
        <w:rPr>
          <w:rFonts w:ascii="Arial" w:hAnsi="Arial" w:cs="Arial"/>
          <w:b/>
          <w:i/>
          <w:sz w:val="16"/>
          <w:szCs w:val="16"/>
        </w:rPr>
        <w:t>Please note the star symbol</w:t>
      </w:r>
      <w:r w:rsidRPr="00CB02AC">
        <w:rPr>
          <w:rFonts w:ascii="Arial" w:hAnsi="Arial" w:cs="Arial"/>
          <w:b/>
          <w:i/>
          <w:sz w:val="16"/>
          <w:szCs w:val="16"/>
        </w:rPr>
        <w:t xml:space="preserve"> indicates a measure</w:t>
      </w:r>
      <w:r>
        <w:rPr>
          <w:rFonts w:ascii="Arial" w:hAnsi="Arial" w:cs="Arial"/>
          <w:b/>
          <w:i/>
          <w:sz w:val="16"/>
          <w:szCs w:val="16"/>
        </w:rPr>
        <w:t xml:space="preserve"> from the CCG Improvement and Assessment Framework (CCG IAF)</w:t>
      </w:r>
      <w:r w:rsidRPr="00CB02AC">
        <w:rPr>
          <w:rFonts w:ascii="Arial" w:hAnsi="Arial" w:cs="Arial"/>
          <w:b/>
          <w:i/>
          <w:sz w:val="16"/>
          <w:szCs w:val="16"/>
        </w:rPr>
        <w:t xml:space="preserve">. These indicators focus </w:t>
      </w:r>
      <w:r>
        <w:rPr>
          <w:rFonts w:ascii="Arial" w:hAnsi="Arial" w:cs="Arial"/>
          <w:b/>
          <w:i/>
          <w:sz w:val="16"/>
          <w:szCs w:val="16"/>
        </w:rPr>
        <w:t>Better Health, Better Care, Sustainability and Leadership</w:t>
      </w:r>
      <w:r w:rsidRPr="00CB02AC">
        <w:rPr>
          <w:rFonts w:ascii="Arial" w:hAnsi="Arial" w:cs="Arial"/>
          <w:b/>
          <w:i/>
          <w:sz w:val="16"/>
          <w:szCs w:val="16"/>
        </w:rPr>
        <w:t>.</w:t>
      </w:r>
    </w:p>
    <w:p w:rsidR="00282A26" w:rsidRDefault="00282A26" w:rsidP="00737E93">
      <w:pPr>
        <w:rPr>
          <w:rFonts w:ascii="Calibri" w:hAnsi="Calibri" w:cs="Calibri"/>
          <w:b/>
          <w:i/>
          <w:sz w:val="16"/>
          <w:szCs w:val="16"/>
        </w:rPr>
        <w:sectPr w:rsidR="00282A26" w:rsidSect="003B4CEF">
          <w:headerReference w:type="default" r:id="rId18"/>
          <w:footerReference w:type="default" r:id="rId19"/>
          <w:pgSz w:w="16840" w:h="11900" w:orient="landscape" w:code="9"/>
          <w:pgMar w:top="743" w:right="902" w:bottom="743" w:left="902" w:header="567" w:footer="567" w:gutter="0"/>
          <w:cols w:space="708"/>
        </w:sectPr>
      </w:pPr>
    </w:p>
    <w:p w:rsidR="009D16C7" w:rsidRDefault="009D16C7" w:rsidP="009D16C7">
      <w:pPr>
        <w:jc w:val="center"/>
        <w:rPr>
          <w:rFonts w:ascii="Calibri" w:eastAsia="Verdana" w:hAnsi="Calibri" w:cs="Calibri"/>
          <w:b/>
          <w:color w:val="000000"/>
          <w:sz w:val="36"/>
          <w:szCs w:val="36"/>
        </w:rPr>
      </w:pPr>
      <w:r>
        <w:rPr>
          <w:rFonts w:ascii="Calibri" w:eastAsia="Verdana" w:hAnsi="Calibri" w:cs="Calibri"/>
          <w:b/>
          <w:color w:val="000000"/>
          <w:sz w:val="36"/>
          <w:szCs w:val="36"/>
        </w:rPr>
        <w:lastRenderedPageBreak/>
        <w:t xml:space="preserve">Performance </w:t>
      </w:r>
      <w:r w:rsidRPr="00ED542C">
        <w:rPr>
          <w:rFonts w:ascii="Calibri" w:eastAsia="Verdana" w:hAnsi="Calibri" w:cs="Calibri"/>
          <w:b/>
          <w:color w:val="000000"/>
          <w:sz w:val="36"/>
          <w:szCs w:val="36"/>
        </w:rPr>
        <w:t>Escalation</w:t>
      </w:r>
    </w:p>
    <w:p w:rsidR="009D16C7" w:rsidRPr="00F43CFF" w:rsidRDefault="009D16C7" w:rsidP="009D16C7">
      <w:pPr>
        <w:jc w:val="center"/>
        <w:rPr>
          <w:rFonts w:ascii="Calibri" w:eastAsia="Verdana" w:hAnsi="Calibri" w:cs="Calibri"/>
          <w:b/>
          <w:color w:val="000000"/>
          <w:sz w:val="16"/>
          <w:szCs w:val="16"/>
        </w:rPr>
      </w:pPr>
    </w:p>
    <w:p w:rsidR="006A0A2E" w:rsidRDefault="006A0A2E" w:rsidP="006A0A2E">
      <w:pPr>
        <w:rPr>
          <w:rFonts w:ascii="Calibri" w:eastAsia="Verdana" w:hAnsi="Calibri" w:cs="Calibri"/>
          <w:b/>
          <w:bCs/>
          <w:color w:val="000000"/>
          <w:sz w:val="28"/>
          <w:szCs w:val="32"/>
        </w:rPr>
      </w:pPr>
      <w:r>
        <w:rPr>
          <w:rFonts w:ascii="Calibri" w:eastAsia="Verdana" w:hAnsi="Calibri" w:cs="Calibri"/>
          <w:b/>
          <w:bCs/>
          <w:color w:val="000000"/>
          <w:sz w:val="28"/>
          <w:szCs w:val="32"/>
        </w:rPr>
        <w:t>NELCCG Quarter 2</w:t>
      </w:r>
      <w:r w:rsidRPr="00F34125">
        <w:rPr>
          <w:rFonts w:ascii="Calibri" w:eastAsia="Verdana" w:hAnsi="Calibri" w:cs="Calibri"/>
          <w:b/>
          <w:bCs/>
          <w:color w:val="000000"/>
          <w:sz w:val="28"/>
          <w:szCs w:val="32"/>
        </w:rPr>
        <w:t xml:space="preserve"> </w:t>
      </w:r>
      <w:r>
        <w:rPr>
          <w:rFonts w:ascii="Calibri" w:eastAsia="Verdana" w:hAnsi="Calibri" w:cs="Calibri"/>
          <w:b/>
          <w:bCs/>
          <w:color w:val="000000"/>
          <w:sz w:val="28"/>
          <w:szCs w:val="32"/>
        </w:rPr>
        <w:t>Assurance</w:t>
      </w:r>
      <w:r w:rsidRPr="00F34125">
        <w:rPr>
          <w:rFonts w:ascii="Calibri" w:eastAsia="Verdana" w:hAnsi="Calibri" w:cs="Calibri"/>
          <w:b/>
          <w:bCs/>
          <w:color w:val="000000"/>
          <w:sz w:val="28"/>
          <w:szCs w:val="32"/>
        </w:rPr>
        <w:t xml:space="preserve"> M</w:t>
      </w:r>
      <w:r>
        <w:rPr>
          <w:rFonts w:ascii="Calibri" w:eastAsia="Verdana" w:hAnsi="Calibri" w:cs="Calibri"/>
          <w:b/>
          <w:bCs/>
          <w:color w:val="000000"/>
          <w:sz w:val="28"/>
          <w:szCs w:val="32"/>
        </w:rPr>
        <w:t>eeting</w:t>
      </w:r>
    </w:p>
    <w:p w:rsidR="006A0A2E" w:rsidRPr="009E557F" w:rsidRDefault="006A0A2E" w:rsidP="006A0A2E">
      <w:pPr>
        <w:rPr>
          <w:rFonts w:ascii="Calibri" w:eastAsia="Verdana" w:hAnsi="Calibri" w:cs="Calibri"/>
          <w:b/>
          <w:bCs/>
          <w:color w:val="000000"/>
          <w:sz w:val="16"/>
          <w:szCs w:val="16"/>
        </w:rPr>
      </w:pPr>
    </w:p>
    <w:p w:rsidR="006A0A2E" w:rsidRDefault="006A0A2E" w:rsidP="006A0A2E">
      <w:pPr>
        <w:rPr>
          <w:rFonts w:ascii="Calibri" w:eastAsia="Verdana" w:hAnsi="Calibri" w:cs="Calibri"/>
          <w:bCs/>
          <w:color w:val="000000"/>
          <w:sz w:val="22"/>
          <w:szCs w:val="22"/>
        </w:rPr>
      </w:pPr>
      <w:r w:rsidRPr="00557052">
        <w:rPr>
          <w:rFonts w:ascii="Calibri" w:eastAsia="Verdana" w:hAnsi="Calibri" w:cs="Calibri"/>
          <w:bCs/>
          <w:color w:val="000000"/>
          <w:sz w:val="22"/>
          <w:szCs w:val="22"/>
        </w:rPr>
        <w:t>N</w:t>
      </w:r>
      <w:r>
        <w:rPr>
          <w:rFonts w:ascii="Calibri" w:eastAsia="Verdana" w:hAnsi="Calibri" w:cs="Calibri"/>
          <w:bCs/>
          <w:color w:val="000000"/>
          <w:sz w:val="22"/>
          <w:szCs w:val="22"/>
        </w:rPr>
        <w:t xml:space="preserve">ELCCG is subject to quarterly assurance meetings with NHS England where one of the points raised is our performance against the Improvement and Assessment Framework (IAF).  The table below shows our performance for March 2018 against the latest performance on those key measures identified as a particular challenge in 2017/18 for NELCCG along with those key measures as likely to be a particular challenge in 2018/19. </w:t>
      </w:r>
    </w:p>
    <w:p w:rsidR="006A0A2E" w:rsidRPr="00B144EA" w:rsidRDefault="006A0A2E" w:rsidP="006A0A2E">
      <w:pPr>
        <w:rPr>
          <w:rFonts w:ascii="Calibri" w:eastAsia="Verdana" w:hAnsi="Calibri" w:cs="Calibri"/>
          <w:bCs/>
          <w:color w:val="000000"/>
          <w:sz w:val="16"/>
          <w:szCs w:val="16"/>
        </w:rPr>
      </w:pPr>
    </w:p>
    <w:p w:rsidR="006A0A2E" w:rsidRDefault="006A0A2E" w:rsidP="006A0A2E">
      <w:pPr>
        <w:rPr>
          <w:rFonts w:ascii="Calibri" w:eastAsia="Verdana" w:hAnsi="Calibri" w:cs="Calibri"/>
          <w:bCs/>
          <w:color w:val="000000"/>
          <w:sz w:val="22"/>
          <w:szCs w:val="22"/>
        </w:rPr>
      </w:pPr>
      <w:r w:rsidRPr="00557052">
        <w:rPr>
          <w:rFonts w:eastAsia="Verdana"/>
          <w:noProof/>
          <w:lang w:eastAsia="en-GB"/>
        </w:rPr>
        <w:drawing>
          <wp:inline distT="0" distB="0" distL="0" distR="0" wp14:anchorId="200C4BAB" wp14:editId="12BFA256">
            <wp:extent cx="6616065" cy="365148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16065" cy="3651489"/>
                    </a:xfrm>
                    <a:prstGeom prst="rect">
                      <a:avLst/>
                    </a:prstGeom>
                    <a:noFill/>
                    <a:ln>
                      <a:noFill/>
                    </a:ln>
                  </pic:spPr>
                </pic:pic>
              </a:graphicData>
            </a:graphic>
          </wp:inline>
        </w:drawing>
      </w:r>
    </w:p>
    <w:p w:rsidR="006A0A2E" w:rsidRPr="00541706" w:rsidRDefault="006A0A2E" w:rsidP="006A0A2E">
      <w:pPr>
        <w:rPr>
          <w:rFonts w:ascii="Calibri" w:eastAsia="Verdana" w:hAnsi="Calibri" w:cs="Calibri"/>
          <w:b/>
          <w:bCs/>
          <w:color w:val="000000"/>
          <w:sz w:val="22"/>
          <w:szCs w:val="22"/>
        </w:rPr>
      </w:pPr>
      <w:r w:rsidRPr="00541706">
        <w:rPr>
          <w:rFonts w:ascii="Calibri" w:eastAsia="Verdana" w:hAnsi="Calibri" w:cs="Calibri"/>
          <w:b/>
          <w:bCs/>
          <w:color w:val="000000"/>
          <w:sz w:val="22"/>
          <w:szCs w:val="22"/>
        </w:rPr>
        <w:t>Additional comments on performance</w:t>
      </w:r>
    </w:p>
    <w:p w:rsidR="006A0A2E" w:rsidRDefault="006A0A2E" w:rsidP="006A0A2E">
      <w:pPr>
        <w:numPr>
          <w:ilvl w:val="0"/>
          <w:numId w:val="21"/>
        </w:numPr>
        <w:rPr>
          <w:rFonts w:ascii="Calibri" w:eastAsia="Verdana" w:hAnsi="Calibri" w:cs="Calibri"/>
          <w:bCs/>
          <w:color w:val="000000"/>
          <w:sz w:val="22"/>
          <w:szCs w:val="22"/>
        </w:rPr>
      </w:pPr>
      <w:r>
        <w:rPr>
          <w:rFonts w:ascii="Calibri" w:eastAsia="Verdana" w:hAnsi="Calibri" w:cs="Calibri"/>
          <w:bCs/>
          <w:color w:val="000000"/>
          <w:sz w:val="22"/>
          <w:szCs w:val="22"/>
        </w:rPr>
        <w:t>A&amp;E 4 hr wait</w:t>
      </w:r>
    </w:p>
    <w:p w:rsidR="006A0A2E" w:rsidRPr="00541706" w:rsidRDefault="006A0A2E" w:rsidP="006A0A2E">
      <w:pPr>
        <w:pStyle w:val="ListParagraph"/>
        <w:numPr>
          <w:ilvl w:val="1"/>
          <w:numId w:val="22"/>
        </w:numPr>
        <w:rPr>
          <w:rFonts w:eastAsia="Verdana" w:cs="Calibri"/>
          <w:bCs/>
          <w:color w:val="000000"/>
        </w:rPr>
      </w:pPr>
      <w:r>
        <w:rPr>
          <w:rFonts w:eastAsia="Verdana" w:cs="Calibri"/>
          <w:bCs/>
          <w:color w:val="000000"/>
        </w:rPr>
        <w:t xml:space="preserve">A&amp;E Delivery Board </w:t>
      </w:r>
      <w:r w:rsidRPr="00541706">
        <w:rPr>
          <w:rFonts w:eastAsia="Verdana" w:cs="Calibri"/>
          <w:bCs/>
          <w:color w:val="000000"/>
        </w:rPr>
        <w:t>performance was 90.1% in September (90% target)</w:t>
      </w:r>
    </w:p>
    <w:p w:rsidR="006A0A2E" w:rsidRPr="00541706" w:rsidRDefault="006A0A2E" w:rsidP="006A0A2E">
      <w:pPr>
        <w:pStyle w:val="ListParagraph"/>
        <w:numPr>
          <w:ilvl w:val="1"/>
          <w:numId w:val="22"/>
        </w:numPr>
        <w:rPr>
          <w:rFonts w:eastAsia="Verdana" w:cs="Calibri"/>
          <w:bCs/>
          <w:color w:val="000000"/>
        </w:rPr>
      </w:pPr>
      <w:r>
        <w:rPr>
          <w:rFonts w:eastAsia="Verdana" w:cs="Calibri"/>
          <w:bCs/>
          <w:color w:val="000000"/>
        </w:rPr>
        <w:t>Performance is a</w:t>
      </w:r>
      <w:r w:rsidRPr="00541706">
        <w:rPr>
          <w:rFonts w:eastAsia="Verdana" w:cs="Calibri"/>
          <w:bCs/>
          <w:color w:val="000000"/>
        </w:rPr>
        <w:t xml:space="preserve">bove </w:t>
      </w:r>
      <w:r>
        <w:rPr>
          <w:rFonts w:eastAsia="Verdana" w:cs="Calibri"/>
          <w:bCs/>
          <w:color w:val="000000"/>
        </w:rPr>
        <w:t xml:space="preserve">the </w:t>
      </w:r>
      <w:r w:rsidRPr="00541706">
        <w:rPr>
          <w:rFonts w:eastAsia="Verdana" w:cs="Calibri"/>
          <w:bCs/>
          <w:color w:val="000000"/>
        </w:rPr>
        <w:t>national average in September</w:t>
      </w:r>
    </w:p>
    <w:p w:rsidR="006A0A2E" w:rsidRPr="00541706" w:rsidRDefault="006A0A2E" w:rsidP="006A0A2E">
      <w:pPr>
        <w:pStyle w:val="ListParagraph"/>
        <w:numPr>
          <w:ilvl w:val="1"/>
          <w:numId w:val="22"/>
        </w:numPr>
        <w:rPr>
          <w:rFonts w:eastAsia="Verdana" w:cs="Calibri"/>
          <w:bCs/>
          <w:color w:val="000000"/>
        </w:rPr>
      </w:pPr>
      <w:r w:rsidRPr="00541706">
        <w:rPr>
          <w:rFonts w:eastAsia="Verdana" w:cs="Calibri"/>
          <w:bCs/>
          <w:color w:val="000000"/>
        </w:rPr>
        <w:t>3.3% better YTD compared to 17-18</w:t>
      </w:r>
    </w:p>
    <w:p w:rsidR="006A0A2E" w:rsidRDefault="006A0A2E" w:rsidP="006A0A2E">
      <w:pPr>
        <w:pStyle w:val="ListParagraph"/>
        <w:numPr>
          <w:ilvl w:val="1"/>
          <w:numId w:val="22"/>
        </w:numPr>
        <w:spacing w:after="0" w:line="240" w:lineRule="auto"/>
        <w:rPr>
          <w:rFonts w:eastAsia="Verdana" w:cs="Calibri"/>
          <w:bCs/>
          <w:color w:val="000000"/>
        </w:rPr>
      </w:pPr>
      <w:r w:rsidRPr="00541706">
        <w:rPr>
          <w:rFonts w:eastAsia="Verdana" w:cs="Calibri"/>
          <w:bCs/>
          <w:color w:val="000000"/>
        </w:rPr>
        <w:t>NELCCG performance was 89.2% (does not include Goole)</w:t>
      </w:r>
    </w:p>
    <w:p w:rsidR="006A0A2E" w:rsidRPr="00541706" w:rsidRDefault="006A0A2E" w:rsidP="006A0A2E">
      <w:pPr>
        <w:numPr>
          <w:ilvl w:val="0"/>
          <w:numId w:val="21"/>
        </w:numPr>
        <w:rPr>
          <w:rFonts w:ascii="Calibri" w:eastAsia="Verdana" w:hAnsi="Calibri" w:cs="Calibri"/>
          <w:bCs/>
          <w:color w:val="000000"/>
          <w:sz w:val="22"/>
          <w:szCs w:val="22"/>
        </w:rPr>
      </w:pPr>
      <w:r w:rsidRPr="00541706">
        <w:rPr>
          <w:rFonts w:ascii="Calibri" w:eastAsia="Verdana" w:hAnsi="Calibri" w:cs="Calibri"/>
          <w:bCs/>
          <w:color w:val="000000"/>
          <w:sz w:val="22"/>
          <w:szCs w:val="22"/>
        </w:rPr>
        <w:t>Reduced super-stranded bed days rate in 2018-19 and in-line with national ambition</w:t>
      </w:r>
    </w:p>
    <w:p w:rsidR="006A0A2E" w:rsidRDefault="006A0A2E" w:rsidP="006A0A2E">
      <w:pPr>
        <w:numPr>
          <w:ilvl w:val="0"/>
          <w:numId w:val="21"/>
        </w:numPr>
        <w:rPr>
          <w:rFonts w:ascii="Calibri" w:eastAsia="Verdana" w:hAnsi="Calibri" w:cs="Calibri"/>
          <w:bCs/>
          <w:color w:val="000000"/>
          <w:sz w:val="22"/>
          <w:szCs w:val="22"/>
        </w:rPr>
      </w:pPr>
      <w:proofErr w:type="spellStart"/>
      <w:r>
        <w:rPr>
          <w:rFonts w:ascii="Calibri" w:eastAsia="Verdana" w:hAnsi="Calibri" w:cs="Calibri"/>
          <w:bCs/>
          <w:color w:val="000000"/>
          <w:sz w:val="22"/>
          <w:szCs w:val="22"/>
        </w:rPr>
        <w:t>DToC</w:t>
      </w:r>
      <w:proofErr w:type="spellEnd"/>
      <w:r>
        <w:rPr>
          <w:rFonts w:ascii="Calibri" w:eastAsia="Verdana" w:hAnsi="Calibri" w:cs="Calibri"/>
          <w:bCs/>
          <w:color w:val="000000"/>
          <w:sz w:val="22"/>
          <w:szCs w:val="22"/>
        </w:rPr>
        <w:t xml:space="preserve"> (beds) The table above reflects August vs March performance, whereas the actual 2018/19 year to date </w:t>
      </w:r>
      <w:proofErr w:type="spellStart"/>
      <w:r w:rsidRPr="00541706">
        <w:rPr>
          <w:rFonts w:ascii="Calibri" w:eastAsia="Verdana" w:hAnsi="Calibri" w:cs="Calibri"/>
          <w:bCs/>
          <w:color w:val="000000"/>
          <w:sz w:val="22"/>
          <w:szCs w:val="22"/>
        </w:rPr>
        <w:t>DToC</w:t>
      </w:r>
      <w:proofErr w:type="spellEnd"/>
      <w:r w:rsidRPr="00541706">
        <w:rPr>
          <w:rFonts w:ascii="Calibri" w:eastAsia="Verdana" w:hAnsi="Calibri" w:cs="Calibri"/>
          <w:bCs/>
          <w:color w:val="000000"/>
          <w:sz w:val="22"/>
          <w:szCs w:val="22"/>
        </w:rPr>
        <w:t xml:space="preserve"> levels </w:t>
      </w:r>
      <w:r>
        <w:rPr>
          <w:rFonts w:ascii="Calibri" w:eastAsia="Verdana" w:hAnsi="Calibri" w:cs="Calibri"/>
          <w:bCs/>
          <w:color w:val="000000"/>
          <w:sz w:val="22"/>
          <w:szCs w:val="22"/>
        </w:rPr>
        <w:t>have reduced by 18%</w:t>
      </w:r>
      <w:r w:rsidRPr="00541706">
        <w:rPr>
          <w:rFonts w:ascii="Calibri" w:eastAsia="Verdana" w:hAnsi="Calibri" w:cs="Calibri"/>
          <w:bCs/>
          <w:color w:val="000000"/>
          <w:sz w:val="22"/>
          <w:szCs w:val="22"/>
        </w:rPr>
        <w:t xml:space="preserve"> and </w:t>
      </w:r>
      <w:r>
        <w:rPr>
          <w:rFonts w:ascii="Calibri" w:eastAsia="Verdana" w:hAnsi="Calibri" w:cs="Calibri"/>
          <w:bCs/>
          <w:color w:val="000000"/>
          <w:sz w:val="22"/>
          <w:szCs w:val="22"/>
        </w:rPr>
        <w:t xml:space="preserve">are </w:t>
      </w:r>
      <w:r w:rsidRPr="00541706">
        <w:rPr>
          <w:rFonts w:ascii="Calibri" w:eastAsia="Verdana" w:hAnsi="Calibri" w:cs="Calibri"/>
          <w:bCs/>
          <w:color w:val="000000"/>
          <w:sz w:val="22"/>
          <w:szCs w:val="22"/>
        </w:rPr>
        <w:t xml:space="preserve">below </w:t>
      </w:r>
      <w:r>
        <w:rPr>
          <w:rFonts w:ascii="Calibri" w:eastAsia="Verdana" w:hAnsi="Calibri" w:cs="Calibri"/>
          <w:bCs/>
          <w:color w:val="000000"/>
          <w:sz w:val="22"/>
          <w:szCs w:val="22"/>
        </w:rPr>
        <w:t xml:space="preserve">the </w:t>
      </w:r>
      <w:r w:rsidRPr="00541706">
        <w:rPr>
          <w:rFonts w:ascii="Calibri" w:eastAsia="Verdana" w:hAnsi="Calibri" w:cs="Calibri"/>
          <w:bCs/>
          <w:color w:val="000000"/>
          <w:sz w:val="22"/>
          <w:szCs w:val="22"/>
        </w:rPr>
        <w:t>BCF plan</w:t>
      </w:r>
      <w:r>
        <w:rPr>
          <w:rFonts w:ascii="Calibri" w:eastAsia="Verdana" w:hAnsi="Calibri" w:cs="Calibri"/>
          <w:bCs/>
          <w:color w:val="000000"/>
          <w:sz w:val="22"/>
          <w:szCs w:val="22"/>
        </w:rPr>
        <w:t>, it is also worth noting that this measure is within the Best Quartile Nationally.</w:t>
      </w:r>
    </w:p>
    <w:p w:rsidR="006A0A2E" w:rsidRDefault="006A0A2E" w:rsidP="006A0A2E">
      <w:pPr>
        <w:numPr>
          <w:ilvl w:val="0"/>
          <w:numId w:val="21"/>
        </w:numPr>
        <w:rPr>
          <w:rFonts w:ascii="Calibri" w:eastAsia="Verdana" w:hAnsi="Calibri" w:cs="Calibri"/>
          <w:bCs/>
          <w:color w:val="000000"/>
          <w:sz w:val="22"/>
          <w:szCs w:val="22"/>
        </w:rPr>
      </w:pPr>
      <w:r>
        <w:rPr>
          <w:rFonts w:ascii="Calibri" w:eastAsia="Verdana" w:hAnsi="Calibri" w:cs="Calibri"/>
          <w:bCs/>
          <w:color w:val="000000"/>
          <w:sz w:val="22"/>
          <w:szCs w:val="22"/>
        </w:rPr>
        <w:t>RTT</w:t>
      </w:r>
    </w:p>
    <w:p w:rsidR="006A0A2E" w:rsidRPr="00541706" w:rsidRDefault="006A0A2E" w:rsidP="006A0A2E">
      <w:pPr>
        <w:numPr>
          <w:ilvl w:val="0"/>
          <w:numId w:val="23"/>
        </w:numPr>
        <w:rPr>
          <w:rFonts w:ascii="Calibri" w:eastAsia="Verdana" w:hAnsi="Calibri" w:cs="Calibri"/>
          <w:bCs/>
          <w:color w:val="000000"/>
          <w:sz w:val="22"/>
          <w:szCs w:val="22"/>
        </w:rPr>
      </w:pPr>
      <w:r>
        <w:rPr>
          <w:rFonts w:ascii="Calibri" w:eastAsia="Verdana" w:hAnsi="Calibri" w:cs="Calibri"/>
          <w:bCs/>
          <w:color w:val="000000"/>
          <w:sz w:val="22"/>
          <w:szCs w:val="22"/>
        </w:rPr>
        <w:t xml:space="preserve"> % within 18 weeks p</w:t>
      </w:r>
      <w:r w:rsidRPr="00541706">
        <w:rPr>
          <w:rFonts w:ascii="Calibri" w:eastAsia="Verdana" w:hAnsi="Calibri" w:cs="Calibri"/>
          <w:bCs/>
          <w:color w:val="000000"/>
          <w:sz w:val="22"/>
          <w:szCs w:val="22"/>
        </w:rPr>
        <w:t>erformance has improved by 3.7% from Mar to Sep 18</w:t>
      </w:r>
    </w:p>
    <w:p w:rsidR="006A0A2E" w:rsidRPr="00541706" w:rsidRDefault="006A0A2E" w:rsidP="006A0A2E">
      <w:pPr>
        <w:numPr>
          <w:ilvl w:val="0"/>
          <w:numId w:val="23"/>
        </w:numPr>
        <w:rPr>
          <w:rFonts w:ascii="Calibri" w:eastAsia="Verdana" w:hAnsi="Calibri" w:cs="Calibri"/>
          <w:bCs/>
          <w:color w:val="000000"/>
          <w:sz w:val="22"/>
          <w:szCs w:val="22"/>
        </w:rPr>
      </w:pPr>
      <w:r>
        <w:rPr>
          <w:rFonts w:ascii="Calibri" w:eastAsia="Verdana" w:hAnsi="Calibri" w:cs="Calibri"/>
          <w:bCs/>
          <w:color w:val="000000"/>
          <w:sz w:val="22"/>
          <w:szCs w:val="22"/>
        </w:rPr>
        <w:t>I</w:t>
      </w:r>
      <w:r w:rsidRPr="00541706">
        <w:rPr>
          <w:rFonts w:ascii="Calibri" w:eastAsia="Verdana" w:hAnsi="Calibri" w:cs="Calibri"/>
          <w:bCs/>
          <w:color w:val="000000"/>
          <w:sz w:val="22"/>
          <w:szCs w:val="22"/>
        </w:rPr>
        <w:t>n real terms the</w:t>
      </w:r>
      <w:r>
        <w:rPr>
          <w:rFonts w:ascii="Calibri" w:eastAsia="Verdana" w:hAnsi="Calibri" w:cs="Calibri"/>
          <w:bCs/>
          <w:color w:val="000000"/>
          <w:sz w:val="22"/>
          <w:szCs w:val="22"/>
        </w:rPr>
        <w:t xml:space="preserve"> </w:t>
      </w:r>
      <w:r w:rsidRPr="00541706">
        <w:rPr>
          <w:rFonts w:ascii="Calibri" w:eastAsia="Verdana" w:hAnsi="Calibri" w:cs="Calibri"/>
          <w:bCs/>
          <w:color w:val="000000"/>
          <w:sz w:val="22"/>
          <w:szCs w:val="22"/>
        </w:rPr>
        <w:t>waiting list has reduced by 3% over that period (accounting for introduction of planned IP waiting list)</w:t>
      </w:r>
    </w:p>
    <w:p w:rsidR="006A0A2E" w:rsidRPr="00031BBB" w:rsidRDefault="006A0A2E" w:rsidP="006A0A2E">
      <w:pPr>
        <w:numPr>
          <w:ilvl w:val="0"/>
          <w:numId w:val="23"/>
        </w:numPr>
        <w:rPr>
          <w:rFonts w:ascii="Calibri" w:eastAsia="Verdana" w:hAnsi="Calibri" w:cs="Calibri"/>
          <w:bCs/>
          <w:color w:val="000000"/>
          <w:sz w:val="22"/>
          <w:szCs w:val="22"/>
        </w:rPr>
      </w:pPr>
      <w:r>
        <w:rPr>
          <w:rFonts w:ascii="Calibri" w:eastAsia="Verdana" w:hAnsi="Calibri" w:cs="Calibri"/>
          <w:bCs/>
          <w:color w:val="000000"/>
          <w:sz w:val="22"/>
          <w:szCs w:val="22"/>
        </w:rPr>
        <w:t>T</w:t>
      </w:r>
      <w:r w:rsidRPr="00031BBB">
        <w:rPr>
          <w:rFonts w:ascii="Calibri" w:eastAsia="Verdana" w:hAnsi="Calibri" w:cs="Calibri"/>
          <w:bCs/>
          <w:color w:val="000000"/>
          <w:sz w:val="22"/>
          <w:szCs w:val="22"/>
        </w:rPr>
        <w:t>here are currently 77 patients currently waiting over 52wks for treatment, this, again, is an improvement from March but is</w:t>
      </w:r>
      <w:r>
        <w:rPr>
          <w:rFonts w:ascii="Calibri" w:eastAsia="Verdana" w:hAnsi="Calibri" w:cs="Calibri"/>
          <w:bCs/>
          <w:color w:val="000000"/>
          <w:sz w:val="22"/>
          <w:szCs w:val="22"/>
        </w:rPr>
        <w:t xml:space="preserve"> now behind the trajectory set (m</w:t>
      </w:r>
      <w:r w:rsidRPr="00031BBB">
        <w:rPr>
          <w:rFonts w:ascii="Calibri" w:eastAsia="Verdana" w:hAnsi="Calibri" w:cs="Calibri"/>
          <w:bCs/>
          <w:color w:val="000000"/>
          <w:sz w:val="22"/>
          <w:szCs w:val="22"/>
        </w:rPr>
        <w:t xml:space="preserve">ajority continue to be at </w:t>
      </w:r>
      <w:proofErr w:type="spellStart"/>
      <w:r w:rsidRPr="00031BBB">
        <w:rPr>
          <w:rFonts w:ascii="Calibri" w:eastAsia="Verdana" w:hAnsi="Calibri" w:cs="Calibri"/>
          <w:bCs/>
          <w:color w:val="000000"/>
          <w:sz w:val="22"/>
          <w:szCs w:val="22"/>
        </w:rPr>
        <w:t>NLaG</w:t>
      </w:r>
      <w:proofErr w:type="spellEnd"/>
      <w:r w:rsidRPr="00031BBB">
        <w:rPr>
          <w:rFonts w:ascii="Calibri" w:eastAsia="Verdana" w:hAnsi="Calibri" w:cs="Calibri"/>
          <w:bCs/>
          <w:color w:val="000000"/>
          <w:sz w:val="22"/>
          <w:szCs w:val="22"/>
        </w:rPr>
        <w:t xml:space="preserve"> under ENT and general surgery</w:t>
      </w:r>
      <w:r>
        <w:rPr>
          <w:rFonts w:ascii="Calibri" w:eastAsia="Verdana" w:hAnsi="Calibri" w:cs="Calibri"/>
          <w:bCs/>
          <w:color w:val="000000"/>
          <w:sz w:val="22"/>
          <w:szCs w:val="22"/>
        </w:rPr>
        <w:t>)</w:t>
      </w:r>
      <w:r w:rsidRPr="00031BBB">
        <w:rPr>
          <w:rFonts w:ascii="Calibri" w:eastAsia="Verdana" w:hAnsi="Calibri" w:cs="Calibri"/>
          <w:bCs/>
          <w:color w:val="000000"/>
          <w:sz w:val="22"/>
          <w:szCs w:val="22"/>
        </w:rPr>
        <w:t>. </w:t>
      </w:r>
    </w:p>
    <w:p w:rsidR="006A0A2E" w:rsidRPr="00031BBB" w:rsidRDefault="006A0A2E" w:rsidP="006A0A2E">
      <w:pPr>
        <w:numPr>
          <w:ilvl w:val="0"/>
          <w:numId w:val="21"/>
        </w:numPr>
        <w:rPr>
          <w:rFonts w:ascii="Calibri" w:eastAsia="Verdana" w:hAnsi="Calibri" w:cs="Calibri"/>
          <w:bCs/>
          <w:color w:val="000000"/>
          <w:sz w:val="22"/>
          <w:szCs w:val="22"/>
        </w:rPr>
      </w:pPr>
      <w:r>
        <w:rPr>
          <w:rFonts w:ascii="Calibri" w:eastAsia="Verdana" w:hAnsi="Calibri" w:cs="Calibri"/>
          <w:bCs/>
          <w:color w:val="000000"/>
          <w:sz w:val="22"/>
          <w:szCs w:val="22"/>
        </w:rPr>
        <w:t xml:space="preserve">Cancer </w:t>
      </w:r>
      <w:r w:rsidRPr="00031BBB">
        <w:rPr>
          <w:rFonts w:ascii="Calibri" w:eastAsia="Verdana" w:hAnsi="Calibri" w:cs="Calibri"/>
          <w:bCs/>
          <w:color w:val="000000"/>
          <w:sz w:val="22"/>
          <w:szCs w:val="22"/>
        </w:rPr>
        <w:t>rate for 62 days was 79.6% in August; an improvement over the last two months and above the national average but still below the 85% target</w:t>
      </w:r>
    </w:p>
    <w:p w:rsidR="006A0A2E" w:rsidRPr="00B144EA" w:rsidRDefault="006A0A2E" w:rsidP="006A0A2E">
      <w:pPr>
        <w:numPr>
          <w:ilvl w:val="0"/>
          <w:numId w:val="21"/>
        </w:numPr>
        <w:rPr>
          <w:rFonts w:ascii="Calibri" w:eastAsia="Verdana" w:hAnsi="Calibri" w:cs="Calibri"/>
          <w:bCs/>
          <w:color w:val="000000"/>
          <w:sz w:val="22"/>
          <w:szCs w:val="22"/>
        </w:rPr>
      </w:pPr>
      <w:r w:rsidRPr="00B144EA">
        <w:rPr>
          <w:rFonts w:ascii="Calibri" w:eastAsia="Verdana" w:hAnsi="Calibri" w:cs="Calibri"/>
          <w:bCs/>
          <w:color w:val="000000"/>
          <w:sz w:val="22"/>
          <w:szCs w:val="22"/>
        </w:rPr>
        <w:t>IAPT currently 4.1% access, 51.7% recovery and meeting waiting times targets</w:t>
      </w:r>
    </w:p>
    <w:p w:rsidR="009D16C7" w:rsidRPr="006A0A2E" w:rsidRDefault="006A0A2E" w:rsidP="009D16C7">
      <w:pPr>
        <w:numPr>
          <w:ilvl w:val="0"/>
          <w:numId w:val="21"/>
        </w:numPr>
        <w:rPr>
          <w:rFonts w:ascii="Calibri" w:eastAsia="Verdana" w:hAnsi="Calibri" w:cs="Calibri"/>
          <w:bCs/>
          <w:color w:val="000000"/>
          <w:sz w:val="22"/>
          <w:szCs w:val="22"/>
        </w:rPr>
      </w:pPr>
      <w:r w:rsidRPr="006A0A2E">
        <w:rPr>
          <w:rFonts w:ascii="Calibri" w:eastAsia="Verdana" w:hAnsi="Calibri" w:cs="Calibri"/>
          <w:bCs/>
          <w:color w:val="000000"/>
          <w:sz w:val="22"/>
          <w:szCs w:val="22"/>
        </w:rPr>
        <w:t>TCP inpatients – showing flow of people towards discharge. We remain on trajectory even though there has been an admission.</w:t>
      </w:r>
    </w:p>
    <w:p w:rsidR="009D16C7" w:rsidRDefault="009D16C7" w:rsidP="000274FB">
      <w:pPr>
        <w:jc w:val="center"/>
        <w:rPr>
          <w:rFonts w:ascii="Calibri" w:eastAsia="Verdana" w:hAnsi="Calibri" w:cs="Calibri"/>
          <w:b/>
          <w:color w:val="000000"/>
          <w:sz w:val="36"/>
          <w:szCs w:val="36"/>
        </w:rPr>
      </w:pPr>
    </w:p>
    <w:p w:rsidR="00280FD9" w:rsidRPr="0031091B" w:rsidRDefault="009D16C7" w:rsidP="000274FB">
      <w:pPr>
        <w:jc w:val="center"/>
        <w:rPr>
          <w:rFonts w:ascii="Calibri" w:eastAsia="Verdana" w:hAnsi="Calibri" w:cs="Calibri"/>
          <w:b/>
          <w:color w:val="000000"/>
          <w:sz w:val="36"/>
          <w:szCs w:val="36"/>
        </w:rPr>
      </w:pPr>
      <w:r>
        <w:rPr>
          <w:rFonts w:ascii="Calibri" w:eastAsia="Verdana" w:hAnsi="Calibri" w:cs="Calibri"/>
          <w:b/>
          <w:color w:val="000000"/>
          <w:sz w:val="36"/>
          <w:szCs w:val="36"/>
        </w:rPr>
        <w:lastRenderedPageBreak/>
        <w:t>Q</w:t>
      </w:r>
      <w:r w:rsidR="005B73F7" w:rsidRPr="0031091B">
        <w:rPr>
          <w:rFonts w:ascii="Calibri" w:eastAsia="Verdana" w:hAnsi="Calibri" w:cs="Calibri"/>
          <w:b/>
          <w:color w:val="000000"/>
          <w:sz w:val="36"/>
          <w:szCs w:val="36"/>
        </w:rPr>
        <w:t>uality Escalation</w:t>
      </w:r>
    </w:p>
    <w:p w:rsidR="005B73F7" w:rsidRPr="00B05D5D" w:rsidRDefault="005B73F7" w:rsidP="005B73F7">
      <w:pPr>
        <w:pStyle w:val="NormalWeb"/>
        <w:shd w:val="clear" w:color="auto" w:fill="FFFFFF"/>
        <w:spacing w:before="0" w:beforeAutospacing="0" w:after="0" w:afterAutospacing="0" w:line="360" w:lineRule="atLeast"/>
        <w:jc w:val="center"/>
        <w:textAlignment w:val="baseline"/>
        <w:rPr>
          <w:rFonts w:ascii="Calibri" w:eastAsia="Verdana" w:hAnsi="Calibri" w:cs="Calibri"/>
          <w:b/>
          <w:color w:val="000000"/>
          <w:sz w:val="16"/>
          <w:szCs w:val="16"/>
        </w:rPr>
      </w:pPr>
    </w:p>
    <w:p w:rsidR="00B05D5D" w:rsidRPr="0031091B" w:rsidRDefault="00B05D5D" w:rsidP="00B05D5D">
      <w:pPr>
        <w:rPr>
          <w:rFonts w:ascii="Calibri" w:eastAsia="Verdana" w:hAnsi="Calibri" w:cs="Calibri"/>
          <w:b/>
          <w:color w:val="000000"/>
          <w:sz w:val="36"/>
          <w:szCs w:val="36"/>
        </w:rPr>
      </w:pPr>
      <w:r w:rsidRPr="0031091B">
        <w:rPr>
          <w:rFonts w:ascii="Calibri" w:eastAsia="Verdana" w:hAnsi="Calibri" w:cs="Calibri"/>
          <w:b/>
          <w:color w:val="000000"/>
          <w:sz w:val="36"/>
          <w:szCs w:val="36"/>
        </w:rPr>
        <w:t>Quality Escalation</w:t>
      </w:r>
    </w:p>
    <w:p w:rsidR="00B05D5D" w:rsidRPr="0031091B" w:rsidRDefault="00B05D5D" w:rsidP="00B05D5D">
      <w:pPr>
        <w:pStyle w:val="NormalWeb"/>
        <w:shd w:val="clear" w:color="auto" w:fill="FFFFFF"/>
        <w:spacing w:before="0" w:beforeAutospacing="0" w:after="0" w:afterAutospacing="0" w:line="360" w:lineRule="atLeast"/>
        <w:jc w:val="center"/>
        <w:textAlignment w:val="baseline"/>
        <w:rPr>
          <w:rFonts w:ascii="Calibri" w:eastAsia="Verdana" w:hAnsi="Calibri" w:cs="Calibri"/>
          <w:b/>
          <w:color w:val="000000"/>
          <w:sz w:val="36"/>
          <w:szCs w:val="36"/>
        </w:rPr>
      </w:pPr>
    </w:p>
    <w:p w:rsidR="00B05D5D" w:rsidRPr="0031091B" w:rsidRDefault="00B05D5D" w:rsidP="00B05D5D">
      <w:pPr>
        <w:shd w:val="clear" w:color="auto" w:fill="FFFFFF"/>
        <w:autoSpaceDE w:val="0"/>
        <w:autoSpaceDN w:val="0"/>
        <w:adjustRightInd w:val="0"/>
        <w:jc w:val="both"/>
        <w:rPr>
          <w:rFonts w:ascii="Calibri" w:eastAsia="Verdana" w:hAnsi="Calibri" w:cs="Calibri"/>
          <w:color w:val="000000"/>
          <w:sz w:val="22"/>
          <w:szCs w:val="22"/>
        </w:rPr>
      </w:pPr>
      <w:r w:rsidRPr="0031091B">
        <w:rPr>
          <w:rFonts w:ascii="Calibri" w:eastAsia="Verdana" w:hAnsi="Calibri" w:cs="Calibri"/>
          <w:color w:val="000000"/>
          <w:sz w:val="22"/>
          <w:szCs w:val="22"/>
        </w:rPr>
        <w:t xml:space="preserve">The purpose of this report is to highlight the exceptions in Quality and to escalate items from the </w:t>
      </w:r>
      <w:r w:rsidR="00083852">
        <w:rPr>
          <w:rFonts w:ascii="Calibri" w:eastAsia="Verdana" w:hAnsi="Calibri" w:cs="Calibri"/>
          <w:color w:val="000000"/>
          <w:sz w:val="22"/>
          <w:szCs w:val="22"/>
        </w:rPr>
        <w:t xml:space="preserve">Clinical Governance </w:t>
      </w:r>
      <w:r w:rsidRPr="0031091B">
        <w:rPr>
          <w:rFonts w:ascii="Calibri" w:eastAsia="Verdana" w:hAnsi="Calibri" w:cs="Calibri"/>
          <w:color w:val="000000"/>
          <w:sz w:val="22"/>
          <w:szCs w:val="22"/>
        </w:rPr>
        <w:t xml:space="preserve">Committee to the Board. </w:t>
      </w:r>
    </w:p>
    <w:p w:rsidR="00B05D5D" w:rsidRPr="00517CE1" w:rsidRDefault="00B05D5D" w:rsidP="00B05D5D">
      <w:pPr>
        <w:pStyle w:val="Default"/>
        <w:jc w:val="both"/>
        <w:rPr>
          <w:rFonts w:ascii="Calibri" w:hAnsi="Calibri" w:cs="Calibri"/>
          <w:b/>
          <w:sz w:val="22"/>
          <w:szCs w:val="22"/>
          <w:highlight w:val="yellow"/>
        </w:rPr>
      </w:pPr>
    </w:p>
    <w:p w:rsidR="00B05D5D" w:rsidRPr="00493295" w:rsidRDefault="00B05D5D" w:rsidP="00B05D5D">
      <w:pPr>
        <w:pStyle w:val="Default"/>
        <w:numPr>
          <w:ilvl w:val="0"/>
          <w:numId w:val="4"/>
        </w:numPr>
        <w:jc w:val="both"/>
        <w:rPr>
          <w:rFonts w:ascii="Calibri" w:hAnsi="Calibri" w:cs="Calibri"/>
          <w:b/>
          <w:sz w:val="22"/>
          <w:szCs w:val="22"/>
        </w:rPr>
      </w:pPr>
      <w:r w:rsidRPr="00493295">
        <w:rPr>
          <w:rFonts w:ascii="Calibri" w:hAnsi="Calibri" w:cs="Calibri"/>
          <w:b/>
          <w:sz w:val="22"/>
          <w:szCs w:val="22"/>
        </w:rPr>
        <w:t>Enhanced Quality Surveillance</w:t>
      </w:r>
    </w:p>
    <w:p w:rsidR="00B05D5D" w:rsidRDefault="00C3206A" w:rsidP="00B05D5D">
      <w:pPr>
        <w:pStyle w:val="Default"/>
        <w:ind w:left="720"/>
        <w:jc w:val="both"/>
        <w:rPr>
          <w:rFonts w:ascii="Calibri" w:hAnsi="Calibri" w:cs="Calibri"/>
          <w:sz w:val="22"/>
          <w:szCs w:val="22"/>
        </w:rPr>
      </w:pPr>
      <w:r>
        <w:rPr>
          <w:rFonts w:ascii="Calibri" w:hAnsi="Calibri" w:cs="Calibri"/>
          <w:sz w:val="22"/>
          <w:szCs w:val="22"/>
        </w:rPr>
        <w:t>One</w:t>
      </w:r>
      <w:r w:rsidR="007A15A4">
        <w:rPr>
          <w:rFonts w:ascii="Calibri" w:hAnsi="Calibri" w:cs="Calibri"/>
          <w:sz w:val="22"/>
          <w:szCs w:val="22"/>
        </w:rPr>
        <w:t xml:space="preserve"> </w:t>
      </w:r>
      <w:r w:rsidR="00B05D5D">
        <w:rPr>
          <w:rFonts w:ascii="Calibri" w:hAnsi="Calibri" w:cs="Calibri"/>
          <w:sz w:val="22"/>
          <w:szCs w:val="22"/>
        </w:rPr>
        <w:t>provide</w:t>
      </w:r>
      <w:r>
        <w:rPr>
          <w:rFonts w:ascii="Calibri" w:hAnsi="Calibri" w:cs="Calibri"/>
          <w:sz w:val="22"/>
          <w:szCs w:val="22"/>
        </w:rPr>
        <w:t>r</w:t>
      </w:r>
      <w:r w:rsidR="00B05D5D">
        <w:rPr>
          <w:rFonts w:ascii="Calibri" w:hAnsi="Calibri" w:cs="Calibri"/>
          <w:sz w:val="22"/>
          <w:szCs w:val="22"/>
        </w:rPr>
        <w:t xml:space="preserve"> across the North East</w:t>
      </w:r>
      <w:r w:rsidR="00B05D5D" w:rsidRPr="00493295">
        <w:rPr>
          <w:rFonts w:ascii="Calibri" w:hAnsi="Calibri" w:cs="Calibri"/>
          <w:sz w:val="22"/>
          <w:szCs w:val="22"/>
        </w:rPr>
        <w:t xml:space="preserve"> Lincolnshire health</w:t>
      </w:r>
      <w:r w:rsidR="00B05D5D">
        <w:rPr>
          <w:rFonts w:ascii="Calibri" w:hAnsi="Calibri" w:cs="Calibri"/>
          <w:sz w:val="22"/>
          <w:szCs w:val="22"/>
        </w:rPr>
        <w:t>care</w:t>
      </w:r>
      <w:r w:rsidR="00B05D5D" w:rsidRPr="00493295">
        <w:rPr>
          <w:rFonts w:ascii="Calibri" w:hAnsi="Calibri" w:cs="Calibri"/>
          <w:sz w:val="22"/>
          <w:szCs w:val="22"/>
        </w:rPr>
        <w:t xml:space="preserve"> system </w:t>
      </w:r>
      <w:r w:rsidR="00DB0F5A">
        <w:rPr>
          <w:rFonts w:ascii="Calibri" w:hAnsi="Calibri" w:cs="Calibri"/>
          <w:sz w:val="22"/>
          <w:szCs w:val="22"/>
        </w:rPr>
        <w:t>remain</w:t>
      </w:r>
      <w:r>
        <w:rPr>
          <w:rFonts w:ascii="Calibri" w:hAnsi="Calibri" w:cs="Calibri"/>
          <w:sz w:val="22"/>
          <w:szCs w:val="22"/>
        </w:rPr>
        <w:t>s</w:t>
      </w:r>
      <w:r w:rsidR="00DB0F5A">
        <w:rPr>
          <w:rFonts w:ascii="Calibri" w:hAnsi="Calibri" w:cs="Calibri"/>
          <w:sz w:val="22"/>
          <w:szCs w:val="22"/>
        </w:rPr>
        <w:t xml:space="preserve"> to require</w:t>
      </w:r>
      <w:r w:rsidR="00B05D5D" w:rsidRPr="00493295">
        <w:rPr>
          <w:rFonts w:ascii="Calibri" w:hAnsi="Calibri" w:cs="Calibri"/>
          <w:sz w:val="22"/>
          <w:szCs w:val="22"/>
        </w:rPr>
        <w:t xml:space="preserve"> an enhanced level of </w:t>
      </w:r>
      <w:r w:rsidR="00B05D5D">
        <w:rPr>
          <w:rFonts w:ascii="Calibri" w:hAnsi="Calibri" w:cs="Calibri"/>
          <w:sz w:val="22"/>
          <w:szCs w:val="22"/>
        </w:rPr>
        <w:t xml:space="preserve">quality </w:t>
      </w:r>
      <w:r w:rsidR="00B05D5D" w:rsidRPr="00493295">
        <w:rPr>
          <w:rFonts w:ascii="Calibri" w:hAnsi="Calibri" w:cs="Calibri"/>
          <w:sz w:val="22"/>
          <w:szCs w:val="22"/>
        </w:rPr>
        <w:t>surveill</w:t>
      </w:r>
      <w:r>
        <w:rPr>
          <w:rFonts w:ascii="Calibri" w:hAnsi="Calibri" w:cs="Calibri"/>
          <w:sz w:val="22"/>
          <w:szCs w:val="22"/>
        </w:rPr>
        <w:t xml:space="preserve">ance.  </w:t>
      </w:r>
      <w:r w:rsidR="007A15A4">
        <w:rPr>
          <w:rFonts w:ascii="Calibri" w:hAnsi="Calibri" w:cs="Calibri"/>
          <w:sz w:val="22"/>
          <w:szCs w:val="22"/>
        </w:rPr>
        <w:t xml:space="preserve"> </w:t>
      </w:r>
      <w:r>
        <w:rPr>
          <w:rFonts w:ascii="Calibri" w:hAnsi="Calibri" w:cs="Calibri"/>
          <w:sz w:val="22"/>
          <w:szCs w:val="22"/>
        </w:rPr>
        <w:t>This provider is Northern Lincolnshire and Goole NHS Trust.</w:t>
      </w:r>
    </w:p>
    <w:p w:rsidR="00B05D5D" w:rsidRPr="00493295" w:rsidRDefault="00B05D5D" w:rsidP="00B05D5D">
      <w:pPr>
        <w:pStyle w:val="Default"/>
        <w:ind w:left="720"/>
        <w:jc w:val="both"/>
        <w:rPr>
          <w:rFonts w:ascii="Calibri" w:hAnsi="Calibri" w:cs="Calibri"/>
          <w:sz w:val="22"/>
          <w:szCs w:val="22"/>
        </w:rPr>
      </w:pPr>
    </w:p>
    <w:p w:rsidR="005003DC" w:rsidRPr="005003DC" w:rsidRDefault="00B05D5D" w:rsidP="007A15A4">
      <w:pPr>
        <w:pStyle w:val="Default"/>
        <w:numPr>
          <w:ilvl w:val="0"/>
          <w:numId w:val="4"/>
        </w:numPr>
        <w:jc w:val="both"/>
        <w:rPr>
          <w:rFonts w:ascii="Calibri" w:hAnsi="Calibri" w:cs="Calibri"/>
          <w:sz w:val="22"/>
          <w:szCs w:val="22"/>
        </w:rPr>
      </w:pPr>
      <w:r w:rsidRPr="0031091B">
        <w:rPr>
          <w:rFonts w:ascii="Calibri" w:hAnsi="Calibri" w:cs="Calibri"/>
          <w:b/>
          <w:sz w:val="22"/>
          <w:szCs w:val="22"/>
        </w:rPr>
        <w:t>Northern Lincolnshire and Goole NHS Trust</w:t>
      </w:r>
      <w:r w:rsidR="005003DC">
        <w:rPr>
          <w:rFonts w:ascii="Calibri" w:hAnsi="Calibri" w:cs="Calibri"/>
          <w:b/>
          <w:sz w:val="22"/>
          <w:szCs w:val="22"/>
        </w:rPr>
        <w:t xml:space="preserve"> (NLaG)</w:t>
      </w:r>
    </w:p>
    <w:p w:rsidR="00DB0F5A" w:rsidRDefault="00B05D5D" w:rsidP="00003BAC">
      <w:pPr>
        <w:pStyle w:val="Default"/>
        <w:ind w:left="720"/>
        <w:jc w:val="both"/>
        <w:rPr>
          <w:rFonts w:ascii="Calibri" w:hAnsi="Calibri" w:cs="Calibri"/>
          <w:sz w:val="22"/>
          <w:szCs w:val="22"/>
        </w:rPr>
      </w:pPr>
      <w:r w:rsidRPr="00B83B50">
        <w:rPr>
          <w:rFonts w:ascii="Calibri" w:hAnsi="Calibri" w:cs="Calibri"/>
          <w:sz w:val="22"/>
          <w:szCs w:val="22"/>
        </w:rPr>
        <w:t xml:space="preserve">The Trust remains in Special Measures for quality and finance. </w:t>
      </w:r>
      <w:r w:rsidR="00A06DA0">
        <w:rPr>
          <w:rFonts w:ascii="Calibri" w:hAnsi="Calibri" w:cs="Calibri"/>
          <w:sz w:val="22"/>
          <w:szCs w:val="22"/>
        </w:rPr>
        <w:t xml:space="preserve">A separate agenda item regarding the CQC report is available.  </w:t>
      </w:r>
    </w:p>
    <w:p w:rsidR="00A06DA0" w:rsidRDefault="00A06DA0" w:rsidP="00003BAC">
      <w:pPr>
        <w:pStyle w:val="Default"/>
        <w:ind w:left="720"/>
        <w:jc w:val="both"/>
        <w:rPr>
          <w:rFonts w:ascii="Calibri" w:hAnsi="Calibri" w:cs="Calibri"/>
          <w:sz w:val="22"/>
          <w:szCs w:val="22"/>
        </w:rPr>
      </w:pPr>
    </w:p>
    <w:p w:rsidR="00A06DA0" w:rsidRDefault="00A06DA0" w:rsidP="00003BAC">
      <w:pPr>
        <w:pStyle w:val="Default"/>
        <w:ind w:left="720"/>
        <w:jc w:val="both"/>
        <w:rPr>
          <w:rFonts w:ascii="Calibri" w:hAnsi="Calibri" w:cs="Calibri"/>
          <w:sz w:val="22"/>
          <w:szCs w:val="22"/>
        </w:rPr>
      </w:pPr>
      <w:r>
        <w:rPr>
          <w:rFonts w:ascii="Calibri" w:hAnsi="Calibri" w:cs="Calibri"/>
          <w:sz w:val="22"/>
          <w:szCs w:val="22"/>
        </w:rPr>
        <w:t>We are working closely with the Trust to implement agreed backlog guidance to oversee RTT breaches of 52 weeks waiting and 62 day cancer breaches. This process was agreed at the Planned Care Board and will report into the Quality Review meeting (QRM).</w:t>
      </w:r>
    </w:p>
    <w:p w:rsidR="00DB0F5A" w:rsidRDefault="00DB0F5A" w:rsidP="005003DC">
      <w:pPr>
        <w:pStyle w:val="Default"/>
        <w:ind w:left="720"/>
        <w:jc w:val="both"/>
        <w:rPr>
          <w:rFonts w:ascii="Calibri" w:hAnsi="Calibri" w:cs="Calibri"/>
          <w:sz w:val="22"/>
          <w:szCs w:val="22"/>
        </w:rPr>
      </w:pPr>
    </w:p>
    <w:p w:rsidR="00A06DA0" w:rsidRDefault="00A06DA0" w:rsidP="005003DC">
      <w:pPr>
        <w:pStyle w:val="Default"/>
        <w:ind w:left="720"/>
        <w:jc w:val="both"/>
        <w:rPr>
          <w:rFonts w:ascii="Calibri" w:hAnsi="Calibri" w:cs="Calibri"/>
          <w:sz w:val="22"/>
          <w:szCs w:val="22"/>
        </w:rPr>
      </w:pPr>
      <w:r>
        <w:rPr>
          <w:rFonts w:ascii="Calibri" w:hAnsi="Calibri" w:cs="Calibri"/>
          <w:sz w:val="22"/>
          <w:szCs w:val="22"/>
        </w:rPr>
        <w:t xml:space="preserve">The Clinical Harm review work that commenced in April 2017 is now complete and the Chair of the Clinical Harm Review group is writing a final report to summarise the learning. </w:t>
      </w:r>
    </w:p>
    <w:p w:rsidR="006B3FC7" w:rsidRPr="00002468" w:rsidRDefault="006B3FC7" w:rsidP="006B3FC7">
      <w:pPr>
        <w:pStyle w:val="Default"/>
        <w:jc w:val="both"/>
        <w:rPr>
          <w:rFonts w:ascii="Calibri" w:hAnsi="Calibri" w:cs="Calibri"/>
          <w:sz w:val="22"/>
          <w:szCs w:val="22"/>
        </w:rPr>
      </w:pPr>
    </w:p>
    <w:p w:rsidR="00002468" w:rsidRPr="00002468" w:rsidRDefault="00083852" w:rsidP="00002468">
      <w:pPr>
        <w:pStyle w:val="Default"/>
        <w:numPr>
          <w:ilvl w:val="0"/>
          <w:numId w:val="4"/>
        </w:numPr>
        <w:jc w:val="both"/>
        <w:rPr>
          <w:rFonts w:ascii="Calibri" w:hAnsi="Calibri" w:cs="Calibri"/>
          <w:b/>
          <w:sz w:val="22"/>
          <w:szCs w:val="22"/>
        </w:rPr>
      </w:pPr>
      <w:r>
        <w:rPr>
          <w:rFonts w:ascii="Calibri" w:hAnsi="Calibri" w:cs="Calibri"/>
          <w:b/>
          <w:sz w:val="22"/>
          <w:szCs w:val="22"/>
        </w:rPr>
        <w:t>Individual Funding Requests</w:t>
      </w:r>
      <w:r w:rsidR="00542F91">
        <w:rPr>
          <w:rFonts w:ascii="Calibri" w:hAnsi="Calibri" w:cs="Calibri"/>
          <w:b/>
          <w:sz w:val="22"/>
          <w:szCs w:val="22"/>
        </w:rPr>
        <w:t xml:space="preserve"> (IFR)</w:t>
      </w:r>
    </w:p>
    <w:p w:rsidR="006903F4" w:rsidRDefault="00542F91" w:rsidP="00502FE5">
      <w:pPr>
        <w:pStyle w:val="Default"/>
        <w:ind w:left="720"/>
        <w:jc w:val="both"/>
        <w:rPr>
          <w:rFonts w:ascii="Calibri" w:hAnsi="Calibri" w:cs="Calibri"/>
          <w:sz w:val="22"/>
          <w:szCs w:val="22"/>
        </w:rPr>
      </w:pPr>
      <w:r>
        <w:rPr>
          <w:rFonts w:ascii="Calibri" w:hAnsi="Calibri" w:cs="Calibri"/>
          <w:sz w:val="22"/>
          <w:szCs w:val="22"/>
        </w:rPr>
        <w:t>We are progressing actions to improve the IFR processes in North East Lincolnshire and we are working with colleagues across the Humber Coast and Vale to try to align our systems.  We are also linking with colleagues in Lincolnshire to ensure the Commissioning agencies surrounding our local Trust review their systems in line with the feedback we have had from secondary care.</w:t>
      </w:r>
    </w:p>
    <w:p w:rsidR="00542F91" w:rsidRDefault="00542F91" w:rsidP="00502FE5">
      <w:pPr>
        <w:pStyle w:val="Default"/>
        <w:ind w:left="720"/>
        <w:jc w:val="both"/>
        <w:rPr>
          <w:rFonts w:ascii="Calibri" w:hAnsi="Calibri" w:cs="Calibri"/>
          <w:sz w:val="22"/>
          <w:szCs w:val="22"/>
        </w:rPr>
      </w:pPr>
    </w:p>
    <w:p w:rsidR="00502FE5" w:rsidRDefault="006903F4" w:rsidP="006903F4">
      <w:pPr>
        <w:pStyle w:val="Default"/>
        <w:numPr>
          <w:ilvl w:val="0"/>
          <w:numId w:val="4"/>
        </w:numPr>
        <w:jc w:val="both"/>
        <w:rPr>
          <w:rFonts w:ascii="Calibri" w:hAnsi="Calibri" w:cs="Calibri"/>
          <w:b/>
          <w:sz w:val="22"/>
          <w:szCs w:val="22"/>
        </w:rPr>
      </w:pPr>
      <w:r w:rsidRPr="00627122">
        <w:rPr>
          <w:rFonts w:ascii="Calibri" w:hAnsi="Calibri" w:cs="Calibri"/>
          <w:b/>
          <w:sz w:val="22"/>
          <w:szCs w:val="22"/>
        </w:rPr>
        <w:t>Infection Prevention and Control</w:t>
      </w:r>
      <w:r w:rsidR="00627122">
        <w:rPr>
          <w:rFonts w:ascii="Calibri" w:hAnsi="Calibri" w:cs="Calibri"/>
          <w:b/>
          <w:sz w:val="22"/>
          <w:szCs w:val="22"/>
        </w:rPr>
        <w:t xml:space="preserve"> – Gram Negative Blood Stream Infections</w:t>
      </w:r>
    </w:p>
    <w:p w:rsidR="00627122" w:rsidRDefault="00542F91" w:rsidP="00627122">
      <w:pPr>
        <w:pStyle w:val="Default"/>
        <w:ind w:left="720"/>
        <w:jc w:val="both"/>
        <w:rPr>
          <w:rFonts w:ascii="Calibri" w:hAnsi="Calibri" w:cs="Calibri"/>
          <w:sz w:val="22"/>
          <w:szCs w:val="22"/>
        </w:rPr>
      </w:pPr>
      <w:r>
        <w:rPr>
          <w:rFonts w:ascii="Calibri" w:hAnsi="Calibri" w:cs="Calibri"/>
          <w:sz w:val="22"/>
          <w:szCs w:val="22"/>
        </w:rPr>
        <w:t>The General Practice Quality Scheme is underway; a section of the scheme concentrates on improvement activity in gram negative blood stream infections and sepsis.  The next phase of the project work being undertaken by the CCG is to mobilise support to the care and nursing homes to improve</w:t>
      </w:r>
      <w:r w:rsidR="009446C6">
        <w:rPr>
          <w:rFonts w:ascii="Calibri" w:hAnsi="Calibri" w:cs="Calibri"/>
          <w:sz w:val="22"/>
          <w:szCs w:val="22"/>
        </w:rPr>
        <w:t xml:space="preserve"> hydration, hygiene and continence </w:t>
      </w:r>
      <w:r>
        <w:rPr>
          <w:rFonts w:ascii="Calibri" w:hAnsi="Calibri" w:cs="Calibri"/>
          <w:sz w:val="22"/>
          <w:szCs w:val="22"/>
        </w:rPr>
        <w:t>care delivery.  It is anticipated that this work will also contribute positively to the support to care homes agenda on mi</w:t>
      </w:r>
      <w:r w:rsidR="009446C6">
        <w:rPr>
          <w:rFonts w:ascii="Calibri" w:hAnsi="Calibri" w:cs="Calibri"/>
          <w:sz w:val="22"/>
          <w:szCs w:val="22"/>
        </w:rPr>
        <w:t>nimising hospital attendances.  The Quality Team and the Support to Care Homes Lead are working together to progress this initiative at pace.</w:t>
      </w:r>
    </w:p>
    <w:p w:rsidR="00542F91" w:rsidRDefault="00542F91" w:rsidP="00627122">
      <w:pPr>
        <w:pStyle w:val="Default"/>
        <w:ind w:left="720"/>
        <w:jc w:val="both"/>
        <w:rPr>
          <w:rFonts w:ascii="Calibri" w:hAnsi="Calibri" w:cs="Calibri"/>
          <w:sz w:val="22"/>
          <w:szCs w:val="22"/>
        </w:rPr>
      </w:pPr>
    </w:p>
    <w:p w:rsidR="00627122" w:rsidRPr="00DB1483" w:rsidRDefault="00627122" w:rsidP="00627122">
      <w:pPr>
        <w:pStyle w:val="Default"/>
        <w:numPr>
          <w:ilvl w:val="0"/>
          <w:numId w:val="4"/>
        </w:numPr>
        <w:jc w:val="both"/>
        <w:rPr>
          <w:rFonts w:ascii="Calibri" w:hAnsi="Calibri" w:cs="Calibri"/>
          <w:b/>
          <w:sz w:val="22"/>
          <w:szCs w:val="22"/>
        </w:rPr>
      </w:pPr>
      <w:r w:rsidRPr="00627122">
        <w:rPr>
          <w:rFonts w:ascii="Calibri" w:hAnsi="Calibri" w:cs="Calibri"/>
          <w:b/>
          <w:sz w:val="22"/>
          <w:szCs w:val="22"/>
        </w:rPr>
        <w:t>Site Visits</w:t>
      </w:r>
    </w:p>
    <w:p w:rsidR="00627122" w:rsidRPr="000B7916" w:rsidRDefault="009446C6" w:rsidP="00502FE5">
      <w:pPr>
        <w:pStyle w:val="Default"/>
        <w:ind w:left="720"/>
        <w:jc w:val="both"/>
        <w:rPr>
          <w:rFonts w:ascii="Calibri" w:hAnsi="Calibri" w:cs="Calibri"/>
          <w:sz w:val="22"/>
          <w:szCs w:val="22"/>
        </w:rPr>
      </w:pPr>
      <w:r>
        <w:rPr>
          <w:rFonts w:ascii="Calibri" w:hAnsi="Calibri" w:cs="Calibri"/>
          <w:sz w:val="22"/>
          <w:szCs w:val="22"/>
        </w:rPr>
        <w:t xml:space="preserve">Site visits to NLaG </w:t>
      </w:r>
      <w:r w:rsidR="00634F2B">
        <w:rPr>
          <w:rFonts w:ascii="Calibri" w:hAnsi="Calibri" w:cs="Calibri"/>
          <w:sz w:val="22"/>
          <w:szCs w:val="22"/>
        </w:rPr>
        <w:t>continue to be undertaken on a monthly basis</w:t>
      </w:r>
      <w:r>
        <w:rPr>
          <w:rFonts w:ascii="Calibri" w:hAnsi="Calibri" w:cs="Calibri"/>
          <w:sz w:val="22"/>
          <w:szCs w:val="22"/>
        </w:rPr>
        <w:t xml:space="preserve"> and complement the agenda structure for the Quality Review Meeting (Contract Quality Meeting held between commissioners and the Trust).  </w:t>
      </w:r>
    </w:p>
    <w:p w:rsidR="00634F2B" w:rsidRDefault="00634F2B" w:rsidP="00D373FD">
      <w:pPr>
        <w:pStyle w:val="Default"/>
        <w:jc w:val="both"/>
        <w:rPr>
          <w:rFonts w:ascii="Calibri" w:hAnsi="Calibri" w:cs="Calibri"/>
          <w:b/>
          <w:sz w:val="22"/>
          <w:szCs w:val="22"/>
        </w:rPr>
      </w:pPr>
      <w:r>
        <w:rPr>
          <w:rFonts w:ascii="Calibri" w:hAnsi="Calibri" w:cs="Calibri"/>
          <w:b/>
          <w:sz w:val="22"/>
          <w:szCs w:val="22"/>
        </w:rPr>
        <w:tab/>
      </w:r>
    </w:p>
    <w:p w:rsidR="00595080" w:rsidRDefault="00595080" w:rsidP="00D373FD">
      <w:pPr>
        <w:pStyle w:val="Default"/>
        <w:jc w:val="both"/>
        <w:rPr>
          <w:rFonts w:ascii="Calibri" w:hAnsi="Calibri" w:cs="Calibri"/>
          <w:b/>
          <w:sz w:val="22"/>
          <w:szCs w:val="22"/>
        </w:rPr>
      </w:pPr>
    </w:p>
    <w:p w:rsidR="00595080" w:rsidRDefault="00595080" w:rsidP="00D373FD">
      <w:pPr>
        <w:pStyle w:val="Default"/>
        <w:jc w:val="both"/>
        <w:rPr>
          <w:rFonts w:ascii="Calibri" w:hAnsi="Calibri" w:cs="Calibri"/>
          <w:b/>
          <w:sz w:val="22"/>
          <w:szCs w:val="22"/>
        </w:rPr>
      </w:pPr>
    </w:p>
    <w:p w:rsidR="00D373FD" w:rsidRPr="00D373FD" w:rsidRDefault="00D373FD" w:rsidP="00D373FD">
      <w:pPr>
        <w:pStyle w:val="Default"/>
        <w:numPr>
          <w:ilvl w:val="0"/>
          <w:numId w:val="4"/>
        </w:numPr>
        <w:jc w:val="both"/>
        <w:rPr>
          <w:rFonts w:ascii="Calibri" w:hAnsi="Calibri" w:cs="Calibri"/>
          <w:sz w:val="22"/>
          <w:szCs w:val="22"/>
        </w:rPr>
      </w:pPr>
      <w:r>
        <w:rPr>
          <w:rFonts w:ascii="Calibri" w:hAnsi="Calibri" w:cs="Calibri"/>
          <w:b/>
          <w:sz w:val="22"/>
          <w:szCs w:val="22"/>
        </w:rPr>
        <w:t>East Midlands Ambulance Service (EMAS)</w:t>
      </w:r>
    </w:p>
    <w:p w:rsidR="00D373FD" w:rsidRDefault="00595080" w:rsidP="00D373FD">
      <w:pPr>
        <w:pStyle w:val="Default"/>
        <w:ind w:left="720"/>
        <w:jc w:val="both"/>
        <w:rPr>
          <w:rFonts w:ascii="Calibri" w:hAnsi="Calibri" w:cs="Calibri"/>
          <w:sz w:val="22"/>
          <w:szCs w:val="22"/>
        </w:rPr>
      </w:pPr>
      <w:r>
        <w:rPr>
          <w:rFonts w:ascii="Calibri" w:hAnsi="Calibri" w:cs="Calibri"/>
          <w:sz w:val="22"/>
          <w:szCs w:val="22"/>
        </w:rPr>
        <w:t xml:space="preserve">We are not satisfied that all the learning from NEL incidents reported concerning perceived/actual delay in response times to 999 calls made from General Practice has been ascertained for all parties involved in the incidents.  Therefore we raised this with EMAS and proposed call review audit of those cases reported to us to be undertaken with commissioners to review the occurrences together.  We anticipate learning both for EMAS and Primary Care.  Our challenge has been received well and action has been agreed to support learning </w:t>
      </w:r>
      <w:r w:rsidR="00A04D38">
        <w:rPr>
          <w:rFonts w:ascii="Calibri" w:hAnsi="Calibri" w:cs="Calibri"/>
          <w:sz w:val="22"/>
          <w:szCs w:val="22"/>
        </w:rPr>
        <w:t xml:space="preserve">and progress actions </w:t>
      </w:r>
      <w:r>
        <w:rPr>
          <w:rFonts w:ascii="Calibri" w:hAnsi="Calibri" w:cs="Calibri"/>
          <w:sz w:val="22"/>
          <w:szCs w:val="22"/>
        </w:rPr>
        <w:t xml:space="preserve">together. </w:t>
      </w:r>
    </w:p>
    <w:p w:rsidR="00595080" w:rsidRDefault="00595080" w:rsidP="00D373FD">
      <w:pPr>
        <w:pStyle w:val="Default"/>
        <w:ind w:left="720"/>
        <w:jc w:val="both"/>
        <w:rPr>
          <w:rFonts w:ascii="Calibri" w:hAnsi="Calibri" w:cs="Calibri"/>
          <w:sz w:val="22"/>
          <w:szCs w:val="22"/>
        </w:rPr>
      </w:pPr>
    </w:p>
    <w:p w:rsidR="00595080" w:rsidRDefault="00595080" w:rsidP="00D373FD">
      <w:pPr>
        <w:pStyle w:val="Default"/>
        <w:ind w:left="720"/>
        <w:jc w:val="both"/>
        <w:rPr>
          <w:rFonts w:ascii="Calibri" w:hAnsi="Calibri" w:cs="Calibri"/>
          <w:sz w:val="22"/>
          <w:szCs w:val="22"/>
        </w:rPr>
      </w:pPr>
      <w:r>
        <w:rPr>
          <w:rFonts w:ascii="Calibri" w:hAnsi="Calibri" w:cs="Calibri"/>
          <w:sz w:val="22"/>
          <w:szCs w:val="22"/>
        </w:rPr>
        <w:t xml:space="preserve">EMAS are undertaking work to support minimising seasonal emergency service demand management by creating promotional posters for care and nursing homes. </w:t>
      </w:r>
    </w:p>
    <w:p w:rsidR="00595080" w:rsidRDefault="00595080" w:rsidP="00D373FD">
      <w:pPr>
        <w:pStyle w:val="Default"/>
        <w:ind w:left="720"/>
        <w:jc w:val="both"/>
        <w:rPr>
          <w:rFonts w:ascii="Calibri" w:hAnsi="Calibri" w:cs="Calibri"/>
          <w:sz w:val="22"/>
          <w:szCs w:val="22"/>
        </w:rPr>
      </w:pPr>
    </w:p>
    <w:p w:rsidR="00595080" w:rsidRDefault="00595080" w:rsidP="00D373FD">
      <w:pPr>
        <w:pStyle w:val="Default"/>
        <w:ind w:left="720"/>
        <w:jc w:val="both"/>
        <w:rPr>
          <w:rFonts w:ascii="Calibri" w:hAnsi="Calibri" w:cs="Calibri"/>
          <w:sz w:val="22"/>
          <w:szCs w:val="22"/>
        </w:rPr>
      </w:pPr>
      <w:r>
        <w:rPr>
          <w:rFonts w:ascii="Calibri" w:hAnsi="Calibri" w:cs="Calibri"/>
          <w:sz w:val="22"/>
          <w:szCs w:val="22"/>
        </w:rPr>
        <w:t xml:space="preserve">Innovative schemes for recruiting qualified paramedics are progressing.  </w:t>
      </w:r>
    </w:p>
    <w:p w:rsidR="00A04D38" w:rsidRDefault="00A04D38" w:rsidP="00D373FD">
      <w:pPr>
        <w:pStyle w:val="Default"/>
        <w:ind w:left="720"/>
        <w:jc w:val="both"/>
        <w:rPr>
          <w:rFonts w:ascii="Calibri" w:hAnsi="Calibri" w:cs="Calibri"/>
          <w:sz w:val="22"/>
          <w:szCs w:val="22"/>
        </w:rPr>
      </w:pPr>
    </w:p>
    <w:p w:rsidR="00595080" w:rsidRDefault="00A04D38" w:rsidP="00D373FD">
      <w:pPr>
        <w:pStyle w:val="Default"/>
        <w:ind w:left="720"/>
        <w:jc w:val="both"/>
        <w:rPr>
          <w:rFonts w:ascii="Calibri" w:hAnsi="Calibri" w:cs="Calibri"/>
          <w:sz w:val="22"/>
          <w:szCs w:val="22"/>
        </w:rPr>
      </w:pPr>
      <w:r>
        <w:rPr>
          <w:rFonts w:ascii="Calibri" w:hAnsi="Calibri" w:cs="Calibri"/>
          <w:sz w:val="22"/>
          <w:szCs w:val="22"/>
        </w:rPr>
        <w:t>The service has recognised a need to review transfers made from Louth Urgent Care Centre to A&amp;E’s, due to the demand a shuttle crew has had to be mobilised between Louth UCC and NLaG A&amp;E.  Actions are being mobilised to review this position with the commissioners of the service.</w:t>
      </w:r>
    </w:p>
    <w:p w:rsidR="00A04D38" w:rsidRDefault="00A04D38" w:rsidP="00D373FD">
      <w:pPr>
        <w:pStyle w:val="Default"/>
        <w:ind w:left="720"/>
        <w:jc w:val="both"/>
        <w:rPr>
          <w:rFonts w:ascii="Calibri" w:hAnsi="Calibri" w:cs="Calibri"/>
          <w:sz w:val="22"/>
          <w:szCs w:val="22"/>
        </w:rPr>
      </w:pPr>
    </w:p>
    <w:p w:rsidR="00FA1005" w:rsidRDefault="00FA1005" w:rsidP="00FA1005">
      <w:pPr>
        <w:pStyle w:val="Default"/>
        <w:numPr>
          <w:ilvl w:val="0"/>
          <w:numId w:val="4"/>
        </w:numPr>
        <w:jc w:val="both"/>
        <w:rPr>
          <w:rFonts w:ascii="Calibri" w:hAnsi="Calibri" w:cs="Calibri"/>
          <w:b/>
          <w:sz w:val="22"/>
          <w:szCs w:val="22"/>
        </w:rPr>
      </w:pPr>
      <w:r w:rsidRPr="00FA1005">
        <w:rPr>
          <w:rFonts w:ascii="Calibri" w:hAnsi="Calibri" w:cs="Calibri"/>
          <w:b/>
          <w:sz w:val="22"/>
          <w:szCs w:val="22"/>
        </w:rPr>
        <w:t>Sharing Lessons Learnt</w:t>
      </w:r>
    </w:p>
    <w:p w:rsidR="00FA1005" w:rsidRDefault="00FA1005" w:rsidP="00FA1005">
      <w:pPr>
        <w:pStyle w:val="Default"/>
        <w:ind w:left="720"/>
        <w:jc w:val="both"/>
        <w:rPr>
          <w:rFonts w:ascii="Calibri" w:hAnsi="Calibri" w:cs="Calibri"/>
          <w:sz w:val="22"/>
          <w:szCs w:val="22"/>
        </w:rPr>
      </w:pPr>
      <w:r w:rsidRPr="00FA1005">
        <w:rPr>
          <w:rFonts w:ascii="Calibri" w:hAnsi="Calibri" w:cs="Calibri"/>
          <w:sz w:val="22"/>
          <w:szCs w:val="22"/>
        </w:rPr>
        <w:t>We have revised our ‘Risky Matters’ bulletin, a mechanism for sharing learning from incidents with primary care, to become a ‘Quality Matters’ bulletin.  The content of which includes learning from local post infection reviews, incidents, customer care, safeguarding and medications enquiries.  Also included is direction to new NICE guidance and newly published best practice standards.  The</w:t>
      </w:r>
      <w:r>
        <w:rPr>
          <w:rFonts w:ascii="Calibri" w:hAnsi="Calibri" w:cs="Calibri"/>
          <w:sz w:val="22"/>
          <w:szCs w:val="22"/>
        </w:rPr>
        <w:t xml:space="preserve"> new</w:t>
      </w:r>
      <w:r w:rsidRPr="00FA1005">
        <w:rPr>
          <w:rFonts w:ascii="Calibri" w:hAnsi="Calibri" w:cs="Calibri"/>
          <w:sz w:val="22"/>
          <w:szCs w:val="22"/>
        </w:rPr>
        <w:t xml:space="preserve"> bulletin was launched </w:t>
      </w:r>
      <w:r>
        <w:rPr>
          <w:rFonts w:ascii="Calibri" w:hAnsi="Calibri" w:cs="Calibri"/>
          <w:sz w:val="22"/>
          <w:szCs w:val="22"/>
        </w:rPr>
        <w:t xml:space="preserve">in September </w:t>
      </w:r>
      <w:r w:rsidRPr="00FA1005">
        <w:rPr>
          <w:rFonts w:ascii="Calibri" w:hAnsi="Calibri" w:cs="Calibri"/>
          <w:sz w:val="22"/>
          <w:szCs w:val="22"/>
        </w:rPr>
        <w:t>and has been shared with all NELCCG commissioned providers.</w:t>
      </w:r>
    </w:p>
    <w:p w:rsidR="00FA1005" w:rsidRDefault="00FA1005" w:rsidP="00FA1005">
      <w:pPr>
        <w:pStyle w:val="Default"/>
        <w:jc w:val="both"/>
        <w:rPr>
          <w:rFonts w:ascii="Calibri" w:hAnsi="Calibri" w:cs="Calibri"/>
          <w:sz w:val="22"/>
          <w:szCs w:val="22"/>
        </w:rPr>
      </w:pPr>
    </w:p>
    <w:p w:rsidR="00FA1005" w:rsidRPr="00FA1005" w:rsidRDefault="00FA1005" w:rsidP="00FA1005">
      <w:pPr>
        <w:pStyle w:val="Default"/>
        <w:numPr>
          <w:ilvl w:val="0"/>
          <w:numId w:val="4"/>
        </w:numPr>
        <w:jc w:val="both"/>
        <w:rPr>
          <w:rFonts w:ascii="Calibri" w:hAnsi="Calibri" w:cs="Calibri"/>
          <w:b/>
          <w:sz w:val="22"/>
          <w:szCs w:val="22"/>
        </w:rPr>
      </w:pPr>
      <w:r w:rsidRPr="00FA1005">
        <w:rPr>
          <w:rFonts w:ascii="Calibri" w:hAnsi="Calibri" w:cs="Calibri"/>
          <w:b/>
          <w:sz w:val="22"/>
          <w:szCs w:val="22"/>
        </w:rPr>
        <w:t>Humber Infectious Disease Outbreak Exercise</w:t>
      </w:r>
    </w:p>
    <w:p w:rsidR="00FA1005" w:rsidRPr="00FA1005" w:rsidRDefault="00FA1005" w:rsidP="00FA1005">
      <w:pPr>
        <w:pStyle w:val="Default"/>
        <w:ind w:left="720"/>
        <w:jc w:val="both"/>
        <w:rPr>
          <w:rFonts w:ascii="Calibri" w:hAnsi="Calibri" w:cs="Calibri"/>
          <w:sz w:val="22"/>
          <w:szCs w:val="22"/>
        </w:rPr>
      </w:pPr>
      <w:r w:rsidRPr="00FA1005">
        <w:rPr>
          <w:rFonts w:ascii="Calibri" w:hAnsi="Calibri" w:cs="Calibri"/>
          <w:sz w:val="22"/>
          <w:szCs w:val="22"/>
        </w:rPr>
        <w:t>P</w:t>
      </w:r>
      <w:r>
        <w:rPr>
          <w:rFonts w:ascii="Calibri" w:hAnsi="Calibri" w:cs="Calibri"/>
          <w:sz w:val="22"/>
          <w:szCs w:val="22"/>
        </w:rPr>
        <w:t xml:space="preserve">ublic </w:t>
      </w:r>
      <w:r w:rsidRPr="00FA1005">
        <w:rPr>
          <w:rFonts w:ascii="Calibri" w:hAnsi="Calibri" w:cs="Calibri"/>
          <w:sz w:val="22"/>
          <w:szCs w:val="22"/>
        </w:rPr>
        <w:t>H</w:t>
      </w:r>
      <w:r>
        <w:rPr>
          <w:rFonts w:ascii="Calibri" w:hAnsi="Calibri" w:cs="Calibri"/>
          <w:sz w:val="22"/>
          <w:szCs w:val="22"/>
        </w:rPr>
        <w:t>ealth</w:t>
      </w:r>
      <w:r w:rsidRPr="00FA1005">
        <w:rPr>
          <w:rFonts w:ascii="Calibri" w:hAnsi="Calibri" w:cs="Calibri"/>
          <w:sz w:val="22"/>
          <w:szCs w:val="22"/>
        </w:rPr>
        <w:t xml:space="preserve"> facilitated an infectious disease outbreak exercise, which we contributed to and found to be an extremely helpful exercise.  A </w:t>
      </w:r>
      <w:r>
        <w:rPr>
          <w:rFonts w:ascii="Calibri" w:hAnsi="Calibri" w:cs="Calibri"/>
          <w:sz w:val="22"/>
          <w:szCs w:val="22"/>
        </w:rPr>
        <w:t xml:space="preserve">report is being complied </w:t>
      </w:r>
      <w:r w:rsidRPr="00FA1005">
        <w:rPr>
          <w:rFonts w:ascii="Calibri" w:hAnsi="Calibri" w:cs="Calibri"/>
          <w:sz w:val="22"/>
          <w:szCs w:val="22"/>
        </w:rPr>
        <w:t>to</w:t>
      </w:r>
      <w:r>
        <w:rPr>
          <w:rFonts w:ascii="Calibri" w:hAnsi="Calibri" w:cs="Calibri"/>
          <w:sz w:val="22"/>
          <w:szCs w:val="22"/>
        </w:rPr>
        <w:t xml:space="preserve"> enable learning to be</w:t>
      </w:r>
      <w:r w:rsidRPr="00FA1005">
        <w:rPr>
          <w:rFonts w:ascii="Calibri" w:hAnsi="Calibri" w:cs="Calibri"/>
          <w:sz w:val="22"/>
          <w:szCs w:val="22"/>
        </w:rPr>
        <w:t xml:space="preserve"> consolidate</w:t>
      </w:r>
      <w:r>
        <w:rPr>
          <w:rFonts w:ascii="Calibri" w:hAnsi="Calibri" w:cs="Calibri"/>
          <w:sz w:val="22"/>
          <w:szCs w:val="22"/>
        </w:rPr>
        <w:t>d</w:t>
      </w:r>
      <w:r w:rsidRPr="00FA1005">
        <w:rPr>
          <w:rFonts w:ascii="Calibri" w:hAnsi="Calibri" w:cs="Calibri"/>
          <w:sz w:val="22"/>
          <w:szCs w:val="22"/>
        </w:rPr>
        <w:t xml:space="preserve"> and inform local actions.  </w:t>
      </w:r>
      <w:r>
        <w:rPr>
          <w:rFonts w:ascii="Calibri" w:hAnsi="Calibri" w:cs="Calibri"/>
          <w:sz w:val="22"/>
          <w:szCs w:val="22"/>
        </w:rPr>
        <w:t>Actions are already in progress locally to facilitate local outbreak exercises and formalise the patient group direction (PGD) procedure for approving PGD’s in a limited timeframe (A PGD is a written instruction for the administration of medication by a named registered professional without a prescription).</w:t>
      </w:r>
    </w:p>
    <w:p w:rsidR="00B05D5D" w:rsidRDefault="00B05D5D" w:rsidP="00B05D5D">
      <w:pPr>
        <w:pStyle w:val="Default"/>
        <w:jc w:val="both"/>
        <w:rPr>
          <w:rFonts w:ascii="Calibri" w:hAnsi="Calibri" w:cs="Calibri"/>
          <w:sz w:val="22"/>
          <w:szCs w:val="22"/>
        </w:rPr>
      </w:pPr>
    </w:p>
    <w:p w:rsidR="008F08E2" w:rsidRDefault="008F08E2" w:rsidP="00880E7F">
      <w:pPr>
        <w:pStyle w:val="Default"/>
        <w:jc w:val="right"/>
        <w:rPr>
          <w:rFonts w:ascii="Calibri" w:hAnsi="Calibri" w:cs="Calibri"/>
          <w:sz w:val="20"/>
          <w:szCs w:val="20"/>
        </w:rPr>
      </w:pPr>
    </w:p>
    <w:p w:rsidR="008F08E2" w:rsidRDefault="008F08E2" w:rsidP="00E34FDF">
      <w:pPr>
        <w:pStyle w:val="Default"/>
        <w:jc w:val="both"/>
        <w:rPr>
          <w:rFonts w:ascii="Calibri" w:hAnsi="Calibri" w:cs="Calibri"/>
          <w:sz w:val="20"/>
          <w:szCs w:val="20"/>
        </w:rPr>
      </w:pPr>
    </w:p>
    <w:p w:rsidR="008F08E2" w:rsidRDefault="008F08E2" w:rsidP="00E34FDF">
      <w:pPr>
        <w:pStyle w:val="Default"/>
        <w:jc w:val="both"/>
        <w:rPr>
          <w:rFonts w:ascii="Calibri" w:hAnsi="Calibri" w:cs="Calibri"/>
          <w:sz w:val="20"/>
          <w:szCs w:val="20"/>
        </w:rPr>
      </w:pPr>
    </w:p>
    <w:p w:rsidR="008F08E2" w:rsidRDefault="008F08E2" w:rsidP="008675CA">
      <w:pPr>
        <w:spacing w:after="200" w:line="276" w:lineRule="auto"/>
        <w:rPr>
          <w:rFonts w:ascii="Calibri" w:hAnsi="Calibri" w:cs="Calibri"/>
          <w:sz w:val="20"/>
        </w:rPr>
        <w:sectPr w:rsidR="008F08E2" w:rsidSect="008F08E2">
          <w:pgSz w:w="11905" w:h="16837"/>
          <w:pgMar w:top="1134" w:right="743" w:bottom="709" w:left="743" w:header="709" w:footer="709" w:gutter="0"/>
          <w:cols w:space="708"/>
          <w:docGrid w:linePitch="360"/>
        </w:sectPr>
      </w:pPr>
    </w:p>
    <w:p w:rsidR="008675CA" w:rsidRDefault="008675CA" w:rsidP="006F132B">
      <w:pPr>
        <w:spacing w:after="240"/>
        <w:rPr>
          <w:rFonts w:ascii="Verdana" w:eastAsia="Verdana" w:hAnsi="Verdana" w:cs="Verdana"/>
          <w:b/>
          <w:color w:val="000000"/>
          <w:sz w:val="32"/>
        </w:rPr>
      </w:pPr>
      <w:r>
        <w:rPr>
          <w:rFonts w:ascii="Verdana" w:eastAsia="Verdana" w:hAnsi="Verdana" w:cs="Verdana"/>
          <w:b/>
          <w:color w:val="000000"/>
          <w:sz w:val="32"/>
        </w:rPr>
        <w:lastRenderedPageBreak/>
        <w:t>Appendix A - Performance Exception Summary</w:t>
      </w:r>
    </w:p>
    <w:tbl>
      <w:tblPr>
        <w:tblW w:w="26535" w:type="dxa"/>
        <w:tblInd w:w="-386" w:type="dxa"/>
        <w:tblLayout w:type="fixed"/>
        <w:tblLook w:val="0000" w:firstRow="0" w:lastRow="0" w:firstColumn="0" w:lastColumn="0" w:noHBand="0" w:noVBand="0"/>
      </w:tblPr>
      <w:tblGrid>
        <w:gridCol w:w="1018"/>
        <w:gridCol w:w="4372"/>
        <w:gridCol w:w="1166"/>
        <w:gridCol w:w="1166"/>
        <w:gridCol w:w="1166"/>
        <w:gridCol w:w="1166"/>
        <w:gridCol w:w="1166"/>
        <w:gridCol w:w="1166"/>
        <w:gridCol w:w="1166"/>
        <w:gridCol w:w="1166"/>
        <w:gridCol w:w="1017"/>
        <w:gridCol w:w="1080"/>
        <w:gridCol w:w="86"/>
        <w:gridCol w:w="307"/>
        <w:gridCol w:w="687"/>
        <w:gridCol w:w="393"/>
        <w:gridCol w:w="687"/>
        <w:gridCol w:w="1080"/>
        <w:gridCol w:w="1080"/>
        <w:gridCol w:w="1080"/>
        <w:gridCol w:w="1080"/>
        <w:gridCol w:w="1080"/>
        <w:gridCol w:w="1080"/>
        <w:gridCol w:w="1080"/>
      </w:tblGrid>
      <w:tr w:rsidR="006F132B" w:rsidTr="004D5DC0">
        <w:trPr>
          <w:gridAfter w:val="13"/>
          <w:wAfter w:w="10800" w:type="dxa"/>
          <w:trHeight w:val="58"/>
          <w:tblHeader/>
        </w:trPr>
        <w:tc>
          <w:tcPr>
            <w:tcW w:w="1018" w:type="dxa"/>
            <w:vMerge w:val="restart"/>
            <w:tcBorders>
              <w:top w:val="single" w:sz="8" w:space="0" w:color="787878"/>
              <w:left w:val="single" w:sz="8" w:space="0" w:color="787878"/>
              <w:bottom w:val="single" w:sz="8" w:space="0" w:color="787878"/>
              <w:right w:val="single" w:sz="8" w:space="0" w:color="787878"/>
            </w:tcBorders>
            <w:shd w:val="clear" w:color="auto" w:fill="DCDCDC"/>
            <w:tcMar>
              <w:top w:w="40" w:type="dxa"/>
              <w:left w:w="40" w:type="dxa"/>
              <w:bottom w:w="40" w:type="dxa"/>
              <w:right w:w="40" w:type="dxa"/>
            </w:tcMar>
            <w:vAlign w:val="center"/>
          </w:tcPr>
          <w:p w:rsidR="006F132B" w:rsidRDefault="006F132B" w:rsidP="004D5DC0">
            <w:r>
              <w:rPr>
                <w:rFonts w:ascii="Verdana" w:eastAsia="Verdana" w:hAnsi="Verdana" w:cs="Verdana"/>
                <w:b/>
                <w:color w:val="000000"/>
                <w:sz w:val="16"/>
              </w:rPr>
              <w:t>Code</w:t>
            </w:r>
          </w:p>
        </w:tc>
        <w:tc>
          <w:tcPr>
            <w:tcW w:w="4372" w:type="dxa"/>
            <w:vMerge w:val="restart"/>
            <w:tcBorders>
              <w:top w:val="single" w:sz="8" w:space="0" w:color="787878"/>
              <w:left w:val="single" w:sz="8" w:space="0" w:color="787878"/>
              <w:bottom w:val="single" w:sz="8" w:space="0" w:color="787878"/>
              <w:right w:val="single" w:sz="8" w:space="0" w:color="787878"/>
            </w:tcBorders>
            <w:shd w:val="clear" w:color="auto" w:fill="DCDCDC"/>
            <w:tcMar>
              <w:top w:w="40" w:type="dxa"/>
              <w:left w:w="40" w:type="dxa"/>
              <w:bottom w:w="40" w:type="dxa"/>
              <w:right w:w="40" w:type="dxa"/>
            </w:tcMar>
            <w:vAlign w:val="center"/>
          </w:tcPr>
          <w:p w:rsidR="006F132B" w:rsidRDefault="006F132B" w:rsidP="004D5DC0">
            <w:pPr>
              <w:rPr>
                <w:rFonts w:ascii="Verdana" w:eastAsia="Verdana" w:hAnsi="Verdana" w:cs="Verdana"/>
                <w:b/>
                <w:color w:val="000000"/>
                <w:sz w:val="16"/>
              </w:rPr>
            </w:pPr>
            <w:r>
              <w:rPr>
                <w:rFonts w:ascii="Verdana" w:eastAsia="Verdana" w:hAnsi="Verdana" w:cs="Verdana"/>
                <w:b/>
                <w:color w:val="000000"/>
                <w:sz w:val="16"/>
              </w:rPr>
              <w:t>Indicator</w:t>
            </w:r>
          </w:p>
        </w:tc>
        <w:tc>
          <w:tcPr>
            <w:tcW w:w="1166" w:type="dxa"/>
            <w:vMerge w:val="restart"/>
            <w:tcBorders>
              <w:top w:val="single" w:sz="8" w:space="0" w:color="787878"/>
              <w:left w:val="single" w:sz="8" w:space="0" w:color="787878"/>
              <w:right w:val="single" w:sz="8" w:space="0" w:color="787878"/>
            </w:tcBorders>
            <w:shd w:val="clear" w:color="auto" w:fill="DCDCDC"/>
            <w:vAlign w:val="center"/>
          </w:tcPr>
          <w:p w:rsidR="006F132B" w:rsidRDefault="006F132B" w:rsidP="004D5DC0">
            <w:pPr>
              <w:jc w:val="center"/>
              <w:rPr>
                <w:rFonts w:ascii="Verdana" w:eastAsia="Verdana" w:hAnsi="Verdana" w:cs="Verdana"/>
                <w:b/>
                <w:color w:val="000000"/>
                <w:sz w:val="16"/>
              </w:rPr>
            </w:pPr>
            <w:r>
              <w:rPr>
                <w:rFonts w:ascii="Verdana" w:eastAsia="Verdana" w:hAnsi="Verdana" w:cs="Verdana"/>
                <w:b/>
                <w:color w:val="000000"/>
                <w:sz w:val="16"/>
              </w:rPr>
              <w:t>CCG IAF</w:t>
            </w:r>
          </w:p>
        </w:tc>
        <w:tc>
          <w:tcPr>
            <w:tcW w:w="4664" w:type="dxa"/>
            <w:gridSpan w:val="4"/>
            <w:tcBorders>
              <w:top w:val="single" w:sz="8" w:space="0" w:color="787878"/>
              <w:left w:val="single" w:sz="8" w:space="0" w:color="787878"/>
              <w:right w:val="single" w:sz="8" w:space="0" w:color="787878"/>
            </w:tcBorders>
            <w:shd w:val="clear" w:color="auto" w:fill="DCDCDC"/>
            <w:tcMar>
              <w:top w:w="40" w:type="dxa"/>
              <w:left w:w="40" w:type="dxa"/>
              <w:bottom w:w="40" w:type="dxa"/>
              <w:right w:w="40" w:type="dxa"/>
            </w:tcMar>
            <w:vAlign w:val="center"/>
          </w:tcPr>
          <w:p w:rsidR="006F132B" w:rsidRDefault="006F132B" w:rsidP="004D5DC0">
            <w:pPr>
              <w:jc w:val="center"/>
              <w:rPr>
                <w:rFonts w:ascii="Verdana" w:eastAsia="Verdana" w:hAnsi="Verdana" w:cs="Verdana"/>
                <w:b/>
                <w:color w:val="000000"/>
                <w:sz w:val="16"/>
              </w:rPr>
            </w:pPr>
            <w:r>
              <w:rPr>
                <w:rFonts w:ascii="Verdana" w:eastAsia="Verdana" w:hAnsi="Verdana" w:cs="Verdana"/>
                <w:b/>
                <w:color w:val="000000"/>
                <w:sz w:val="16"/>
              </w:rPr>
              <w:t>Latest period</w:t>
            </w:r>
          </w:p>
        </w:tc>
        <w:tc>
          <w:tcPr>
            <w:tcW w:w="3498" w:type="dxa"/>
            <w:gridSpan w:val="3"/>
            <w:tcBorders>
              <w:top w:val="single" w:sz="8" w:space="0" w:color="787878"/>
              <w:left w:val="single" w:sz="8" w:space="0" w:color="787878"/>
              <w:right w:val="single" w:sz="8" w:space="0" w:color="787878"/>
            </w:tcBorders>
            <w:shd w:val="clear" w:color="auto" w:fill="DCDCDC"/>
            <w:tcMar>
              <w:top w:w="40" w:type="dxa"/>
              <w:left w:w="40" w:type="dxa"/>
              <w:bottom w:w="40" w:type="dxa"/>
              <w:right w:w="40" w:type="dxa"/>
            </w:tcMar>
            <w:vAlign w:val="center"/>
          </w:tcPr>
          <w:p w:rsidR="006F132B" w:rsidRDefault="006F132B" w:rsidP="004D5DC0">
            <w:pPr>
              <w:jc w:val="center"/>
              <w:rPr>
                <w:rFonts w:ascii="Verdana" w:eastAsia="Verdana" w:hAnsi="Verdana" w:cs="Verdana"/>
                <w:b/>
                <w:color w:val="000000"/>
                <w:sz w:val="16"/>
              </w:rPr>
            </w:pPr>
            <w:r>
              <w:rPr>
                <w:rFonts w:ascii="Verdana" w:eastAsia="Verdana" w:hAnsi="Verdana" w:cs="Verdana"/>
                <w:b/>
                <w:color w:val="000000"/>
                <w:sz w:val="16"/>
              </w:rPr>
              <w:t>Year to date</w:t>
            </w:r>
          </w:p>
        </w:tc>
        <w:tc>
          <w:tcPr>
            <w:tcW w:w="1017" w:type="dxa"/>
            <w:vMerge w:val="restart"/>
            <w:tcBorders>
              <w:top w:val="single" w:sz="8" w:space="0" w:color="787878"/>
              <w:left w:val="single" w:sz="8" w:space="0" w:color="787878"/>
              <w:bottom w:val="single" w:sz="8" w:space="0" w:color="787878"/>
              <w:right w:val="single" w:sz="8" w:space="0" w:color="787878"/>
            </w:tcBorders>
            <w:shd w:val="clear" w:color="auto" w:fill="DCDCDC"/>
            <w:tcMar>
              <w:top w:w="40" w:type="dxa"/>
              <w:left w:w="40" w:type="dxa"/>
              <w:bottom w:w="40" w:type="dxa"/>
              <w:right w:w="40" w:type="dxa"/>
            </w:tcMar>
            <w:vAlign w:val="center"/>
          </w:tcPr>
          <w:p w:rsidR="006F132B" w:rsidRDefault="006F132B" w:rsidP="004D5DC0">
            <w:pPr>
              <w:jc w:val="center"/>
              <w:rPr>
                <w:rFonts w:ascii="Verdana" w:eastAsia="Verdana" w:hAnsi="Verdana" w:cs="Verdana"/>
                <w:b/>
                <w:color w:val="000000"/>
                <w:sz w:val="16"/>
              </w:rPr>
            </w:pPr>
            <w:r>
              <w:rPr>
                <w:rFonts w:ascii="Verdana" w:eastAsia="Verdana" w:hAnsi="Verdana" w:cs="Verdana"/>
                <w:b/>
                <w:color w:val="000000"/>
                <w:sz w:val="16"/>
              </w:rPr>
              <w:t>Year End Forecast</w:t>
            </w:r>
          </w:p>
        </w:tc>
      </w:tr>
      <w:tr w:rsidR="006F132B" w:rsidTr="004D5DC0">
        <w:trPr>
          <w:gridAfter w:val="13"/>
          <w:wAfter w:w="10800" w:type="dxa"/>
          <w:trHeight w:val="189"/>
          <w:tblHeader/>
        </w:trPr>
        <w:tc>
          <w:tcPr>
            <w:tcW w:w="1018" w:type="dxa"/>
            <w:vMerge/>
            <w:tcBorders>
              <w:top w:val="single" w:sz="8" w:space="0" w:color="787878"/>
              <w:left w:val="single" w:sz="8" w:space="0" w:color="787878"/>
              <w:bottom w:val="single" w:sz="8" w:space="0" w:color="000000"/>
              <w:right w:val="single" w:sz="8" w:space="0" w:color="787878"/>
            </w:tcBorders>
            <w:shd w:val="clear" w:color="auto" w:fill="DCDCDC"/>
            <w:tcMar>
              <w:top w:w="40" w:type="dxa"/>
              <w:left w:w="40" w:type="dxa"/>
              <w:bottom w:w="40" w:type="dxa"/>
              <w:right w:w="40" w:type="dxa"/>
            </w:tcMar>
            <w:vAlign w:val="center"/>
          </w:tcPr>
          <w:p w:rsidR="006F132B" w:rsidRDefault="006F132B" w:rsidP="004D5DC0">
            <w:pPr>
              <w:rPr>
                <w:rFonts w:ascii="Verdana" w:eastAsia="Verdana" w:hAnsi="Verdana" w:cs="Verdana"/>
                <w:b/>
                <w:color w:val="000000"/>
                <w:sz w:val="16"/>
              </w:rPr>
            </w:pPr>
          </w:p>
        </w:tc>
        <w:tc>
          <w:tcPr>
            <w:tcW w:w="4372" w:type="dxa"/>
            <w:vMerge/>
            <w:tcBorders>
              <w:top w:val="single" w:sz="8" w:space="0" w:color="787878"/>
              <w:left w:val="single" w:sz="8" w:space="0" w:color="787878"/>
              <w:bottom w:val="single" w:sz="8" w:space="0" w:color="000000"/>
              <w:right w:val="single" w:sz="8" w:space="0" w:color="787878"/>
            </w:tcBorders>
            <w:shd w:val="clear" w:color="auto" w:fill="DCDCDC"/>
            <w:tcMar>
              <w:top w:w="40" w:type="dxa"/>
              <w:left w:w="40" w:type="dxa"/>
              <w:bottom w:w="40" w:type="dxa"/>
              <w:right w:w="40" w:type="dxa"/>
            </w:tcMar>
            <w:vAlign w:val="center"/>
          </w:tcPr>
          <w:p w:rsidR="006F132B" w:rsidRDefault="006F132B" w:rsidP="004D5DC0">
            <w:pPr>
              <w:rPr>
                <w:rFonts w:ascii="Verdana" w:eastAsia="Verdana" w:hAnsi="Verdana" w:cs="Verdana"/>
                <w:b/>
                <w:color w:val="000000"/>
                <w:sz w:val="16"/>
              </w:rPr>
            </w:pPr>
          </w:p>
        </w:tc>
        <w:tc>
          <w:tcPr>
            <w:tcW w:w="1166" w:type="dxa"/>
            <w:vMerge/>
            <w:tcBorders>
              <w:left w:val="single" w:sz="8" w:space="0" w:color="787878"/>
              <w:bottom w:val="single" w:sz="8" w:space="0" w:color="000000"/>
              <w:right w:val="single" w:sz="8" w:space="0" w:color="787878"/>
            </w:tcBorders>
            <w:shd w:val="clear" w:color="auto" w:fill="DCDCDC"/>
          </w:tcPr>
          <w:p w:rsidR="006F132B" w:rsidRDefault="006F132B" w:rsidP="004D5DC0">
            <w:pPr>
              <w:jc w:val="center"/>
              <w:rPr>
                <w:rFonts w:ascii="Verdana" w:eastAsia="Verdana" w:hAnsi="Verdana" w:cs="Verdana"/>
                <w:b/>
                <w:color w:val="000000"/>
                <w:sz w:val="16"/>
              </w:rPr>
            </w:pPr>
          </w:p>
        </w:tc>
        <w:tc>
          <w:tcPr>
            <w:tcW w:w="1166" w:type="dxa"/>
            <w:tcBorders>
              <w:left w:val="single" w:sz="8" w:space="0" w:color="787878"/>
              <w:bottom w:val="single" w:sz="8" w:space="0" w:color="000000"/>
              <w:right w:val="single" w:sz="8" w:space="0" w:color="787878"/>
            </w:tcBorders>
            <w:shd w:val="clear" w:color="auto" w:fill="DCDCDC"/>
            <w:tcMar>
              <w:top w:w="40" w:type="dxa"/>
              <w:left w:w="40" w:type="dxa"/>
              <w:bottom w:w="40" w:type="dxa"/>
              <w:right w:w="40" w:type="dxa"/>
            </w:tcMar>
            <w:vAlign w:val="center"/>
          </w:tcPr>
          <w:p w:rsidR="006F132B" w:rsidRDefault="006F132B" w:rsidP="004D5DC0">
            <w:pPr>
              <w:jc w:val="center"/>
              <w:rPr>
                <w:rFonts w:ascii="Verdana" w:eastAsia="Verdana" w:hAnsi="Verdana" w:cs="Verdana"/>
                <w:b/>
                <w:color w:val="000000"/>
                <w:sz w:val="16"/>
              </w:rPr>
            </w:pPr>
            <w:r>
              <w:rPr>
                <w:rFonts w:ascii="Verdana" w:eastAsia="Verdana" w:hAnsi="Verdana" w:cs="Verdana"/>
                <w:b/>
                <w:color w:val="000000"/>
                <w:sz w:val="16"/>
              </w:rPr>
              <w:t>Period</w:t>
            </w:r>
          </w:p>
        </w:tc>
        <w:tc>
          <w:tcPr>
            <w:tcW w:w="1166" w:type="dxa"/>
            <w:tcBorders>
              <w:left w:val="single" w:sz="8" w:space="0" w:color="787878"/>
              <w:bottom w:val="single" w:sz="8" w:space="0" w:color="000000"/>
              <w:right w:val="single" w:sz="8" w:space="0" w:color="787878"/>
            </w:tcBorders>
            <w:shd w:val="clear" w:color="auto" w:fill="DCDCDC"/>
            <w:tcMar>
              <w:top w:w="40" w:type="dxa"/>
              <w:left w:w="40" w:type="dxa"/>
              <w:bottom w:w="40" w:type="dxa"/>
              <w:right w:w="40" w:type="dxa"/>
            </w:tcMar>
            <w:vAlign w:val="center"/>
          </w:tcPr>
          <w:p w:rsidR="006F132B" w:rsidRDefault="006F132B" w:rsidP="004D5DC0">
            <w:pPr>
              <w:jc w:val="center"/>
              <w:rPr>
                <w:rFonts w:ascii="Verdana" w:eastAsia="Verdana" w:hAnsi="Verdana" w:cs="Verdana"/>
                <w:b/>
                <w:color w:val="000000"/>
                <w:sz w:val="16"/>
              </w:rPr>
            </w:pPr>
            <w:r>
              <w:rPr>
                <w:rFonts w:ascii="Verdana" w:eastAsia="Verdana" w:hAnsi="Verdana" w:cs="Verdana"/>
                <w:b/>
                <w:color w:val="000000"/>
                <w:sz w:val="16"/>
              </w:rPr>
              <w:t>Target</w:t>
            </w:r>
          </w:p>
        </w:tc>
        <w:tc>
          <w:tcPr>
            <w:tcW w:w="1166" w:type="dxa"/>
            <w:tcBorders>
              <w:left w:val="single" w:sz="8" w:space="0" w:color="787878"/>
              <w:bottom w:val="single" w:sz="8" w:space="0" w:color="000000"/>
              <w:right w:val="single" w:sz="8" w:space="0" w:color="787878"/>
            </w:tcBorders>
            <w:shd w:val="clear" w:color="auto" w:fill="DCDCDC"/>
            <w:tcMar>
              <w:top w:w="40" w:type="dxa"/>
              <w:left w:w="40" w:type="dxa"/>
              <w:bottom w:w="40" w:type="dxa"/>
              <w:right w:w="40" w:type="dxa"/>
            </w:tcMar>
            <w:vAlign w:val="center"/>
          </w:tcPr>
          <w:p w:rsidR="006F132B" w:rsidRDefault="006F132B" w:rsidP="004D5DC0">
            <w:pPr>
              <w:jc w:val="center"/>
              <w:rPr>
                <w:rFonts w:ascii="Verdana" w:eastAsia="Verdana" w:hAnsi="Verdana" w:cs="Verdana"/>
                <w:b/>
                <w:color w:val="000000"/>
                <w:sz w:val="16"/>
              </w:rPr>
            </w:pPr>
            <w:r>
              <w:rPr>
                <w:rFonts w:ascii="Verdana" w:eastAsia="Verdana" w:hAnsi="Verdana" w:cs="Verdana"/>
                <w:b/>
                <w:color w:val="000000"/>
                <w:sz w:val="16"/>
              </w:rPr>
              <w:t>Value</w:t>
            </w:r>
          </w:p>
        </w:tc>
        <w:tc>
          <w:tcPr>
            <w:tcW w:w="1166" w:type="dxa"/>
            <w:tcBorders>
              <w:left w:val="single" w:sz="8" w:space="0" w:color="787878"/>
              <w:bottom w:val="single" w:sz="8" w:space="0" w:color="000000"/>
              <w:right w:val="single" w:sz="8" w:space="0" w:color="787878"/>
            </w:tcBorders>
            <w:shd w:val="clear" w:color="auto" w:fill="DCDCDC"/>
            <w:tcMar>
              <w:top w:w="40" w:type="dxa"/>
              <w:left w:w="40" w:type="dxa"/>
              <w:bottom w:w="40" w:type="dxa"/>
              <w:right w:w="40" w:type="dxa"/>
            </w:tcMar>
            <w:vAlign w:val="center"/>
          </w:tcPr>
          <w:p w:rsidR="006F132B" w:rsidRDefault="006F132B" w:rsidP="004D5DC0">
            <w:pPr>
              <w:jc w:val="center"/>
              <w:rPr>
                <w:rFonts w:ascii="Verdana" w:eastAsia="Verdana" w:hAnsi="Verdana" w:cs="Verdana"/>
                <w:b/>
                <w:color w:val="000000"/>
                <w:sz w:val="16"/>
              </w:rPr>
            </w:pPr>
            <w:r>
              <w:rPr>
                <w:rFonts w:ascii="Verdana" w:eastAsia="Verdana" w:hAnsi="Verdana" w:cs="Verdana"/>
                <w:b/>
                <w:color w:val="000000"/>
                <w:sz w:val="16"/>
              </w:rPr>
              <w:t>Status</w:t>
            </w:r>
          </w:p>
        </w:tc>
        <w:tc>
          <w:tcPr>
            <w:tcW w:w="1166" w:type="dxa"/>
            <w:tcBorders>
              <w:left w:val="single" w:sz="8" w:space="0" w:color="787878"/>
              <w:bottom w:val="single" w:sz="8" w:space="0" w:color="000000"/>
              <w:right w:val="single" w:sz="8" w:space="0" w:color="787878"/>
            </w:tcBorders>
            <w:shd w:val="clear" w:color="auto" w:fill="DCDCDC"/>
            <w:tcMar>
              <w:top w:w="40" w:type="dxa"/>
              <w:left w:w="40" w:type="dxa"/>
              <w:bottom w:w="40" w:type="dxa"/>
              <w:right w:w="40" w:type="dxa"/>
            </w:tcMar>
            <w:vAlign w:val="center"/>
          </w:tcPr>
          <w:p w:rsidR="006F132B" w:rsidRDefault="006F132B" w:rsidP="004D5DC0">
            <w:pPr>
              <w:jc w:val="center"/>
              <w:rPr>
                <w:rFonts w:ascii="Verdana" w:eastAsia="Verdana" w:hAnsi="Verdana" w:cs="Verdana"/>
                <w:b/>
                <w:color w:val="000000"/>
                <w:sz w:val="16"/>
              </w:rPr>
            </w:pPr>
            <w:r>
              <w:rPr>
                <w:rFonts w:ascii="Verdana" w:eastAsia="Verdana" w:hAnsi="Verdana" w:cs="Verdana"/>
                <w:b/>
                <w:color w:val="000000"/>
                <w:sz w:val="16"/>
              </w:rPr>
              <w:t>Target</w:t>
            </w:r>
          </w:p>
        </w:tc>
        <w:tc>
          <w:tcPr>
            <w:tcW w:w="1166" w:type="dxa"/>
            <w:tcBorders>
              <w:left w:val="single" w:sz="8" w:space="0" w:color="787878"/>
              <w:bottom w:val="single" w:sz="8" w:space="0" w:color="000000"/>
              <w:right w:val="single" w:sz="8" w:space="0" w:color="787878"/>
            </w:tcBorders>
            <w:shd w:val="clear" w:color="auto" w:fill="DCDCDC"/>
            <w:tcMar>
              <w:top w:w="40" w:type="dxa"/>
              <w:left w:w="40" w:type="dxa"/>
              <w:bottom w:w="40" w:type="dxa"/>
              <w:right w:w="40" w:type="dxa"/>
            </w:tcMar>
            <w:vAlign w:val="center"/>
          </w:tcPr>
          <w:p w:rsidR="006F132B" w:rsidRDefault="006F132B" w:rsidP="004D5DC0">
            <w:pPr>
              <w:jc w:val="center"/>
              <w:rPr>
                <w:rFonts w:ascii="Verdana" w:eastAsia="Verdana" w:hAnsi="Verdana" w:cs="Verdana"/>
                <w:b/>
                <w:color w:val="000000"/>
                <w:sz w:val="16"/>
              </w:rPr>
            </w:pPr>
            <w:r>
              <w:rPr>
                <w:rFonts w:ascii="Verdana" w:eastAsia="Verdana" w:hAnsi="Verdana" w:cs="Verdana"/>
                <w:b/>
                <w:color w:val="000000"/>
                <w:sz w:val="16"/>
              </w:rPr>
              <w:t>Value</w:t>
            </w:r>
          </w:p>
        </w:tc>
        <w:tc>
          <w:tcPr>
            <w:tcW w:w="1166" w:type="dxa"/>
            <w:tcBorders>
              <w:left w:val="single" w:sz="8" w:space="0" w:color="787878"/>
              <w:bottom w:val="single" w:sz="8" w:space="0" w:color="000000"/>
              <w:right w:val="single" w:sz="8" w:space="0" w:color="787878"/>
            </w:tcBorders>
            <w:shd w:val="clear" w:color="auto" w:fill="DCDCDC"/>
            <w:tcMar>
              <w:top w:w="40" w:type="dxa"/>
              <w:left w:w="40" w:type="dxa"/>
              <w:bottom w:w="40" w:type="dxa"/>
              <w:right w:w="40" w:type="dxa"/>
            </w:tcMar>
            <w:vAlign w:val="center"/>
          </w:tcPr>
          <w:p w:rsidR="006F132B" w:rsidRDefault="006F132B" w:rsidP="004D5DC0">
            <w:pPr>
              <w:jc w:val="center"/>
              <w:rPr>
                <w:rFonts w:ascii="Verdana" w:eastAsia="Verdana" w:hAnsi="Verdana" w:cs="Verdana"/>
                <w:b/>
                <w:color w:val="000000"/>
                <w:sz w:val="16"/>
              </w:rPr>
            </w:pPr>
            <w:r>
              <w:rPr>
                <w:rFonts w:ascii="Verdana" w:eastAsia="Verdana" w:hAnsi="Verdana" w:cs="Verdana"/>
                <w:b/>
                <w:color w:val="000000"/>
                <w:sz w:val="16"/>
              </w:rPr>
              <w:t>Status</w:t>
            </w:r>
          </w:p>
        </w:tc>
        <w:tc>
          <w:tcPr>
            <w:tcW w:w="1017" w:type="dxa"/>
            <w:vMerge/>
            <w:tcBorders>
              <w:top w:val="single" w:sz="8" w:space="0" w:color="787878"/>
              <w:left w:val="single" w:sz="8" w:space="0" w:color="787878"/>
              <w:bottom w:val="single" w:sz="8" w:space="0" w:color="000000"/>
              <w:right w:val="single" w:sz="8" w:space="0" w:color="787878"/>
            </w:tcBorders>
            <w:shd w:val="clear" w:color="auto" w:fill="DCDCDC"/>
            <w:tcMar>
              <w:top w:w="40" w:type="dxa"/>
              <w:left w:w="40" w:type="dxa"/>
              <w:bottom w:w="40" w:type="dxa"/>
              <w:right w:w="40" w:type="dxa"/>
            </w:tcMar>
            <w:vAlign w:val="center"/>
          </w:tcPr>
          <w:p w:rsidR="006F132B" w:rsidRDefault="006F132B" w:rsidP="004D5DC0">
            <w:pPr>
              <w:jc w:val="center"/>
              <w:rPr>
                <w:rFonts w:ascii="Verdana" w:eastAsia="Verdana" w:hAnsi="Verdana" w:cs="Verdana"/>
                <w:b/>
                <w:color w:val="000000"/>
                <w:sz w:val="16"/>
              </w:rPr>
            </w:pPr>
          </w:p>
        </w:tc>
      </w:tr>
      <w:tr w:rsidR="006F132B" w:rsidTr="004D5DC0">
        <w:trPr>
          <w:gridAfter w:val="13"/>
          <w:wAfter w:w="10800" w:type="dxa"/>
          <w:trHeight w:val="2"/>
        </w:trPr>
        <w:tc>
          <w:tcPr>
            <w:tcW w:w="15735" w:type="dxa"/>
            <w:gridSpan w:val="11"/>
            <w:tcBorders>
              <w:top w:val="single" w:sz="8" w:space="0" w:color="000000"/>
              <w:left w:val="single" w:sz="8" w:space="0" w:color="000000"/>
              <w:right w:val="single" w:sz="8" w:space="0" w:color="000000"/>
            </w:tcBorders>
            <w:shd w:val="clear" w:color="auto" w:fill="FFC000"/>
          </w:tcPr>
          <w:p w:rsidR="006F132B" w:rsidRDefault="006F132B" w:rsidP="004D5DC0">
            <w:r>
              <w:rPr>
                <w:rFonts w:ascii="Verdana" w:eastAsia="Verdana" w:hAnsi="Verdana" w:cs="Verdana"/>
                <w:color w:val="000000"/>
                <w:sz w:val="20"/>
              </w:rPr>
              <w:t>Positive experience</w:t>
            </w:r>
          </w:p>
        </w:tc>
      </w:tr>
      <w:tr w:rsidR="006F132B" w:rsidTr="004D5DC0">
        <w:trPr>
          <w:gridAfter w:val="13"/>
          <w:wAfter w:w="10800" w:type="dxa"/>
          <w:trHeight w:val="2"/>
        </w:trPr>
        <w:tc>
          <w:tcPr>
            <w:tcW w:w="1018"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rPr>
                <w:rFonts w:ascii="Verdana" w:eastAsia="Verdana" w:hAnsi="Verdana" w:cs="Verdana"/>
                <w:color w:val="000000"/>
                <w:sz w:val="16"/>
              </w:rPr>
            </w:pPr>
            <w:r>
              <w:rPr>
                <w:rFonts w:ascii="Verdana" w:eastAsia="Verdana" w:hAnsi="Verdana" w:cs="Verdana"/>
                <w:color w:val="000000"/>
                <w:sz w:val="16"/>
              </w:rPr>
              <w:t>DAC1000</w:t>
            </w:r>
          </w:p>
        </w:tc>
        <w:tc>
          <w:tcPr>
            <w:tcW w:w="4372"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rPr>
                <w:rFonts w:ascii="Verdana" w:eastAsia="Verdana" w:hAnsi="Verdana" w:cs="Verdana"/>
                <w:color w:val="000000"/>
                <w:sz w:val="16"/>
              </w:rPr>
            </w:pPr>
            <w:r>
              <w:rPr>
                <w:rFonts w:ascii="Verdana" w:eastAsia="Verdana" w:hAnsi="Verdana" w:cs="Verdana"/>
                <w:color w:val="000000"/>
                <w:sz w:val="16"/>
              </w:rPr>
              <w:t>Total time in A&amp;E: four hours or less</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 xml:space="preserve">No </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September 2018</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90%</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89.17%</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0025" cy="200025"/>
                  <wp:effectExtent l="0" t="0" r="9525" b="9525"/>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89%</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86.94%</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0025" cy="200025"/>
                  <wp:effectExtent l="0" t="0" r="9525" b="9525"/>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017"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152400" cy="152400"/>
                  <wp:effectExtent l="0" t="0" r="0"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6F132B" w:rsidTr="004D5DC0">
        <w:trPr>
          <w:gridAfter w:val="13"/>
          <w:wAfter w:w="10800" w:type="dxa"/>
          <w:trHeight w:val="2"/>
        </w:trPr>
        <w:tc>
          <w:tcPr>
            <w:tcW w:w="1018"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rPr>
                <w:rFonts w:ascii="Verdana" w:eastAsia="Verdana" w:hAnsi="Verdana" w:cs="Verdana"/>
                <w:color w:val="000000"/>
                <w:sz w:val="16"/>
              </w:rPr>
            </w:pPr>
            <w:r>
              <w:rPr>
                <w:rFonts w:ascii="Verdana" w:eastAsia="Verdana" w:hAnsi="Verdana" w:cs="Verdana"/>
                <w:color w:val="000000"/>
                <w:sz w:val="16"/>
              </w:rPr>
              <w:t>DAC1020</w:t>
            </w:r>
          </w:p>
        </w:tc>
        <w:tc>
          <w:tcPr>
            <w:tcW w:w="4372"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rPr>
                <w:rFonts w:ascii="Verdana" w:eastAsia="Verdana" w:hAnsi="Verdana" w:cs="Verdana"/>
                <w:color w:val="000000"/>
                <w:sz w:val="16"/>
              </w:rPr>
            </w:pPr>
            <w:r>
              <w:rPr>
                <w:rFonts w:ascii="Verdana" w:eastAsia="Verdana" w:hAnsi="Verdana" w:cs="Verdana"/>
                <w:color w:val="000000"/>
                <w:sz w:val="16"/>
              </w:rPr>
              <w:t>Cancelled Operations offered binding date within 28 days</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 xml:space="preserve">No </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Q1 2018/19</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5.34%</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26.42%</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0025" cy="200025"/>
                  <wp:effectExtent l="0" t="0" r="9525" b="9525"/>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5.34%</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26.42%</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0025" cy="200025"/>
                  <wp:effectExtent l="0" t="0" r="9525" b="9525"/>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017"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152400" cy="152400"/>
                  <wp:effectExtent l="0" t="0" r="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6F132B" w:rsidTr="004D5DC0">
        <w:trPr>
          <w:gridAfter w:val="13"/>
          <w:wAfter w:w="10800" w:type="dxa"/>
          <w:trHeight w:val="2"/>
        </w:trPr>
        <w:tc>
          <w:tcPr>
            <w:tcW w:w="1018"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rPr>
                <w:rFonts w:ascii="Verdana" w:eastAsia="Verdana" w:hAnsi="Verdana" w:cs="Verdana"/>
                <w:color w:val="000000"/>
                <w:sz w:val="16"/>
              </w:rPr>
            </w:pPr>
            <w:r>
              <w:rPr>
                <w:rFonts w:ascii="Verdana" w:eastAsia="Verdana" w:hAnsi="Verdana" w:cs="Verdana"/>
                <w:color w:val="000000"/>
                <w:sz w:val="16"/>
              </w:rPr>
              <w:t>DAC1040</w:t>
            </w:r>
          </w:p>
        </w:tc>
        <w:tc>
          <w:tcPr>
            <w:tcW w:w="4372"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rPr>
                <w:rFonts w:ascii="Verdana" w:eastAsia="Verdana" w:hAnsi="Verdana" w:cs="Verdana"/>
                <w:color w:val="000000"/>
                <w:sz w:val="16"/>
              </w:rPr>
            </w:pPr>
            <w:r>
              <w:rPr>
                <w:rFonts w:ascii="Verdana" w:eastAsia="Verdana" w:hAnsi="Verdana" w:cs="Verdana"/>
                <w:color w:val="000000"/>
                <w:sz w:val="16"/>
              </w:rPr>
              <w:t>Numbers of unjustified mixed sex accommodation breaches</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 xml:space="preserve">No </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August 2018</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0</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49</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0025" cy="200025"/>
                  <wp:effectExtent l="0" t="0" r="9525" b="9525"/>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0</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210</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0025" cy="200025"/>
                  <wp:effectExtent l="0" t="0" r="9525" b="9525"/>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017"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152400" cy="152400"/>
                  <wp:effectExtent l="0" t="0" r="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6F132B" w:rsidTr="004D5DC0">
        <w:trPr>
          <w:gridAfter w:val="13"/>
          <w:wAfter w:w="10800" w:type="dxa"/>
          <w:trHeight w:val="2"/>
        </w:trPr>
        <w:tc>
          <w:tcPr>
            <w:tcW w:w="1018" w:type="dxa"/>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6F132B" w:rsidRDefault="006F132B" w:rsidP="004D5DC0">
            <w:pPr>
              <w:rPr>
                <w:rFonts w:ascii="Verdana" w:eastAsia="Verdana" w:hAnsi="Verdana" w:cs="Verdana"/>
                <w:color w:val="000000"/>
                <w:sz w:val="16"/>
              </w:rPr>
            </w:pPr>
            <w:r>
              <w:rPr>
                <w:rFonts w:ascii="Verdana" w:eastAsia="Verdana" w:hAnsi="Verdana" w:cs="Verdana"/>
                <w:color w:val="000000"/>
                <w:sz w:val="16"/>
              </w:rPr>
              <w:t>DAC1210</w:t>
            </w:r>
          </w:p>
        </w:tc>
        <w:tc>
          <w:tcPr>
            <w:tcW w:w="4372" w:type="dxa"/>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6F132B" w:rsidRDefault="006F132B" w:rsidP="004D5DC0">
            <w:pPr>
              <w:rPr>
                <w:rFonts w:ascii="Verdana" w:eastAsia="Verdana" w:hAnsi="Verdana" w:cs="Verdana"/>
                <w:color w:val="000000"/>
                <w:sz w:val="16"/>
              </w:rPr>
            </w:pPr>
            <w:r>
              <w:rPr>
                <w:rFonts w:ascii="Verdana" w:eastAsia="Verdana" w:hAnsi="Verdana" w:cs="Verdana"/>
                <w:color w:val="000000"/>
                <w:sz w:val="16"/>
              </w:rPr>
              <w:t>Proportion of GP referrals made by e-referrals</w:t>
            </w:r>
          </w:p>
        </w:tc>
        <w:tc>
          <w:tcPr>
            <w:tcW w:w="1166" w:type="dxa"/>
            <w:tcBorders>
              <w:top w:val="single" w:sz="8" w:space="0" w:color="78786E"/>
              <w:left w:val="single" w:sz="8" w:space="0" w:color="78786E"/>
              <w:bottom w:val="single" w:sz="8" w:space="0" w:color="000000"/>
              <w:right w:val="single" w:sz="8" w:space="0" w:color="78786E"/>
            </w:tcBorders>
            <w:shd w:val="clear" w:color="auto" w:fill="FFFFFF"/>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Yes</w:t>
            </w:r>
          </w:p>
        </w:tc>
        <w:tc>
          <w:tcPr>
            <w:tcW w:w="1166" w:type="dxa"/>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July 2018</w:t>
            </w:r>
          </w:p>
        </w:tc>
        <w:tc>
          <w:tcPr>
            <w:tcW w:w="1166" w:type="dxa"/>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100%</w:t>
            </w:r>
          </w:p>
        </w:tc>
        <w:tc>
          <w:tcPr>
            <w:tcW w:w="1166" w:type="dxa"/>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66.31%</w:t>
            </w:r>
          </w:p>
        </w:tc>
        <w:tc>
          <w:tcPr>
            <w:tcW w:w="1166" w:type="dxa"/>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0025" cy="200025"/>
                  <wp:effectExtent l="0" t="0" r="9525" b="9525"/>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166" w:type="dxa"/>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100%</w:t>
            </w:r>
          </w:p>
        </w:tc>
        <w:tc>
          <w:tcPr>
            <w:tcW w:w="1166" w:type="dxa"/>
            <w:tcBorders>
              <w:top w:val="single" w:sz="8" w:space="0" w:color="78786E"/>
              <w:left w:val="single" w:sz="8" w:space="0" w:color="78786E"/>
              <w:bottom w:val="single" w:sz="8" w:space="0" w:color="000000"/>
              <w:right w:val="single" w:sz="8" w:space="0" w:color="78786E"/>
            </w:tcBorders>
            <w:shd w:val="clear" w:color="auto" w:fill="FFFFFF"/>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66.31%</w:t>
            </w:r>
          </w:p>
        </w:tc>
        <w:tc>
          <w:tcPr>
            <w:tcW w:w="1166" w:type="dxa"/>
            <w:tcBorders>
              <w:top w:val="single" w:sz="8" w:space="0" w:color="78786E"/>
              <w:left w:val="single" w:sz="8" w:space="0" w:color="78786E"/>
              <w:bottom w:val="single" w:sz="8" w:space="0" w:color="000000"/>
              <w:right w:val="single" w:sz="8" w:space="0" w:color="78786E"/>
            </w:tcBorders>
            <w:shd w:val="clear" w:color="auto" w:fill="FFFFFF"/>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0025" cy="200025"/>
                  <wp:effectExtent l="0" t="0" r="9525" b="9525"/>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017" w:type="dxa"/>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152400" cy="152400"/>
                  <wp:effectExtent l="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6F132B" w:rsidTr="004D5DC0">
        <w:trPr>
          <w:gridAfter w:val="13"/>
          <w:wAfter w:w="10800" w:type="dxa"/>
          <w:trHeight w:val="2"/>
        </w:trPr>
        <w:tc>
          <w:tcPr>
            <w:tcW w:w="1018" w:type="dxa"/>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6F132B" w:rsidRDefault="006F132B" w:rsidP="004D5DC0">
            <w:pPr>
              <w:rPr>
                <w:rFonts w:ascii="Verdana" w:eastAsia="Verdana" w:hAnsi="Verdana" w:cs="Verdana"/>
                <w:color w:val="000000"/>
                <w:sz w:val="16"/>
              </w:rPr>
            </w:pPr>
            <w:r>
              <w:rPr>
                <w:rFonts w:ascii="Verdana" w:eastAsia="Verdana" w:hAnsi="Verdana" w:cs="Verdana"/>
                <w:color w:val="000000"/>
                <w:sz w:val="16"/>
              </w:rPr>
              <w:t>DAC1220</w:t>
            </w:r>
          </w:p>
        </w:tc>
        <w:tc>
          <w:tcPr>
            <w:tcW w:w="4372" w:type="dxa"/>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6F132B" w:rsidRDefault="006F132B" w:rsidP="004D5DC0">
            <w:pPr>
              <w:rPr>
                <w:rFonts w:ascii="Verdana" w:eastAsia="Verdana" w:hAnsi="Verdana" w:cs="Verdana"/>
                <w:color w:val="000000"/>
                <w:sz w:val="16"/>
              </w:rPr>
            </w:pPr>
            <w:r>
              <w:rPr>
                <w:rFonts w:ascii="Verdana" w:eastAsia="Verdana" w:hAnsi="Verdana" w:cs="Verdana"/>
                <w:color w:val="000000"/>
                <w:sz w:val="16"/>
              </w:rPr>
              <w:t>Overall Experience of Making a GP Appointment</w:t>
            </w:r>
          </w:p>
        </w:tc>
        <w:tc>
          <w:tcPr>
            <w:tcW w:w="1166" w:type="dxa"/>
            <w:tcBorders>
              <w:top w:val="single" w:sz="8" w:space="0" w:color="78786E"/>
              <w:left w:val="single" w:sz="8" w:space="0" w:color="78786E"/>
              <w:bottom w:val="single" w:sz="8" w:space="0" w:color="000000"/>
              <w:right w:val="single" w:sz="8" w:space="0" w:color="78786E"/>
            </w:tcBorders>
            <w:shd w:val="clear" w:color="auto" w:fill="FFFFFF"/>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 xml:space="preserve"> No</w:t>
            </w:r>
          </w:p>
        </w:tc>
        <w:tc>
          <w:tcPr>
            <w:tcW w:w="1166" w:type="dxa"/>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2017/18</w:t>
            </w:r>
          </w:p>
        </w:tc>
        <w:tc>
          <w:tcPr>
            <w:tcW w:w="1166" w:type="dxa"/>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74.58%</w:t>
            </w:r>
          </w:p>
        </w:tc>
        <w:tc>
          <w:tcPr>
            <w:tcW w:w="1166" w:type="dxa"/>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65.17%</w:t>
            </w:r>
          </w:p>
        </w:tc>
        <w:tc>
          <w:tcPr>
            <w:tcW w:w="1166" w:type="dxa"/>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0025" cy="200025"/>
                  <wp:effectExtent l="0" t="0" r="9525" b="9525"/>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3498" w:type="dxa"/>
            <w:gridSpan w:val="3"/>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No data available in 2018/19</w:t>
            </w:r>
          </w:p>
        </w:tc>
        <w:tc>
          <w:tcPr>
            <w:tcW w:w="1017" w:type="dxa"/>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152400" cy="152400"/>
                  <wp:effectExtent l="0" t="0" r="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6F132B" w:rsidTr="004D5DC0">
        <w:trPr>
          <w:gridAfter w:val="13"/>
          <w:wAfter w:w="10800" w:type="dxa"/>
          <w:trHeight w:val="2"/>
        </w:trPr>
        <w:tc>
          <w:tcPr>
            <w:tcW w:w="1018" w:type="dxa"/>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6F132B" w:rsidRDefault="006F132B" w:rsidP="004D5DC0">
            <w:pPr>
              <w:rPr>
                <w:rFonts w:ascii="Verdana" w:eastAsia="Verdana" w:hAnsi="Verdana" w:cs="Verdana"/>
                <w:color w:val="000000"/>
                <w:sz w:val="16"/>
              </w:rPr>
            </w:pPr>
            <w:r>
              <w:rPr>
                <w:rFonts w:ascii="Verdana" w:eastAsia="Verdana" w:hAnsi="Verdana" w:cs="Verdana"/>
                <w:color w:val="000000"/>
                <w:sz w:val="16"/>
              </w:rPr>
              <w:t>DAC1230</w:t>
            </w:r>
          </w:p>
        </w:tc>
        <w:tc>
          <w:tcPr>
            <w:tcW w:w="4372" w:type="dxa"/>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6F132B" w:rsidRDefault="006F132B" w:rsidP="004D5DC0">
            <w:pPr>
              <w:rPr>
                <w:rFonts w:ascii="Verdana" w:eastAsia="Verdana" w:hAnsi="Verdana" w:cs="Verdana"/>
                <w:color w:val="000000"/>
                <w:sz w:val="16"/>
              </w:rPr>
            </w:pPr>
            <w:r>
              <w:rPr>
                <w:rFonts w:ascii="Verdana" w:eastAsia="Verdana" w:hAnsi="Verdana" w:cs="Verdana"/>
                <w:color w:val="000000"/>
                <w:sz w:val="16"/>
              </w:rPr>
              <w:t>Provision of high quality care: hospital (121a)</w:t>
            </w:r>
          </w:p>
        </w:tc>
        <w:tc>
          <w:tcPr>
            <w:tcW w:w="1166" w:type="dxa"/>
            <w:tcBorders>
              <w:top w:val="single" w:sz="8" w:space="0" w:color="78786E"/>
              <w:left w:val="single" w:sz="8" w:space="0" w:color="78786E"/>
              <w:bottom w:val="single" w:sz="8" w:space="0" w:color="000000"/>
              <w:right w:val="single" w:sz="8" w:space="0" w:color="78786E"/>
            </w:tcBorders>
            <w:shd w:val="clear" w:color="auto" w:fill="FFFFFF"/>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Yes</w:t>
            </w:r>
          </w:p>
        </w:tc>
        <w:tc>
          <w:tcPr>
            <w:tcW w:w="1166" w:type="dxa"/>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Q4 2017/18</w:t>
            </w:r>
          </w:p>
        </w:tc>
        <w:tc>
          <w:tcPr>
            <w:tcW w:w="1166" w:type="dxa"/>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58</w:t>
            </w:r>
          </w:p>
        </w:tc>
        <w:tc>
          <w:tcPr>
            <w:tcW w:w="1166" w:type="dxa"/>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55</w:t>
            </w:r>
          </w:p>
        </w:tc>
        <w:tc>
          <w:tcPr>
            <w:tcW w:w="1166" w:type="dxa"/>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0025" cy="200025"/>
                  <wp:effectExtent l="0" t="0" r="9525" b="9525"/>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3498" w:type="dxa"/>
            <w:gridSpan w:val="3"/>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No data available in 2018/19</w:t>
            </w:r>
          </w:p>
        </w:tc>
        <w:tc>
          <w:tcPr>
            <w:tcW w:w="1017" w:type="dxa"/>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152400" cy="152400"/>
                  <wp:effectExtent l="0" t="0" r="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6F132B" w:rsidTr="004D5DC0">
        <w:trPr>
          <w:gridAfter w:val="13"/>
          <w:wAfter w:w="10800" w:type="dxa"/>
          <w:trHeight w:val="2"/>
        </w:trPr>
        <w:tc>
          <w:tcPr>
            <w:tcW w:w="1018" w:type="dxa"/>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6F132B" w:rsidRDefault="006F132B" w:rsidP="004D5DC0">
            <w:pPr>
              <w:rPr>
                <w:rFonts w:ascii="Verdana" w:eastAsia="Verdana" w:hAnsi="Verdana" w:cs="Verdana"/>
                <w:color w:val="000000"/>
                <w:sz w:val="16"/>
              </w:rPr>
            </w:pPr>
            <w:r>
              <w:rPr>
                <w:rFonts w:ascii="Verdana" w:eastAsia="Verdana" w:hAnsi="Verdana" w:cs="Verdana"/>
                <w:color w:val="000000"/>
                <w:sz w:val="16"/>
              </w:rPr>
              <w:t>DAC1240</w:t>
            </w:r>
          </w:p>
        </w:tc>
        <w:tc>
          <w:tcPr>
            <w:tcW w:w="4372" w:type="dxa"/>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6F132B" w:rsidRDefault="006F132B" w:rsidP="004D5DC0">
            <w:pPr>
              <w:rPr>
                <w:rFonts w:ascii="Verdana" w:eastAsia="Verdana" w:hAnsi="Verdana" w:cs="Verdana"/>
                <w:color w:val="000000"/>
                <w:sz w:val="16"/>
              </w:rPr>
            </w:pPr>
            <w:r>
              <w:rPr>
                <w:rFonts w:ascii="Verdana" w:eastAsia="Verdana" w:hAnsi="Verdana" w:cs="Verdana"/>
                <w:color w:val="000000"/>
                <w:sz w:val="16"/>
              </w:rPr>
              <w:t>Provision of high quality care: adult social care (121c)</w:t>
            </w:r>
          </w:p>
        </w:tc>
        <w:tc>
          <w:tcPr>
            <w:tcW w:w="1166" w:type="dxa"/>
            <w:tcBorders>
              <w:top w:val="single" w:sz="8" w:space="0" w:color="78786E"/>
              <w:left w:val="single" w:sz="8" w:space="0" w:color="78786E"/>
              <w:bottom w:val="single" w:sz="8" w:space="0" w:color="000000"/>
              <w:right w:val="single" w:sz="8" w:space="0" w:color="78786E"/>
            </w:tcBorders>
            <w:shd w:val="clear" w:color="auto" w:fill="FFFFFF"/>
          </w:tcPr>
          <w:p w:rsidR="006F132B" w:rsidRDefault="006F132B" w:rsidP="004D5DC0">
            <w:pPr>
              <w:jc w:val="center"/>
            </w:pPr>
            <w:r w:rsidRPr="00E0252F">
              <w:rPr>
                <w:rFonts w:ascii="Verdana" w:eastAsia="Verdana" w:hAnsi="Verdana" w:cs="Verdana"/>
                <w:color w:val="000000"/>
                <w:sz w:val="16"/>
              </w:rPr>
              <w:t>Yes</w:t>
            </w:r>
          </w:p>
        </w:tc>
        <w:tc>
          <w:tcPr>
            <w:tcW w:w="1166" w:type="dxa"/>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Q4 2017/18</w:t>
            </w:r>
          </w:p>
        </w:tc>
        <w:tc>
          <w:tcPr>
            <w:tcW w:w="1166" w:type="dxa"/>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62</w:t>
            </w:r>
          </w:p>
        </w:tc>
        <w:tc>
          <w:tcPr>
            <w:tcW w:w="1166" w:type="dxa"/>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61</w:t>
            </w:r>
          </w:p>
        </w:tc>
        <w:tc>
          <w:tcPr>
            <w:tcW w:w="1166" w:type="dxa"/>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0025" cy="200025"/>
                  <wp:effectExtent l="0" t="0" r="9525" b="9525"/>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3498" w:type="dxa"/>
            <w:gridSpan w:val="3"/>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No data available in 2018/19</w:t>
            </w:r>
          </w:p>
        </w:tc>
        <w:tc>
          <w:tcPr>
            <w:tcW w:w="1017" w:type="dxa"/>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152400" cy="152400"/>
                  <wp:effectExtent l="0" t="0" r="0"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6F132B" w:rsidTr="004D5DC0">
        <w:trPr>
          <w:gridAfter w:val="13"/>
          <w:wAfter w:w="10800" w:type="dxa"/>
          <w:trHeight w:val="2"/>
        </w:trPr>
        <w:tc>
          <w:tcPr>
            <w:tcW w:w="1018" w:type="dxa"/>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6F132B" w:rsidRDefault="006F132B" w:rsidP="004D5DC0">
            <w:pPr>
              <w:rPr>
                <w:rFonts w:ascii="Verdana" w:eastAsia="Verdana" w:hAnsi="Verdana" w:cs="Verdana"/>
                <w:color w:val="000000"/>
                <w:sz w:val="16"/>
              </w:rPr>
            </w:pPr>
            <w:r>
              <w:rPr>
                <w:rFonts w:ascii="Verdana" w:eastAsia="Verdana" w:hAnsi="Verdana" w:cs="Verdana"/>
                <w:color w:val="000000"/>
                <w:sz w:val="16"/>
              </w:rPr>
              <w:t>DAC1250</w:t>
            </w:r>
          </w:p>
        </w:tc>
        <w:tc>
          <w:tcPr>
            <w:tcW w:w="4372" w:type="dxa"/>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6F132B" w:rsidRDefault="006F132B" w:rsidP="004D5DC0">
            <w:pPr>
              <w:rPr>
                <w:rFonts w:ascii="Verdana" w:eastAsia="Verdana" w:hAnsi="Verdana" w:cs="Verdana"/>
                <w:color w:val="000000"/>
                <w:sz w:val="16"/>
              </w:rPr>
            </w:pPr>
            <w:r>
              <w:rPr>
                <w:rFonts w:ascii="Verdana" w:eastAsia="Verdana" w:hAnsi="Verdana" w:cs="Verdana"/>
                <w:color w:val="000000"/>
                <w:sz w:val="16"/>
              </w:rPr>
              <w:t>Patient experience of GP services (128b)</w:t>
            </w:r>
          </w:p>
        </w:tc>
        <w:tc>
          <w:tcPr>
            <w:tcW w:w="1166" w:type="dxa"/>
            <w:tcBorders>
              <w:top w:val="single" w:sz="8" w:space="0" w:color="78786E"/>
              <w:left w:val="single" w:sz="8" w:space="0" w:color="78786E"/>
              <w:bottom w:val="single" w:sz="8" w:space="0" w:color="000000"/>
              <w:right w:val="single" w:sz="8" w:space="0" w:color="78786E"/>
            </w:tcBorders>
            <w:shd w:val="clear" w:color="auto" w:fill="FFFFFF"/>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Yes</w:t>
            </w:r>
          </w:p>
        </w:tc>
        <w:tc>
          <w:tcPr>
            <w:tcW w:w="1166" w:type="dxa"/>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2016/17</w:t>
            </w:r>
          </w:p>
        </w:tc>
        <w:tc>
          <w:tcPr>
            <w:tcW w:w="1166" w:type="dxa"/>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85.1%</w:t>
            </w:r>
          </w:p>
        </w:tc>
        <w:tc>
          <w:tcPr>
            <w:tcW w:w="1166" w:type="dxa"/>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82.23%</w:t>
            </w:r>
          </w:p>
        </w:tc>
        <w:tc>
          <w:tcPr>
            <w:tcW w:w="1166" w:type="dxa"/>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0025" cy="200025"/>
                  <wp:effectExtent l="0" t="0" r="9525" b="9525"/>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3498" w:type="dxa"/>
            <w:gridSpan w:val="3"/>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No data available in 2018/19</w:t>
            </w:r>
          </w:p>
        </w:tc>
        <w:tc>
          <w:tcPr>
            <w:tcW w:w="1017" w:type="dxa"/>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152400" cy="152400"/>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6F132B" w:rsidTr="004D5DC0">
        <w:trPr>
          <w:gridAfter w:val="13"/>
          <w:wAfter w:w="10800" w:type="dxa"/>
          <w:trHeight w:val="2"/>
        </w:trPr>
        <w:tc>
          <w:tcPr>
            <w:tcW w:w="1018" w:type="dxa"/>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6F132B" w:rsidRDefault="006F132B" w:rsidP="004D5DC0">
            <w:pPr>
              <w:rPr>
                <w:rFonts w:ascii="Verdana" w:eastAsia="Verdana" w:hAnsi="Verdana" w:cs="Verdana"/>
                <w:color w:val="000000"/>
                <w:sz w:val="16"/>
              </w:rPr>
            </w:pPr>
            <w:r>
              <w:rPr>
                <w:rFonts w:ascii="Verdana" w:eastAsia="Verdana" w:hAnsi="Verdana" w:cs="Verdana"/>
                <w:color w:val="000000"/>
                <w:sz w:val="16"/>
              </w:rPr>
              <w:t>DAC1280</w:t>
            </w:r>
          </w:p>
        </w:tc>
        <w:tc>
          <w:tcPr>
            <w:tcW w:w="4372" w:type="dxa"/>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6F132B" w:rsidRDefault="006F132B" w:rsidP="004D5DC0">
            <w:pPr>
              <w:rPr>
                <w:rFonts w:ascii="Verdana" w:eastAsia="Verdana" w:hAnsi="Verdana" w:cs="Verdana"/>
                <w:color w:val="000000"/>
                <w:sz w:val="16"/>
              </w:rPr>
            </w:pPr>
            <w:r>
              <w:rPr>
                <w:rFonts w:ascii="Verdana" w:eastAsia="Verdana" w:hAnsi="Verdana" w:cs="Verdana"/>
                <w:color w:val="000000"/>
                <w:sz w:val="16"/>
              </w:rPr>
              <w:t>Cancer patient experience (122d)</w:t>
            </w:r>
          </w:p>
        </w:tc>
        <w:tc>
          <w:tcPr>
            <w:tcW w:w="1166" w:type="dxa"/>
            <w:tcBorders>
              <w:top w:val="single" w:sz="8" w:space="0" w:color="78786E"/>
              <w:left w:val="single" w:sz="8" w:space="0" w:color="78786E"/>
              <w:bottom w:val="single" w:sz="8" w:space="0" w:color="000000"/>
              <w:right w:val="single" w:sz="8" w:space="0" w:color="78786E"/>
            </w:tcBorders>
            <w:shd w:val="clear" w:color="auto" w:fill="FFFFFF"/>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Yes</w:t>
            </w:r>
          </w:p>
        </w:tc>
        <w:tc>
          <w:tcPr>
            <w:tcW w:w="1166" w:type="dxa"/>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2015/16</w:t>
            </w:r>
          </w:p>
        </w:tc>
        <w:tc>
          <w:tcPr>
            <w:tcW w:w="1166" w:type="dxa"/>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8.73</w:t>
            </w:r>
          </w:p>
        </w:tc>
        <w:tc>
          <w:tcPr>
            <w:tcW w:w="1166" w:type="dxa"/>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8.69</w:t>
            </w:r>
          </w:p>
        </w:tc>
        <w:tc>
          <w:tcPr>
            <w:tcW w:w="1166" w:type="dxa"/>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0025" cy="200025"/>
                  <wp:effectExtent l="0" t="0" r="9525" b="9525"/>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3498" w:type="dxa"/>
            <w:gridSpan w:val="3"/>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No data available in 2018/19</w:t>
            </w:r>
          </w:p>
        </w:tc>
        <w:tc>
          <w:tcPr>
            <w:tcW w:w="1017" w:type="dxa"/>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152400" cy="152400"/>
                  <wp:effectExtent l="0" t="0" r="0"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6F132B" w:rsidTr="004D5DC0">
        <w:trPr>
          <w:gridAfter w:val="13"/>
          <w:wAfter w:w="10800" w:type="dxa"/>
          <w:trHeight w:val="2"/>
        </w:trPr>
        <w:tc>
          <w:tcPr>
            <w:tcW w:w="15735" w:type="dxa"/>
            <w:gridSpan w:val="11"/>
            <w:tcBorders>
              <w:top w:val="single" w:sz="8" w:space="0" w:color="000000"/>
              <w:left w:val="single" w:sz="8" w:space="0" w:color="000000"/>
              <w:bottom w:val="single" w:sz="8" w:space="0" w:color="000000"/>
              <w:right w:val="single" w:sz="8" w:space="0" w:color="000000"/>
            </w:tcBorders>
            <w:shd w:val="clear" w:color="auto" w:fill="92D050"/>
          </w:tcPr>
          <w:p w:rsidR="006F132B" w:rsidRPr="005B5F2C" w:rsidRDefault="006F132B" w:rsidP="004D5DC0">
            <w:pPr>
              <w:rPr>
                <w:b/>
              </w:rPr>
            </w:pPr>
            <w:r w:rsidRPr="005B5F2C">
              <w:rPr>
                <w:rFonts w:ascii="Verdana" w:eastAsia="Verdana" w:hAnsi="Verdana" w:cs="Verdana"/>
                <w:b/>
                <w:color w:val="000000"/>
                <w:sz w:val="20"/>
              </w:rPr>
              <w:t>Preventing avoidable harm</w:t>
            </w:r>
          </w:p>
        </w:tc>
      </w:tr>
      <w:tr w:rsidR="006F132B" w:rsidTr="006A0A2E">
        <w:trPr>
          <w:gridAfter w:val="13"/>
          <w:wAfter w:w="10800" w:type="dxa"/>
          <w:trHeight w:val="2"/>
        </w:trPr>
        <w:tc>
          <w:tcPr>
            <w:tcW w:w="15735" w:type="dxa"/>
            <w:gridSpan w:val="11"/>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6F132B" w:rsidRDefault="006F132B" w:rsidP="004D5DC0">
            <w:pPr>
              <w:rPr>
                <w:rFonts w:ascii="Verdana" w:eastAsia="Verdana" w:hAnsi="Verdana" w:cs="Verdana"/>
                <w:color w:val="000000"/>
                <w:sz w:val="16"/>
              </w:rPr>
            </w:pPr>
            <w:r>
              <w:rPr>
                <w:rFonts w:ascii="Verdana" w:eastAsia="Verdana" w:hAnsi="Verdana" w:cs="Verdana"/>
                <w:color w:val="000000"/>
                <w:sz w:val="16"/>
              </w:rPr>
              <w:t>No exceptions</w:t>
            </w:r>
          </w:p>
        </w:tc>
      </w:tr>
      <w:tr w:rsidR="006F132B" w:rsidTr="006A0A2E">
        <w:trPr>
          <w:trHeight w:val="2"/>
        </w:trPr>
        <w:tc>
          <w:tcPr>
            <w:tcW w:w="15735" w:type="dxa"/>
            <w:gridSpan w:val="11"/>
            <w:tcBorders>
              <w:top w:val="single" w:sz="8" w:space="0" w:color="000000"/>
              <w:left w:val="single" w:sz="8" w:space="0" w:color="000000"/>
              <w:bottom w:val="single" w:sz="8" w:space="0" w:color="000000"/>
              <w:right w:val="single" w:sz="8" w:space="0" w:color="000000"/>
            </w:tcBorders>
            <w:shd w:val="clear" w:color="auto" w:fill="92D050"/>
          </w:tcPr>
          <w:p w:rsidR="006F132B" w:rsidRPr="005B5F2C" w:rsidRDefault="006F132B" w:rsidP="004D5DC0">
            <w:pPr>
              <w:rPr>
                <w:b/>
              </w:rPr>
            </w:pPr>
            <w:r w:rsidRPr="005B5F2C">
              <w:rPr>
                <w:rFonts w:ascii="Verdana" w:eastAsia="Verdana" w:hAnsi="Verdana" w:cs="Verdana"/>
                <w:b/>
                <w:color w:val="000000"/>
                <w:sz w:val="20"/>
              </w:rPr>
              <w:t>Delaying and reducing the need for care and support</w:t>
            </w:r>
          </w:p>
        </w:tc>
        <w:tc>
          <w:tcPr>
            <w:tcW w:w="1080" w:type="dxa"/>
          </w:tcPr>
          <w:p w:rsidR="006F132B" w:rsidRDefault="006F132B" w:rsidP="004D5DC0"/>
        </w:tc>
        <w:tc>
          <w:tcPr>
            <w:tcW w:w="1080" w:type="dxa"/>
            <w:gridSpan w:val="3"/>
          </w:tcPr>
          <w:p w:rsidR="006F132B" w:rsidRDefault="006F132B" w:rsidP="004D5DC0"/>
        </w:tc>
        <w:tc>
          <w:tcPr>
            <w:tcW w:w="1080" w:type="dxa"/>
            <w:gridSpan w:val="2"/>
            <w:vAlign w:val="center"/>
          </w:tcPr>
          <w:p w:rsidR="006F132B" w:rsidRDefault="006F132B" w:rsidP="004D5DC0">
            <w:pPr>
              <w:jc w:val="center"/>
              <w:rPr>
                <w:rFonts w:ascii="Verdana" w:eastAsia="Verdana" w:hAnsi="Verdana" w:cs="Verdana"/>
                <w:color w:val="000000"/>
                <w:sz w:val="16"/>
              </w:rPr>
            </w:pPr>
          </w:p>
        </w:tc>
        <w:tc>
          <w:tcPr>
            <w:tcW w:w="1080" w:type="dxa"/>
            <w:vAlign w:val="center"/>
          </w:tcPr>
          <w:p w:rsidR="006F132B" w:rsidRDefault="006F132B" w:rsidP="004D5DC0">
            <w:pPr>
              <w:jc w:val="center"/>
              <w:rPr>
                <w:rFonts w:ascii="Verdana" w:eastAsia="Verdana" w:hAnsi="Verdana" w:cs="Verdana"/>
                <w:color w:val="000000"/>
                <w:sz w:val="16"/>
              </w:rPr>
            </w:pPr>
          </w:p>
        </w:tc>
        <w:tc>
          <w:tcPr>
            <w:tcW w:w="1080" w:type="dxa"/>
            <w:vAlign w:val="center"/>
          </w:tcPr>
          <w:p w:rsidR="006F132B" w:rsidRDefault="006F132B" w:rsidP="004D5DC0">
            <w:pPr>
              <w:jc w:val="center"/>
              <w:rPr>
                <w:rFonts w:ascii="Verdana" w:eastAsia="Verdana" w:hAnsi="Verdana" w:cs="Verdana"/>
                <w:color w:val="000000"/>
                <w:sz w:val="16"/>
              </w:rPr>
            </w:pPr>
          </w:p>
        </w:tc>
        <w:tc>
          <w:tcPr>
            <w:tcW w:w="1080" w:type="dxa"/>
            <w:vAlign w:val="center"/>
          </w:tcPr>
          <w:p w:rsidR="006F132B" w:rsidRDefault="006F132B" w:rsidP="004D5DC0">
            <w:pPr>
              <w:jc w:val="center"/>
              <w:rPr>
                <w:rFonts w:ascii="Verdana" w:eastAsia="Verdana" w:hAnsi="Verdana" w:cs="Verdana"/>
                <w:color w:val="000000"/>
                <w:sz w:val="16"/>
              </w:rPr>
            </w:pPr>
          </w:p>
        </w:tc>
        <w:tc>
          <w:tcPr>
            <w:tcW w:w="1080" w:type="dxa"/>
            <w:vAlign w:val="center"/>
          </w:tcPr>
          <w:p w:rsidR="006F132B" w:rsidRDefault="006F132B" w:rsidP="004D5DC0">
            <w:pPr>
              <w:jc w:val="center"/>
              <w:rPr>
                <w:rFonts w:ascii="Verdana" w:eastAsia="Verdana" w:hAnsi="Verdana" w:cs="Verdana"/>
                <w:color w:val="000000"/>
                <w:sz w:val="16"/>
              </w:rPr>
            </w:pPr>
          </w:p>
        </w:tc>
        <w:tc>
          <w:tcPr>
            <w:tcW w:w="1080" w:type="dxa"/>
            <w:vAlign w:val="center"/>
          </w:tcPr>
          <w:p w:rsidR="006F132B" w:rsidRDefault="006F132B" w:rsidP="004D5DC0">
            <w:pPr>
              <w:jc w:val="center"/>
              <w:rPr>
                <w:rFonts w:ascii="Verdana" w:eastAsia="Verdana" w:hAnsi="Verdana" w:cs="Verdana"/>
                <w:color w:val="000000"/>
                <w:sz w:val="16"/>
              </w:rPr>
            </w:pPr>
          </w:p>
        </w:tc>
        <w:tc>
          <w:tcPr>
            <w:tcW w:w="1080" w:type="dxa"/>
            <w:vAlign w:val="center"/>
          </w:tcPr>
          <w:p w:rsidR="006F132B" w:rsidRDefault="006F132B" w:rsidP="004D5DC0">
            <w:pPr>
              <w:jc w:val="center"/>
              <w:rPr>
                <w:rFonts w:ascii="Verdana" w:eastAsia="Verdana" w:hAnsi="Verdana" w:cs="Verdana"/>
                <w:color w:val="000000"/>
                <w:sz w:val="16"/>
              </w:rPr>
            </w:pPr>
          </w:p>
        </w:tc>
        <w:tc>
          <w:tcPr>
            <w:tcW w:w="1080" w:type="dxa"/>
            <w:vAlign w:val="center"/>
          </w:tcPr>
          <w:p w:rsidR="006F132B" w:rsidRDefault="006F132B" w:rsidP="004D5DC0">
            <w:pPr>
              <w:jc w:val="center"/>
              <w:rPr>
                <w:rFonts w:ascii="Verdana" w:eastAsia="Verdana" w:hAnsi="Verdana" w:cs="Verdana"/>
                <w:color w:val="000000"/>
                <w:sz w:val="16"/>
              </w:rPr>
            </w:pPr>
          </w:p>
        </w:tc>
      </w:tr>
      <w:tr w:rsidR="006F132B" w:rsidTr="004D5DC0">
        <w:trPr>
          <w:gridAfter w:val="13"/>
          <w:wAfter w:w="10800" w:type="dxa"/>
          <w:trHeight w:val="2"/>
        </w:trPr>
        <w:tc>
          <w:tcPr>
            <w:tcW w:w="1018"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rPr>
                <w:rFonts w:ascii="Verdana" w:eastAsia="Verdana" w:hAnsi="Verdana" w:cs="Verdana"/>
                <w:color w:val="000000"/>
                <w:sz w:val="16"/>
              </w:rPr>
            </w:pPr>
            <w:r>
              <w:rPr>
                <w:rFonts w:ascii="Verdana" w:eastAsia="Verdana" w:hAnsi="Verdana" w:cs="Verdana"/>
                <w:color w:val="000000"/>
                <w:sz w:val="16"/>
              </w:rPr>
              <w:t>DAC3175</w:t>
            </w:r>
          </w:p>
        </w:tc>
        <w:tc>
          <w:tcPr>
            <w:tcW w:w="4372"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rPr>
                <w:rFonts w:ascii="Verdana" w:eastAsia="Verdana" w:hAnsi="Verdana" w:cs="Verdana"/>
                <w:color w:val="000000"/>
                <w:sz w:val="16"/>
              </w:rPr>
            </w:pPr>
            <w:r>
              <w:rPr>
                <w:rFonts w:ascii="Verdana" w:eastAsia="Verdana" w:hAnsi="Verdana" w:cs="Verdana"/>
                <w:color w:val="000000"/>
                <w:sz w:val="16"/>
              </w:rPr>
              <w:t>Total Elective Spells (Specific Acute)</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6F132B" w:rsidRDefault="006F132B" w:rsidP="004D5DC0">
            <w:pPr>
              <w:jc w:val="center"/>
            </w:pPr>
            <w:r w:rsidRPr="001F7C08">
              <w:rPr>
                <w:rFonts w:ascii="Verdana" w:eastAsia="Verdana" w:hAnsi="Verdana" w:cs="Verdana"/>
                <w:color w:val="000000"/>
                <w:sz w:val="16"/>
              </w:rPr>
              <w:t>No</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July 2018</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2662</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2690</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0025" cy="200025"/>
                  <wp:effectExtent l="0" t="0" r="9525" b="9525"/>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10686</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10319</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0025" cy="200025"/>
                  <wp:effectExtent l="0" t="0" r="9525" b="9525"/>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017"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152400" cy="152400"/>
                  <wp:effectExtent l="0" t="0" r="0"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6F132B" w:rsidTr="004D5DC0">
        <w:trPr>
          <w:gridAfter w:val="13"/>
          <w:wAfter w:w="10800" w:type="dxa"/>
          <w:trHeight w:val="2"/>
        </w:trPr>
        <w:tc>
          <w:tcPr>
            <w:tcW w:w="1018"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rPr>
                <w:rFonts w:ascii="Verdana" w:eastAsia="Verdana" w:hAnsi="Verdana" w:cs="Verdana"/>
                <w:color w:val="000000"/>
                <w:sz w:val="16"/>
              </w:rPr>
            </w:pPr>
            <w:r>
              <w:rPr>
                <w:rFonts w:ascii="Verdana" w:eastAsia="Verdana" w:hAnsi="Verdana" w:cs="Verdana"/>
                <w:color w:val="000000"/>
                <w:sz w:val="16"/>
              </w:rPr>
              <w:t>DAC3195</w:t>
            </w:r>
          </w:p>
        </w:tc>
        <w:tc>
          <w:tcPr>
            <w:tcW w:w="4372"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rPr>
                <w:rFonts w:ascii="Verdana" w:eastAsia="Verdana" w:hAnsi="Verdana" w:cs="Verdana"/>
                <w:color w:val="000000"/>
                <w:sz w:val="16"/>
              </w:rPr>
            </w:pPr>
            <w:r>
              <w:rPr>
                <w:rFonts w:ascii="Verdana" w:eastAsia="Verdana" w:hAnsi="Verdana" w:cs="Verdana"/>
                <w:color w:val="000000"/>
                <w:sz w:val="16"/>
              </w:rPr>
              <w:t>Total Non-Elective Spells (Specific Acute)</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6F132B" w:rsidRDefault="006F132B" w:rsidP="004D5DC0">
            <w:pPr>
              <w:jc w:val="center"/>
            </w:pPr>
            <w:r w:rsidRPr="001F7C08">
              <w:rPr>
                <w:rFonts w:ascii="Verdana" w:eastAsia="Verdana" w:hAnsi="Verdana" w:cs="Verdana"/>
                <w:color w:val="000000"/>
                <w:sz w:val="16"/>
              </w:rPr>
              <w:t>No</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July 2018</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1468</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1574</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0025" cy="200025"/>
                  <wp:effectExtent l="0" t="0" r="9525" b="9525"/>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5710</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5716</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0025" cy="200025"/>
                  <wp:effectExtent l="0" t="0" r="9525" b="9525"/>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017"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152400" cy="152400"/>
                  <wp:effectExtent l="0" t="0" r="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6F132B" w:rsidTr="004D5DC0">
        <w:trPr>
          <w:gridAfter w:val="13"/>
          <w:wAfter w:w="10800" w:type="dxa"/>
          <w:trHeight w:val="2"/>
        </w:trPr>
        <w:tc>
          <w:tcPr>
            <w:tcW w:w="1018"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rPr>
                <w:rFonts w:ascii="Verdana" w:eastAsia="Verdana" w:hAnsi="Verdana" w:cs="Verdana"/>
                <w:color w:val="000000"/>
                <w:sz w:val="16"/>
              </w:rPr>
            </w:pPr>
            <w:r>
              <w:rPr>
                <w:rFonts w:ascii="Verdana" w:eastAsia="Verdana" w:hAnsi="Verdana" w:cs="Verdana"/>
                <w:color w:val="000000"/>
                <w:sz w:val="16"/>
              </w:rPr>
              <w:t>DAC3215</w:t>
            </w:r>
          </w:p>
        </w:tc>
        <w:tc>
          <w:tcPr>
            <w:tcW w:w="4372"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rPr>
                <w:rFonts w:ascii="Verdana" w:eastAsia="Verdana" w:hAnsi="Verdana" w:cs="Verdana"/>
                <w:color w:val="000000"/>
                <w:sz w:val="16"/>
              </w:rPr>
            </w:pPr>
            <w:r>
              <w:rPr>
                <w:rFonts w:ascii="Verdana" w:eastAsia="Verdana" w:hAnsi="Verdana" w:cs="Verdana"/>
                <w:color w:val="000000"/>
                <w:sz w:val="16"/>
              </w:rPr>
              <w:t>Consultant Led First Outpatient Attendances (Specific Acute)</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6F132B" w:rsidRDefault="006F132B" w:rsidP="004D5DC0">
            <w:pPr>
              <w:jc w:val="center"/>
            </w:pPr>
            <w:r w:rsidRPr="001F7C08">
              <w:rPr>
                <w:rFonts w:ascii="Verdana" w:eastAsia="Verdana" w:hAnsi="Verdana" w:cs="Verdana"/>
                <w:color w:val="000000"/>
                <w:sz w:val="16"/>
              </w:rPr>
              <w:t>No</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July 2018</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4208</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4454</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0025" cy="200025"/>
                  <wp:effectExtent l="0" t="0" r="9525" b="9525"/>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16685</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17303</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0025" cy="200025"/>
                  <wp:effectExtent l="0" t="0" r="9525" b="9525"/>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017"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152400" cy="152400"/>
                  <wp:effectExtent l="0" t="0" r="0"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6F132B" w:rsidTr="004D5DC0">
        <w:trPr>
          <w:gridAfter w:val="13"/>
          <w:wAfter w:w="10800" w:type="dxa"/>
          <w:trHeight w:val="2"/>
        </w:trPr>
        <w:tc>
          <w:tcPr>
            <w:tcW w:w="1018"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rPr>
                <w:rFonts w:ascii="Verdana" w:eastAsia="Verdana" w:hAnsi="Verdana" w:cs="Verdana"/>
                <w:color w:val="000000"/>
                <w:sz w:val="16"/>
              </w:rPr>
            </w:pPr>
            <w:r>
              <w:rPr>
                <w:rFonts w:ascii="Verdana" w:eastAsia="Verdana" w:hAnsi="Verdana" w:cs="Verdana"/>
                <w:color w:val="000000"/>
                <w:sz w:val="16"/>
              </w:rPr>
              <w:t>DAC3235</w:t>
            </w:r>
          </w:p>
        </w:tc>
        <w:tc>
          <w:tcPr>
            <w:tcW w:w="4372"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rPr>
                <w:rFonts w:ascii="Verdana" w:eastAsia="Verdana" w:hAnsi="Verdana" w:cs="Verdana"/>
                <w:color w:val="000000"/>
                <w:sz w:val="16"/>
              </w:rPr>
            </w:pPr>
            <w:r>
              <w:rPr>
                <w:rFonts w:ascii="Verdana" w:eastAsia="Verdana" w:hAnsi="Verdana" w:cs="Verdana"/>
                <w:color w:val="000000"/>
                <w:sz w:val="16"/>
              </w:rPr>
              <w:t>Consultant Led Follow-Up Outpatient Attendances (Specific Acute)</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6F132B" w:rsidRDefault="006F132B" w:rsidP="004D5DC0">
            <w:pPr>
              <w:jc w:val="center"/>
            </w:pPr>
            <w:r w:rsidRPr="001F7C08">
              <w:rPr>
                <w:rFonts w:ascii="Verdana" w:eastAsia="Verdana" w:hAnsi="Verdana" w:cs="Verdana"/>
                <w:color w:val="000000"/>
                <w:sz w:val="16"/>
              </w:rPr>
              <w:t>No</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July 2018</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7584</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7641</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0025" cy="200025"/>
                  <wp:effectExtent l="0" t="0" r="9525" b="9525"/>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30226</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31112</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0025" cy="200025"/>
                  <wp:effectExtent l="0" t="0" r="9525" b="9525"/>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017"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152400" cy="152400"/>
                  <wp:effectExtent l="0" t="0" r="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6F132B" w:rsidTr="004D5DC0">
        <w:trPr>
          <w:gridAfter w:val="13"/>
          <w:wAfter w:w="10800" w:type="dxa"/>
          <w:trHeight w:val="2"/>
        </w:trPr>
        <w:tc>
          <w:tcPr>
            <w:tcW w:w="1018"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rPr>
                <w:rFonts w:ascii="Verdana" w:eastAsia="Verdana" w:hAnsi="Verdana" w:cs="Verdana"/>
                <w:color w:val="000000"/>
                <w:sz w:val="16"/>
              </w:rPr>
            </w:pPr>
            <w:r>
              <w:rPr>
                <w:rFonts w:ascii="Verdana" w:eastAsia="Verdana" w:hAnsi="Verdana" w:cs="Verdana"/>
                <w:color w:val="000000"/>
                <w:sz w:val="16"/>
              </w:rPr>
              <w:t>DAC3240</w:t>
            </w:r>
          </w:p>
        </w:tc>
        <w:tc>
          <w:tcPr>
            <w:tcW w:w="4372"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rPr>
                <w:rFonts w:ascii="Verdana" w:eastAsia="Verdana" w:hAnsi="Verdana" w:cs="Verdana"/>
                <w:color w:val="000000"/>
                <w:sz w:val="16"/>
              </w:rPr>
            </w:pPr>
            <w:r>
              <w:rPr>
                <w:rFonts w:ascii="Verdana" w:eastAsia="Verdana" w:hAnsi="Verdana" w:cs="Verdana"/>
                <w:color w:val="000000"/>
                <w:sz w:val="16"/>
              </w:rPr>
              <w:t>A&amp;E Attendances (NEL Patients)</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6F132B" w:rsidRDefault="006F132B" w:rsidP="004D5DC0">
            <w:pPr>
              <w:jc w:val="center"/>
            </w:pPr>
            <w:r w:rsidRPr="001F7C08">
              <w:rPr>
                <w:rFonts w:ascii="Verdana" w:eastAsia="Verdana" w:hAnsi="Verdana" w:cs="Verdana"/>
                <w:color w:val="000000"/>
                <w:sz w:val="16"/>
              </w:rPr>
              <w:t>No</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July 2018</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5265</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5562</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0025" cy="200025"/>
                  <wp:effectExtent l="0" t="0" r="9525" b="9525"/>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20098</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20995</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0025" cy="200025"/>
                  <wp:effectExtent l="0" t="0" r="9525" b="9525"/>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017"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152400" cy="152400"/>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6F132B" w:rsidTr="004D5DC0">
        <w:trPr>
          <w:gridAfter w:val="13"/>
          <w:wAfter w:w="10800" w:type="dxa"/>
          <w:trHeight w:val="2"/>
        </w:trPr>
        <w:tc>
          <w:tcPr>
            <w:tcW w:w="15735" w:type="dxa"/>
            <w:gridSpan w:val="11"/>
            <w:tcBorders>
              <w:top w:val="single" w:sz="8" w:space="0" w:color="000000"/>
              <w:left w:val="single" w:sz="8" w:space="0" w:color="000000"/>
              <w:bottom w:val="single" w:sz="8" w:space="0" w:color="000000"/>
              <w:right w:val="single" w:sz="8" w:space="0" w:color="000000"/>
            </w:tcBorders>
            <w:shd w:val="clear" w:color="auto" w:fill="92D050"/>
          </w:tcPr>
          <w:p w:rsidR="006F132B" w:rsidRPr="005B5F2C" w:rsidRDefault="006F132B" w:rsidP="004D5DC0">
            <w:pPr>
              <w:rPr>
                <w:b/>
              </w:rPr>
            </w:pPr>
            <w:r w:rsidRPr="005B5F2C">
              <w:rPr>
                <w:rFonts w:ascii="Verdana" w:eastAsia="Verdana" w:hAnsi="Verdana" w:cs="Verdana"/>
                <w:b/>
                <w:color w:val="000000"/>
                <w:sz w:val="20"/>
              </w:rPr>
              <w:t>Enhancing quality of life</w:t>
            </w:r>
          </w:p>
        </w:tc>
      </w:tr>
      <w:tr w:rsidR="006F132B" w:rsidRPr="00D27A74" w:rsidTr="004D5DC0">
        <w:trPr>
          <w:gridAfter w:val="13"/>
          <w:wAfter w:w="10800" w:type="dxa"/>
          <w:trHeight w:val="2"/>
        </w:trPr>
        <w:tc>
          <w:tcPr>
            <w:tcW w:w="1018"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rPr>
                <w:rFonts w:ascii="Verdana" w:eastAsia="Verdana" w:hAnsi="Verdana" w:cs="Verdana"/>
                <w:color w:val="000000"/>
                <w:sz w:val="16"/>
              </w:rPr>
            </w:pPr>
            <w:r>
              <w:rPr>
                <w:rFonts w:ascii="Verdana" w:eastAsia="Verdana" w:hAnsi="Verdana" w:cs="Verdana"/>
                <w:color w:val="000000"/>
                <w:sz w:val="16"/>
              </w:rPr>
              <w:lastRenderedPageBreak/>
              <w:t>DAC4050</w:t>
            </w:r>
          </w:p>
        </w:tc>
        <w:tc>
          <w:tcPr>
            <w:tcW w:w="4372"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rPr>
                <w:rFonts w:ascii="Verdana" w:eastAsia="Verdana" w:hAnsi="Verdana" w:cs="Verdana"/>
                <w:color w:val="000000"/>
                <w:sz w:val="16"/>
              </w:rPr>
            </w:pPr>
            <w:r>
              <w:rPr>
                <w:rFonts w:ascii="Verdana" w:eastAsia="Verdana" w:hAnsi="Verdana" w:cs="Verdana"/>
                <w:color w:val="000000"/>
                <w:sz w:val="16"/>
              </w:rPr>
              <w:t>Proportion of adults in contact with secondary mental health services living independently, with or without support</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6F132B" w:rsidRDefault="006F132B" w:rsidP="004D5DC0">
            <w:pPr>
              <w:jc w:val="center"/>
              <w:rPr>
                <w:rFonts w:ascii="Verdana" w:eastAsia="Verdana" w:hAnsi="Verdana" w:cs="Verdana"/>
                <w:color w:val="000000"/>
                <w:sz w:val="16"/>
              </w:rPr>
            </w:pPr>
            <w:r w:rsidRPr="00A6468F">
              <w:rPr>
                <w:rFonts w:ascii="Verdana" w:eastAsia="Verdana" w:hAnsi="Verdana" w:cs="Verdana"/>
                <w:color w:val="000000"/>
                <w:sz w:val="16"/>
              </w:rPr>
              <w:t>No</w:t>
            </w:r>
            <w:r>
              <w:rPr>
                <w:rFonts w:ascii="Verdana" w:eastAsia="Verdana" w:hAnsi="Verdana" w:cs="Verdana"/>
                <w:color w:val="000000"/>
                <w:sz w:val="16"/>
              </w:rPr>
              <w:t xml:space="preserve"> </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July 2018</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80.00%</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74.85%</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0025" cy="200025"/>
                  <wp:effectExtent l="0" t="0" r="9525" b="9525"/>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80.00%</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76.71%</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0025" cy="200025"/>
                  <wp:effectExtent l="0" t="0" r="9525" b="9525"/>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017"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152400" cy="152400"/>
                  <wp:effectExtent l="0" t="0" r="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6F132B" w:rsidRPr="00D27A74" w:rsidTr="004D5DC0">
        <w:trPr>
          <w:gridAfter w:val="8"/>
          <w:wAfter w:w="8247" w:type="dxa"/>
          <w:trHeight w:val="2"/>
        </w:trPr>
        <w:tc>
          <w:tcPr>
            <w:tcW w:w="1018" w:type="dxa"/>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6F132B" w:rsidRDefault="006F132B" w:rsidP="004D5DC0">
            <w:pPr>
              <w:rPr>
                <w:rFonts w:ascii="Verdana" w:eastAsia="Verdana" w:hAnsi="Verdana" w:cs="Verdana"/>
                <w:color w:val="000000"/>
                <w:sz w:val="16"/>
              </w:rPr>
            </w:pPr>
            <w:r>
              <w:rPr>
                <w:rFonts w:ascii="Verdana" w:eastAsia="Verdana" w:hAnsi="Verdana" w:cs="Verdana"/>
                <w:color w:val="000000"/>
                <w:sz w:val="16"/>
              </w:rPr>
              <w:t>DAC4160</w:t>
            </w:r>
          </w:p>
        </w:tc>
        <w:tc>
          <w:tcPr>
            <w:tcW w:w="4372" w:type="dxa"/>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6F132B" w:rsidRDefault="006F132B" w:rsidP="004D5DC0">
            <w:pPr>
              <w:rPr>
                <w:rFonts w:ascii="Verdana" w:eastAsia="Verdana" w:hAnsi="Verdana" w:cs="Verdana"/>
                <w:color w:val="000000"/>
                <w:sz w:val="16"/>
              </w:rPr>
            </w:pPr>
            <w:r>
              <w:rPr>
                <w:rFonts w:ascii="Verdana" w:eastAsia="Verdana" w:hAnsi="Verdana" w:cs="Verdana"/>
                <w:color w:val="000000"/>
                <w:sz w:val="16"/>
              </w:rPr>
              <w:t>The proportion of carers with a long term condition who feel supported to manage their condition (108a)</w:t>
            </w:r>
          </w:p>
        </w:tc>
        <w:tc>
          <w:tcPr>
            <w:tcW w:w="1166" w:type="dxa"/>
            <w:tcBorders>
              <w:top w:val="single" w:sz="8" w:space="0" w:color="78786E"/>
              <w:left w:val="single" w:sz="8" w:space="0" w:color="78786E"/>
              <w:bottom w:val="single" w:sz="8" w:space="0" w:color="000000"/>
              <w:right w:val="single" w:sz="8" w:space="0" w:color="78786E"/>
            </w:tcBorders>
            <w:shd w:val="clear" w:color="auto" w:fill="FFFFFF"/>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Yes</w:t>
            </w:r>
          </w:p>
        </w:tc>
        <w:tc>
          <w:tcPr>
            <w:tcW w:w="1166" w:type="dxa"/>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2016/17</w:t>
            </w:r>
          </w:p>
        </w:tc>
        <w:tc>
          <w:tcPr>
            <w:tcW w:w="1166" w:type="dxa"/>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60.95%</w:t>
            </w:r>
          </w:p>
        </w:tc>
        <w:tc>
          <w:tcPr>
            <w:tcW w:w="1166" w:type="dxa"/>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57.28%</w:t>
            </w:r>
          </w:p>
        </w:tc>
        <w:tc>
          <w:tcPr>
            <w:tcW w:w="1166" w:type="dxa"/>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0025" cy="200025"/>
                  <wp:effectExtent l="0" t="0" r="9525" b="9525"/>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3498" w:type="dxa"/>
            <w:gridSpan w:val="3"/>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No data available in 2018/19</w:t>
            </w:r>
          </w:p>
        </w:tc>
        <w:tc>
          <w:tcPr>
            <w:tcW w:w="1017" w:type="dxa"/>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152400" cy="152400"/>
                  <wp:effectExtent l="0" t="0" r="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473" w:type="dxa"/>
            <w:gridSpan w:val="3"/>
            <w:vAlign w:val="center"/>
          </w:tcPr>
          <w:p w:rsidR="006F132B" w:rsidRDefault="006F132B" w:rsidP="004D5DC0">
            <w:pPr>
              <w:jc w:val="center"/>
              <w:rPr>
                <w:rFonts w:ascii="Verdana" w:eastAsia="Verdana" w:hAnsi="Verdana" w:cs="Verdana"/>
                <w:color w:val="000000"/>
                <w:sz w:val="16"/>
              </w:rPr>
            </w:pPr>
          </w:p>
        </w:tc>
        <w:tc>
          <w:tcPr>
            <w:tcW w:w="1080" w:type="dxa"/>
            <w:gridSpan w:val="2"/>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152400" cy="152400"/>
                  <wp:effectExtent l="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6F132B" w:rsidRPr="00D27A74" w:rsidTr="004D5DC0">
        <w:trPr>
          <w:gridAfter w:val="13"/>
          <w:wAfter w:w="10800" w:type="dxa"/>
          <w:trHeight w:val="2"/>
        </w:trPr>
        <w:tc>
          <w:tcPr>
            <w:tcW w:w="15735" w:type="dxa"/>
            <w:gridSpan w:val="11"/>
            <w:tcBorders>
              <w:top w:val="single" w:sz="8" w:space="0" w:color="000000"/>
              <w:left w:val="single" w:sz="8" w:space="0" w:color="000000"/>
              <w:bottom w:val="single" w:sz="8" w:space="0" w:color="000000"/>
              <w:right w:val="single" w:sz="8" w:space="0" w:color="000000"/>
            </w:tcBorders>
            <w:shd w:val="clear" w:color="auto" w:fill="FFC000"/>
          </w:tcPr>
          <w:p w:rsidR="006F132B" w:rsidRPr="005B5F2C" w:rsidRDefault="006F132B" w:rsidP="004D5DC0">
            <w:pPr>
              <w:rPr>
                <w:rFonts w:ascii="Verdana" w:eastAsia="Verdana" w:hAnsi="Verdana" w:cs="Verdana"/>
                <w:b/>
                <w:color w:val="000000"/>
                <w:sz w:val="20"/>
              </w:rPr>
            </w:pPr>
            <w:r w:rsidRPr="005B5F2C">
              <w:rPr>
                <w:rFonts w:ascii="Verdana" w:eastAsia="Verdana" w:hAnsi="Verdana" w:cs="Verdana"/>
                <w:b/>
                <w:color w:val="000000"/>
                <w:sz w:val="20"/>
              </w:rPr>
              <w:t>Preventing people from dying prematurely</w:t>
            </w:r>
          </w:p>
        </w:tc>
      </w:tr>
      <w:tr w:rsidR="006F132B" w:rsidRPr="00D27A74" w:rsidTr="004D5DC0">
        <w:trPr>
          <w:gridAfter w:val="13"/>
          <w:wAfter w:w="10800" w:type="dxa"/>
          <w:trHeight w:val="365"/>
        </w:trPr>
        <w:tc>
          <w:tcPr>
            <w:tcW w:w="1018"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rPr>
                <w:rFonts w:ascii="Verdana" w:eastAsia="Verdana" w:hAnsi="Verdana" w:cs="Verdana"/>
                <w:color w:val="000000"/>
                <w:sz w:val="16"/>
              </w:rPr>
            </w:pPr>
            <w:r>
              <w:rPr>
                <w:rFonts w:ascii="Verdana" w:eastAsia="Verdana" w:hAnsi="Verdana" w:cs="Verdana"/>
                <w:color w:val="000000"/>
                <w:sz w:val="16"/>
              </w:rPr>
              <w:t>DAC5001</w:t>
            </w:r>
          </w:p>
        </w:tc>
        <w:tc>
          <w:tcPr>
            <w:tcW w:w="4372"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rPr>
                <w:rFonts w:ascii="Verdana" w:eastAsia="Verdana" w:hAnsi="Verdana" w:cs="Verdana"/>
                <w:color w:val="000000"/>
                <w:sz w:val="16"/>
              </w:rPr>
            </w:pPr>
            <w:r>
              <w:rPr>
                <w:rFonts w:ascii="Verdana" w:eastAsia="Verdana" w:hAnsi="Verdana" w:cs="Verdana"/>
                <w:color w:val="000000"/>
                <w:sz w:val="16"/>
              </w:rPr>
              <w:t>ARP Category 1 Mean Response Time – Calls from people with life-threatening illnesses or injuries</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6F132B" w:rsidRDefault="006F132B" w:rsidP="004D5DC0">
            <w:pPr>
              <w:jc w:val="center"/>
            </w:pPr>
            <w:r w:rsidRPr="00BA00B4">
              <w:rPr>
                <w:rFonts w:ascii="Verdana" w:eastAsia="Verdana" w:hAnsi="Verdana" w:cs="Verdana"/>
                <w:color w:val="000000"/>
                <w:sz w:val="16"/>
              </w:rPr>
              <w:t>No</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August 2018</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00:07:00</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00:07:34</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0025" cy="200025"/>
                  <wp:effectExtent l="0" t="0" r="9525" b="9525"/>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00:07:00</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00:07:50</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0025" cy="200025"/>
                  <wp:effectExtent l="0" t="0" r="9525" b="9525"/>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017"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152400" cy="152400"/>
                  <wp:effectExtent l="0" t="0" r="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6F132B" w:rsidRPr="00D27A74" w:rsidTr="004D5DC0">
        <w:trPr>
          <w:gridAfter w:val="13"/>
          <w:wAfter w:w="10800" w:type="dxa"/>
          <w:trHeight w:val="2"/>
        </w:trPr>
        <w:tc>
          <w:tcPr>
            <w:tcW w:w="1018"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rPr>
                <w:rFonts w:ascii="Verdana" w:eastAsia="Verdana" w:hAnsi="Verdana" w:cs="Verdana"/>
                <w:color w:val="000000"/>
                <w:sz w:val="16"/>
              </w:rPr>
            </w:pPr>
            <w:r>
              <w:rPr>
                <w:rFonts w:ascii="Verdana" w:eastAsia="Verdana" w:hAnsi="Verdana" w:cs="Verdana"/>
                <w:color w:val="000000"/>
                <w:sz w:val="16"/>
              </w:rPr>
              <w:t>DAC5003</w:t>
            </w:r>
          </w:p>
        </w:tc>
        <w:tc>
          <w:tcPr>
            <w:tcW w:w="4372"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rPr>
                <w:rFonts w:ascii="Verdana" w:eastAsia="Verdana" w:hAnsi="Verdana" w:cs="Verdana"/>
                <w:color w:val="000000"/>
                <w:sz w:val="16"/>
              </w:rPr>
            </w:pPr>
            <w:r>
              <w:rPr>
                <w:rFonts w:ascii="Verdana" w:eastAsia="Verdana" w:hAnsi="Verdana" w:cs="Verdana"/>
                <w:color w:val="000000"/>
                <w:sz w:val="16"/>
              </w:rPr>
              <w:t>ARP Category 1 90th centile response time  – Calls from people with life-threatening illnesses or injuries</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6F132B" w:rsidRDefault="006F132B" w:rsidP="004D5DC0">
            <w:pPr>
              <w:jc w:val="center"/>
            </w:pPr>
            <w:r w:rsidRPr="00BA00B4">
              <w:rPr>
                <w:rFonts w:ascii="Verdana" w:eastAsia="Verdana" w:hAnsi="Verdana" w:cs="Verdana"/>
                <w:color w:val="000000"/>
                <w:sz w:val="16"/>
              </w:rPr>
              <w:t>No</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August 2018</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00:15:00</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00:13:48</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0025" cy="200025"/>
                  <wp:effectExtent l="0" t="0" r="9525" b="9525"/>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00:15:00</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00:14:11</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0025" cy="200025"/>
                  <wp:effectExtent l="0" t="0" r="9525" b="9525"/>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017"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152400" cy="152400"/>
                  <wp:effectExtent l="0" t="0" r="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6F132B" w:rsidRPr="00D27A74" w:rsidTr="004D5DC0">
        <w:trPr>
          <w:gridAfter w:val="13"/>
          <w:wAfter w:w="10800" w:type="dxa"/>
          <w:trHeight w:val="2"/>
        </w:trPr>
        <w:tc>
          <w:tcPr>
            <w:tcW w:w="1018"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rPr>
                <w:rFonts w:ascii="Verdana" w:eastAsia="Verdana" w:hAnsi="Verdana" w:cs="Verdana"/>
                <w:color w:val="000000"/>
                <w:sz w:val="16"/>
              </w:rPr>
            </w:pPr>
            <w:r>
              <w:rPr>
                <w:rFonts w:ascii="Verdana" w:eastAsia="Verdana" w:hAnsi="Verdana" w:cs="Verdana"/>
                <w:color w:val="000000"/>
                <w:sz w:val="16"/>
              </w:rPr>
              <w:t>DAC5011</w:t>
            </w:r>
          </w:p>
        </w:tc>
        <w:tc>
          <w:tcPr>
            <w:tcW w:w="4372"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rPr>
                <w:rFonts w:ascii="Verdana" w:eastAsia="Verdana" w:hAnsi="Verdana" w:cs="Verdana"/>
                <w:color w:val="000000"/>
                <w:sz w:val="16"/>
              </w:rPr>
            </w:pPr>
            <w:r>
              <w:rPr>
                <w:rFonts w:ascii="Verdana" w:eastAsia="Verdana" w:hAnsi="Verdana" w:cs="Verdana"/>
                <w:color w:val="000000"/>
                <w:sz w:val="16"/>
              </w:rPr>
              <w:t>ARP Category 2 Mean Response Time – Emergency calls</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6F132B" w:rsidRDefault="006F132B" w:rsidP="004D5DC0">
            <w:pPr>
              <w:jc w:val="center"/>
            </w:pPr>
            <w:r w:rsidRPr="00BA00B4">
              <w:rPr>
                <w:rFonts w:ascii="Verdana" w:eastAsia="Verdana" w:hAnsi="Verdana" w:cs="Verdana"/>
                <w:color w:val="000000"/>
                <w:sz w:val="16"/>
              </w:rPr>
              <w:t>No</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August 2018</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00:18:00</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00:31:29</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0025" cy="200025"/>
                  <wp:effectExtent l="0" t="0" r="9525" b="9525"/>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00:18:00</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00:31:43</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0025" cy="200025"/>
                  <wp:effectExtent l="0" t="0" r="9525" b="9525"/>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017"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152400" cy="152400"/>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6F132B" w:rsidRPr="00D27A74" w:rsidTr="004D5DC0">
        <w:trPr>
          <w:gridAfter w:val="13"/>
          <w:wAfter w:w="10800" w:type="dxa"/>
          <w:trHeight w:val="2"/>
        </w:trPr>
        <w:tc>
          <w:tcPr>
            <w:tcW w:w="1018"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rPr>
                <w:rFonts w:ascii="Verdana" w:eastAsia="Verdana" w:hAnsi="Verdana" w:cs="Verdana"/>
                <w:color w:val="000000"/>
                <w:sz w:val="16"/>
              </w:rPr>
            </w:pPr>
            <w:r>
              <w:rPr>
                <w:rFonts w:ascii="Verdana" w:eastAsia="Verdana" w:hAnsi="Verdana" w:cs="Verdana"/>
                <w:color w:val="000000"/>
                <w:sz w:val="16"/>
              </w:rPr>
              <w:t>DAC5013</w:t>
            </w:r>
          </w:p>
        </w:tc>
        <w:tc>
          <w:tcPr>
            <w:tcW w:w="4372"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rPr>
                <w:rFonts w:ascii="Verdana" w:eastAsia="Verdana" w:hAnsi="Verdana" w:cs="Verdana"/>
                <w:color w:val="000000"/>
                <w:sz w:val="16"/>
              </w:rPr>
            </w:pPr>
            <w:r>
              <w:rPr>
                <w:rFonts w:ascii="Verdana" w:eastAsia="Verdana" w:hAnsi="Verdana" w:cs="Verdana"/>
                <w:color w:val="000000"/>
                <w:sz w:val="16"/>
              </w:rPr>
              <w:t>ARP Category 2 90th centile response time  – Emergency Calls</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6F132B" w:rsidRDefault="006F132B" w:rsidP="004D5DC0">
            <w:pPr>
              <w:jc w:val="center"/>
            </w:pPr>
            <w:r w:rsidRPr="00BA00B4">
              <w:rPr>
                <w:rFonts w:ascii="Verdana" w:eastAsia="Verdana" w:hAnsi="Verdana" w:cs="Verdana"/>
                <w:color w:val="000000"/>
                <w:sz w:val="16"/>
              </w:rPr>
              <w:t>No</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August 2018</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00:40:00</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01:06:53</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0025" cy="200025"/>
                  <wp:effectExtent l="0" t="0" r="9525" b="9525"/>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00:40:00</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01:07:09</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0025" cy="200025"/>
                  <wp:effectExtent l="0" t="0" r="9525" b="9525"/>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017"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152400" cy="152400"/>
                  <wp:effectExtent l="0" t="0" r="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6F132B" w:rsidRPr="00D27A74" w:rsidTr="004D5DC0">
        <w:trPr>
          <w:gridAfter w:val="13"/>
          <w:wAfter w:w="10800" w:type="dxa"/>
          <w:trHeight w:val="2"/>
        </w:trPr>
        <w:tc>
          <w:tcPr>
            <w:tcW w:w="1018"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rPr>
                <w:rFonts w:ascii="Verdana" w:eastAsia="Verdana" w:hAnsi="Verdana" w:cs="Verdana"/>
                <w:color w:val="000000"/>
                <w:sz w:val="16"/>
              </w:rPr>
            </w:pPr>
            <w:r>
              <w:rPr>
                <w:rFonts w:ascii="Verdana" w:eastAsia="Verdana" w:hAnsi="Verdana" w:cs="Verdana"/>
                <w:color w:val="000000"/>
                <w:sz w:val="16"/>
              </w:rPr>
              <w:t>DAC5023</w:t>
            </w:r>
          </w:p>
        </w:tc>
        <w:tc>
          <w:tcPr>
            <w:tcW w:w="4372"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rPr>
                <w:rFonts w:ascii="Verdana" w:eastAsia="Verdana" w:hAnsi="Verdana" w:cs="Verdana"/>
                <w:color w:val="000000"/>
                <w:sz w:val="16"/>
              </w:rPr>
            </w:pPr>
            <w:r>
              <w:rPr>
                <w:rFonts w:ascii="Verdana" w:eastAsia="Verdana" w:hAnsi="Verdana" w:cs="Verdana"/>
                <w:color w:val="000000"/>
                <w:sz w:val="16"/>
              </w:rPr>
              <w:t>ARP Category 3 90th centile response time  – Urgent Calls</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6F132B" w:rsidRDefault="006F132B" w:rsidP="004D5DC0">
            <w:pPr>
              <w:jc w:val="center"/>
            </w:pPr>
            <w:r w:rsidRPr="00BA00B4">
              <w:rPr>
                <w:rFonts w:ascii="Verdana" w:eastAsia="Verdana" w:hAnsi="Verdana" w:cs="Verdana"/>
                <w:color w:val="000000"/>
                <w:sz w:val="16"/>
              </w:rPr>
              <w:t>No</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August 2018</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02:00:00</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03:02:22</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0025" cy="200025"/>
                  <wp:effectExtent l="0" t="0" r="9525" b="9525"/>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02:00:00</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02:56:40</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0025" cy="200025"/>
                  <wp:effectExtent l="0" t="0" r="9525" b="9525"/>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017"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152400" cy="152400"/>
                  <wp:effectExtent l="0" t="0" r="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6F132B" w:rsidRPr="00D27A74" w:rsidTr="004D5DC0">
        <w:trPr>
          <w:gridAfter w:val="13"/>
          <w:wAfter w:w="10800" w:type="dxa"/>
          <w:trHeight w:val="2"/>
        </w:trPr>
        <w:tc>
          <w:tcPr>
            <w:tcW w:w="1018"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rPr>
                <w:rFonts w:ascii="Verdana" w:eastAsia="Verdana" w:hAnsi="Verdana" w:cs="Verdana"/>
                <w:color w:val="000000"/>
                <w:sz w:val="16"/>
              </w:rPr>
            </w:pPr>
            <w:r>
              <w:rPr>
                <w:rFonts w:ascii="Verdana" w:eastAsia="Verdana" w:hAnsi="Verdana" w:cs="Verdana"/>
                <w:color w:val="000000"/>
                <w:sz w:val="16"/>
              </w:rPr>
              <w:t>DAC5033</w:t>
            </w:r>
          </w:p>
        </w:tc>
        <w:tc>
          <w:tcPr>
            <w:tcW w:w="4372"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rPr>
                <w:rFonts w:ascii="Verdana" w:eastAsia="Verdana" w:hAnsi="Verdana" w:cs="Verdana"/>
                <w:color w:val="000000"/>
                <w:sz w:val="16"/>
              </w:rPr>
            </w:pPr>
            <w:r>
              <w:rPr>
                <w:rFonts w:ascii="Verdana" w:eastAsia="Verdana" w:hAnsi="Verdana" w:cs="Verdana"/>
                <w:color w:val="000000"/>
                <w:sz w:val="16"/>
              </w:rPr>
              <w:t>ARP Category 4 90th centile response time  – Less Urgent Calls</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6F132B" w:rsidRDefault="006F132B" w:rsidP="004D5DC0">
            <w:pPr>
              <w:jc w:val="center"/>
            </w:pPr>
            <w:r w:rsidRPr="00BA00B4">
              <w:rPr>
                <w:rFonts w:ascii="Verdana" w:eastAsia="Verdana" w:hAnsi="Verdana" w:cs="Verdana"/>
                <w:color w:val="000000"/>
                <w:sz w:val="16"/>
              </w:rPr>
              <w:t>No</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August 2018</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03:00:00</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02:47:18</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0025" cy="200025"/>
                  <wp:effectExtent l="0" t="0" r="9525" b="9525"/>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03:00:00</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02:25:59</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0025" cy="200025"/>
                  <wp:effectExtent l="0" t="0" r="9525" b="9525"/>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017"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152400" cy="152400"/>
                  <wp:effectExtent l="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6F132B" w:rsidRPr="00D27A74" w:rsidTr="004D5DC0">
        <w:trPr>
          <w:gridAfter w:val="13"/>
          <w:wAfter w:w="10800" w:type="dxa"/>
          <w:trHeight w:val="2"/>
        </w:trPr>
        <w:tc>
          <w:tcPr>
            <w:tcW w:w="1018"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rPr>
                <w:rFonts w:ascii="Verdana" w:eastAsia="Verdana" w:hAnsi="Verdana" w:cs="Verdana"/>
                <w:color w:val="000000"/>
                <w:sz w:val="16"/>
              </w:rPr>
            </w:pPr>
            <w:r>
              <w:rPr>
                <w:rFonts w:ascii="Verdana" w:eastAsia="Verdana" w:hAnsi="Verdana" w:cs="Verdana"/>
                <w:color w:val="000000"/>
                <w:sz w:val="16"/>
              </w:rPr>
              <w:t>DAC5040</w:t>
            </w:r>
          </w:p>
        </w:tc>
        <w:tc>
          <w:tcPr>
            <w:tcW w:w="4372"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rPr>
                <w:rFonts w:ascii="Verdana" w:eastAsia="Verdana" w:hAnsi="Verdana" w:cs="Verdana"/>
                <w:color w:val="000000"/>
                <w:sz w:val="16"/>
              </w:rPr>
            </w:pPr>
            <w:r>
              <w:rPr>
                <w:rFonts w:ascii="Verdana" w:eastAsia="Verdana" w:hAnsi="Verdana" w:cs="Verdana"/>
                <w:color w:val="000000"/>
                <w:sz w:val="16"/>
              </w:rPr>
              <w:t>Ambulance 30 minute average turnaround time target - DPOW</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6F132B" w:rsidRDefault="006F132B" w:rsidP="004D5DC0">
            <w:pPr>
              <w:jc w:val="center"/>
            </w:pPr>
            <w:r w:rsidRPr="00BA00B4">
              <w:rPr>
                <w:rFonts w:ascii="Verdana" w:eastAsia="Verdana" w:hAnsi="Verdana" w:cs="Verdana"/>
                <w:color w:val="000000"/>
                <w:sz w:val="16"/>
              </w:rPr>
              <w:t>No</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August 2018</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30 mins</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36.21 mins</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0025" cy="200025"/>
                  <wp:effectExtent l="0" t="0" r="9525" b="9525"/>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30 mins</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37.78 mins</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0025" cy="200025"/>
                  <wp:effectExtent l="0" t="0" r="9525" b="9525"/>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017"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152400" cy="152400"/>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6F132B" w:rsidRPr="00D27A74" w:rsidTr="004D5DC0">
        <w:trPr>
          <w:gridAfter w:val="13"/>
          <w:wAfter w:w="10800" w:type="dxa"/>
          <w:trHeight w:val="229"/>
        </w:trPr>
        <w:tc>
          <w:tcPr>
            <w:tcW w:w="1018"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rPr>
                <w:rFonts w:ascii="Verdana" w:eastAsia="Verdana" w:hAnsi="Verdana" w:cs="Verdana"/>
                <w:color w:val="000000"/>
                <w:sz w:val="16"/>
              </w:rPr>
            </w:pPr>
            <w:r>
              <w:rPr>
                <w:rFonts w:ascii="Verdana" w:eastAsia="Verdana" w:hAnsi="Verdana" w:cs="Verdana"/>
                <w:color w:val="000000"/>
                <w:sz w:val="16"/>
              </w:rPr>
              <w:t>DAC5110</w:t>
            </w:r>
          </w:p>
        </w:tc>
        <w:tc>
          <w:tcPr>
            <w:tcW w:w="4372"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rPr>
                <w:rFonts w:ascii="Verdana" w:eastAsia="Verdana" w:hAnsi="Verdana" w:cs="Verdana"/>
                <w:color w:val="000000"/>
                <w:sz w:val="16"/>
              </w:rPr>
            </w:pPr>
            <w:r>
              <w:rPr>
                <w:rFonts w:ascii="Verdana" w:eastAsia="Verdana" w:hAnsi="Verdana" w:cs="Verdana"/>
                <w:color w:val="000000"/>
                <w:sz w:val="16"/>
              </w:rPr>
              <w:t>Cancer 62 Days Referral to Treatment (GP Referral)</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6F132B" w:rsidRDefault="006F132B" w:rsidP="004D5DC0">
            <w:pPr>
              <w:jc w:val="center"/>
              <w:rPr>
                <w:rFonts w:ascii="Verdana" w:eastAsia="Verdana" w:hAnsi="Verdana" w:cs="Verdana"/>
                <w:color w:val="000000"/>
                <w:sz w:val="16"/>
              </w:rPr>
            </w:pPr>
            <w:r w:rsidRPr="00A6468F">
              <w:rPr>
                <w:rFonts w:ascii="Verdana" w:eastAsia="Verdana" w:hAnsi="Verdana" w:cs="Verdana"/>
                <w:color w:val="000000"/>
                <w:sz w:val="16"/>
              </w:rPr>
              <w:t>No</w:t>
            </w:r>
            <w:r>
              <w:rPr>
                <w:rFonts w:ascii="Verdana" w:eastAsia="Verdana" w:hAnsi="Verdana" w:cs="Verdana"/>
                <w:color w:val="000000"/>
                <w:sz w:val="16"/>
              </w:rPr>
              <w:t xml:space="preserve"> </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August 2018</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85%</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79.63%</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0025" cy="200025"/>
                  <wp:effectExtent l="0" t="0" r="9525" b="9525"/>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85%</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71.74%</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0025" cy="200025"/>
                  <wp:effectExtent l="0" t="0" r="9525" b="9525"/>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017"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152400" cy="152400"/>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6F132B" w:rsidRPr="00D27A74" w:rsidTr="004D5DC0">
        <w:trPr>
          <w:gridAfter w:val="13"/>
          <w:wAfter w:w="10800" w:type="dxa"/>
          <w:trHeight w:val="2"/>
        </w:trPr>
        <w:tc>
          <w:tcPr>
            <w:tcW w:w="1018" w:type="dxa"/>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6F132B" w:rsidRDefault="006F132B" w:rsidP="004D5DC0">
            <w:pPr>
              <w:rPr>
                <w:rFonts w:ascii="Verdana" w:eastAsia="Verdana" w:hAnsi="Verdana" w:cs="Verdana"/>
                <w:color w:val="000000"/>
                <w:sz w:val="16"/>
              </w:rPr>
            </w:pPr>
            <w:r>
              <w:rPr>
                <w:rFonts w:ascii="Verdana" w:eastAsia="Verdana" w:hAnsi="Verdana" w:cs="Verdana"/>
                <w:color w:val="000000"/>
                <w:sz w:val="16"/>
              </w:rPr>
              <w:t>DAC5170</w:t>
            </w:r>
          </w:p>
        </w:tc>
        <w:tc>
          <w:tcPr>
            <w:tcW w:w="4372" w:type="dxa"/>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6F132B" w:rsidRDefault="006F132B" w:rsidP="004D5DC0">
            <w:pPr>
              <w:rPr>
                <w:rFonts w:ascii="Verdana" w:eastAsia="Verdana" w:hAnsi="Verdana" w:cs="Verdana"/>
                <w:color w:val="000000"/>
                <w:sz w:val="16"/>
              </w:rPr>
            </w:pPr>
            <w:r>
              <w:rPr>
                <w:rFonts w:ascii="Verdana" w:eastAsia="Verdana" w:hAnsi="Verdana" w:cs="Verdana"/>
                <w:color w:val="000000"/>
                <w:sz w:val="16"/>
              </w:rPr>
              <w:t>Maternal smoking at delivery (125d)</w:t>
            </w:r>
          </w:p>
        </w:tc>
        <w:tc>
          <w:tcPr>
            <w:tcW w:w="1166" w:type="dxa"/>
            <w:tcBorders>
              <w:top w:val="single" w:sz="8" w:space="0" w:color="78786E"/>
              <w:left w:val="single" w:sz="8" w:space="0" w:color="78786E"/>
              <w:bottom w:val="single" w:sz="8" w:space="0" w:color="000000"/>
              <w:right w:val="single" w:sz="8" w:space="0" w:color="78786E"/>
            </w:tcBorders>
            <w:shd w:val="clear" w:color="auto" w:fill="FFFFFF"/>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Yes</w:t>
            </w:r>
          </w:p>
        </w:tc>
        <w:tc>
          <w:tcPr>
            <w:tcW w:w="1166" w:type="dxa"/>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Q3 2017/18</w:t>
            </w:r>
          </w:p>
        </w:tc>
        <w:tc>
          <w:tcPr>
            <w:tcW w:w="1166" w:type="dxa"/>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14.71%</w:t>
            </w:r>
          </w:p>
        </w:tc>
        <w:tc>
          <w:tcPr>
            <w:tcW w:w="1166" w:type="dxa"/>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21.33%</w:t>
            </w:r>
          </w:p>
        </w:tc>
        <w:tc>
          <w:tcPr>
            <w:tcW w:w="1166" w:type="dxa"/>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0025" cy="200025"/>
                  <wp:effectExtent l="0" t="0" r="9525" b="9525"/>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3498" w:type="dxa"/>
            <w:gridSpan w:val="3"/>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No data available in 2018/19</w:t>
            </w:r>
          </w:p>
        </w:tc>
        <w:tc>
          <w:tcPr>
            <w:tcW w:w="1017" w:type="dxa"/>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152400" cy="152400"/>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6F132B" w:rsidRPr="00D27A74" w:rsidTr="004D5DC0">
        <w:trPr>
          <w:gridAfter w:val="13"/>
          <w:wAfter w:w="10800" w:type="dxa"/>
          <w:trHeight w:val="2"/>
        </w:trPr>
        <w:tc>
          <w:tcPr>
            <w:tcW w:w="15735" w:type="dxa"/>
            <w:gridSpan w:val="11"/>
            <w:tcBorders>
              <w:top w:val="single" w:sz="8" w:space="0" w:color="000000"/>
              <w:left w:val="single" w:sz="8" w:space="0" w:color="000000"/>
              <w:bottom w:val="single" w:sz="8" w:space="0" w:color="000000"/>
              <w:right w:val="single" w:sz="8" w:space="0" w:color="000000"/>
            </w:tcBorders>
            <w:shd w:val="clear" w:color="auto" w:fill="FFC000"/>
          </w:tcPr>
          <w:p w:rsidR="006F132B" w:rsidRPr="005B5F2C" w:rsidRDefault="006F132B" w:rsidP="004D5DC0">
            <w:pPr>
              <w:rPr>
                <w:b/>
              </w:rPr>
            </w:pPr>
            <w:r w:rsidRPr="005B5F2C">
              <w:rPr>
                <w:rFonts w:ascii="Verdana" w:eastAsia="Verdana" w:hAnsi="Verdana" w:cs="Verdana"/>
                <w:b/>
                <w:color w:val="000000"/>
                <w:sz w:val="20"/>
              </w:rPr>
              <w:t>Helping people recover from ill health or injury</w:t>
            </w:r>
          </w:p>
        </w:tc>
      </w:tr>
      <w:tr w:rsidR="006F132B" w:rsidRPr="00D27A74" w:rsidTr="004D5DC0">
        <w:trPr>
          <w:gridAfter w:val="13"/>
          <w:wAfter w:w="10800" w:type="dxa"/>
          <w:trHeight w:val="2"/>
        </w:trPr>
        <w:tc>
          <w:tcPr>
            <w:tcW w:w="1018"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rPr>
                <w:rFonts w:ascii="Verdana" w:eastAsia="Verdana" w:hAnsi="Verdana" w:cs="Verdana"/>
                <w:color w:val="000000"/>
                <w:sz w:val="16"/>
              </w:rPr>
            </w:pPr>
            <w:r>
              <w:rPr>
                <w:rFonts w:ascii="Verdana" w:eastAsia="Verdana" w:hAnsi="Verdana" w:cs="Verdana"/>
                <w:color w:val="000000"/>
                <w:sz w:val="16"/>
              </w:rPr>
              <w:t>DAC6060</w:t>
            </w:r>
          </w:p>
        </w:tc>
        <w:tc>
          <w:tcPr>
            <w:tcW w:w="4372"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rPr>
                <w:rFonts w:ascii="Verdana" w:eastAsia="Verdana" w:hAnsi="Verdana" w:cs="Verdana"/>
                <w:color w:val="000000"/>
                <w:sz w:val="16"/>
              </w:rPr>
            </w:pPr>
            <w:r>
              <w:rPr>
                <w:rFonts w:ascii="Verdana" w:eastAsia="Verdana" w:hAnsi="Verdana" w:cs="Verdana"/>
                <w:color w:val="000000"/>
                <w:sz w:val="16"/>
              </w:rPr>
              <w:t>RTT - Incomplete Patients: % Seen Within 18 Weeks</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Yes</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September 2018</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73.4%</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75.19%</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0025" cy="200025"/>
                  <wp:effectExtent l="0" t="0" r="9525" b="9525"/>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70.9%</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75.58%</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0025" cy="200025"/>
                  <wp:effectExtent l="0" t="0" r="9525" b="9525"/>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017"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152400" cy="152400"/>
                  <wp:effectExtent l="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6F132B" w:rsidRPr="00D27A74" w:rsidTr="004D5DC0">
        <w:trPr>
          <w:gridAfter w:val="13"/>
          <w:wAfter w:w="10800" w:type="dxa"/>
          <w:trHeight w:val="2"/>
        </w:trPr>
        <w:tc>
          <w:tcPr>
            <w:tcW w:w="1018"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rPr>
                <w:rFonts w:ascii="Verdana" w:eastAsia="Verdana" w:hAnsi="Verdana" w:cs="Verdana"/>
                <w:color w:val="000000"/>
                <w:sz w:val="16"/>
              </w:rPr>
            </w:pPr>
            <w:r>
              <w:rPr>
                <w:rFonts w:ascii="Verdana" w:eastAsia="Verdana" w:hAnsi="Verdana" w:cs="Verdana"/>
                <w:color w:val="000000"/>
                <w:sz w:val="16"/>
              </w:rPr>
              <w:t>DAC6070</w:t>
            </w:r>
          </w:p>
        </w:tc>
        <w:tc>
          <w:tcPr>
            <w:tcW w:w="4372"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rPr>
                <w:rFonts w:ascii="Verdana" w:eastAsia="Verdana" w:hAnsi="Verdana" w:cs="Verdana"/>
                <w:color w:val="000000"/>
                <w:sz w:val="16"/>
              </w:rPr>
            </w:pPr>
            <w:r>
              <w:rPr>
                <w:rFonts w:ascii="Verdana" w:eastAsia="Verdana" w:hAnsi="Verdana" w:cs="Verdana"/>
                <w:color w:val="000000"/>
                <w:sz w:val="16"/>
              </w:rPr>
              <w:t xml:space="preserve">RTT – No. waiting on incomplete pathway 52+ </w:t>
            </w:r>
            <w:proofErr w:type="spellStart"/>
            <w:r>
              <w:rPr>
                <w:rFonts w:ascii="Verdana" w:eastAsia="Verdana" w:hAnsi="Verdana" w:cs="Verdana"/>
                <w:color w:val="000000"/>
                <w:sz w:val="16"/>
              </w:rPr>
              <w:t>wks</w:t>
            </w:r>
            <w:proofErr w:type="spellEnd"/>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6F132B" w:rsidRDefault="006F132B" w:rsidP="004D5DC0">
            <w:pPr>
              <w:jc w:val="center"/>
              <w:rPr>
                <w:rFonts w:ascii="Verdana" w:eastAsia="Verdana" w:hAnsi="Verdana" w:cs="Verdana"/>
                <w:color w:val="000000"/>
                <w:sz w:val="16"/>
              </w:rPr>
            </w:pPr>
            <w:r w:rsidRPr="00A6468F">
              <w:rPr>
                <w:rFonts w:ascii="Verdana" w:eastAsia="Verdana" w:hAnsi="Verdana" w:cs="Verdana"/>
                <w:color w:val="000000"/>
                <w:sz w:val="16"/>
              </w:rPr>
              <w:t>No</w:t>
            </w:r>
            <w:r>
              <w:rPr>
                <w:rFonts w:ascii="Verdana" w:eastAsia="Verdana" w:hAnsi="Verdana" w:cs="Verdana"/>
                <w:color w:val="000000"/>
                <w:sz w:val="16"/>
              </w:rPr>
              <w:t xml:space="preserve"> </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September 2018</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60</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77</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0025" cy="200025"/>
                  <wp:effectExtent l="0" t="0" r="9525" b="9525"/>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235</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439</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0025" cy="2000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017"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152400" cy="1524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6F132B" w:rsidRPr="00D27A74" w:rsidTr="004D5DC0">
        <w:trPr>
          <w:gridAfter w:val="13"/>
          <w:wAfter w:w="10800" w:type="dxa"/>
          <w:trHeight w:val="2"/>
        </w:trPr>
        <w:tc>
          <w:tcPr>
            <w:tcW w:w="1018"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rPr>
                <w:rFonts w:ascii="Verdana" w:eastAsia="Verdana" w:hAnsi="Verdana" w:cs="Verdana"/>
                <w:color w:val="000000"/>
                <w:sz w:val="16"/>
              </w:rPr>
            </w:pPr>
            <w:r>
              <w:rPr>
                <w:rFonts w:ascii="Verdana" w:eastAsia="Verdana" w:hAnsi="Verdana" w:cs="Verdana"/>
                <w:color w:val="000000"/>
                <w:sz w:val="16"/>
              </w:rPr>
              <w:t>DAC6140</w:t>
            </w:r>
          </w:p>
        </w:tc>
        <w:tc>
          <w:tcPr>
            <w:tcW w:w="4372"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rPr>
                <w:rFonts w:ascii="Verdana" w:eastAsia="Verdana" w:hAnsi="Verdana" w:cs="Verdana"/>
                <w:color w:val="000000"/>
                <w:sz w:val="16"/>
              </w:rPr>
            </w:pPr>
            <w:r>
              <w:rPr>
                <w:rFonts w:ascii="Verdana" w:eastAsia="Verdana" w:hAnsi="Verdana" w:cs="Verdana"/>
                <w:color w:val="000000"/>
                <w:sz w:val="16"/>
              </w:rPr>
              <w:t>Proportion of children &amp; young people &lt;18 receiving treatment by NHS funded community services</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Yes</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Q1 2018/19</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12.77%</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11.29%</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0025" cy="20002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12.77%</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11.29%</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0025" cy="2000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017"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152400" cy="1524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6F132B" w:rsidRPr="00D27A74" w:rsidTr="004D5DC0">
        <w:trPr>
          <w:gridAfter w:val="11"/>
          <w:wAfter w:w="9634" w:type="dxa"/>
          <w:trHeight w:val="2"/>
        </w:trPr>
        <w:tc>
          <w:tcPr>
            <w:tcW w:w="1018"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rPr>
                <w:rFonts w:ascii="Verdana" w:eastAsia="Verdana" w:hAnsi="Verdana" w:cs="Verdana"/>
                <w:color w:val="000000"/>
                <w:sz w:val="16"/>
              </w:rPr>
            </w:pPr>
            <w:r>
              <w:rPr>
                <w:rFonts w:ascii="Verdana" w:eastAsia="Verdana" w:hAnsi="Verdana" w:cs="Verdana"/>
                <w:color w:val="000000"/>
                <w:sz w:val="16"/>
              </w:rPr>
              <w:t>DAC6150</w:t>
            </w:r>
          </w:p>
        </w:tc>
        <w:tc>
          <w:tcPr>
            <w:tcW w:w="4372"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rPr>
                <w:rFonts w:ascii="Verdana" w:eastAsia="Verdana" w:hAnsi="Verdana" w:cs="Verdana"/>
                <w:color w:val="000000"/>
                <w:sz w:val="16"/>
              </w:rPr>
            </w:pPr>
            <w:r>
              <w:rPr>
                <w:rFonts w:ascii="Verdana" w:eastAsia="Verdana" w:hAnsi="Verdana" w:cs="Verdana"/>
                <w:color w:val="000000"/>
                <w:sz w:val="16"/>
              </w:rPr>
              <w:t>The proportion of CYP with ED (routine cases) that wait 4 weeks or less from referral to start of NICE-approved treatment.</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 xml:space="preserve"> </w:t>
            </w:r>
            <w:r w:rsidRPr="00A6468F">
              <w:rPr>
                <w:rFonts w:ascii="Verdana" w:eastAsia="Verdana" w:hAnsi="Verdana" w:cs="Verdana"/>
                <w:color w:val="000000"/>
                <w:sz w:val="16"/>
              </w:rPr>
              <w:t>No</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Q1 2018/19</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95%</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50%</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0025" cy="2000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95%</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50%</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0025" cy="20002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017"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152400" cy="1524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166" w:type="dxa"/>
            <w:gridSpan w:val="2"/>
            <w:vAlign w:val="center"/>
          </w:tcPr>
          <w:p w:rsidR="006F132B" w:rsidRDefault="006F132B" w:rsidP="004D5DC0">
            <w:pPr>
              <w:jc w:val="center"/>
              <w:rPr>
                <w:rFonts w:ascii="Verdana" w:eastAsia="Verdana" w:hAnsi="Verdana" w:cs="Verdana"/>
                <w:color w:val="000000"/>
                <w:sz w:val="16"/>
              </w:rPr>
            </w:pPr>
          </w:p>
        </w:tc>
      </w:tr>
      <w:tr w:rsidR="006F132B" w:rsidRPr="00D27A74" w:rsidTr="004D5DC0">
        <w:trPr>
          <w:gridAfter w:val="13"/>
          <w:wAfter w:w="10800" w:type="dxa"/>
          <w:trHeight w:val="2"/>
        </w:trPr>
        <w:tc>
          <w:tcPr>
            <w:tcW w:w="1018"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rPr>
                <w:rFonts w:ascii="Verdana" w:eastAsia="Verdana" w:hAnsi="Verdana" w:cs="Verdana"/>
                <w:color w:val="000000"/>
                <w:sz w:val="16"/>
              </w:rPr>
            </w:pPr>
            <w:r>
              <w:rPr>
                <w:rFonts w:ascii="Verdana" w:eastAsia="Verdana" w:hAnsi="Verdana" w:cs="Verdana"/>
                <w:color w:val="000000"/>
                <w:sz w:val="16"/>
              </w:rPr>
              <w:lastRenderedPageBreak/>
              <w:t>DAC6200</w:t>
            </w:r>
          </w:p>
        </w:tc>
        <w:tc>
          <w:tcPr>
            <w:tcW w:w="4372"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rPr>
                <w:rFonts w:ascii="Verdana" w:eastAsia="Verdana" w:hAnsi="Verdana" w:cs="Verdana"/>
                <w:color w:val="000000"/>
                <w:sz w:val="16"/>
              </w:rPr>
            </w:pPr>
            <w:r>
              <w:rPr>
                <w:rFonts w:ascii="Verdana" w:eastAsia="Verdana" w:hAnsi="Verdana" w:cs="Verdana"/>
                <w:color w:val="000000"/>
                <w:sz w:val="16"/>
              </w:rPr>
              <w:t>Extended access (evening and weekends) at GP services</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Yes</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September 2018</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55.6%</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0%</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0025" cy="2000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32.1%</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color w:val="000000"/>
                <w:sz w:val="16"/>
              </w:rPr>
              <w:t>0%</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0025" cy="20002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017"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6F132B" w:rsidRDefault="006F132B" w:rsidP="004D5DC0">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152400" cy="1524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bl>
    <w:p w:rsidR="00B47EA5" w:rsidRDefault="00213942" w:rsidP="008675CA">
      <w:pPr>
        <w:spacing w:after="200" w:line="276" w:lineRule="auto"/>
        <w:rPr>
          <w:rFonts w:ascii="Verdana" w:eastAsia="Verdana" w:hAnsi="Verdana" w:cs="Verdana"/>
          <w:b/>
          <w:color w:val="000000"/>
          <w:sz w:val="32"/>
        </w:rPr>
      </w:pPr>
      <w:r>
        <w:rPr>
          <w:rFonts w:ascii="Verdana" w:eastAsia="Verdana" w:hAnsi="Verdana" w:cs="Verdana"/>
          <w:b/>
          <w:color w:val="000000"/>
          <w:sz w:val="32"/>
        </w:rPr>
        <w:br w:type="page"/>
      </w:r>
      <w:r>
        <w:rPr>
          <w:rFonts w:ascii="Verdana" w:eastAsia="Verdana" w:hAnsi="Verdana" w:cs="Verdana"/>
          <w:b/>
          <w:color w:val="000000"/>
          <w:sz w:val="32"/>
        </w:rPr>
        <w:lastRenderedPageBreak/>
        <w:t xml:space="preserve">Appendix B – Provider-level Quality </w:t>
      </w:r>
      <w:r w:rsidR="00AB5061">
        <w:rPr>
          <w:rFonts w:ascii="Verdana" w:eastAsia="Verdana" w:hAnsi="Verdana" w:cs="Verdana"/>
          <w:b/>
          <w:color w:val="000000"/>
          <w:sz w:val="32"/>
        </w:rPr>
        <w:t>Surveillance Rating</w:t>
      </w:r>
      <w:r>
        <w:rPr>
          <w:rFonts w:ascii="Verdana" w:eastAsia="Verdana" w:hAnsi="Verdana" w:cs="Verdana"/>
          <w:b/>
          <w:color w:val="000000"/>
          <w:sz w:val="32"/>
        </w:rPr>
        <w:t>s</w:t>
      </w:r>
    </w:p>
    <w:p w:rsidR="00F77729" w:rsidRDefault="0069784F" w:rsidP="008D3FCA">
      <w:pPr>
        <w:spacing w:after="200" w:line="276" w:lineRule="auto"/>
        <w:rPr>
          <w:rFonts w:eastAsia="Verdana"/>
        </w:rPr>
      </w:pPr>
      <w:r>
        <w:rPr>
          <w:noProof/>
          <w:lang w:eastAsia="en-GB"/>
        </w:rPr>
        <mc:AlternateContent>
          <mc:Choice Requires="wps">
            <w:drawing>
              <wp:anchor distT="0" distB="0" distL="114300" distR="114300" simplePos="0" relativeHeight="251657216" behindDoc="0" locked="0" layoutInCell="1" allowOverlap="1">
                <wp:simplePos x="0" y="0"/>
                <wp:positionH relativeFrom="column">
                  <wp:posOffset>8045450</wp:posOffset>
                </wp:positionH>
                <wp:positionV relativeFrom="paragraph">
                  <wp:posOffset>332105</wp:posOffset>
                </wp:positionV>
                <wp:extent cx="1860550" cy="4485005"/>
                <wp:effectExtent l="0" t="0" r="0" b="2540"/>
                <wp:wrapNone/>
                <wp:docPr id="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4485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5080" w:rsidRDefault="00595080">
                            <w:r>
                              <w:rPr>
                                <w:noProof/>
                                <w:lang w:eastAsia="en-GB"/>
                              </w:rPr>
                              <w:drawing>
                                <wp:inline distT="0" distB="0" distL="0" distR="0">
                                  <wp:extent cx="1677035" cy="4393565"/>
                                  <wp:effectExtent l="0" t="0" r="0" b="698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77035" cy="439356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29" type="#_x0000_t202" style="position:absolute;margin-left:633.5pt;margin-top:26.15pt;width:146.5pt;height:353.1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" stroked="f">
                <v:textbox style="mso-fit-shape-to-text:t">
                  <w:txbxContent>
                    <w:p w:rsidR="00595080" w:rsidRDefault="00595080">
                      <w:r>
                        <w:rPr>
                          <w:noProof/>
                          <w:lang w:eastAsia="en-GB"/>
                        </w:rPr>
                        <w:drawing>
                          <wp:inline distT="0" distB="0" distL="0" distR="0">
                            <wp:extent cx="1677035" cy="4393565"/>
                            <wp:effectExtent l="0" t="0" r="0" b="698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7035" cy="4393565"/>
                                    </a:xfrm>
                                    <a:prstGeom prst="rect">
                                      <a:avLst/>
                                    </a:prstGeom>
                                    <a:noFill/>
                                    <a:ln>
                                      <a:noFill/>
                                    </a:ln>
                                  </pic:spPr>
                                </pic:pic>
                              </a:graphicData>
                            </a:graphic>
                          </wp:inline>
                        </w:drawing>
                      </w:r>
                    </w:p>
                  </w:txbxContent>
                </v:textbox>
              </v:shape>
            </w:pict>
          </mc:Fallback>
        </mc:AlternateContent>
      </w:r>
      <w:r w:rsidR="002E41D1">
        <w:rPr>
          <w:noProof/>
          <w:lang w:eastAsia="en-GB"/>
        </w:rPr>
        <w:t xml:space="preserve">      </w:t>
      </w:r>
      <w:r w:rsidR="002E41D1">
        <w:rPr>
          <w:rFonts w:eastAsia="Verdana"/>
        </w:rPr>
        <w:t xml:space="preserve">  </w:t>
      </w:r>
      <w:r>
        <w:rPr>
          <w:rFonts w:eastAsia="Verdana"/>
          <w:noProof/>
          <w:lang w:eastAsia="en-GB"/>
        </w:rPr>
        <w:drawing>
          <wp:inline distT="0" distB="0" distL="0" distR="0">
            <wp:extent cx="2536825" cy="24828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36825" cy="2482850"/>
                    </a:xfrm>
                    <a:prstGeom prst="rect">
                      <a:avLst/>
                    </a:prstGeom>
                    <a:noFill/>
                    <a:ln>
                      <a:noFill/>
                    </a:ln>
                  </pic:spPr>
                </pic:pic>
              </a:graphicData>
            </a:graphic>
          </wp:inline>
        </w:drawing>
      </w:r>
      <w:r w:rsidR="009B2860" w:rsidRPr="009B2860">
        <w:rPr>
          <w:rFonts w:eastAsia="Verdana"/>
        </w:rPr>
        <w:t xml:space="preserve"> </w:t>
      </w:r>
      <w:r>
        <w:rPr>
          <w:rFonts w:eastAsia="Verdana"/>
          <w:noProof/>
          <w:lang w:eastAsia="en-GB"/>
        </w:rPr>
        <w:drawing>
          <wp:inline distT="0" distB="0" distL="0" distR="0">
            <wp:extent cx="2541270" cy="248475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1270" cy="2484755"/>
                    </a:xfrm>
                    <a:prstGeom prst="rect">
                      <a:avLst/>
                    </a:prstGeom>
                    <a:noFill/>
                    <a:ln>
                      <a:noFill/>
                    </a:ln>
                  </pic:spPr>
                </pic:pic>
              </a:graphicData>
            </a:graphic>
          </wp:inline>
        </w:drawing>
      </w:r>
      <w:r>
        <w:rPr>
          <w:rFonts w:eastAsia="Verdana"/>
          <w:noProof/>
          <w:lang w:eastAsia="en-GB"/>
        </w:rPr>
        <w:drawing>
          <wp:inline distT="0" distB="0" distL="0" distR="0">
            <wp:extent cx="2409825" cy="2459355"/>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09825" cy="2459355"/>
                    </a:xfrm>
                    <a:prstGeom prst="rect">
                      <a:avLst/>
                    </a:prstGeom>
                    <a:noFill/>
                    <a:ln>
                      <a:noFill/>
                    </a:ln>
                  </pic:spPr>
                </pic:pic>
              </a:graphicData>
            </a:graphic>
          </wp:inline>
        </w:drawing>
      </w:r>
    </w:p>
    <w:p w:rsidR="00152FAC" w:rsidRDefault="0069784F" w:rsidP="00A34B2E">
      <w:pPr>
        <w:spacing w:after="200" w:line="276" w:lineRule="auto"/>
        <w:rPr>
          <w:rFonts w:ascii="Arial" w:hAnsi="Arial" w:cs="Arial"/>
          <w:sz w:val="20"/>
          <w:u w:val="single"/>
        </w:rPr>
      </w:pPr>
      <w:r>
        <w:rPr>
          <w:noProof/>
          <w:lang w:eastAsia="en-GB"/>
        </w:rPr>
        <w:drawing>
          <wp:anchor distT="0" distB="0" distL="114300" distR="114300" simplePos="0" relativeHeight="251658240" behindDoc="0" locked="0" layoutInCell="1" allowOverlap="1">
            <wp:simplePos x="0" y="0"/>
            <wp:positionH relativeFrom="column">
              <wp:posOffset>500380</wp:posOffset>
            </wp:positionH>
            <wp:positionV relativeFrom="paragraph">
              <wp:posOffset>756920</wp:posOffset>
            </wp:positionV>
            <wp:extent cx="1504315" cy="397510"/>
            <wp:effectExtent l="0" t="0" r="635" b="2540"/>
            <wp:wrapNone/>
            <wp:docPr id="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a:extLst>
                        <a:ext uri="{28A0092B-C50C-407E-A947-70E740481C1C}">
                          <a14:useLocalDpi xmlns:a14="http://schemas.microsoft.com/office/drawing/2010/main" val="0"/>
                        </a:ext>
                      </a:extLst>
                    </a:blip>
                    <a:srcRect l="19843" t="31549" r="20192" b="52673"/>
                    <a:stretch>
                      <a:fillRect/>
                    </a:stretch>
                  </pic:blipFill>
                  <pic:spPr bwMode="auto">
                    <a:xfrm>
                      <a:off x="0" y="0"/>
                      <a:ext cx="1504315" cy="397510"/>
                    </a:xfrm>
                    <a:prstGeom prst="rect">
                      <a:avLst/>
                    </a:prstGeom>
                    <a:solidFill>
                      <a:srgbClr val="548DD4"/>
                    </a:solidFill>
                    <a:ln>
                      <a:noFill/>
                    </a:ln>
                  </pic:spPr>
                </pic:pic>
              </a:graphicData>
            </a:graphic>
            <wp14:sizeRelH relativeFrom="page">
              <wp14:pctWidth>0</wp14:pctWidth>
            </wp14:sizeRelH>
            <wp14:sizeRelV relativeFrom="page">
              <wp14:pctHeight>0</wp14:pctHeight>
            </wp14:sizeRelV>
          </wp:anchor>
        </w:drawing>
      </w:r>
      <w:r>
        <w:rPr>
          <w:rFonts w:eastAsia="Verdana"/>
          <w:noProof/>
          <w:lang w:eastAsia="en-GB"/>
        </w:rPr>
        <w:drawing>
          <wp:inline distT="0" distB="0" distL="0" distR="0">
            <wp:extent cx="2533650" cy="2477135"/>
            <wp:effectExtent l="0" t="0" r="0" b="0"/>
            <wp:docPr id="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33650" cy="2477135"/>
                    </a:xfrm>
                    <a:prstGeom prst="rect">
                      <a:avLst/>
                    </a:prstGeom>
                    <a:noFill/>
                  </pic:spPr>
                </pic:pic>
              </a:graphicData>
            </a:graphic>
          </wp:inline>
        </w:drawing>
      </w:r>
      <w:r>
        <w:rPr>
          <w:rFonts w:eastAsia="Verdana"/>
          <w:noProof/>
          <w:lang w:eastAsia="en-GB"/>
        </w:rPr>
        <w:drawing>
          <wp:inline distT="0" distB="0" distL="0" distR="0">
            <wp:extent cx="2543810" cy="2477770"/>
            <wp:effectExtent l="0" t="0" r="889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3810" cy="2477770"/>
                    </a:xfrm>
                    <a:prstGeom prst="rect">
                      <a:avLst/>
                    </a:prstGeom>
                    <a:noFill/>
                    <a:ln>
                      <a:noFill/>
                    </a:ln>
                  </pic:spPr>
                </pic:pic>
              </a:graphicData>
            </a:graphic>
          </wp:inline>
        </w:drawing>
      </w:r>
      <w:r>
        <w:rPr>
          <w:rFonts w:eastAsia="Verdana"/>
          <w:noProof/>
          <w:lang w:eastAsia="en-GB"/>
        </w:rPr>
        <w:drawing>
          <wp:inline distT="0" distB="0" distL="0" distR="0">
            <wp:extent cx="2552065" cy="2479040"/>
            <wp:effectExtent l="0" t="0" r="63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52065" cy="2479040"/>
                    </a:xfrm>
                    <a:prstGeom prst="rect">
                      <a:avLst/>
                    </a:prstGeom>
                    <a:noFill/>
                    <a:ln>
                      <a:noFill/>
                    </a:ln>
                  </pic:spPr>
                </pic:pic>
              </a:graphicData>
            </a:graphic>
          </wp:inline>
        </w:drawing>
      </w:r>
      <w:r w:rsidR="00AB5061">
        <w:rPr>
          <w:rFonts w:eastAsia="Verdana"/>
        </w:rPr>
        <w:t xml:space="preserve">  </w:t>
      </w:r>
    </w:p>
    <w:sectPr w:rsidR="00152FAC" w:rsidSect="00715A33">
      <w:type w:val="continuous"/>
      <w:pgSz w:w="16838" w:h="11906" w:orient="landscape"/>
      <w:pgMar w:top="1440" w:right="743" w:bottom="1440" w:left="74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7734" w:rsidRDefault="00847734" w:rsidP="00E1284E">
      <w:r>
        <w:separator/>
      </w:r>
    </w:p>
  </w:endnote>
  <w:endnote w:type="continuationSeparator" w:id="0">
    <w:p w:rsidR="00847734" w:rsidRDefault="00847734" w:rsidP="00E12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080" w:rsidRDefault="00595080">
    <w:pPr>
      <w:pStyle w:val="Footer"/>
    </w:pPr>
    <w:r>
      <w:fldChar w:fldCharType="begin"/>
    </w:r>
    <w:r>
      <w:instrText xml:space="preserve"> PAGE   \* MERGEFORMAT </w:instrText>
    </w:r>
    <w:r>
      <w:fldChar w:fldCharType="separate"/>
    </w:r>
    <w:r w:rsidR="0076166C">
      <w:rPr>
        <w:noProof/>
      </w:rPr>
      <w:t>1</w:t>
    </w:r>
    <w:r>
      <w:rPr>
        <w:noProof/>
      </w:rPr>
      <w:fldChar w:fldCharType="end"/>
    </w:r>
  </w:p>
  <w:p w:rsidR="00595080" w:rsidRDefault="0059508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080" w:rsidRDefault="005950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7734" w:rsidRDefault="00847734" w:rsidP="00E1284E">
      <w:r>
        <w:separator/>
      </w:r>
    </w:p>
  </w:footnote>
  <w:footnote w:type="continuationSeparator" w:id="0">
    <w:p w:rsidR="00847734" w:rsidRDefault="00847734" w:rsidP="00E128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080" w:rsidRDefault="00595080">
    <w:pPr>
      <w:pStyle w:val="Header"/>
    </w:pPr>
    <w:r>
      <w:rPr>
        <w:noProof/>
        <w:lang w:val="en-GB" w:eastAsia="en-GB"/>
      </w:rPr>
      <mc:AlternateContent>
        <mc:Choice Requires="wps">
          <w:drawing>
            <wp:anchor distT="0" distB="0" distL="114300" distR="114300" simplePos="0" relativeHeight="251657728" behindDoc="0" locked="0" layoutInCell="0" allowOverlap="1">
              <wp:simplePos x="0" y="0"/>
              <wp:positionH relativeFrom="page">
                <wp:posOffset>6988810</wp:posOffset>
              </wp:positionH>
              <wp:positionV relativeFrom="page">
                <wp:posOffset>8150225</wp:posOffset>
              </wp:positionV>
              <wp:extent cx="51943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5080" w:rsidRPr="00893409" w:rsidRDefault="00595080">
                          <w:pPr>
                            <w:pStyle w:val="Footer"/>
                            <w:rPr>
                              <w:rFonts w:eastAsia="Times New Roman"/>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30" style="position:absolute;margin-left:550.3pt;margin-top:641.75pt;width:40.9pt;height:171.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" o:allowincell="f" filled="f" stroked="f">
              <v:textbox style="layout-flow:vertical;mso-layout-flow-alt:bottom-to-top;mso-fit-shape-to-text:t">
                <w:txbxContent>
                  <w:p w:rsidR="00595080" w:rsidRPr="00893409" w:rsidRDefault="00595080">
                    <w:pPr>
                      <w:pStyle w:val="Footer"/>
                      <w:rPr>
                        <w:rFonts w:eastAsia="Times New Roman"/>
                        <w:sz w:val="44"/>
                        <w:szCs w:val="44"/>
                      </w:rPr>
                    </w:pPr>
                  </w:p>
                </w:txbxContent>
              </v:textbox>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080" w:rsidRDefault="005950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9731B"/>
    <w:multiLevelType w:val="hybridMultilevel"/>
    <w:tmpl w:val="A01A731A"/>
    <w:lvl w:ilvl="0" w:tplc="4F7CBC04">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A04A8E"/>
    <w:multiLevelType w:val="hybridMultilevel"/>
    <w:tmpl w:val="F1248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BF5D7F"/>
    <w:multiLevelType w:val="hybridMultilevel"/>
    <w:tmpl w:val="15048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0A30EE"/>
    <w:multiLevelType w:val="hybridMultilevel"/>
    <w:tmpl w:val="BD90EEC2"/>
    <w:lvl w:ilvl="0" w:tplc="3738D954">
      <w:start w:val="1"/>
      <w:numFmt w:val="bullet"/>
      <w:lvlText w:val="•"/>
      <w:lvlJc w:val="left"/>
      <w:pPr>
        <w:tabs>
          <w:tab w:val="num" w:pos="720"/>
        </w:tabs>
        <w:ind w:left="720" w:hanging="360"/>
      </w:pPr>
      <w:rPr>
        <w:rFonts w:ascii="Arial" w:hAnsi="Arial" w:hint="default"/>
      </w:rPr>
    </w:lvl>
    <w:lvl w:ilvl="1" w:tplc="E604C904">
      <w:start w:val="1"/>
      <w:numFmt w:val="bullet"/>
      <w:lvlText w:val="•"/>
      <w:lvlJc w:val="left"/>
      <w:pPr>
        <w:tabs>
          <w:tab w:val="num" w:pos="1440"/>
        </w:tabs>
        <w:ind w:left="1440" w:hanging="360"/>
      </w:pPr>
      <w:rPr>
        <w:rFonts w:ascii="Arial" w:hAnsi="Arial" w:hint="default"/>
      </w:rPr>
    </w:lvl>
    <w:lvl w:ilvl="2" w:tplc="33128FF6">
      <w:start w:val="1"/>
      <w:numFmt w:val="bullet"/>
      <w:lvlText w:val="•"/>
      <w:lvlJc w:val="left"/>
      <w:pPr>
        <w:tabs>
          <w:tab w:val="num" w:pos="2160"/>
        </w:tabs>
        <w:ind w:left="2160" w:hanging="360"/>
      </w:pPr>
      <w:rPr>
        <w:rFonts w:ascii="Arial" w:hAnsi="Arial" w:hint="default"/>
      </w:rPr>
    </w:lvl>
    <w:lvl w:ilvl="3" w:tplc="69C40BBC" w:tentative="1">
      <w:start w:val="1"/>
      <w:numFmt w:val="bullet"/>
      <w:lvlText w:val="•"/>
      <w:lvlJc w:val="left"/>
      <w:pPr>
        <w:tabs>
          <w:tab w:val="num" w:pos="2880"/>
        </w:tabs>
        <w:ind w:left="2880" w:hanging="360"/>
      </w:pPr>
      <w:rPr>
        <w:rFonts w:ascii="Arial" w:hAnsi="Arial" w:hint="default"/>
      </w:rPr>
    </w:lvl>
    <w:lvl w:ilvl="4" w:tplc="91C4A9E8" w:tentative="1">
      <w:start w:val="1"/>
      <w:numFmt w:val="bullet"/>
      <w:lvlText w:val="•"/>
      <w:lvlJc w:val="left"/>
      <w:pPr>
        <w:tabs>
          <w:tab w:val="num" w:pos="3600"/>
        </w:tabs>
        <w:ind w:left="3600" w:hanging="360"/>
      </w:pPr>
      <w:rPr>
        <w:rFonts w:ascii="Arial" w:hAnsi="Arial" w:hint="default"/>
      </w:rPr>
    </w:lvl>
    <w:lvl w:ilvl="5" w:tplc="DD989118" w:tentative="1">
      <w:start w:val="1"/>
      <w:numFmt w:val="bullet"/>
      <w:lvlText w:val="•"/>
      <w:lvlJc w:val="left"/>
      <w:pPr>
        <w:tabs>
          <w:tab w:val="num" w:pos="4320"/>
        </w:tabs>
        <w:ind w:left="4320" w:hanging="360"/>
      </w:pPr>
      <w:rPr>
        <w:rFonts w:ascii="Arial" w:hAnsi="Arial" w:hint="default"/>
      </w:rPr>
    </w:lvl>
    <w:lvl w:ilvl="6" w:tplc="D9E6EBC6" w:tentative="1">
      <w:start w:val="1"/>
      <w:numFmt w:val="bullet"/>
      <w:lvlText w:val="•"/>
      <w:lvlJc w:val="left"/>
      <w:pPr>
        <w:tabs>
          <w:tab w:val="num" w:pos="5040"/>
        </w:tabs>
        <w:ind w:left="5040" w:hanging="360"/>
      </w:pPr>
      <w:rPr>
        <w:rFonts w:ascii="Arial" w:hAnsi="Arial" w:hint="default"/>
      </w:rPr>
    </w:lvl>
    <w:lvl w:ilvl="7" w:tplc="A5B8167E" w:tentative="1">
      <w:start w:val="1"/>
      <w:numFmt w:val="bullet"/>
      <w:lvlText w:val="•"/>
      <w:lvlJc w:val="left"/>
      <w:pPr>
        <w:tabs>
          <w:tab w:val="num" w:pos="5760"/>
        </w:tabs>
        <w:ind w:left="5760" w:hanging="360"/>
      </w:pPr>
      <w:rPr>
        <w:rFonts w:ascii="Arial" w:hAnsi="Arial" w:hint="default"/>
      </w:rPr>
    </w:lvl>
    <w:lvl w:ilvl="8" w:tplc="5B32E2F0" w:tentative="1">
      <w:start w:val="1"/>
      <w:numFmt w:val="bullet"/>
      <w:lvlText w:val="•"/>
      <w:lvlJc w:val="left"/>
      <w:pPr>
        <w:tabs>
          <w:tab w:val="num" w:pos="6480"/>
        </w:tabs>
        <w:ind w:left="6480" w:hanging="360"/>
      </w:pPr>
      <w:rPr>
        <w:rFonts w:ascii="Arial" w:hAnsi="Arial" w:hint="default"/>
      </w:rPr>
    </w:lvl>
  </w:abstractNum>
  <w:abstractNum w:abstractNumId="4">
    <w:nsid w:val="0E73126F"/>
    <w:multiLevelType w:val="hybridMultilevel"/>
    <w:tmpl w:val="BA54E2F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F4C1A3A"/>
    <w:multiLevelType w:val="hybridMultilevel"/>
    <w:tmpl w:val="C680A772"/>
    <w:lvl w:ilvl="0" w:tplc="3738D954">
      <w:start w:val="1"/>
      <w:numFmt w:val="bullet"/>
      <w:lvlText w:val="•"/>
      <w:lvlJc w:val="left"/>
      <w:pPr>
        <w:tabs>
          <w:tab w:val="num" w:pos="720"/>
        </w:tabs>
        <w:ind w:left="720" w:hanging="360"/>
      </w:pPr>
      <w:rPr>
        <w:rFonts w:ascii="Arial" w:hAnsi="Arial" w:hint="default"/>
      </w:rPr>
    </w:lvl>
    <w:lvl w:ilvl="1" w:tplc="E604C904">
      <w:start w:val="1"/>
      <w:numFmt w:val="bullet"/>
      <w:lvlText w:val="•"/>
      <w:lvlJc w:val="left"/>
      <w:pPr>
        <w:tabs>
          <w:tab w:val="num" w:pos="1440"/>
        </w:tabs>
        <w:ind w:left="1440" w:hanging="360"/>
      </w:pPr>
      <w:rPr>
        <w:rFonts w:ascii="Arial" w:hAnsi="Arial" w:hint="default"/>
      </w:rPr>
    </w:lvl>
    <w:lvl w:ilvl="2" w:tplc="0809000D">
      <w:start w:val="1"/>
      <w:numFmt w:val="bullet"/>
      <w:lvlText w:val=""/>
      <w:lvlJc w:val="left"/>
      <w:pPr>
        <w:tabs>
          <w:tab w:val="num" w:pos="2160"/>
        </w:tabs>
        <w:ind w:left="2160" w:hanging="360"/>
      </w:pPr>
      <w:rPr>
        <w:rFonts w:ascii="Wingdings" w:hAnsi="Wingdings" w:hint="default"/>
      </w:rPr>
    </w:lvl>
    <w:lvl w:ilvl="3" w:tplc="69C40BBC" w:tentative="1">
      <w:start w:val="1"/>
      <w:numFmt w:val="bullet"/>
      <w:lvlText w:val="•"/>
      <w:lvlJc w:val="left"/>
      <w:pPr>
        <w:tabs>
          <w:tab w:val="num" w:pos="2880"/>
        </w:tabs>
        <w:ind w:left="2880" w:hanging="360"/>
      </w:pPr>
      <w:rPr>
        <w:rFonts w:ascii="Arial" w:hAnsi="Arial" w:hint="default"/>
      </w:rPr>
    </w:lvl>
    <w:lvl w:ilvl="4" w:tplc="91C4A9E8" w:tentative="1">
      <w:start w:val="1"/>
      <w:numFmt w:val="bullet"/>
      <w:lvlText w:val="•"/>
      <w:lvlJc w:val="left"/>
      <w:pPr>
        <w:tabs>
          <w:tab w:val="num" w:pos="3600"/>
        </w:tabs>
        <w:ind w:left="3600" w:hanging="360"/>
      </w:pPr>
      <w:rPr>
        <w:rFonts w:ascii="Arial" w:hAnsi="Arial" w:hint="default"/>
      </w:rPr>
    </w:lvl>
    <w:lvl w:ilvl="5" w:tplc="DD989118" w:tentative="1">
      <w:start w:val="1"/>
      <w:numFmt w:val="bullet"/>
      <w:lvlText w:val="•"/>
      <w:lvlJc w:val="left"/>
      <w:pPr>
        <w:tabs>
          <w:tab w:val="num" w:pos="4320"/>
        </w:tabs>
        <w:ind w:left="4320" w:hanging="360"/>
      </w:pPr>
      <w:rPr>
        <w:rFonts w:ascii="Arial" w:hAnsi="Arial" w:hint="default"/>
      </w:rPr>
    </w:lvl>
    <w:lvl w:ilvl="6" w:tplc="D9E6EBC6" w:tentative="1">
      <w:start w:val="1"/>
      <w:numFmt w:val="bullet"/>
      <w:lvlText w:val="•"/>
      <w:lvlJc w:val="left"/>
      <w:pPr>
        <w:tabs>
          <w:tab w:val="num" w:pos="5040"/>
        </w:tabs>
        <w:ind w:left="5040" w:hanging="360"/>
      </w:pPr>
      <w:rPr>
        <w:rFonts w:ascii="Arial" w:hAnsi="Arial" w:hint="default"/>
      </w:rPr>
    </w:lvl>
    <w:lvl w:ilvl="7" w:tplc="A5B8167E" w:tentative="1">
      <w:start w:val="1"/>
      <w:numFmt w:val="bullet"/>
      <w:lvlText w:val="•"/>
      <w:lvlJc w:val="left"/>
      <w:pPr>
        <w:tabs>
          <w:tab w:val="num" w:pos="5760"/>
        </w:tabs>
        <w:ind w:left="5760" w:hanging="360"/>
      </w:pPr>
      <w:rPr>
        <w:rFonts w:ascii="Arial" w:hAnsi="Arial" w:hint="default"/>
      </w:rPr>
    </w:lvl>
    <w:lvl w:ilvl="8" w:tplc="5B32E2F0" w:tentative="1">
      <w:start w:val="1"/>
      <w:numFmt w:val="bullet"/>
      <w:lvlText w:val="•"/>
      <w:lvlJc w:val="left"/>
      <w:pPr>
        <w:tabs>
          <w:tab w:val="num" w:pos="6480"/>
        </w:tabs>
        <w:ind w:left="6480" w:hanging="360"/>
      </w:pPr>
      <w:rPr>
        <w:rFonts w:ascii="Arial" w:hAnsi="Arial" w:hint="default"/>
      </w:rPr>
    </w:lvl>
  </w:abstractNum>
  <w:abstractNum w:abstractNumId="6">
    <w:nsid w:val="148D207B"/>
    <w:multiLevelType w:val="hybridMultilevel"/>
    <w:tmpl w:val="A0F2DE5C"/>
    <w:lvl w:ilvl="0" w:tplc="945282FC">
      <w:start w:val="1"/>
      <w:numFmt w:val="decimal"/>
      <w:lvlText w:val="%1."/>
      <w:lvlJc w:val="left"/>
      <w:pPr>
        <w:ind w:left="360" w:hanging="360"/>
      </w:pPr>
      <w:rPr>
        <w:rFonts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1FFC4ADF"/>
    <w:multiLevelType w:val="hybridMultilevel"/>
    <w:tmpl w:val="8F8ED0E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21DB02AF"/>
    <w:multiLevelType w:val="hybridMultilevel"/>
    <w:tmpl w:val="40928956"/>
    <w:lvl w:ilvl="0" w:tplc="3738D954">
      <w:start w:val="1"/>
      <w:numFmt w:val="bullet"/>
      <w:lvlText w:val="•"/>
      <w:lvlJc w:val="left"/>
      <w:pPr>
        <w:tabs>
          <w:tab w:val="num" w:pos="720"/>
        </w:tabs>
        <w:ind w:left="720" w:hanging="360"/>
      </w:pPr>
      <w:rPr>
        <w:rFonts w:ascii="Arial" w:hAnsi="Arial" w:hint="default"/>
      </w:rPr>
    </w:lvl>
    <w:lvl w:ilvl="1" w:tplc="0809000D">
      <w:start w:val="1"/>
      <w:numFmt w:val="bullet"/>
      <w:lvlText w:val=""/>
      <w:lvlJc w:val="left"/>
      <w:pPr>
        <w:tabs>
          <w:tab w:val="num" w:pos="1440"/>
        </w:tabs>
        <w:ind w:left="1440" w:hanging="360"/>
      </w:pPr>
      <w:rPr>
        <w:rFonts w:ascii="Wingdings" w:hAnsi="Wingdings" w:hint="default"/>
      </w:rPr>
    </w:lvl>
    <w:lvl w:ilvl="2" w:tplc="33128FF6">
      <w:start w:val="1"/>
      <w:numFmt w:val="bullet"/>
      <w:lvlText w:val="•"/>
      <w:lvlJc w:val="left"/>
      <w:pPr>
        <w:tabs>
          <w:tab w:val="num" w:pos="2160"/>
        </w:tabs>
        <w:ind w:left="2160" w:hanging="360"/>
      </w:pPr>
      <w:rPr>
        <w:rFonts w:ascii="Arial" w:hAnsi="Arial" w:hint="default"/>
      </w:rPr>
    </w:lvl>
    <w:lvl w:ilvl="3" w:tplc="69C40BBC" w:tentative="1">
      <w:start w:val="1"/>
      <w:numFmt w:val="bullet"/>
      <w:lvlText w:val="•"/>
      <w:lvlJc w:val="left"/>
      <w:pPr>
        <w:tabs>
          <w:tab w:val="num" w:pos="2880"/>
        </w:tabs>
        <w:ind w:left="2880" w:hanging="360"/>
      </w:pPr>
      <w:rPr>
        <w:rFonts w:ascii="Arial" w:hAnsi="Arial" w:hint="default"/>
      </w:rPr>
    </w:lvl>
    <w:lvl w:ilvl="4" w:tplc="91C4A9E8" w:tentative="1">
      <w:start w:val="1"/>
      <w:numFmt w:val="bullet"/>
      <w:lvlText w:val="•"/>
      <w:lvlJc w:val="left"/>
      <w:pPr>
        <w:tabs>
          <w:tab w:val="num" w:pos="3600"/>
        </w:tabs>
        <w:ind w:left="3600" w:hanging="360"/>
      </w:pPr>
      <w:rPr>
        <w:rFonts w:ascii="Arial" w:hAnsi="Arial" w:hint="default"/>
      </w:rPr>
    </w:lvl>
    <w:lvl w:ilvl="5" w:tplc="DD989118" w:tentative="1">
      <w:start w:val="1"/>
      <w:numFmt w:val="bullet"/>
      <w:lvlText w:val="•"/>
      <w:lvlJc w:val="left"/>
      <w:pPr>
        <w:tabs>
          <w:tab w:val="num" w:pos="4320"/>
        </w:tabs>
        <w:ind w:left="4320" w:hanging="360"/>
      </w:pPr>
      <w:rPr>
        <w:rFonts w:ascii="Arial" w:hAnsi="Arial" w:hint="default"/>
      </w:rPr>
    </w:lvl>
    <w:lvl w:ilvl="6" w:tplc="D9E6EBC6" w:tentative="1">
      <w:start w:val="1"/>
      <w:numFmt w:val="bullet"/>
      <w:lvlText w:val="•"/>
      <w:lvlJc w:val="left"/>
      <w:pPr>
        <w:tabs>
          <w:tab w:val="num" w:pos="5040"/>
        </w:tabs>
        <w:ind w:left="5040" w:hanging="360"/>
      </w:pPr>
      <w:rPr>
        <w:rFonts w:ascii="Arial" w:hAnsi="Arial" w:hint="default"/>
      </w:rPr>
    </w:lvl>
    <w:lvl w:ilvl="7" w:tplc="A5B8167E" w:tentative="1">
      <w:start w:val="1"/>
      <w:numFmt w:val="bullet"/>
      <w:lvlText w:val="•"/>
      <w:lvlJc w:val="left"/>
      <w:pPr>
        <w:tabs>
          <w:tab w:val="num" w:pos="5760"/>
        </w:tabs>
        <w:ind w:left="5760" w:hanging="360"/>
      </w:pPr>
      <w:rPr>
        <w:rFonts w:ascii="Arial" w:hAnsi="Arial" w:hint="default"/>
      </w:rPr>
    </w:lvl>
    <w:lvl w:ilvl="8" w:tplc="5B32E2F0" w:tentative="1">
      <w:start w:val="1"/>
      <w:numFmt w:val="bullet"/>
      <w:lvlText w:val="•"/>
      <w:lvlJc w:val="left"/>
      <w:pPr>
        <w:tabs>
          <w:tab w:val="num" w:pos="6480"/>
        </w:tabs>
        <w:ind w:left="6480" w:hanging="360"/>
      </w:pPr>
      <w:rPr>
        <w:rFonts w:ascii="Arial" w:hAnsi="Arial" w:hint="default"/>
      </w:rPr>
    </w:lvl>
  </w:abstractNum>
  <w:abstractNum w:abstractNumId="9">
    <w:nsid w:val="248673BE"/>
    <w:multiLevelType w:val="hybridMultilevel"/>
    <w:tmpl w:val="1EC4AF28"/>
    <w:lvl w:ilvl="0" w:tplc="3738D954">
      <w:start w:val="1"/>
      <w:numFmt w:val="bullet"/>
      <w:lvlText w:val="•"/>
      <w:lvlJc w:val="left"/>
      <w:pPr>
        <w:tabs>
          <w:tab w:val="num" w:pos="720"/>
        </w:tabs>
        <w:ind w:left="720" w:hanging="360"/>
      </w:pPr>
      <w:rPr>
        <w:rFonts w:ascii="Arial" w:hAnsi="Arial" w:hint="default"/>
      </w:rPr>
    </w:lvl>
    <w:lvl w:ilvl="1" w:tplc="0809000D">
      <w:start w:val="1"/>
      <w:numFmt w:val="bullet"/>
      <w:lvlText w:val=""/>
      <w:lvlJc w:val="left"/>
      <w:pPr>
        <w:tabs>
          <w:tab w:val="num" w:pos="1440"/>
        </w:tabs>
        <w:ind w:left="1440" w:hanging="360"/>
      </w:pPr>
      <w:rPr>
        <w:rFonts w:ascii="Wingdings" w:hAnsi="Wingdings" w:hint="default"/>
      </w:rPr>
    </w:lvl>
    <w:lvl w:ilvl="2" w:tplc="33128FF6">
      <w:start w:val="1"/>
      <w:numFmt w:val="bullet"/>
      <w:lvlText w:val="•"/>
      <w:lvlJc w:val="left"/>
      <w:pPr>
        <w:tabs>
          <w:tab w:val="num" w:pos="2160"/>
        </w:tabs>
        <w:ind w:left="2160" w:hanging="360"/>
      </w:pPr>
      <w:rPr>
        <w:rFonts w:ascii="Arial" w:hAnsi="Arial" w:hint="default"/>
      </w:rPr>
    </w:lvl>
    <w:lvl w:ilvl="3" w:tplc="69C40BBC" w:tentative="1">
      <w:start w:val="1"/>
      <w:numFmt w:val="bullet"/>
      <w:lvlText w:val="•"/>
      <w:lvlJc w:val="left"/>
      <w:pPr>
        <w:tabs>
          <w:tab w:val="num" w:pos="2880"/>
        </w:tabs>
        <w:ind w:left="2880" w:hanging="360"/>
      </w:pPr>
      <w:rPr>
        <w:rFonts w:ascii="Arial" w:hAnsi="Arial" w:hint="default"/>
      </w:rPr>
    </w:lvl>
    <w:lvl w:ilvl="4" w:tplc="91C4A9E8" w:tentative="1">
      <w:start w:val="1"/>
      <w:numFmt w:val="bullet"/>
      <w:lvlText w:val="•"/>
      <w:lvlJc w:val="left"/>
      <w:pPr>
        <w:tabs>
          <w:tab w:val="num" w:pos="3600"/>
        </w:tabs>
        <w:ind w:left="3600" w:hanging="360"/>
      </w:pPr>
      <w:rPr>
        <w:rFonts w:ascii="Arial" w:hAnsi="Arial" w:hint="default"/>
      </w:rPr>
    </w:lvl>
    <w:lvl w:ilvl="5" w:tplc="DD989118" w:tentative="1">
      <w:start w:val="1"/>
      <w:numFmt w:val="bullet"/>
      <w:lvlText w:val="•"/>
      <w:lvlJc w:val="left"/>
      <w:pPr>
        <w:tabs>
          <w:tab w:val="num" w:pos="4320"/>
        </w:tabs>
        <w:ind w:left="4320" w:hanging="360"/>
      </w:pPr>
      <w:rPr>
        <w:rFonts w:ascii="Arial" w:hAnsi="Arial" w:hint="default"/>
      </w:rPr>
    </w:lvl>
    <w:lvl w:ilvl="6" w:tplc="D9E6EBC6" w:tentative="1">
      <w:start w:val="1"/>
      <w:numFmt w:val="bullet"/>
      <w:lvlText w:val="•"/>
      <w:lvlJc w:val="left"/>
      <w:pPr>
        <w:tabs>
          <w:tab w:val="num" w:pos="5040"/>
        </w:tabs>
        <w:ind w:left="5040" w:hanging="360"/>
      </w:pPr>
      <w:rPr>
        <w:rFonts w:ascii="Arial" w:hAnsi="Arial" w:hint="default"/>
      </w:rPr>
    </w:lvl>
    <w:lvl w:ilvl="7" w:tplc="A5B8167E" w:tentative="1">
      <w:start w:val="1"/>
      <w:numFmt w:val="bullet"/>
      <w:lvlText w:val="•"/>
      <w:lvlJc w:val="left"/>
      <w:pPr>
        <w:tabs>
          <w:tab w:val="num" w:pos="5760"/>
        </w:tabs>
        <w:ind w:left="5760" w:hanging="360"/>
      </w:pPr>
      <w:rPr>
        <w:rFonts w:ascii="Arial" w:hAnsi="Arial" w:hint="default"/>
      </w:rPr>
    </w:lvl>
    <w:lvl w:ilvl="8" w:tplc="5B32E2F0" w:tentative="1">
      <w:start w:val="1"/>
      <w:numFmt w:val="bullet"/>
      <w:lvlText w:val="•"/>
      <w:lvlJc w:val="left"/>
      <w:pPr>
        <w:tabs>
          <w:tab w:val="num" w:pos="6480"/>
        </w:tabs>
        <w:ind w:left="6480" w:hanging="360"/>
      </w:pPr>
      <w:rPr>
        <w:rFonts w:ascii="Arial" w:hAnsi="Arial" w:hint="default"/>
      </w:rPr>
    </w:lvl>
  </w:abstractNum>
  <w:abstractNum w:abstractNumId="10">
    <w:nsid w:val="26082A50"/>
    <w:multiLevelType w:val="hybridMultilevel"/>
    <w:tmpl w:val="CED0A958"/>
    <w:lvl w:ilvl="0" w:tplc="3738D954">
      <w:start w:val="1"/>
      <w:numFmt w:val="bullet"/>
      <w:lvlText w:val="•"/>
      <w:lvlJc w:val="left"/>
      <w:pPr>
        <w:tabs>
          <w:tab w:val="num" w:pos="720"/>
        </w:tabs>
        <w:ind w:left="720" w:hanging="360"/>
      </w:pPr>
      <w:rPr>
        <w:rFonts w:ascii="Arial" w:hAnsi="Arial" w:hint="default"/>
      </w:rPr>
    </w:lvl>
    <w:lvl w:ilvl="1" w:tplc="0809000D">
      <w:start w:val="1"/>
      <w:numFmt w:val="bullet"/>
      <w:lvlText w:val=""/>
      <w:lvlJc w:val="left"/>
      <w:pPr>
        <w:tabs>
          <w:tab w:val="num" w:pos="1440"/>
        </w:tabs>
        <w:ind w:left="1440" w:hanging="360"/>
      </w:pPr>
      <w:rPr>
        <w:rFonts w:ascii="Wingdings" w:hAnsi="Wingdings" w:hint="default"/>
      </w:rPr>
    </w:lvl>
    <w:lvl w:ilvl="2" w:tplc="33128FF6">
      <w:start w:val="1"/>
      <w:numFmt w:val="bullet"/>
      <w:lvlText w:val="•"/>
      <w:lvlJc w:val="left"/>
      <w:pPr>
        <w:tabs>
          <w:tab w:val="num" w:pos="2160"/>
        </w:tabs>
        <w:ind w:left="2160" w:hanging="360"/>
      </w:pPr>
      <w:rPr>
        <w:rFonts w:ascii="Arial" w:hAnsi="Arial" w:hint="default"/>
      </w:rPr>
    </w:lvl>
    <w:lvl w:ilvl="3" w:tplc="69C40BBC" w:tentative="1">
      <w:start w:val="1"/>
      <w:numFmt w:val="bullet"/>
      <w:lvlText w:val="•"/>
      <w:lvlJc w:val="left"/>
      <w:pPr>
        <w:tabs>
          <w:tab w:val="num" w:pos="2880"/>
        </w:tabs>
        <w:ind w:left="2880" w:hanging="360"/>
      </w:pPr>
      <w:rPr>
        <w:rFonts w:ascii="Arial" w:hAnsi="Arial" w:hint="default"/>
      </w:rPr>
    </w:lvl>
    <w:lvl w:ilvl="4" w:tplc="91C4A9E8" w:tentative="1">
      <w:start w:val="1"/>
      <w:numFmt w:val="bullet"/>
      <w:lvlText w:val="•"/>
      <w:lvlJc w:val="left"/>
      <w:pPr>
        <w:tabs>
          <w:tab w:val="num" w:pos="3600"/>
        </w:tabs>
        <w:ind w:left="3600" w:hanging="360"/>
      </w:pPr>
      <w:rPr>
        <w:rFonts w:ascii="Arial" w:hAnsi="Arial" w:hint="default"/>
      </w:rPr>
    </w:lvl>
    <w:lvl w:ilvl="5" w:tplc="DD989118" w:tentative="1">
      <w:start w:val="1"/>
      <w:numFmt w:val="bullet"/>
      <w:lvlText w:val="•"/>
      <w:lvlJc w:val="left"/>
      <w:pPr>
        <w:tabs>
          <w:tab w:val="num" w:pos="4320"/>
        </w:tabs>
        <w:ind w:left="4320" w:hanging="360"/>
      </w:pPr>
      <w:rPr>
        <w:rFonts w:ascii="Arial" w:hAnsi="Arial" w:hint="default"/>
      </w:rPr>
    </w:lvl>
    <w:lvl w:ilvl="6" w:tplc="D9E6EBC6" w:tentative="1">
      <w:start w:val="1"/>
      <w:numFmt w:val="bullet"/>
      <w:lvlText w:val="•"/>
      <w:lvlJc w:val="left"/>
      <w:pPr>
        <w:tabs>
          <w:tab w:val="num" w:pos="5040"/>
        </w:tabs>
        <w:ind w:left="5040" w:hanging="360"/>
      </w:pPr>
      <w:rPr>
        <w:rFonts w:ascii="Arial" w:hAnsi="Arial" w:hint="default"/>
      </w:rPr>
    </w:lvl>
    <w:lvl w:ilvl="7" w:tplc="A5B8167E" w:tentative="1">
      <w:start w:val="1"/>
      <w:numFmt w:val="bullet"/>
      <w:lvlText w:val="•"/>
      <w:lvlJc w:val="left"/>
      <w:pPr>
        <w:tabs>
          <w:tab w:val="num" w:pos="5760"/>
        </w:tabs>
        <w:ind w:left="5760" w:hanging="360"/>
      </w:pPr>
      <w:rPr>
        <w:rFonts w:ascii="Arial" w:hAnsi="Arial" w:hint="default"/>
      </w:rPr>
    </w:lvl>
    <w:lvl w:ilvl="8" w:tplc="5B32E2F0" w:tentative="1">
      <w:start w:val="1"/>
      <w:numFmt w:val="bullet"/>
      <w:lvlText w:val="•"/>
      <w:lvlJc w:val="left"/>
      <w:pPr>
        <w:tabs>
          <w:tab w:val="num" w:pos="6480"/>
        </w:tabs>
        <w:ind w:left="6480" w:hanging="360"/>
      </w:pPr>
      <w:rPr>
        <w:rFonts w:ascii="Arial" w:hAnsi="Arial" w:hint="default"/>
      </w:rPr>
    </w:lvl>
  </w:abstractNum>
  <w:abstractNum w:abstractNumId="11">
    <w:nsid w:val="2A413400"/>
    <w:multiLevelType w:val="hybridMultilevel"/>
    <w:tmpl w:val="21DE9E4E"/>
    <w:lvl w:ilvl="0" w:tplc="0809000D">
      <w:start w:val="1"/>
      <w:numFmt w:val="bullet"/>
      <w:lvlText w:val=""/>
      <w:lvlJc w:val="left"/>
      <w:pPr>
        <w:tabs>
          <w:tab w:val="num" w:pos="1440"/>
        </w:tabs>
        <w:ind w:left="1440" w:hanging="360"/>
      </w:pPr>
      <w:rPr>
        <w:rFonts w:ascii="Wingdings" w:hAnsi="Wingdings" w:hint="default"/>
      </w:rPr>
    </w:lvl>
    <w:lvl w:ilvl="1" w:tplc="20D62BE8">
      <w:start w:val="722"/>
      <w:numFmt w:val="bullet"/>
      <w:lvlText w:val="–"/>
      <w:lvlJc w:val="left"/>
      <w:pPr>
        <w:tabs>
          <w:tab w:val="num" w:pos="2160"/>
        </w:tabs>
        <w:ind w:left="2160" w:hanging="360"/>
      </w:pPr>
      <w:rPr>
        <w:rFonts w:ascii="Arial" w:hAnsi="Arial" w:hint="default"/>
      </w:rPr>
    </w:lvl>
    <w:lvl w:ilvl="2" w:tplc="AEC8E232">
      <w:start w:val="1"/>
      <w:numFmt w:val="bullet"/>
      <w:lvlText w:val="•"/>
      <w:lvlJc w:val="left"/>
      <w:pPr>
        <w:tabs>
          <w:tab w:val="num" w:pos="2880"/>
        </w:tabs>
        <w:ind w:left="2880" w:hanging="360"/>
      </w:pPr>
      <w:rPr>
        <w:rFonts w:ascii="Arial" w:hAnsi="Arial" w:hint="default"/>
      </w:rPr>
    </w:lvl>
    <w:lvl w:ilvl="3" w:tplc="57920418" w:tentative="1">
      <w:start w:val="1"/>
      <w:numFmt w:val="bullet"/>
      <w:lvlText w:val="•"/>
      <w:lvlJc w:val="left"/>
      <w:pPr>
        <w:tabs>
          <w:tab w:val="num" w:pos="3600"/>
        </w:tabs>
        <w:ind w:left="3600" w:hanging="360"/>
      </w:pPr>
      <w:rPr>
        <w:rFonts w:ascii="Arial" w:hAnsi="Arial" w:hint="default"/>
      </w:rPr>
    </w:lvl>
    <w:lvl w:ilvl="4" w:tplc="74D44914" w:tentative="1">
      <w:start w:val="1"/>
      <w:numFmt w:val="bullet"/>
      <w:lvlText w:val="•"/>
      <w:lvlJc w:val="left"/>
      <w:pPr>
        <w:tabs>
          <w:tab w:val="num" w:pos="4320"/>
        </w:tabs>
        <w:ind w:left="4320" w:hanging="360"/>
      </w:pPr>
      <w:rPr>
        <w:rFonts w:ascii="Arial" w:hAnsi="Arial" w:hint="default"/>
      </w:rPr>
    </w:lvl>
    <w:lvl w:ilvl="5" w:tplc="0316ABF6" w:tentative="1">
      <w:start w:val="1"/>
      <w:numFmt w:val="bullet"/>
      <w:lvlText w:val="•"/>
      <w:lvlJc w:val="left"/>
      <w:pPr>
        <w:tabs>
          <w:tab w:val="num" w:pos="5040"/>
        </w:tabs>
        <w:ind w:left="5040" w:hanging="360"/>
      </w:pPr>
      <w:rPr>
        <w:rFonts w:ascii="Arial" w:hAnsi="Arial" w:hint="default"/>
      </w:rPr>
    </w:lvl>
    <w:lvl w:ilvl="6" w:tplc="9BDE3068" w:tentative="1">
      <w:start w:val="1"/>
      <w:numFmt w:val="bullet"/>
      <w:lvlText w:val="•"/>
      <w:lvlJc w:val="left"/>
      <w:pPr>
        <w:tabs>
          <w:tab w:val="num" w:pos="5760"/>
        </w:tabs>
        <w:ind w:left="5760" w:hanging="360"/>
      </w:pPr>
      <w:rPr>
        <w:rFonts w:ascii="Arial" w:hAnsi="Arial" w:hint="default"/>
      </w:rPr>
    </w:lvl>
    <w:lvl w:ilvl="7" w:tplc="5E0ED646" w:tentative="1">
      <w:start w:val="1"/>
      <w:numFmt w:val="bullet"/>
      <w:lvlText w:val="•"/>
      <w:lvlJc w:val="left"/>
      <w:pPr>
        <w:tabs>
          <w:tab w:val="num" w:pos="6480"/>
        </w:tabs>
        <w:ind w:left="6480" w:hanging="360"/>
      </w:pPr>
      <w:rPr>
        <w:rFonts w:ascii="Arial" w:hAnsi="Arial" w:hint="default"/>
      </w:rPr>
    </w:lvl>
    <w:lvl w:ilvl="8" w:tplc="E8746604" w:tentative="1">
      <w:start w:val="1"/>
      <w:numFmt w:val="bullet"/>
      <w:lvlText w:val="•"/>
      <w:lvlJc w:val="left"/>
      <w:pPr>
        <w:tabs>
          <w:tab w:val="num" w:pos="7200"/>
        </w:tabs>
        <w:ind w:left="7200" w:hanging="360"/>
      </w:pPr>
      <w:rPr>
        <w:rFonts w:ascii="Arial" w:hAnsi="Arial" w:hint="default"/>
      </w:rPr>
    </w:lvl>
  </w:abstractNum>
  <w:abstractNum w:abstractNumId="12">
    <w:nsid w:val="2BDA06A6"/>
    <w:multiLevelType w:val="hybridMultilevel"/>
    <w:tmpl w:val="ECCA8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24A6D94"/>
    <w:multiLevelType w:val="hybridMultilevel"/>
    <w:tmpl w:val="112058D2"/>
    <w:lvl w:ilvl="0" w:tplc="FE24526A">
      <w:start w:val="1"/>
      <w:numFmt w:val="bullet"/>
      <w:lvlText w:val="•"/>
      <w:lvlJc w:val="left"/>
      <w:pPr>
        <w:tabs>
          <w:tab w:val="num" w:pos="720"/>
        </w:tabs>
        <w:ind w:left="720" w:hanging="360"/>
      </w:pPr>
      <w:rPr>
        <w:rFonts w:ascii="Arial" w:hAnsi="Arial" w:hint="default"/>
      </w:rPr>
    </w:lvl>
    <w:lvl w:ilvl="1" w:tplc="20D62BE8">
      <w:start w:val="722"/>
      <w:numFmt w:val="bullet"/>
      <w:lvlText w:val="–"/>
      <w:lvlJc w:val="left"/>
      <w:pPr>
        <w:tabs>
          <w:tab w:val="num" w:pos="1440"/>
        </w:tabs>
        <w:ind w:left="1440" w:hanging="360"/>
      </w:pPr>
      <w:rPr>
        <w:rFonts w:ascii="Arial" w:hAnsi="Arial" w:hint="default"/>
      </w:rPr>
    </w:lvl>
    <w:lvl w:ilvl="2" w:tplc="AEC8E232">
      <w:start w:val="1"/>
      <w:numFmt w:val="bullet"/>
      <w:lvlText w:val="•"/>
      <w:lvlJc w:val="left"/>
      <w:pPr>
        <w:tabs>
          <w:tab w:val="num" w:pos="2160"/>
        </w:tabs>
        <w:ind w:left="2160" w:hanging="360"/>
      </w:pPr>
      <w:rPr>
        <w:rFonts w:ascii="Arial" w:hAnsi="Arial" w:hint="default"/>
      </w:rPr>
    </w:lvl>
    <w:lvl w:ilvl="3" w:tplc="57920418" w:tentative="1">
      <w:start w:val="1"/>
      <w:numFmt w:val="bullet"/>
      <w:lvlText w:val="•"/>
      <w:lvlJc w:val="left"/>
      <w:pPr>
        <w:tabs>
          <w:tab w:val="num" w:pos="2880"/>
        </w:tabs>
        <w:ind w:left="2880" w:hanging="360"/>
      </w:pPr>
      <w:rPr>
        <w:rFonts w:ascii="Arial" w:hAnsi="Arial" w:hint="default"/>
      </w:rPr>
    </w:lvl>
    <w:lvl w:ilvl="4" w:tplc="74D44914" w:tentative="1">
      <w:start w:val="1"/>
      <w:numFmt w:val="bullet"/>
      <w:lvlText w:val="•"/>
      <w:lvlJc w:val="left"/>
      <w:pPr>
        <w:tabs>
          <w:tab w:val="num" w:pos="3600"/>
        </w:tabs>
        <w:ind w:left="3600" w:hanging="360"/>
      </w:pPr>
      <w:rPr>
        <w:rFonts w:ascii="Arial" w:hAnsi="Arial" w:hint="default"/>
      </w:rPr>
    </w:lvl>
    <w:lvl w:ilvl="5" w:tplc="0316ABF6" w:tentative="1">
      <w:start w:val="1"/>
      <w:numFmt w:val="bullet"/>
      <w:lvlText w:val="•"/>
      <w:lvlJc w:val="left"/>
      <w:pPr>
        <w:tabs>
          <w:tab w:val="num" w:pos="4320"/>
        </w:tabs>
        <w:ind w:left="4320" w:hanging="360"/>
      </w:pPr>
      <w:rPr>
        <w:rFonts w:ascii="Arial" w:hAnsi="Arial" w:hint="default"/>
      </w:rPr>
    </w:lvl>
    <w:lvl w:ilvl="6" w:tplc="9BDE3068" w:tentative="1">
      <w:start w:val="1"/>
      <w:numFmt w:val="bullet"/>
      <w:lvlText w:val="•"/>
      <w:lvlJc w:val="left"/>
      <w:pPr>
        <w:tabs>
          <w:tab w:val="num" w:pos="5040"/>
        </w:tabs>
        <w:ind w:left="5040" w:hanging="360"/>
      </w:pPr>
      <w:rPr>
        <w:rFonts w:ascii="Arial" w:hAnsi="Arial" w:hint="default"/>
      </w:rPr>
    </w:lvl>
    <w:lvl w:ilvl="7" w:tplc="5E0ED646" w:tentative="1">
      <w:start w:val="1"/>
      <w:numFmt w:val="bullet"/>
      <w:lvlText w:val="•"/>
      <w:lvlJc w:val="left"/>
      <w:pPr>
        <w:tabs>
          <w:tab w:val="num" w:pos="5760"/>
        </w:tabs>
        <w:ind w:left="5760" w:hanging="360"/>
      </w:pPr>
      <w:rPr>
        <w:rFonts w:ascii="Arial" w:hAnsi="Arial" w:hint="default"/>
      </w:rPr>
    </w:lvl>
    <w:lvl w:ilvl="8" w:tplc="E8746604" w:tentative="1">
      <w:start w:val="1"/>
      <w:numFmt w:val="bullet"/>
      <w:lvlText w:val="•"/>
      <w:lvlJc w:val="left"/>
      <w:pPr>
        <w:tabs>
          <w:tab w:val="num" w:pos="6480"/>
        </w:tabs>
        <w:ind w:left="6480" w:hanging="360"/>
      </w:pPr>
      <w:rPr>
        <w:rFonts w:ascii="Arial" w:hAnsi="Arial" w:hint="default"/>
      </w:rPr>
    </w:lvl>
  </w:abstractNum>
  <w:abstractNum w:abstractNumId="14">
    <w:nsid w:val="47A140B0"/>
    <w:multiLevelType w:val="hybridMultilevel"/>
    <w:tmpl w:val="E612D0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9C5490F"/>
    <w:multiLevelType w:val="hybridMultilevel"/>
    <w:tmpl w:val="B4800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AF140D5"/>
    <w:multiLevelType w:val="hybridMultilevel"/>
    <w:tmpl w:val="C0922E16"/>
    <w:lvl w:ilvl="0" w:tplc="3738D954">
      <w:start w:val="1"/>
      <w:numFmt w:val="bullet"/>
      <w:lvlText w:val="•"/>
      <w:lvlJc w:val="left"/>
      <w:pPr>
        <w:tabs>
          <w:tab w:val="num" w:pos="720"/>
        </w:tabs>
        <w:ind w:left="720" w:hanging="360"/>
      </w:pPr>
      <w:rPr>
        <w:rFonts w:ascii="Arial" w:hAnsi="Arial" w:hint="default"/>
      </w:rPr>
    </w:lvl>
    <w:lvl w:ilvl="1" w:tplc="0809000D">
      <w:start w:val="1"/>
      <w:numFmt w:val="bullet"/>
      <w:lvlText w:val=""/>
      <w:lvlJc w:val="left"/>
      <w:pPr>
        <w:tabs>
          <w:tab w:val="num" w:pos="1440"/>
        </w:tabs>
        <w:ind w:left="1440" w:hanging="360"/>
      </w:pPr>
      <w:rPr>
        <w:rFonts w:ascii="Wingdings" w:hAnsi="Wingdings" w:hint="default"/>
      </w:rPr>
    </w:lvl>
    <w:lvl w:ilvl="2" w:tplc="33128FF6">
      <w:start w:val="1"/>
      <w:numFmt w:val="bullet"/>
      <w:lvlText w:val="•"/>
      <w:lvlJc w:val="left"/>
      <w:pPr>
        <w:tabs>
          <w:tab w:val="num" w:pos="2160"/>
        </w:tabs>
        <w:ind w:left="2160" w:hanging="360"/>
      </w:pPr>
      <w:rPr>
        <w:rFonts w:ascii="Arial" w:hAnsi="Arial" w:hint="default"/>
      </w:rPr>
    </w:lvl>
    <w:lvl w:ilvl="3" w:tplc="69C40BBC" w:tentative="1">
      <w:start w:val="1"/>
      <w:numFmt w:val="bullet"/>
      <w:lvlText w:val="•"/>
      <w:lvlJc w:val="left"/>
      <w:pPr>
        <w:tabs>
          <w:tab w:val="num" w:pos="2880"/>
        </w:tabs>
        <w:ind w:left="2880" w:hanging="360"/>
      </w:pPr>
      <w:rPr>
        <w:rFonts w:ascii="Arial" w:hAnsi="Arial" w:hint="default"/>
      </w:rPr>
    </w:lvl>
    <w:lvl w:ilvl="4" w:tplc="91C4A9E8" w:tentative="1">
      <w:start w:val="1"/>
      <w:numFmt w:val="bullet"/>
      <w:lvlText w:val="•"/>
      <w:lvlJc w:val="left"/>
      <w:pPr>
        <w:tabs>
          <w:tab w:val="num" w:pos="3600"/>
        </w:tabs>
        <w:ind w:left="3600" w:hanging="360"/>
      </w:pPr>
      <w:rPr>
        <w:rFonts w:ascii="Arial" w:hAnsi="Arial" w:hint="default"/>
      </w:rPr>
    </w:lvl>
    <w:lvl w:ilvl="5" w:tplc="DD989118" w:tentative="1">
      <w:start w:val="1"/>
      <w:numFmt w:val="bullet"/>
      <w:lvlText w:val="•"/>
      <w:lvlJc w:val="left"/>
      <w:pPr>
        <w:tabs>
          <w:tab w:val="num" w:pos="4320"/>
        </w:tabs>
        <w:ind w:left="4320" w:hanging="360"/>
      </w:pPr>
      <w:rPr>
        <w:rFonts w:ascii="Arial" w:hAnsi="Arial" w:hint="default"/>
      </w:rPr>
    </w:lvl>
    <w:lvl w:ilvl="6" w:tplc="D9E6EBC6" w:tentative="1">
      <w:start w:val="1"/>
      <w:numFmt w:val="bullet"/>
      <w:lvlText w:val="•"/>
      <w:lvlJc w:val="left"/>
      <w:pPr>
        <w:tabs>
          <w:tab w:val="num" w:pos="5040"/>
        </w:tabs>
        <w:ind w:left="5040" w:hanging="360"/>
      </w:pPr>
      <w:rPr>
        <w:rFonts w:ascii="Arial" w:hAnsi="Arial" w:hint="default"/>
      </w:rPr>
    </w:lvl>
    <w:lvl w:ilvl="7" w:tplc="A5B8167E" w:tentative="1">
      <w:start w:val="1"/>
      <w:numFmt w:val="bullet"/>
      <w:lvlText w:val="•"/>
      <w:lvlJc w:val="left"/>
      <w:pPr>
        <w:tabs>
          <w:tab w:val="num" w:pos="5760"/>
        </w:tabs>
        <w:ind w:left="5760" w:hanging="360"/>
      </w:pPr>
      <w:rPr>
        <w:rFonts w:ascii="Arial" w:hAnsi="Arial" w:hint="default"/>
      </w:rPr>
    </w:lvl>
    <w:lvl w:ilvl="8" w:tplc="5B32E2F0" w:tentative="1">
      <w:start w:val="1"/>
      <w:numFmt w:val="bullet"/>
      <w:lvlText w:val="•"/>
      <w:lvlJc w:val="left"/>
      <w:pPr>
        <w:tabs>
          <w:tab w:val="num" w:pos="6480"/>
        </w:tabs>
        <w:ind w:left="6480" w:hanging="360"/>
      </w:pPr>
      <w:rPr>
        <w:rFonts w:ascii="Arial" w:hAnsi="Arial" w:hint="default"/>
      </w:rPr>
    </w:lvl>
  </w:abstractNum>
  <w:abstractNum w:abstractNumId="17">
    <w:nsid w:val="668A1461"/>
    <w:multiLevelType w:val="hybridMultilevel"/>
    <w:tmpl w:val="28269272"/>
    <w:lvl w:ilvl="0" w:tplc="0809000D">
      <w:start w:val="1"/>
      <w:numFmt w:val="bullet"/>
      <w:lvlText w:val=""/>
      <w:lvlJc w:val="left"/>
      <w:pPr>
        <w:ind w:left="720" w:hanging="360"/>
      </w:pPr>
      <w:rPr>
        <w:rFonts w:ascii="Wingdings" w:hAnsi="Wingdings"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1A10661"/>
    <w:multiLevelType w:val="multilevel"/>
    <w:tmpl w:val="C4FA358E"/>
    <w:lvl w:ilvl="0">
      <w:start w:val="1"/>
      <w:numFmt w:val="decimal"/>
      <w:lvlText w:val="%1."/>
      <w:lvlJc w:val="left"/>
      <w:pPr>
        <w:ind w:left="720" w:hanging="360"/>
      </w:pPr>
      <w:rPr>
        <w:rFonts w:hint="default"/>
        <w:b/>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nsid w:val="73D326EB"/>
    <w:multiLevelType w:val="hybridMultilevel"/>
    <w:tmpl w:val="85FED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6921768"/>
    <w:multiLevelType w:val="hybridMultilevel"/>
    <w:tmpl w:val="C53E8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7775D89"/>
    <w:multiLevelType w:val="hybridMultilevel"/>
    <w:tmpl w:val="501A4644"/>
    <w:lvl w:ilvl="0" w:tplc="3738D954">
      <w:start w:val="1"/>
      <w:numFmt w:val="bullet"/>
      <w:lvlText w:val="•"/>
      <w:lvlJc w:val="left"/>
      <w:pPr>
        <w:tabs>
          <w:tab w:val="num" w:pos="720"/>
        </w:tabs>
        <w:ind w:left="720" w:hanging="360"/>
      </w:pPr>
      <w:rPr>
        <w:rFonts w:ascii="Arial" w:hAnsi="Arial" w:hint="default"/>
      </w:rPr>
    </w:lvl>
    <w:lvl w:ilvl="1" w:tplc="0809000D">
      <w:start w:val="1"/>
      <w:numFmt w:val="bullet"/>
      <w:lvlText w:val=""/>
      <w:lvlJc w:val="left"/>
      <w:pPr>
        <w:tabs>
          <w:tab w:val="num" w:pos="1440"/>
        </w:tabs>
        <w:ind w:left="1440" w:hanging="360"/>
      </w:pPr>
      <w:rPr>
        <w:rFonts w:ascii="Wingdings" w:hAnsi="Wingdings" w:hint="default"/>
      </w:rPr>
    </w:lvl>
    <w:lvl w:ilvl="2" w:tplc="33128FF6">
      <w:start w:val="1"/>
      <w:numFmt w:val="bullet"/>
      <w:lvlText w:val="•"/>
      <w:lvlJc w:val="left"/>
      <w:pPr>
        <w:tabs>
          <w:tab w:val="num" w:pos="2160"/>
        </w:tabs>
        <w:ind w:left="2160" w:hanging="360"/>
      </w:pPr>
      <w:rPr>
        <w:rFonts w:ascii="Arial" w:hAnsi="Arial" w:hint="default"/>
      </w:rPr>
    </w:lvl>
    <w:lvl w:ilvl="3" w:tplc="69C40BBC" w:tentative="1">
      <w:start w:val="1"/>
      <w:numFmt w:val="bullet"/>
      <w:lvlText w:val="•"/>
      <w:lvlJc w:val="left"/>
      <w:pPr>
        <w:tabs>
          <w:tab w:val="num" w:pos="2880"/>
        </w:tabs>
        <w:ind w:left="2880" w:hanging="360"/>
      </w:pPr>
      <w:rPr>
        <w:rFonts w:ascii="Arial" w:hAnsi="Arial" w:hint="default"/>
      </w:rPr>
    </w:lvl>
    <w:lvl w:ilvl="4" w:tplc="91C4A9E8" w:tentative="1">
      <w:start w:val="1"/>
      <w:numFmt w:val="bullet"/>
      <w:lvlText w:val="•"/>
      <w:lvlJc w:val="left"/>
      <w:pPr>
        <w:tabs>
          <w:tab w:val="num" w:pos="3600"/>
        </w:tabs>
        <w:ind w:left="3600" w:hanging="360"/>
      </w:pPr>
      <w:rPr>
        <w:rFonts w:ascii="Arial" w:hAnsi="Arial" w:hint="default"/>
      </w:rPr>
    </w:lvl>
    <w:lvl w:ilvl="5" w:tplc="DD989118" w:tentative="1">
      <w:start w:val="1"/>
      <w:numFmt w:val="bullet"/>
      <w:lvlText w:val="•"/>
      <w:lvlJc w:val="left"/>
      <w:pPr>
        <w:tabs>
          <w:tab w:val="num" w:pos="4320"/>
        </w:tabs>
        <w:ind w:left="4320" w:hanging="360"/>
      </w:pPr>
      <w:rPr>
        <w:rFonts w:ascii="Arial" w:hAnsi="Arial" w:hint="default"/>
      </w:rPr>
    </w:lvl>
    <w:lvl w:ilvl="6" w:tplc="D9E6EBC6" w:tentative="1">
      <w:start w:val="1"/>
      <w:numFmt w:val="bullet"/>
      <w:lvlText w:val="•"/>
      <w:lvlJc w:val="left"/>
      <w:pPr>
        <w:tabs>
          <w:tab w:val="num" w:pos="5040"/>
        </w:tabs>
        <w:ind w:left="5040" w:hanging="360"/>
      </w:pPr>
      <w:rPr>
        <w:rFonts w:ascii="Arial" w:hAnsi="Arial" w:hint="default"/>
      </w:rPr>
    </w:lvl>
    <w:lvl w:ilvl="7" w:tplc="A5B8167E" w:tentative="1">
      <w:start w:val="1"/>
      <w:numFmt w:val="bullet"/>
      <w:lvlText w:val="•"/>
      <w:lvlJc w:val="left"/>
      <w:pPr>
        <w:tabs>
          <w:tab w:val="num" w:pos="5760"/>
        </w:tabs>
        <w:ind w:left="5760" w:hanging="360"/>
      </w:pPr>
      <w:rPr>
        <w:rFonts w:ascii="Arial" w:hAnsi="Arial" w:hint="default"/>
      </w:rPr>
    </w:lvl>
    <w:lvl w:ilvl="8" w:tplc="5B32E2F0" w:tentative="1">
      <w:start w:val="1"/>
      <w:numFmt w:val="bullet"/>
      <w:lvlText w:val="•"/>
      <w:lvlJc w:val="left"/>
      <w:pPr>
        <w:tabs>
          <w:tab w:val="num" w:pos="6480"/>
        </w:tabs>
        <w:ind w:left="6480" w:hanging="360"/>
      </w:pPr>
      <w:rPr>
        <w:rFonts w:ascii="Arial" w:hAnsi="Arial" w:hint="default"/>
      </w:rPr>
    </w:lvl>
  </w:abstractNum>
  <w:abstractNum w:abstractNumId="22">
    <w:nsid w:val="7B507450"/>
    <w:multiLevelType w:val="hybridMultilevel"/>
    <w:tmpl w:val="F4C48B5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5"/>
  </w:num>
  <w:num w:numId="3">
    <w:abstractNumId w:val="0"/>
  </w:num>
  <w:num w:numId="4">
    <w:abstractNumId w:val="18"/>
  </w:num>
  <w:num w:numId="5">
    <w:abstractNumId w:val="20"/>
  </w:num>
  <w:num w:numId="6">
    <w:abstractNumId w:val="3"/>
  </w:num>
  <w:num w:numId="7">
    <w:abstractNumId w:val="21"/>
  </w:num>
  <w:num w:numId="8">
    <w:abstractNumId w:val="9"/>
  </w:num>
  <w:num w:numId="9">
    <w:abstractNumId w:val="5"/>
  </w:num>
  <w:num w:numId="10">
    <w:abstractNumId w:val="8"/>
  </w:num>
  <w:num w:numId="11">
    <w:abstractNumId w:val="10"/>
  </w:num>
  <w:num w:numId="12">
    <w:abstractNumId w:val="16"/>
  </w:num>
  <w:num w:numId="13">
    <w:abstractNumId w:val="2"/>
  </w:num>
  <w:num w:numId="14">
    <w:abstractNumId w:val="1"/>
  </w:num>
  <w:num w:numId="15">
    <w:abstractNumId w:val="19"/>
  </w:num>
  <w:num w:numId="16">
    <w:abstractNumId w:val="14"/>
  </w:num>
  <w:num w:numId="17">
    <w:abstractNumId w:val="7"/>
  </w:num>
  <w:num w:numId="18">
    <w:abstractNumId w:val="4"/>
  </w:num>
  <w:num w:numId="19">
    <w:abstractNumId w:val="22"/>
  </w:num>
  <w:num w:numId="20">
    <w:abstractNumId w:val="12"/>
  </w:num>
  <w:num w:numId="21">
    <w:abstractNumId w:val="13"/>
  </w:num>
  <w:num w:numId="22">
    <w:abstractNumId w:val="17"/>
  </w:num>
  <w:num w:numId="23">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92546C"/>
    <w:rsid w:val="00002468"/>
    <w:rsid w:val="00003BAC"/>
    <w:rsid w:val="00005BBC"/>
    <w:rsid w:val="00006E07"/>
    <w:rsid w:val="000257B0"/>
    <w:rsid w:val="000274FB"/>
    <w:rsid w:val="000350E4"/>
    <w:rsid w:val="0004376B"/>
    <w:rsid w:val="0004594E"/>
    <w:rsid w:val="00047D95"/>
    <w:rsid w:val="0005024B"/>
    <w:rsid w:val="00050BAF"/>
    <w:rsid w:val="00060076"/>
    <w:rsid w:val="0006198F"/>
    <w:rsid w:val="00070613"/>
    <w:rsid w:val="00075CDB"/>
    <w:rsid w:val="0007695D"/>
    <w:rsid w:val="000771D2"/>
    <w:rsid w:val="000833CC"/>
    <w:rsid w:val="00083852"/>
    <w:rsid w:val="00084AC8"/>
    <w:rsid w:val="00087F1C"/>
    <w:rsid w:val="000944A6"/>
    <w:rsid w:val="000952C3"/>
    <w:rsid w:val="00095DF8"/>
    <w:rsid w:val="00096E41"/>
    <w:rsid w:val="000976E0"/>
    <w:rsid w:val="000A2E3E"/>
    <w:rsid w:val="000A554D"/>
    <w:rsid w:val="000A7EB7"/>
    <w:rsid w:val="000B1D46"/>
    <w:rsid w:val="000B4A33"/>
    <w:rsid w:val="000B5B70"/>
    <w:rsid w:val="000B6969"/>
    <w:rsid w:val="000B7916"/>
    <w:rsid w:val="000C416B"/>
    <w:rsid w:val="000C4D3C"/>
    <w:rsid w:val="000C6B2B"/>
    <w:rsid w:val="000C70E4"/>
    <w:rsid w:val="000D1426"/>
    <w:rsid w:val="000D1B0D"/>
    <w:rsid w:val="000D2E77"/>
    <w:rsid w:val="000E21AA"/>
    <w:rsid w:val="000E66B6"/>
    <w:rsid w:val="000F41A8"/>
    <w:rsid w:val="000F4974"/>
    <w:rsid w:val="000F54E7"/>
    <w:rsid w:val="000F746B"/>
    <w:rsid w:val="00100FD9"/>
    <w:rsid w:val="001023FA"/>
    <w:rsid w:val="00107535"/>
    <w:rsid w:val="00114A2F"/>
    <w:rsid w:val="0012144A"/>
    <w:rsid w:val="0012326C"/>
    <w:rsid w:val="00126472"/>
    <w:rsid w:val="001333A9"/>
    <w:rsid w:val="00133DE1"/>
    <w:rsid w:val="0013468B"/>
    <w:rsid w:val="0013656D"/>
    <w:rsid w:val="00136B75"/>
    <w:rsid w:val="0014170F"/>
    <w:rsid w:val="00145099"/>
    <w:rsid w:val="00146A19"/>
    <w:rsid w:val="00152879"/>
    <w:rsid w:val="00152C13"/>
    <w:rsid w:val="00152FAC"/>
    <w:rsid w:val="00153035"/>
    <w:rsid w:val="00154D61"/>
    <w:rsid w:val="00154EB5"/>
    <w:rsid w:val="001556E0"/>
    <w:rsid w:val="00157CC8"/>
    <w:rsid w:val="00160A60"/>
    <w:rsid w:val="0016479A"/>
    <w:rsid w:val="00166815"/>
    <w:rsid w:val="00176707"/>
    <w:rsid w:val="0018421C"/>
    <w:rsid w:val="00192D16"/>
    <w:rsid w:val="00193BB3"/>
    <w:rsid w:val="00197E49"/>
    <w:rsid w:val="001B143C"/>
    <w:rsid w:val="001B16A1"/>
    <w:rsid w:val="001B786A"/>
    <w:rsid w:val="001B7B61"/>
    <w:rsid w:val="001C03F7"/>
    <w:rsid w:val="001D2055"/>
    <w:rsid w:val="001D50B5"/>
    <w:rsid w:val="001D6035"/>
    <w:rsid w:val="001D6455"/>
    <w:rsid w:val="001E2B21"/>
    <w:rsid w:val="001E3408"/>
    <w:rsid w:val="001E454C"/>
    <w:rsid w:val="001E51B0"/>
    <w:rsid w:val="001F167A"/>
    <w:rsid w:val="00203C25"/>
    <w:rsid w:val="002044CF"/>
    <w:rsid w:val="00213733"/>
    <w:rsid w:val="00213942"/>
    <w:rsid w:val="002250E1"/>
    <w:rsid w:val="00227AB2"/>
    <w:rsid w:val="00231234"/>
    <w:rsid w:val="00246A4E"/>
    <w:rsid w:val="00246EFA"/>
    <w:rsid w:val="00256067"/>
    <w:rsid w:val="002636B3"/>
    <w:rsid w:val="0027011A"/>
    <w:rsid w:val="00271442"/>
    <w:rsid w:val="002803C2"/>
    <w:rsid w:val="00280FD9"/>
    <w:rsid w:val="00281200"/>
    <w:rsid w:val="00282A26"/>
    <w:rsid w:val="0028310B"/>
    <w:rsid w:val="0028419C"/>
    <w:rsid w:val="0028618A"/>
    <w:rsid w:val="00290124"/>
    <w:rsid w:val="00296EE5"/>
    <w:rsid w:val="00297BF1"/>
    <w:rsid w:val="002A0363"/>
    <w:rsid w:val="002A199E"/>
    <w:rsid w:val="002A2751"/>
    <w:rsid w:val="002A7028"/>
    <w:rsid w:val="002B27D3"/>
    <w:rsid w:val="002B302B"/>
    <w:rsid w:val="002C1EBC"/>
    <w:rsid w:val="002C3030"/>
    <w:rsid w:val="002C4504"/>
    <w:rsid w:val="002C47E4"/>
    <w:rsid w:val="002C51A6"/>
    <w:rsid w:val="002D114F"/>
    <w:rsid w:val="002D15A9"/>
    <w:rsid w:val="002D594D"/>
    <w:rsid w:val="002E204E"/>
    <w:rsid w:val="002E41D1"/>
    <w:rsid w:val="002E478C"/>
    <w:rsid w:val="002F277D"/>
    <w:rsid w:val="002F43D7"/>
    <w:rsid w:val="0031091B"/>
    <w:rsid w:val="003146BA"/>
    <w:rsid w:val="00316A2D"/>
    <w:rsid w:val="00320168"/>
    <w:rsid w:val="00321347"/>
    <w:rsid w:val="00324513"/>
    <w:rsid w:val="00326DBC"/>
    <w:rsid w:val="0033418E"/>
    <w:rsid w:val="003375B0"/>
    <w:rsid w:val="00343D58"/>
    <w:rsid w:val="0034526F"/>
    <w:rsid w:val="00346797"/>
    <w:rsid w:val="00346F94"/>
    <w:rsid w:val="00350D19"/>
    <w:rsid w:val="00351078"/>
    <w:rsid w:val="00351374"/>
    <w:rsid w:val="00352BA3"/>
    <w:rsid w:val="00355B9A"/>
    <w:rsid w:val="00356E07"/>
    <w:rsid w:val="00365DBE"/>
    <w:rsid w:val="00376F6E"/>
    <w:rsid w:val="00377F53"/>
    <w:rsid w:val="00384283"/>
    <w:rsid w:val="0038601A"/>
    <w:rsid w:val="00386E77"/>
    <w:rsid w:val="00387E22"/>
    <w:rsid w:val="00390278"/>
    <w:rsid w:val="00391095"/>
    <w:rsid w:val="00394795"/>
    <w:rsid w:val="0039510D"/>
    <w:rsid w:val="003A0F4D"/>
    <w:rsid w:val="003A27FD"/>
    <w:rsid w:val="003A62B7"/>
    <w:rsid w:val="003B19AD"/>
    <w:rsid w:val="003B4CEF"/>
    <w:rsid w:val="003B7D1C"/>
    <w:rsid w:val="003C09E8"/>
    <w:rsid w:val="003C0EC4"/>
    <w:rsid w:val="003D0191"/>
    <w:rsid w:val="003D7845"/>
    <w:rsid w:val="003E298A"/>
    <w:rsid w:val="003E3415"/>
    <w:rsid w:val="003E3F7C"/>
    <w:rsid w:val="003F30ED"/>
    <w:rsid w:val="0040051A"/>
    <w:rsid w:val="004058DB"/>
    <w:rsid w:val="00407B68"/>
    <w:rsid w:val="0041636A"/>
    <w:rsid w:val="004168AE"/>
    <w:rsid w:val="00417C6B"/>
    <w:rsid w:val="004228C3"/>
    <w:rsid w:val="00430D42"/>
    <w:rsid w:val="00431D57"/>
    <w:rsid w:val="004353EC"/>
    <w:rsid w:val="00435B4E"/>
    <w:rsid w:val="004421D6"/>
    <w:rsid w:val="00447314"/>
    <w:rsid w:val="0044754D"/>
    <w:rsid w:val="00447E0D"/>
    <w:rsid w:val="00453E4B"/>
    <w:rsid w:val="004564B8"/>
    <w:rsid w:val="0046114F"/>
    <w:rsid w:val="00462732"/>
    <w:rsid w:val="004657A4"/>
    <w:rsid w:val="004668C0"/>
    <w:rsid w:val="004673F8"/>
    <w:rsid w:val="004739B5"/>
    <w:rsid w:val="00473CC5"/>
    <w:rsid w:val="00475962"/>
    <w:rsid w:val="00482B9D"/>
    <w:rsid w:val="00483CDA"/>
    <w:rsid w:val="00484085"/>
    <w:rsid w:val="00493295"/>
    <w:rsid w:val="00497EBF"/>
    <w:rsid w:val="004A18DD"/>
    <w:rsid w:val="004A1933"/>
    <w:rsid w:val="004A6D6C"/>
    <w:rsid w:val="004A6EFD"/>
    <w:rsid w:val="004B597D"/>
    <w:rsid w:val="004B6252"/>
    <w:rsid w:val="004C3542"/>
    <w:rsid w:val="004C3EAD"/>
    <w:rsid w:val="004C4025"/>
    <w:rsid w:val="004C4158"/>
    <w:rsid w:val="004C41EB"/>
    <w:rsid w:val="004C5B99"/>
    <w:rsid w:val="004C5CEA"/>
    <w:rsid w:val="004D2BBE"/>
    <w:rsid w:val="004D5DC0"/>
    <w:rsid w:val="004E0257"/>
    <w:rsid w:val="004E0F7C"/>
    <w:rsid w:val="004E32B2"/>
    <w:rsid w:val="004E32B5"/>
    <w:rsid w:val="004E58C8"/>
    <w:rsid w:val="004F38F5"/>
    <w:rsid w:val="004F3950"/>
    <w:rsid w:val="004F5317"/>
    <w:rsid w:val="005003DC"/>
    <w:rsid w:val="00502FE5"/>
    <w:rsid w:val="005071CC"/>
    <w:rsid w:val="00517BA2"/>
    <w:rsid w:val="00517CE1"/>
    <w:rsid w:val="00526AA2"/>
    <w:rsid w:val="005272CD"/>
    <w:rsid w:val="005321EF"/>
    <w:rsid w:val="00533EF1"/>
    <w:rsid w:val="00542F91"/>
    <w:rsid w:val="0054308A"/>
    <w:rsid w:val="005434A5"/>
    <w:rsid w:val="005434B1"/>
    <w:rsid w:val="00543BEC"/>
    <w:rsid w:val="0054612F"/>
    <w:rsid w:val="00550508"/>
    <w:rsid w:val="0055215C"/>
    <w:rsid w:val="00555B62"/>
    <w:rsid w:val="00556ADD"/>
    <w:rsid w:val="0056797D"/>
    <w:rsid w:val="00571A8C"/>
    <w:rsid w:val="0058163A"/>
    <w:rsid w:val="00592F7B"/>
    <w:rsid w:val="0059326B"/>
    <w:rsid w:val="00594A92"/>
    <w:rsid w:val="00595080"/>
    <w:rsid w:val="005A0D0A"/>
    <w:rsid w:val="005A25BD"/>
    <w:rsid w:val="005A4EC5"/>
    <w:rsid w:val="005A53D1"/>
    <w:rsid w:val="005A712D"/>
    <w:rsid w:val="005B0C13"/>
    <w:rsid w:val="005B2B55"/>
    <w:rsid w:val="005B2D3F"/>
    <w:rsid w:val="005B5B4F"/>
    <w:rsid w:val="005B73F7"/>
    <w:rsid w:val="005C0E95"/>
    <w:rsid w:val="005C6FC1"/>
    <w:rsid w:val="005D2600"/>
    <w:rsid w:val="005D34C6"/>
    <w:rsid w:val="005E302D"/>
    <w:rsid w:val="005E33AF"/>
    <w:rsid w:val="005E481B"/>
    <w:rsid w:val="005F244A"/>
    <w:rsid w:val="005F2965"/>
    <w:rsid w:val="005F46EC"/>
    <w:rsid w:val="005F6A75"/>
    <w:rsid w:val="005F6F2A"/>
    <w:rsid w:val="0060055C"/>
    <w:rsid w:val="00600A69"/>
    <w:rsid w:val="0060278C"/>
    <w:rsid w:val="00603D89"/>
    <w:rsid w:val="0061134C"/>
    <w:rsid w:val="006113BF"/>
    <w:rsid w:val="006138AD"/>
    <w:rsid w:val="00614F30"/>
    <w:rsid w:val="00626A7A"/>
    <w:rsid w:val="00627122"/>
    <w:rsid w:val="0062737A"/>
    <w:rsid w:val="006277AE"/>
    <w:rsid w:val="00631481"/>
    <w:rsid w:val="00634F2B"/>
    <w:rsid w:val="00636BEB"/>
    <w:rsid w:val="00640AD3"/>
    <w:rsid w:val="00645673"/>
    <w:rsid w:val="006614D3"/>
    <w:rsid w:val="00663808"/>
    <w:rsid w:val="006674C7"/>
    <w:rsid w:val="00672029"/>
    <w:rsid w:val="0067273D"/>
    <w:rsid w:val="00673B2B"/>
    <w:rsid w:val="006759C0"/>
    <w:rsid w:val="006759CE"/>
    <w:rsid w:val="00680409"/>
    <w:rsid w:val="0068502A"/>
    <w:rsid w:val="006903F4"/>
    <w:rsid w:val="00694040"/>
    <w:rsid w:val="006946E4"/>
    <w:rsid w:val="00697443"/>
    <w:rsid w:val="0069784F"/>
    <w:rsid w:val="00697B0F"/>
    <w:rsid w:val="00697D2D"/>
    <w:rsid w:val="006A07A5"/>
    <w:rsid w:val="006A0A2E"/>
    <w:rsid w:val="006A1F73"/>
    <w:rsid w:val="006B3FC7"/>
    <w:rsid w:val="006B4304"/>
    <w:rsid w:val="006B53BD"/>
    <w:rsid w:val="006C1C04"/>
    <w:rsid w:val="006C2C24"/>
    <w:rsid w:val="006C455C"/>
    <w:rsid w:val="006D1C7C"/>
    <w:rsid w:val="006E7E16"/>
    <w:rsid w:val="006F1110"/>
    <w:rsid w:val="006F132B"/>
    <w:rsid w:val="006F1491"/>
    <w:rsid w:val="006F1FB1"/>
    <w:rsid w:val="006F3A4E"/>
    <w:rsid w:val="006F3F19"/>
    <w:rsid w:val="007012E2"/>
    <w:rsid w:val="00703268"/>
    <w:rsid w:val="00707665"/>
    <w:rsid w:val="00707D36"/>
    <w:rsid w:val="00710190"/>
    <w:rsid w:val="00710CD9"/>
    <w:rsid w:val="00714366"/>
    <w:rsid w:val="00715A33"/>
    <w:rsid w:val="007271BF"/>
    <w:rsid w:val="00727B0D"/>
    <w:rsid w:val="00730575"/>
    <w:rsid w:val="00734128"/>
    <w:rsid w:val="00737E93"/>
    <w:rsid w:val="00741427"/>
    <w:rsid w:val="00741440"/>
    <w:rsid w:val="00755483"/>
    <w:rsid w:val="00760CA7"/>
    <w:rsid w:val="0076166C"/>
    <w:rsid w:val="007663C8"/>
    <w:rsid w:val="00766ED9"/>
    <w:rsid w:val="00767173"/>
    <w:rsid w:val="0077071B"/>
    <w:rsid w:val="00770C3E"/>
    <w:rsid w:val="0077275D"/>
    <w:rsid w:val="00772B4E"/>
    <w:rsid w:val="00775BBB"/>
    <w:rsid w:val="007807BC"/>
    <w:rsid w:val="00782DAA"/>
    <w:rsid w:val="00790E1E"/>
    <w:rsid w:val="007A15A4"/>
    <w:rsid w:val="007A3032"/>
    <w:rsid w:val="007A6F6F"/>
    <w:rsid w:val="007A768A"/>
    <w:rsid w:val="007C08FE"/>
    <w:rsid w:val="007C526F"/>
    <w:rsid w:val="007C5A57"/>
    <w:rsid w:val="007C7808"/>
    <w:rsid w:val="007D0F4B"/>
    <w:rsid w:val="007D1799"/>
    <w:rsid w:val="007D1986"/>
    <w:rsid w:val="007D4B7C"/>
    <w:rsid w:val="007D5E21"/>
    <w:rsid w:val="007D60FC"/>
    <w:rsid w:val="007E16DC"/>
    <w:rsid w:val="007E1C2F"/>
    <w:rsid w:val="007E2A23"/>
    <w:rsid w:val="007F351A"/>
    <w:rsid w:val="007F35CC"/>
    <w:rsid w:val="007F571C"/>
    <w:rsid w:val="0080065B"/>
    <w:rsid w:val="008044FD"/>
    <w:rsid w:val="0081357D"/>
    <w:rsid w:val="008257FC"/>
    <w:rsid w:val="008316C4"/>
    <w:rsid w:val="008336DE"/>
    <w:rsid w:val="008358CC"/>
    <w:rsid w:val="00840B3B"/>
    <w:rsid w:val="00841C96"/>
    <w:rsid w:val="00842E29"/>
    <w:rsid w:val="00847734"/>
    <w:rsid w:val="0085109B"/>
    <w:rsid w:val="00856797"/>
    <w:rsid w:val="00860551"/>
    <w:rsid w:val="00861345"/>
    <w:rsid w:val="008675CA"/>
    <w:rsid w:val="008719C2"/>
    <w:rsid w:val="00871DF3"/>
    <w:rsid w:val="00876684"/>
    <w:rsid w:val="00876931"/>
    <w:rsid w:val="008774ED"/>
    <w:rsid w:val="00880E7F"/>
    <w:rsid w:val="0089157B"/>
    <w:rsid w:val="00892498"/>
    <w:rsid w:val="00892BB9"/>
    <w:rsid w:val="00893409"/>
    <w:rsid w:val="008A17D9"/>
    <w:rsid w:val="008A18D4"/>
    <w:rsid w:val="008A1BEE"/>
    <w:rsid w:val="008A397F"/>
    <w:rsid w:val="008A55DD"/>
    <w:rsid w:val="008A593B"/>
    <w:rsid w:val="008B0319"/>
    <w:rsid w:val="008B1194"/>
    <w:rsid w:val="008B7F0C"/>
    <w:rsid w:val="008C5A15"/>
    <w:rsid w:val="008C731B"/>
    <w:rsid w:val="008D3FCA"/>
    <w:rsid w:val="008D5DB7"/>
    <w:rsid w:val="008D6EEF"/>
    <w:rsid w:val="008E6240"/>
    <w:rsid w:val="008E64EC"/>
    <w:rsid w:val="008F08E2"/>
    <w:rsid w:val="008F2A6E"/>
    <w:rsid w:val="008F56FB"/>
    <w:rsid w:val="008F6DF8"/>
    <w:rsid w:val="009016AD"/>
    <w:rsid w:val="009030A1"/>
    <w:rsid w:val="009070D8"/>
    <w:rsid w:val="00911417"/>
    <w:rsid w:val="00911F40"/>
    <w:rsid w:val="009169E9"/>
    <w:rsid w:val="009202B6"/>
    <w:rsid w:val="00920869"/>
    <w:rsid w:val="009238D9"/>
    <w:rsid w:val="00923F28"/>
    <w:rsid w:val="0092546C"/>
    <w:rsid w:val="00933BFE"/>
    <w:rsid w:val="00934F92"/>
    <w:rsid w:val="009446C6"/>
    <w:rsid w:val="00944AD7"/>
    <w:rsid w:val="0094791B"/>
    <w:rsid w:val="0095367C"/>
    <w:rsid w:val="00966616"/>
    <w:rsid w:val="00971F37"/>
    <w:rsid w:val="00972499"/>
    <w:rsid w:val="009753E1"/>
    <w:rsid w:val="00976BA9"/>
    <w:rsid w:val="009773AF"/>
    <w:rsid w:val="00981E8B"/>
    <w:rsid w:val="009825DA"/>
    <w:rsid w:val="0098436E"/>
    <w:rsid w:val="00991A1C"/>
    <w:rsid w:val="009945A0"/>
    <w:rsid w:val="00994A24"/>
    <w:rsid w:val="00995A9E"/>
    <w:rsid w:val="009A48C6"/>
    <w:rsid w:val="009A696B"/>
    <w:rsid w:val="009B2860"/>
    <w:rsid w:val="009B572A"/>
    <w:rsid w:val="009B6CD3"/>
    <w:rsid w:val="009B7A66"/>
    <w:rsid w:val="009B7F32"/>
    <w:rsid w:val="009C03F5"/>
    <w:rsid w:val="009D16C7"/>
    <w:rsid w:val="009D4EDC"/>
    <w:rsid w:val="009D5435"/>
    <w:rsid w:val="009E4084"/>
    <w:rsid w:val="009E45D2"/>
    <w:rsid w:val="009E5BA9"/>
    <w:rsid w:val="009F2A0B"/>
    <w:rsid w:val="009F2AE2"/>
    <w:rsid w:val="009F3294"/>
    <w:rsid w:val="009F47D3"/>
    <w:rsid w:val="009F48E2"/>
    <w:rsid w:val="009F4D1A"/>
    <w:rsid w:val="00A0148B"/>
    <w:rsid w:val="00A04D38"/>
    <w:rsid w:val="00A06D73"/>
    <w:rsid w:val="00A06DA0"/>
    <w:rsid w:val="00A0763A"/>
    <w:rsid w:val="00A133EA"/>
    <w:rsid w:val="00A17D08"/>
    <w:rsid w:val="00A17ED1"/>
    <w:rsid w:val="00A218A3"/>
    <w:rsid w:val="00A256FB"/>
    <w:rsid w:val="00A25FC6"/>
    <w:rsid w:val="00A30422"/>
    <w:rsid w:val="00A33704"/>
    <w:rsid w:val="00A34173"/>
    <w:rsid w:val="00A34B2E"/>
    <w:rsid w:val="00A3704C"/>
    <w:rsid w:val="00A45139"/>
    <w:rsid w:val="00A519C6"/>
    <w:rsid w:val="00A700DF"/>
    <w:rsid w:val="00A73661"/>
    <w:rsid w:val="00A760A1"/>
    <w:rsid w:val="00A76B78"/>
    <w:rsid w:val="00A819D4"/>
    <w:rsid w:val="00A81C62"/>
    <w:rsid w:val="00A8390E"/>
    <w:rsid w:val="00A9172C"/>
    <w:rsid w:val="00A9358C"/>
    <w:rsid w:val="00A94B27"/>
    <w:rsid w:val="00A977E0"/>
    <w:rsid w:val="00A97F9C"/>
    <w:rsid w:val="00AB5061"/>
    <w:rsid w:val="00AC1E5B"/>
    <w:rsid w:val="00AC785D"/>
    <w:rsid w:val="00AD2264"/>
    <w:rsid w:val="00AD7ED6"/>
    <w:rsid w:val="00AE0BFB"/>
    <w:rsid w:val="00AE1F24"/>
    <w:rsid w:val="00AE2A13"/>
    <w:rsid w:val="00AE6E8B"/>
    <w:rsid w:val="00AF2374"/>
    <w:rsid w:val="00AF4A4F"/>
    <w:rsid w:val="00AF50F5"/>
    <w:rsid w:val="00AF5F2F"/>
    <w:rsid w:val="00AF712F"/>
    <w:rsid w:val="00B0023A"/>
    <w:rsid w:val="00B04FB4"/>
    <w:rsid w:val="00B05D5D"/>
    <w:rsid w:val="00B05DD6"/>
    <w:rsid w:val="00B07766"/>
    <w:rsid w:val="00B22AA8"/>
    <w:rsid w:val="00B371E8"/>
    <w:rsid w:val="00B42C79"/>
    <w:rsid w:val="00B4427A"/>
    <w:rsid w:val="00B4777F"/>
    <w:rsid w:val="00B47EA5"/>
    <w:rsid w:val="00B507F4"/>
    <w:rsid w:val="00B53DE4"/>
    <w:rsid w:val="00B53E31"/>
    <w:rsid w:val="00B54E31"/>
    <w:rsid w:val="00B562AD"/>
    <w:rsid w:val="00B62790"/>
    <w:rsid w:val="00B62F45"/>
    <w:rsid w:val="00B658DC"/>
    <w:rsid w:val="00B70ED2"/>
    <w:rsid w:val="00B723AF"/>
    <w:rsid w:val="00B74EF0"/>
    <w:rsid w:val="00B76E57"/>
    <w:rsid w:val="00B84D4C"/>
    <w:rsid w:val="00B90193"/>
    <w:rsid w:val="00B91E14"/>
    <w:rsid w:val="00B968B6"/>
    <w:rsid w:val="00B96B78"/>
    <w:rsid w:val="00B971B9"/>
    <w:rsid w:val="00B97D14"/>
    <w:rsid w:val="00BA0DBD"/>
    <w:rsid w:val="00BB40A8"/>
    <w:rsid w:val="00BB59F5"/>
    <w:rsid w:val="00BC230B"/>
    <w:rsid w:val="00BC2ABA"/>
    <w:rsid w:val="00BC691C"/>
    <w:rsid w:val="00BD6FBD"/>
    <w:rsid w:val="00BD780E"/>
    <w:rsid w:val="00BE058D"/>
    <w:rsid w:val="00BE2588"/>
    <w:rsid w:val="00BE2870"/>
    <w:rsid w:val="00BE4470"/>
    <w:rsid w:val="00BE727A"/>
    <w:rsid w:val="00BE765A"/>
    <w:rsid w:val="00BE7675"/>
    <w:rsid w:val="00BE77DE"/>
    <w:rsid w:val="00BF6357"/>
    <w:rsid w:val="00BF79B9"/>
    <w:rsid w:val="00C05B13"/>
    <w:rsid w:val="00C10DDB"/>
    <w:rsid w:val="00C148F8"/>
    <w:rsid w:val="00C306DE"/>
    <w:rsid w:val="00C3206A"/>
    <w:rsid w:val="00C40418"/>
    <w:rsid w:val="00C40942"/>
    <w:rsid w:val="00C41576"/>
    <w:rsid w:val="00C4440A"/>
    <w:rsid w:val="00C4780A"/>
    <w:rsid w:val="00C5086C"/>
    <w:rsid w:val="00C52856"/>
    <w:rsid w:val="00C53AD5"/>
    <w:rsid w:val="00C54B5B"/>
    <w:rsid w:val="00C64717"/>
    <w:rsid w:val="00C64AF0"/>
    <w:rsid w:val="00C64C3C"/>
    <w:rsid w:val="00C67926"/>
    <w:rsid w:val="00C702D3"/>
    <w:rsid w:val="00C73512"/>
    <w:rsid w:val="00C74ACF"/>
    <w:rsid w:val="00C76179"/>
    <w:rsid w:val="00C81EF3"/>
    <w:rsid w:val="00C902C1"/>
    <w:rsid w:val="00C96F5F"/>
    <w:rsid w:val="00CA348E"/>
    <w:rsid w:val="00CA4E8E"/>
    <w:rsid w:val="00CB1860"/>
    <w:rsid w:val="00CB7985"/>
    <w:rsid w:val="00CC01B8"/>
    <w:rsid w:val="00CC2C55"/>
    <w:rsid w:val="00CD176B"/>
    <w:rsid w:val="00CD176D"/>
    <w:rsid w:val="00CE193F"/>
    <w:rsid w:val="00CE6584"/>
    <w:rsid w:val="00CF20A6"/>
    <w:rsid w:val="00CF241A"/>
    <w:rsid w:val="00CF347F"/>
    <w:rsid w:val="00CF37AB"/>
    <w:rsid w:val="00CF395E"/>
    <w:rsid w:val="00CF6C09"/>
    <w:rsid w:val="00D06EDE"/>
    <w:rsid w:val="00D1133C"/>
    <w:rsid w:val="00D16109"/>
    <w:rsid w:val="00D17302"/>
    <w:rsid w:val="00D1758E"/>
    <w:rsid w:val="00D21512"/>
    <w:rsid w:val="00D220B9"/>
    <w:rsid w:val="00D2303C"/>
    <w:rsid w:val="00D27554"/>
    <w:rsid w:val="00D30682"/>
    <w:rsid w:val="00D30DB1"/>
    <w:rsid w:val="00D3211A"/>
    <w:rsid w:val="00D355BD"/>
    <w:rsid w:val="00D373FD"/>
    <w:rsid w:val="00D4196D"/>
    <w:rsid w:val="00D45575"/>
    <w:rsid w:val="00D45E11"/>
    <w:rsid w:val="00D503F2"/>
    <w:rsid w:val="00D52193"/>
    <w:rsid w:val="00D55639"/>
    <w:rsid w:val="00D56AF2"/>
    <w:rsid w:val="00D57250"/>
    <w:rsid w:val="00D62382"/>
    <w:rsid w:val="00D64F2F"/>
    <w:rsid w:val="00D66726"/>
    <w:rsid w:val="00D6692D"/>
    <w:rsid w:val="00D71DF1"/>
    <w:rsid w:val="00D73075"/>
    <w:rsid w:val="00D73481"/>
    <w:rsid w:val="00D7667F"/>
    <w:rsid w:val="00D80DDB"/>
    <w:rsid w:val="00D94D62"/>
    <w:rsid w:val="00DA1CEC"/>
    <w:rsid w:val="00DB06D9"/>
    <w:rsid w:val="00DB0AB8"/>
    <w:rsid w:val="00DB0F5A"/>
    <w:rsid w:val="00DB1483"/>
    <w:rsid w:val="00DB69FE"/>
    <w:rsid w:val="00DB6ECB"/>
    <w:rsid w:val="00DC11F1"/>
    <w:rsid w:val="00DC2354"/>
    <w:rsid w:val="00DC32E7"/>
    <w:rsid w:val="00DC38F6"/>
    <w:rsid w:val="00DC3986"/>
    <w:rsid w:val="00DC3EAC"/>
    <w:rsid w:val="00DD2C9D"/>
    <w:rsid w:val="00DD7CE0"/>
    <w:rsid w:val="00DE01D0"/>
    <w:rsid w:val="00DE185E"/>
    <w:rsid w:val="00DE4CF4"/>
    <w:rsid w:val="00DF5E3A"/>
    <w:rsid w:val="00E01C44"/>
    <w:rsid w:val="00E07772"/>
    <w:rsid w:val="00E07E8F"/>
    <w:rsid w:val="00E115F0"/>
    <w:rsid w:val="00E1284E"/>
    <w:rsid w:val="00E13DCB"/>
    <w:rsid w:val="00E15965"/>
    <w:rsid w:val="00E2071B"/>
    <w:rsid w:val="00E23D6B"/>
    <w:rsid w:val="00E26D6F"/>
    <w:rsid w:val="00E27FDC"/>
    <w:rsid w:val="00E34FDF"/>
    <w:rsid w:val="00E37943"/>
    <w:rsid w:val="00E4286A"/>
    <w:rsid w:val="00E43A94"/>
    <w:rsid w:val="00E43ED0"/>
    <w:rsid w:val="00E52CC9"/>
    <w:rsid w:val="00E52FDA"/>
    <w:rsid w:val="00E61AF0"/>
    <w:rsid w:val="00E61EF4"/>
    <w:rsid w:val="00E65C3D"/>
    <w:rsid w:val="00E7103E"/>
    <w:rsid w:val="00E72942"/>
    <w:rsid w:val="00E72F52"/>
    <w:rsid w:val="00E73F03"/>
    <w:rsid w:val="00E76606"/>
    <w:rsid w:val="00E82AD8"/>
    <w:rsid w:val="00E83479"/>
    <w:rsid w:val="00E849C7"/>
    <w:rsid w:val="00E86651"/>
    <w:rsid w:val="00E906A5"/>
    <w:rsid w:val="00E925F9"/>
    <w:rsid w:val="00E93288"/>
    <w:rsid w:val="00EA1BA1"/>
    <w:rsid w:val="00EA2734"/>
    <w:rsid w:val="00EA4E01"/>
    <w:rsid w:val="00EA5DB8"/>
    <w:rsid w:val="00EA7C58"/>
    <w:rsid w:val="00EB1285"/>
    <w:rsid w:val="00EB1A52"/>
    <w:rsid w:val="00EB2F48"/>
    <w:rsid w:val="00EB5BA1"/>
    <w:rsid w:val="00EB634A"/>
    <w:rsid w:val="00EB6AF6"/>
    <w:rsid w:val="00EC1BFA"/>
    <w:rsid w:val="00EC218E"/>
    <w:rsid w:val="00EC2BE4"/>
    <w:rsid w:val="00EC73C9"/>
    <w:rsid w:val="00ED0709"/>
    <w:rsid w:val="00ED2667"/>
    <w:rsid w:val="00ED542C"/>
    <w:rsid w:val="00ED6CB1"/>
    <w:rsid w:val="00EE6911"/>
    <w:rsid w:val="00EE6F41"/>
    <w:rsid w:val="00EE706C"/>
    <w:rsid w:val="00EF0288"/>
    <w:rsid w:val="00EF2FCC"/>
    <w:rsid w:val="00EF395E"/>
    <w:rsid w:val="00EF5668"/>
    <w:rsid w:val="00EF5A90"/>
    <w:rsid w:val="00EF7724"/>
    <w:rsid w:val="00F00CE4"/>
    <w:rsid w:val="00F06828"/>
    <w:rsid w:val="00F128DE"/>
    <w:rsid w:val="00F15E4E"/>
    <w:rsid w:val="00F169B3"/>
    <w:rsid w:val="00F20903"/>
    <w:rsid w:val="00F23E7F"/>
    <w:rsid w:val="00F311C1"/>
    <w:rsid w:val="00F31FE4"/>
    <w:rsid w:val="00F3606E"/>
    <w:rsid w:val="00F43CFF"/>
    <w:rsid w:val="00F4672C"/>
    <w:rsid w:val="00F54DEB"/>
    <w:rsid w:val="00F62F42"/>
    <w:rsid w:val="00F63DE1"/>
    <w:rsid w:val="00F77729"/>
    <w:rsid w:val="00F77E38"/>
    <w:rsid w:val="00F94331"/>
    <w:rsid w:val="00F97C62"/>
    <w:rsid w:val="00FA1005"/>
    <w:rsid w:val="00FA4CC9"/>
    <w:rsid w:val="00FA4E17"/>
    <w:rsid w:val="00FB1C4E"/>
    <w:rsid w:val="00FB1E12"/>
    <w:rsid w:val="00FB3F65"/>
    <w:rsid w:val="00FB449C"/>
    <w:rsid w:val="00FB4CC9"/>
    <w:rsid w:val="00FB533E"/>
    <w:rsid w:val="00FB69AE"/>
    <w:rsid w:val="00FC0293"/>
    <w:rsid w:val="00FC1AAC"/>
    <w:rsid w:val="00FC1E88"/>
    <w:rsid w:val="00FD75E4"/>
    <w:rsid w:val="00FE0913"/>
    <w:rsid w:val="00FE346A"/>
    <w:rsid w:val="00FE37C1"/>
    <w:rsid w:val="00FF34B2"/>
    <w:rsid w:val="00FF5302"/>
    <w:rsid w:val="00FF6C6F"/>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No Spacing" w:semiHidden="0" w:uiPriority="1" w:unhideWhenUsed="0" w:qFormat="1"/>
    <w:lsdException w:name="Medium Grid 1" w:unhideWhenUsed="0"/>
    <w:lsdException w:name="Medium Grid 2" w:semiHidden="0" w:uiPriority="0"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E86651"/>
    <w:rPr>
      <w:rFonts w:ascii="Times New Roman" w:eastAsia="Times New Roman" w:hAnsi="Times New Roman"/>
      <w:sz w:val="24"/>
      <w:lang w:eastAsia="en-US"/>
    </w:rPr>
  </w:style>
  <w:style w:type="paragraph" w:styleId="Heading1">
    <w:name w:val="heading 1"/>
    <w:basedOn w:val="Normal"/>
    <w:next w:val="Normal"/>
    <w:link w:val="Heading1Char"/>
    <w:qFormat/>
    <w:rsid w:val="00203C25"/>
    <w:pPr>
      <w:keepNext/>
      <w:spacing w:before="240" w:after="60"/>
      <w:outlineLvl w:val="0"/>
    </w:pPr>
    <w:rPr>
      <w:rFonts w:ascii="Cambria" w:hAnsi="Cambria"/>
      <w:b/>
      <w:bCs/>
      <w:kern w:val="32"/>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link w:val="MediumGrid2Char"/>
    <w:qFormat/>
    <w:rsid w:val="0092546C"/>
    <w:rPr>
      <w:sz w:val="24"/>
      <w:szCs w:val="24"/>
      <w:lang w:val="en-US" w:eastAsia="ja-JP"/>
    </w:rPr>
  </w:style>
  <w:style w:type="paragraph" w:styleId="Header">
    <w:name w:val="header"/>
    <w:basedOn w:val="Normal"/>
    <w:link w:val="HeaderChar"/>
    <w:unhideWhenUsed/>
    <w:rsid w:val="00E1284E"/>
    <w:pPr>
      <w:tabs>
        <w:tab w:val="center" w:pos="4320"/>
        <w:tab w:val="right" w:pos="8640"/>
      </w:tabs>
    </w:pPr>
    <w:rPr>
      <w:rFonts w:ascii="Cambria" w:eastAsia="MS Mincho" w:hAnsi="Cambria"/>
      <w:szCs w:val="24"/>
      <w:lang w:val="en-US" w:eastAsia="ja-JP"/>
    </w:rPr>
  </w:style>
  <w:style w:type="character" w:customStyle="1" w:styleId="HeaderChar">
    <w:name w:val="Header Char"/>
    <w:basedOn w:val="DefaultParagraphFont"/>
    <w:link w:val="Header"/>
    <w:rsid w:val="00E1284E"/>
  </w:style>
  <w:style w:type="paragraph" w:styleId="Footer">
    <w:name w:val="footer"/>
    <w:basedOn w:val="Normal"/>
    <w:link w:val="FooterChar"/>
    <w:unhideWhenUsed/>
    <w:rsid w:val="00E1284E"/>
    <w:pPr>
      <w:tabs>
        <w:tab w:val="center" w:pos="4320"/>
        <w:tab w:val="right" w:pos="8640"/>
      </w:tabs>
    </w:pPr>
    <w:rPr>
      <w:rFonts w:ascii="Cambria" w:eastAsia="MS Mincho" w:hAnsi="Cambria"/>
      <w:szCs w:val="24"/>
      <w:lang w:val="en-US" w:eastAsia="ja-JP"/>
    </w:rPr>
  </w:style>
  <w:style w:type="character" w:customStyle="1" w:styleId="FooterChar">
    <w:name w:val="Footer Char"/>
    <w:basedOn w:val="DefaultParagraphFont"/>
    <w:link w:val="Footer"/>
    <w:rsid w:val="00E1284E"/>
  </w:style>
  <w:style w:type="character" w:customStyle="1" w:styleId="MediumGrid2Char">
    <w:name w:val="Medium Grid 2 Char"/>
    <w:link w:val="MediumGrid21"/>
    <w:rsid w:val="00E1284E"/>
    <w:rPr>
      <w:sz w:val="24"/>
      <w:szCs w:val="24"/>
      <w:lang w:val="en-US" w:eastAsia="ja-JP" w:bidi="ar-SA"/>
    </w:rPr>
  </w:style>
  <w:style w:type="character" w:styleId="Hyperlink">
    <w:name w:val="Hyperlink"/>
    <w:uiPriority w:val="99"/>
    <w:unhideWhenUsed/>
    <w:rsid w:val="000C4D3C"/>
    <w:rPr>
      <w:color w:val="0000FF"/>
      <w:u w:val="single"/>
    </w:rPr>
  </w:style>
  <w:style w:type="paragraph" w:customStyle="1" w:styleId="Default">
    <w:name w:val="Default"/>
    <w:rsid w:val="00D3211A"/>
    <w:pPr>
      <w:autoSpaceDE w:val="0"/>
      <w:autoSpaceDN w:val="0"/>
      <w:adjustRightInd w:val="0"/>
    </w:pPr>
    <w:rPr>
      <w:rFonts w:ascii="Arial" w:hAnsi="Arial" w:cs="Arial"/>
      <w:color w:val="000000"/>
      <w:sz w:val="24"/>
      <w:szCs w:val="24"/>
    </w:rPr>
  </w:style>
  <w:style w:type="paragraph" w:styleId="NoSpacing">
    <w:name w:val="No Spacing"/>
    <w:uiPriority w:val="1"/>
    <w:qFormat/>
    <w:rsid w:val="00BE2870"/>
    <w:rPr>
      <w:rFonts w:ascii="Calibri" w:eastAsia="Calibri" w:hAnsi="Calibri"/>
      <w:sz w:val="22"/>
      <w:szCs w:val="22"/>
      <w:lang w:eastAsia="en-US"/>
    </w:rPr>
  </w:style>
  <w:style w:type="paragraph" w:styleId="ListParagraph">
    <w:name w:val="List Paragraph"/>
    <w:basedOn w:val="Normal"/>
    <w:uiPriority w:val="34"/>
    <w:qFormat/>
    <w:rsid w:val="00BE2870"/>
    <w:pPr>
      <w:spacing w:after="200" w:line="276" w:lineRule="auto"/>
      <w:ind w:left="720"/>
      <w:contextualSpacing/>
    </w:pPr>
    <w:rPr>
      <w:rFonts w:ascii="Calibri" w:eastAsia="Calibri" w:hAnsi="Calibri"/>
      <w:sz w:val="22"/>
      <w:szCs w:val="22"/>
    </w:rPr>
  </w:style>
  <w:style w:type="table" w:styleId="TableGrid">
    <w:name w:val="Table Grid"/>
    <w:basedOn w:val="TableNormal"/>
    <w:uiPriority w:val="59"/>
    <w:rsid w:val="007C52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FB533E"/>
    <w:rPr>
      <w:rFonts w:ascii="Tahoma" w:hAnsi="Tahoma" w:cs="Tahoma"/>
      <w:sz w:val="16"/>
      <w:szCs w:val="16"/>
    </w:rPr>
  </w:style>
  <w:style w:type="character" w:customStyle="1" w:styleId="BalloonTextChar">
    <w:name w:val="Balloon Text Char"/>
    <w:link w:val="BalloonText"/>
    <w:rsid w:val="00FB533E"/>
    <w:rPr>
      <w:rFonts w:ascii="Tahoma" w:eastAsia="Times New Roman" w:hAnsi="Tahoma" w:cs="Tahoma"/>
      <w:sz w:val="16"/>
      <w:szCs w:val="16"/>
      <w:lang w:eastAsia="en-US"/>
    </w:rPr>
  </w:style>
  <w:style w:type="character" w:styleId="CommentReference">
    <w:name w:val="annotation reference"/>
    <w:uiPriority w:val="99"/>
    <w:semiHidden/>
    <w:unhideWhenUsed/>
    <w:rsid w:val="005E481B"/>
    <w:rPr>
      <w:sz w:val="16"/>
      <w:szCs w:val="16"/>
    </w:rPr>
  </w:style>
  <w:style w:type="paragraph" w:styleId="CommentText">
    <w:name w:val="annotation text"/>
    <w:basedOn w:val="Normal"/>
    <w:link w:val="CommentTextChar"/>
    <w:uiPriority w:val="99"/>
    <w:semiHidden/>
    <w:unhideWhenUsed/>
    <w:rsid w:val="005E481B"/>
    <w:rPr>
      <w:sz w:val="20"/>
    </w:rPr>
  </w:style>
  <w:style w:type="character" w:customStyle="1" w:styleId="CommentTextChar">
    <w:name w:val="Comment Text Char"/>
    <w:link w:val="CommentText"/>
    <w:uiPriority w:val="99"/>
    <w:semiHidden/>
    <w:rsid w:val="005E481B"/>
    <w:rPr>
      <w:rFonts w:ascii="Times New Roman" w:eastAsia="Times New Roman" w:hAnsi="Times New Roman"/>
      <w:lang w:eastAsia="en-US"/>
    </w:rPr>
  </w:style>
  <w:style w:type="paragraph" w:styleId="CommentSubject">
    <w:name w:val="annotation subject"/>
    <w:basedOn w:val="CommentText"/>
    <w:next w:val="CommentText"/>
    <w:link w:val="CommentSubjectChar"/>
    <w:uiPriority w:val="99"/>
    <w:semiHidden/>
    <w:unhideWhenUsed/>
    <w:rsid w:val="005E481B"/>
    <w:rPr>
      <w:b/>
      <w:bCs/>
    </w:rPr>
  </w:style>
  <w:style w:type="character" w:customStyle="1" w:styleId="CommentSubjectChar">
    <w:name w:val="Comment Subject Char"/>
    <w:link w:val="CommentSubject"/>
    <w:uiPriority w:val="99"/>
    <w:semiHidden/>
    <w:rsid w:val="005E481B"/>
    <w:rPr>
      <w:rFonts w:ascii="Times New Roman" w:eastAsia="Times New Roman" w:hAnsi="Times New Roman"/>
      <w:b/>
      <w:bCs/>
      <w:lang w:eastAsia="en-US"/>
    </w:rPr>
  </w:style>
  <w:style w:type="paragraph" w:styleId="NormalWeb">
    <w:name w:val="Normal (Web)"/>
    <w:basedOn w:val="Normal"/>
    <w:uiPriority w:val="99"/>
    <w:unhideWhenUsed/>
    <w:rsid w:val="00BF79B9"/>
    <w:pPr>
      <w:spacing w:before="100" w:beforeAutospacing="1" w:after="100" w:afterAutospacing="1"/>
    </w:pPr>
    <w:rPr>
      <w:szCs w:val="24"/>
      <w:lang w:eastAsia="en-GB"/>
    </w:rPr>
  </w:style>
  <w:style w:type="character" w:customStyle="1" w:styleId="apple-converted-space">
    <w:name w:val="apple-converted-space"/>
    <w:rsid w:val="00BF79B9"/>
  </w:style>
  <w:style w:type="character" w:customStyle="1" w:styleId="Heading1Char">
    <w:name w:val="Heading 1 Char"/>
    <w:link w:val="Heading1"/>
    <w:rsid w:val="00203C25"/>
    <w:rPr>
      <w:rFonts w:eastAsia="Times New Roman"/>
      <w:b/>
      <w:bCs/>
      <w:kern w:val="32"/>
      <w:sz w:val="32"/>
      <w:szCs w:val="32"/>
      <w:lang w:val="en-US" w:eastAsia="en-US"/>
    </w:rPr>
  </w:style>
  <w:style w:type="paragraph" w:customStyle="1" w:styleId="Normal1">
    <w:name w:val="Normal1"/>
    <w:basedOn w:val="Normal"/>
    <w:rsid w:val="00203C25"/>
    <w:pPr>
      <w:spacing w:after="200" w:line="260" w:lineRule="atLeast"/>
    </w:pPr>
    <w:rPr>
      <w:rFonts w:ascii="Calibri" w:hAnsi="Calibri"/>
      <w:sz w:val="22"/>
      <w:szCs w:val="22"/>
      <w:lang w:eastAsia="en-GB"/>
    </w:rPr>
  </w:style>
  <w:style w:type="character" w:customStyle="1" w:styleId="normalchar1">
    <w:name w:val="normal__char1"/>
    <w:rsid w:val="00203C25"/>
    <w:rPr>
      <w:rFonts w:ascii="Calibri" w:hAnsi="Calibri" w:hint="default"/>
      <w:strike w:val="0"/>
      <w:dstrike w:val="0"/>
      <w:sz w:val="22"/>
      <w:szCs w:val="22"/>
      <w:u w:val="none"/>
      <w:effect w:val="none"/>
    </w:rPr>
  </w:style>
  <w:style w:type="paragraph" w:styleId="BodyText2">
    <w:name w:val="Body Text 2"/>
    <w:basedOn w:val="Normal"/>
    <w:link w:val="BodyText2Char"/>
    <w:uiPriority w:val="99"/>
    <w:semiHidden/>
    <w:unhideWhenUsed/>
    <w:rsid w:val="005C0E95"/>
    <w:pPr>
      <w:spacing w:after="120" w:line="480" w:lineRule="auto"/>
    </w:pPr>
    <w:rPr>
      <w:rFonts w:eastAsia="Calibri"/>
      <w:szCs w:val="24"/>
    </w:rPr>
  </w:style>
  <w:style w:type="character" w:customStyle="1" w:styleId="BodyText2Char">
    <w:name w:val="Body Text 2 Char"/>
    <w:link w:val="BodyText2"/>
    <w:uiPriority w:val="99"/>
    <w:semiHidden/>
    <w:rsid w:val="005C0E95"/>
    <w:rPr>
      <w:rFonts w:ascii="Times New Roman" w:eastAsia="Calibri" w:hAnsi="Times New Roman"/>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No Spacing" w:semiHidden="0" w:uiPriority="1" w:unhideWhenUsed="0" w:qFormat="1"/>
    <w:lsdException w:name="Medium Grid 1" w:unhideWhenUsed="0"/>
    <w:lsdException w:name="Medium Grid 2" w:semiHidden="0" w:uiPriority="0"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E86651"/>
    <w:rPr>
      <w:rFonts w:ascii="Times New Roman" w:eastAsia="Times New Roman" w:hAnsi="Times New Roman"/>
      <w:sz w:val="24"/>
      <w:lang w:eastAsia="en-US"/>
    </w:rPr>
  </w:style>
  <w:style w:type="paragraph" w:styleId="Heading1">
    <w:name w:val="heading 1"/>
    <w:basedOn w:val="Normal"/>
    <w:next w:val="Normal"/>
    <w:link w:val="Heading1Char"/>
    <w:qFormat/>
    <w:rsid w:val="00203C25"/>
    <w:pPr>
      <w:keepNext/>
      <w:spacing w:before="240" w:after="60"/>
      <w:outlineLvl w:val="0"/>
    </w:pPr>
    <w:rPr>
      <w:rFonts w:ascii="Cambria" w:hAnsi="Cambria"/>
      <w:b/>
      <w:bCs/>
      <w:kern w:val="32"/>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link w:val="MediumGrid2Char"/>
    <w:qFormat/>
    <w:rsid w:val="0092546C"/>
    <w:rPr>
      <w:sz w:val="24"/>
      <w:szCs w:val="24"/>
      <w:lang w:val="en-US" w:eastAsia="ja-JP"/>
    </w:rPr>
  </w:style>
  <w:style w:type="paragraph" w:styleId="Header">
    <w:name w:val="header"/>
    <w:basedOn w:val="Normal"/>
    <w:link w:val="HeaderChar"/>
    <w:unhideWhenUsed/>
    <w:rsid w:val="00E1284E"/>
    <w:pPr>
      <w:tabs>
        <w:tab w:val="center" w:pos="4320"/>
        <w:tab w:val="right" w:pos="8640"/>
      </w:tabs>
    </w:pPr>
    <w:rPr>
      <w:rFonts w:ascii="Cambria" w:eastAsia="MS Mincho" w:hAnsi="Cambria"/>
      <w:szCs w:val="24"/>
      <w:lang w:val="en-US" w:eastAsia="ja-JP"/>
    </w:rPr>
  </w:style>
  <w:style w:type="character" w:customStyle="1" w:styleId="HeaderChar">
    <w:name w:val="Header Char"/>
    <w:basedOn w:val="DefaultParagraphFont"/>
    <w:link w:val="Header"/>
    <w:rsid w:val="00E1284E"/>
  </w:style>
  <w:style w:type="paragraph" w:styleId="Footer">
    <w:name w:val="footer"/>
    <w:basedOn w:val="Normal"/>
    <w:link w:val="FooterChar"/>
    <w:unhideWhenUsed/>
    <w:rsid w:val="00E1284E"/>
    <w:pPr>
      <w:tabs>
        <w:tab w:val="center" w:pos="4320"/>
        <w:tab w:val="right" w:pos="8640"/>
      </w:tabs>
    </w:pPr>
    <w:rPr>
      <w:rFonts w:ascii="Cambria" w:eastAsia="MS Mincho" w:hAnsi="Cambria"/>
      <w:szCs w:val="24"/>
      <w:lang w:val="en-US" w:eastAsia="ja-JP"/>
    </w:rPr>
  </w:style>
  <w:style w:type="character" w:customStyle="1" w:styleId="FooterChar">
    <w:name w:val="Footer Char"/>
    <w:basedOn w:val="DefaultParagraphFont"/>
    <w:link w:val="Footer"/>
    <w:rsid w:val="00E1284E"/>
  </w:style>
  <w:style w:type="character" w:customStyle="1" w:styleId="MediumGrid2Char">
    <w:name w:val="Medium Grid 2 Char"/>
    <w:link w:val="MediumGrid21"/>
    <w:rsid w:val="00E1284E"/>
    <w:rPr>
      <w:sz w:val="24"/>
      <w:szCs w:val="24"/>
      <w:lang w:val="en-US" w:eastAsia="ja-JP" w:bidi="ar-SA"/>
    </w:rPr>
  </w:style>
  <w:style w:type="character" w:styleId="Hyperlink">
    <w:name w:val="Hyperlink"/>
    <w:uiPriority w:val="99"/>
    <w:unhideWhenUsed/>
    <w:rsid w:val="000C4D3C"/>
    <w:rPr>
      <w:color w:val="0000FF"/>
      <w:u w:val="single"/>
    </w:rPr>
  </w:style>
  <w:style w:type="paragraph" w:customStyle="1" w:styleId="Default">
    <w:name w:val="Default"/>
    <w:rsid w:val="00D3211A"/>
    <w:pPr>
      <w:autoSpaceDE w:val="0"/>
      <w:autoSpaceDN w:val="0"/>
      <w:adjustRightInd w:val="0"/>
    </w:pPr>
    <w:rPr>
      <w:rFonts w:ascii="Arial" w:hAnsi="Arial" w:cs="Arial"/>
      <w:color w:val="000000"/>
      <w:sz w:val="24"/>
      <w:szCs w:val="24"/>
    </w:rPr>
  </w:style>
  <w:style w:type="paragraph" w:styleId="NoSpacing">
    <w:name w:val="No Spacing"/>
    <w:uiPriority w:val="1"/>
    <w:qFormat/>
    <w:rsid w:val="00BE2870"/>
    <w:rPr>
      <w:rFonts w:ascii="Calibri" w:eastAsia="Calibri" w:hAnsi="Calibri"/>
      <w:sz w:val="22"/>
      <w:szCs w:val="22"/>
      <w:lang w:eastAsia="en-US"/>
    </w:rPr>
  </w:style>
  <w:style w:type="paragraph" w:styleId="ListParagraph">
    <w:name w:val="List Paragraph"/>
    <w:basedOn w:val="Normal"/>
    <w:uiPriority w:val="34"/>
    <w:qFormat/>
    <w:rsid w:val="00BE2870"/>
    <w:pPr>
      <w:spacing w:after="200" w:line="276" w:lineRule="auto"/>
      <w:ind w:left="720"/>
      <w:contextualSpacing/>
    </w:pPr>
    <w:rPr>
      <w:rFonts w:ascii="Calibri" w:eastAsia="Calibri" w:hAnsi="Calibri"/>
      <w:sz w:val="22"/>
      <w:szCs w:val="22"/>
    </w:rPr>
  </w:style>
  <w:style w:type="table" w:styleId="TableGrid">
    <w:name w:val="Table Grid"/>
    <w:basedOn w:val="TableNormal"/>
    <w:uiPriority w:val="59"/>
    <w:rsid w:val="007C52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FB533E"/>
    <w:rPr>
      <w:rFonts w:ascii="Tahoma" w:hAnsi="Tahoma" w:cs="Tahoma"/>
      <w:sz w:val="16"/>
      <w:szCs w:val="16"/>
    </w:rPr>
  </w:style>
  <w:style w:type="character" w:customStyle="1" w:styleId="BalloonTextChar">
    <w:name w:val="Balloon Text Char"/>
    <w:link w:val="BalloonText"/>
    <w:rsid w:val="00FB533E"/>
    <w:rPr>
      <w:rFonts w:ascii="Tahoma" w:eastAsia="Times New Roman" w:hAnsi="Tahoma" w:cs="Tahoma"/>
      <w:sz w:val="16"/>
      <w:szCs w:val="16"/>
      <w:lang w:eastAsia="en-US"/>
    </w:rPr>
  </w:style>
  <w:style w:type="character" w:styleId="CommentReference">
    <w:name w:val="annotation reference"/>
    <w:uiPriority w:val="99"/>
    <w:semiHidden/>
    <w:unhideWhenUsed/>
    <w:rsid w:val="005E481B"/>
    <w:rPr>
      <w:sz w:val="16"/>
      <w:szCs w:val="16"/>
    </w:rPr>
  </w:style>
  <w:style w:type="paragraph" w:styleId="CommentText">
    <w:name w:val="annotation text"/>
    <w:basedOn w:val="Normal"/>
    <w:link w:val="CommentTextChar"/>
    <w:uiPriority w:val="99"/>
    <w:semiHidden/>
    <w:unhideWhenUsed/>
    <w:rsid w:val="005E481B"/>
    <w:rPr>
      <w:sz w:val="20"/>
    </w:rPr>
  </w:style>
  <w:style w:type="character" w:customStyle="1" w:styleId="CommentTextChar">
    <w:name w:val="Comment Text Char"/>
    <w:link w:val="CommentText"/>
    <w:uiPriority w:val="99"/>
    <w:semiHidden/>
    <w:rsid w:val="005E481B"/>
    <w:rPr>
      <w:rFonts w:ascii="Times New Roman" w:eastAsia="Times New Roman" w:hAnsi="Times New Roman"/>
      <w:lang w:eastAsia="en-US"/>
    </w:rPr>
  </w:style>
  <w:style w:type="paragraph" w:styleId="CommentSubject">
    <w:name w:val="annotation subject"/>
    <w:basedOn w:val="CommentText"/>
    <w:next w:val="CommentText"/>
    <w:link w:val="CommentSubjectChar"/>
    <w:uiPriority w:val="99"/>
    <w:semiHidden/>
    <w:unhideWhenUsed/>
    <w:rsid w:val="005E481B"/>
    <w:rPr>
      <w:b/>
      <w:bCs/>
    </w:rPr>
  </w:style>
  <w:style w:type="character" w:customStyle="1" w:styleId="CommentSubjectChar">
    <w:name w:val="Comment Subject Char"/>
    <w:link w:val="CommentSubject"/>
    <w:uiPriority w:val="99"/>
    <w:semiHidden/>
    <w:rsid w:val="005E481B"/>
    <w:rPr>
      <w:rFonts w:ascii="Times New Roman" w:eastAsia="Times New Roman" w:hAnsi="Times New Roman"/>
      <w:b/>
      <w:bCs/>
      <w:lang w:eastAsia="en-US"/>
    </w:rPr>
  </w:style>
  <w:style w:type="paragraph" w:styleId="NormalWeb">
    <w:name w:val="Normal (Web)"/>
    <w:basedOn w:val="Normal"/>
    <w:uiPriority w:val="99"/>
    <w:unhideWhenUsed/>
    <w:rsid w:val="00BF79B9"/>
    <w:pPr>
      <w:spacing w:before="100" w:beforeAutospacing="1" w:after="100" w:afterAutospacing="1"/>
    </w:pPr>
    <w:rPr>
      <w:szCs w:val="24"/>
      <w:lang w:eastAsia="en-GB"/>
    </w:rPr>
  </w:style>
  <w:style w:type="character" w:customStyle="1" w:styleId="apple-converted-space">
    <w:name w:val="apple-converted-space"/>
    <w:rsid w:val="00BF79B9"/>
  </w:style>
  <w:style w:type="character" w:customStyle="1" w:styleId="Heading1Char">
    <w:name w:val="Heading 1 Char"/>
    <w:link w:val="Heading1"/>
    <w:rsid w:val="00203C25"/>
    <w:rPr>
      <w:rFonts w:eastAsia="Times New Roman"/>
      <w:b/>
      <w:bCs/>
      <w:kern w:val="32"/>
      <w:sz w:val="32"/>
      <w:szCs w:val="32"/>
      <w:lang w:val="en-US" w:eastAsia="en-US"/>
    </w:rPr>
  </w:style>
  <w:style w:type="paragraph" w:customStyle="1" w:styleId="Normal1">
    <w:name w:val="Normal1"/>
    <w:basedOn w:val="Normal"/>
    <w:rsid w:val="00203C25"/>
    <w:pPr>
      <w:spacing w:after="200" w:line="260" w:lineRule="atLeast"/>
    </w:pPr>
    <w:rPr>
      <w:rFonts w:ascii="Calibri" w:hAnsi="Calibri"/>
      <w:sz w:val="22"/>
      <w:szCs w:val="22"/>
      <w:lang w:eastAsia="en-GB"/>
    </w:rPr>
  </w:style>
  <w:style w:type="character" w:customStyle="1" w:styleId="normalchar1">
    <w:name w:val="normal__char1"/>
    <w:rsid w:val="00203C25"/>
    <w:rPr>
      <w:rFonts w:ascii="Calibri" w:hAnsi="Calibri" w:hint="default"/>
      <w:strike w:val="0"/>
      <w:dstrike w:val="0"/>
      <w:sz w:val="22"/>
      <w:szCs w:val="22"/>
      <w:u w:val="none"/>
      <w:effect w:val="none"/>
    </w:rPr>
  </w:style>
  <w:style w:type="paragraph" w:styleId="BodyText2">
    <w:name w:val="Body Text 2"/>
    <w:basedOn w:val="Normal"/>
    <w:link w:val="BodyText2Char"/>
    <w:uiPriority w:val="99"/>
    <w:semiHidden/>
    <w:unhideWhenUsed/>
    <w:rsid w:val="005C0E95"/>
    <w:pPr>
      <w:spacing w:after="120" w:line="480" w:lineRule="auto"/>
    </w:pPr>
    <w:rPr>
      <w:rFonts w:eastAsia="Calibri"/>
      <w:szCs w:val="24"/>
    </w:rPr>
  </w:style>
  <w:style w:type="character" w:customStyle="1" w:styleId="BodyText2Char">
    <w:name w:val="Body Text 2 Char"/>
    <w:link w:val="BodyText2"/>
    <w:uiPriority w:val="99"/>
    <w:semiHidden/>
    <w:rsid w:val="005C0E95"/>
    <w:rPr>
      <w:rFonts w:ascii="Times New Roman" w:eastAsia="Calibri"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70680">
      <w:bodyDiv w:val="1"/>
      <w:marLeft w:val="0"/>
      <w:marRight w:val="0"/>
      <w:marTop w:val="0"/>
      <w:marBottom w:val="0"/>
      <w:divBdr>
        <w:top w:val="none" w:sz="0" w:space="0" w:color="auto"/>
        <w:left w:val="none" w:sz="0" w:space="0" w:color="auto"/>
        <w:bottom w:val="none" w:sz="0" w:space="0" w:color="auto"/>
        <w:right w:val="none" w:sz="0" w:space="0" w:color="auto"/>
      </w:divBdr>
    </w:div>
    <w:div w:id="69037924">
      <w:bodyDiv w:val="1"/>
      <w:marLeft w:val="0"/>
      <w:marRight w:val="0"/>
      <w:marTop w:val="0"/>
      <w:marBottom w:val="0"/>
      <w:divBdr>
        <w:top w:val="none" w:sz="0" w:space="0" w:color="auto"/>
        <w:left w:val="none" w:sz="0" w:space="0" w:color="auto"/>
        <w:bottom w:val="none" w:sz="0" w:space="0" w:color="auto"/>
        <w:right w:val="none" w:sz="0" w:space="0" w:color="auto"/>
      </w:divBdr>
    </w:div>
    <w:div w:id="117799554">
      <w:bodyDiv w:val="1"/>
      <w:marLeft w:val="0"/>
      <w:marRight w:val="0"/>
      <w:marTop w:val="0"/>
      <w:marBottom w:val="0"/>
      <w:divBdr>
        <w:top w:val="none" w:sz="0" w:space="0" w:color="auto"/>
        <w:left w:val="none" w:sz="0" w:space="0" w:color="auto"/>
        <w:bottom w:val="none" w:sz="0" w:space="0" w:color="auto"/>
        <w:right w:val="none" w:sz="0" w:space="0" w:color="auto"/>
      </w:divBdr>
    </w:div>
    <w:div w:id="388114842">
      <w:bodyDiv w:val="1"/>
      <w:marLeft w:val="0"/>
      <w:marRight w:val="0"/>
      <w:marTop w:val="0"/>
      <w:marBottom w:val="0"/>
      <w:divBdr>
        <w:top w:val="none" w:sz="0" w:space="0" w:color="auto"/>
        <w:left w:val="none" w:sz="0" w:space="0" w:color="auto"/>
        <w:bottom w:val="none" w:sz="0" w:space="0" w:color="auto"/>
        <w:right w:val="none" w:sz="0" w:space="0" w:color="auto"/>
      </w:divBdr>
    </w:div>
    <w:div w:id="481309717">
      <w:bodyDiv w:val="1"/>
      <w:marLeft w:val="0"/>
      <w:marRight w:val="0"/>
      <w:marTop w:val="0"/>
      <w:marBottom w:val="0"/>
      <w:divBdr>
        <w:top w:val="none" w:sz="0" w:space="0" w:color="auto"/>
        <w:left w:val="none" w:sz="0" w:space="0" w:color="auto"/>
        <w:bottom w:val="none" w:sz="0" w:space="0" w:color="auto"/>
        <w:right w:val="none" w:sz="0" w:space="0" w:color="auto"/>
      </w:divBdr>
    </w:div>
    <w:div w:id="492842948">
      <w:bodyDiv w:val="1"/>
      <w:marLeft w:val="0"/>
      <w:marRight w:val="0"/>
      <w:marTop w:val="0"/>
      <w:marBottom w:val="0"/>
      <w:divBdr>
        <w:top w:val="none" w:sz="0" w:space="0" w:color="auto"/>
        <w:left w:val="none" w:sz="0" w:space="0" w:color="auto"/>
        <w:bottom w:val="none" w:sz="0" w:space="0" w:color="auto"/>
        <w:right w:val="none" w:sz="0" w:space="0" w:color="auto"/>
      </w:divBdr>
    </w:div>
    <w:div w:id="517088865">
      <w:bodyDiv w:val="1"/>
      <w:marLeft w:val="0"/>
      <w:marRight w:val="0"/>
      <w:marTop w:val="0"/>
      <w:marBottom w:val="0"/>
      <w:divBdr>
        <w:top w:val="none" w:sz="0" w:space="0" w:color="auto"/>
        <w:left w:val="none" w:sz="0" w:space="0" w:color="auto"/>
        <w:bottom w:val="none" w:sz="0" w:space="0" w:color="auto"/>
        <w:right w:val="none" w:sz="0" w:space="0" w:color="auto"/>
      </w:divBdr>
      <w:divsChild>
        <w:div w:id="68962220">
          <w:marLeft w:val="446"/>
          <w:marRight w:val="0"/>
          <w:marTop w:val="0"/>
          <w:marBottom w:val="0"/>
          <w:divBdr>
            <w:top w:val="none" w:sz="0" w:space="0" w:color="auto"/>
            <w:left w:val="none" w:sz="0" w:space="0" w:color="auto"/>
            <w:bottom w:val="none" w:sz="0" w:space="0" w:color="auto"/>
            <w:right w:val="none" w:sz="0" w:space="0" w:color="auto"/>
          </w:divBdr>
        </w:div>
        <w:div w:id="748237654">
          <w:marLeft w:val="446"/>
          <w:marRight w:val="0"/>
          <w:marTop w:val="0"/>
          <w:marBottom w:val="0"/>
          <w:divBdr>
            <w:top w:val="none" w:sz="0" w:space="0" w:color="auto"/>
            <w:left w:val="none" w:sz="0" w:space="0" w:color="auto"/>
            <w:bottom w:val="none" w:sz="0" w:space="0" w:color="auto"/>
            <w:right w:val="none" w:sz="0" w:space="0" w:color="auto"/>
          </w:divBdr>
        </w:div>
        <w:div w:id="911237956">
          <w:marLeft w:val="446"/>
          <w:marRight w:val="0"/>
          <w:marTop w:val="0"/>
          <w:marBottom w:val="0"/>
          <w:divBdr>
            <w:top w:val="none" w:sz="0" w:space="0" w:color="auto"/>
            <w:left w:val="none" w:sz="0" w:space="0" w:color="auto"/>
            <w:bottom w:val="none" w:sz="0" w:space="0" w:color="auto"/>
            <w:right w:val="none" w:sz="0" w:space="0" w:color="auto"/>
          </w:divBdr>
        </w:div>
        <w:div w:id="1001544929">
          <w:marLeft w:val="446"/>
          <w:marRight w:val="0"/>
          <w:marTop w:val="0"/>
          <w:marBottom w:val="0"/>
          <w:divBdr>
            <w:top w:val="none" w:sz="0" w:space="0" w:color="auto"/>
            <w:left w:val="none" w:sz="0" w:space="0" w:color="auto"/>
            <w:bottom w:val="none" w:sz="0" w:space="0" w:color="auto"/>
            <w:right w:val="none" w:sz="0" w:space="0" w:color="auto"/>
          </w:divBdr>
        </w:div>
      </w:divsChild>
    </w:div>
    <w:div w:id="622926833">
      <w:bodyDiv w:val="1"/>
      <w:marLeft w:val="0"/>
      <w:marRight w:val="0"/>
      <w:marTop w:val="0"/>
      <w:marBottom w:val="0"/>
      <w:divBdr>
        <w:top w:val="none" w:sz="0" w:space="0" w:color="auto"/>
        <w:left w:val="none" w:sz="0" w:space="0" w:color="auto"/>
        <w:bottom w:val="none" w:sz="0" w:space="0" w:color="auto"/>
        <w:right w:val="none" w:sz="0" w:space="0" w:color="auto"/>
      </w:divBdr>
    </w:div>
    <w:div w:id="704136295">
      <w:bodyDiv w:val="1"/>
      <w:marLeft w:val="0"/>
      <w:marRight w:val="0"/>
      <w:marTop w:val="0"/>
      <w:marBottom w:val="0"/>
      <w:divBdr>
        <w:top w:val="none" w:sz="0" w:space="0" w:color="auto"/>
        <w:left w:val="none" w:sz="0" w:space="0" w:color="auto"/>
        <w:bottom w:val="none" w:sz="0" w:space="0" w:color="auto"/>
        <w:right w:val="none" w:sz="0" w:space="0" w:color="auto"/>
      </w:divBdr>
    </w:div>
    <w:div w:id="784232297">
      <w:bodyDiv w:val="1"/>
      <w:marLeft w:val="0"/>
      <w:marRight w:val="0"/>
      <w:marTop w:val="0"/>
      <w:marBottom w:val="0"/>
      <w:divBdr>
        <w:top w:val="none" w:sz="0" w:space="0" w:color="auto"/>
        <w:left w:val="none" w:sz="0" w:space="0" w:color="auto"/>
        <w:bottom w:val="none" w:sz="0" w:space="0" w:color="auto"/>
        <w:right w:val="none" w:sz="0" w:space="0" w:color="auto"/>
      </w:divBdr>
    </w:div>
    <w:div w:id="873931266">
      <w:bodyDiv w:val="1"/>
      <w:marLeft w:val="0"/>
      <w:marRight w:val="0"/>
      <w:marTop w:val="0"/>
      <w:marBottom w:val="0"/>
      <w:divBdr>
        <w:top w:val="none" w:sz="0" w:space="0" w:color="auto"/>
        <w:left w:val="none" w:sz="0" w:space="0" w:color="auto"/>
        <w:bottom w:val="none" w:sz="0" w:space="0" w:color="auto"/>
        <w:right w:val="none" w:sz="0" w:space="0" w:color="auto"/>
      </w:divBdr>
    </w:div>
    <w:div w:id="935869102">
      <w:bodyDiv w:val="1"/>
      <w:marLeft w:val="0"/>
      <w:marRight w:val="0"/>
      <w:marTop w:val="0"/>
      <w:marBottom w:val="0"/>
      <w:divBdr>
        <w:top w:val="none" w:sz="0" w:space="0" w:color="auto"/>
        <w:left w:val="none" w:sz="0" w:space="0" w:color="auto"/>
        <w:bottom w:val="none" w:sz="0" w:space="0" w:color="auto"/>
        <w:right w:val="none" w:sz="0" w:space="0" w:color="auto"/>
      </w:divBdr>
    </w:div>
    <w:div w:id="1099721462">
      <w:bodyDiv w:val="1"/>
      <w:marLeft w:val="0"/>
      <w:marRight w:val="0"/>
      <w:marTop w:val="0"/>
      <w:marBottom w:val="0"/>
      <w:divBdr>
        <w:top w:val="none" w:sz="0" w:space="0" w:color="auto"/>
        <w:left w:val="none" w:sz="0" w:space="0" w:color="auto"/>
        <w:bottom w:val="none" w:sz="0" w:space="0" w:color="auto"/>
        <w:right w:val="none" w:sz="0" w:space="0" w:color="auto"/>
      </w:divBdr>
      <w:divsChild>
        <w:div w:id="421101132">
          <w:marLeft w:val="446"/>
          <w:marRight w:val="0"/>
          <w:marTop w:val="0"/>
          <w:marBottom w:val="0"/>
          <w:divBdr>
            <w:top w:val="none" w:sz="0" w:space="0" w:color="auto"/>
            <w:left w:val="none" w:sz="0" w:space="0" w:color="auto"/>
            <w:bottom w:val="none" w:sz="0" w:space="0" w:color="auto"/>
            <w:right w:val="none" w:sz="0" w:space="0" w:color="auto"/>
          </w:divBdr>
        </w:div>
        <w:div w:id="452871425">
          <w:marLeft w:val="1166"/>
          <w:marRight w:val="0"/>
          <w:marTop w:val="0"/>
          <w:marBottom w:val="0"/>
          <w:divBdr>
            <w:top w:val="none" w:sz="0" w:space="0" w:color="auto"/>
            <w:left w:val="none" w:sz="0" w:space="0" w:color="auto"/>
            <w:bottom w:val="none" w:sz="0" w:space="0" w:color="auto"/>
            <w:right w:val="none" w:sz="0" w:space="0" w:color="auto"/>
          </w:divBdr>
        </w:div>
        <w:div w:id="775716401">
          <w:marLeft w:val="446"/>
          <w:marRight w:val="0"/>
          <w:marTop w:val="0"/>
          <w:marBottom w:val="0"/>
          <w:divBdr>
            <w:top w:val="none" w:sz="0" w:space="0" w:color="auto"/>
            <w:left w:val="none" w:sz="0" w:space="0" w:color="auto"/>
            <w:bottom w:val="none" w:sz="0" w:space="0" w:color="auto"/>
            <w:right w:val="none" w:sz="0" w:space="0" w:color="auto"/>
          </w:divBdr>
        </w:div>
        <w:div w:id="929850248">
          <w:marLeft w:val="1166"/>
          <w:marRight w:val="0"/>
          <w:marTop w:val="0"/>
          <w:marBottom w:val="0"/>
          <w:divBdr>
            <w:top w:val="none" w:sz="0" w:space="0" w:color="auto"/>
            <w:left w:val="none" w:sz="0" w:space="0" w:color="auto"/>
            <w:bottom w:val="none" w:sz="0" w:space="0" w:color="auto"/>
            <w:right w:val="none" w:sz="0" w:space="0" w:color="auto"/>
          </w:divBdr>
        </w:div>
      </w:divsChild>
    </w:div>
    <w:div w:id="1188762143">
      <w:bodyDiv w:val="1"/>
      <w:marLeft w:val="0"/>
      <w:marRight w:val="0"/>
      <w:marTop w:val="0"/>
      <w:marBottom w:val="0"/>
      <w:divBdr>
        <w:top w:val="none" w:sz="0" w:space="0" w:color="auto"/>
        <w:left w:val="none" w:sz="0" w:space="0" w:color="auto"/>
        <w:bottom w:val="none" w:sz="0" w:space="0" w:color="auto"/>
        <w:right w:val="none" w:sz="0" w:space="0" w:color="auto"/>
      </w:divBdr>
    </w:div>
    <w:div w:id="1382948815">
      <w:bodyDiv w:val="1"/>
      <w:marLeft w:val="0"/>
      <w:marRight w:val="0"/>
      <w:marTop w:val="0"/>
      <w:marBottom w:val="0"/>
      <w:divBdr>
        <w:top w:val="none" w:sz="0" w:space="0" w:color="auto"/>
        <w:left w:val="none" w:sz="0" w:space="0" w:color="auto"/>
        <w:bottom w:val="none" w:sz="0" w:space="0" w:color="auto"/>
        <w:right w:val="none" w:sz="0" w:space="0" w:color="auto"/>
      </w:divBdr>
    </w:div>
    <w:div w:id="1524128538">
      <w:bodyDiv w:val="1"/>
      <w:marLeft w:val="0"/>
      <w:marRight w:val="0"/>
      <w:marTop w:val="0"/>
      <w:marBottom w:val="0"/>
      <w:divBdr>
        <w:top w:val="none" w:sz="0" w:space="0" w:color="auto"/>
        <w:left w:val="none" w:sz="0" w:space="0" w:color="auto"/>
        <w:bottom w:val="none" w:sz="0" w:space="0" w:color="auto"/>
        <w:right w:val="none" w:sz="0" w:space="0" w:color="auto"/>
      </w:divBdr>
    </w:div>
    <w:div w:id="1528517661">
      <w:bodyDiv w:val="1"/>
      <w:marLeft w:val="0"/>
      <w:marRight w:val="0"/>
      <w:marTop w:val="0"/>
      <w:marBottom w:val="0"/>
      <w:divBdr>
        <w:top w:val="none" w:sz="0" w:space="0" w:color="auto"/>
        <w:left w:val="none" w:sz="0" w:space="0" w:color="auto"/>
        <w:bottom w:val="none" w:sz="0" w:space="0" w:color="auto"/>
        <w:right w:val="none" w:sz="0" w:space="0" w:color="auto"/>
      </w:divBdr>
    </w:div>
    <w:div w:id="1619331379">
      <w:bodyDiv w:val="1"/>
      <w:marLeft w:val="0"/>
      <w:marRight w:val="0"/>
      <w:marTop w:val="0"/>
      <w:marBottom w:val="0"/>
      <w:divBdr>
        <w:top w:val="none" w:sz="0" w:space="0" w:color="auto"/>
        <w:left w:val="none" w:sz="0" w:space="0" w:color="auto"/>
        <w:bottom w:val="none" w:sz="0" w:space="0" w:color="auto"/>
        <w:right w:val="none" w:sz="0" w:space="0" w:color="auto"/>
      </w:divBdr>
    </w:div>
    <w:div w:id="1725906454">
      <w:bodyDiv w:val="1"/>
      <w:marLeft w:val="0"/>
      <w:marRight w:val="0"/>
      <w:marTop w:val="0"/>
      <w:marBottom w:val="0"/>
      <w:divBdr>
        <w:top w:val="none" w:sz="0" w:space="0" w:color="auto"/>
        <w:left w:val="none" w:sz="0" w:space="0" w:color="auto"/>
        <w:bottom w:val="none" w:sz="0" w:space="0" w:color="auto"/>
        <w:right w:val="none" w:sz="0" w:space="0" w:color="auto"/>
      </w:divBdr>
    </w:div>
    <w:div w:id="1730811507">
      <w:bodyDiv w:val="1"/>
      <w:marLeft w:val="0"/>
      <w:marRight w:val="0"/>
      <w:marTop w:val="0"/>
      <w:marBottom w:val="0"/>
      <w:divBdr>
        <w:top w:val="none" w:sz="0" w:space="0" w:color="auto"/>
        <w:left w:val="none" w:sz="0" w:space="0" w:color="auto"/>
        <w:bottom w:val="none" w:sz="0" w:space="0" w:color="auto"/>
        <w:right w:val="none" w:sz="0" w:space="0" w:color="auto"/>
      </w:divBdr>
      <w:divsChild>
        <w:div w:id="741414676">
          <w:marLeft w:val="446"/>
          <w:marRight w:val="0"/>
          <w:marTop w:val="0"/>
          <w:marBottom w:val="0"/>
          <w:divBdr>
            <w:top w:val="none" w:sz="0" w:space="0" w:color="auto"/>
            <w:left w:val="none" w:sz="0" w:space="0" w:color="auto"/>
            <w:bottom w:val="none" w:sz="0" w:space="0" w:color="auto"/>
            <w:right w:val="none" w:sz="0" w:space="0" w:color="auto"/>
          </w:divBdr>
        </w:div>
        <w:div w:id="1036276027">
          <w:marLeft w:val="1166"/>
          <w:marRight w:val="0"/>
          <w:marTop w:val="0"/>
          <w:marBottom w:val="0"/>
          <w:divBdr>
            <w:top w:val="none" w:sz="0" w:space="0" w:color="auto"/>
            <w:left w:val="none" w:sz="0" w:space="0" w:color="auto"/>
            <w:bottom w:val="none" w:sz="0" w:space="0" w:color="auto"/>
            <w:right w:val="none" w:sz="0" w:space="0" w:color="auto"/>
          </w:divBdr>
        </w:div>
        <w:div w:id="1263757960">
          <w:marLeft w:val="1166"/>
          <w:marRight w:val="0"/>
          <w:marTop w:val="0"/>
          <w:marBottom w:val="0"/>
          <w:divBdr>
            <w:top w:val="none" w:sz="0" w:space="0" w:color="auto"/>
            <w:left w:val="none" w:sz="0" w:space="0" w:color="auto"/>
            <w:bottom w:val="none" w:sz="0" w:space="0" w:color="auto"/>
            <w:right w:val="none" w:sz="0" w:space="0" w:color="auto"/>
          </w:divBdr>
        </w:div>
        <w:div w:id="1764955928">
          <w:marLeft w:val="446"/>
          <w:marRight w:val="0"/>
          <w:marTop w:val="0"/>
          <w:marBottom w:val="0"/>
          <w:divBdr>
            <w:top w:val="none" w:sz="0" w:space="0" w:color="auto"/>
            <w:left w:val="none" w:sz="0" w:space="0" w:color="auto"/>
            <w:bottom w:val="none" w:sz="0" w:space="0" w:color="auto"/>
            <w:right w:val="none" w:sz="0" w:space="0" w:color="auto"/>
          </w:divBdr>
        </w:div>
        <w:div w:id="1972859397">
          <w:marLeft w:val="1166"/>
          <w:marRight w:val="0"/>
          <w:marTop w:val="0"/>
          <w:marBottom w:val="0"/>
          <w:divBdr>
            <w:top w:val="none" w:sz="0" w:space="0" w:color="auto"/>
            <w:left w:val="none" w:sz="0" w:space="0" w:color="auto"/>
            <w:bottom w:val="none" w:sz="0" w:space="0" w:color="auto"/>
            <w:right w:val="none" w:sz="0" w:space="0" w:color="auto"/>
          </w:divBdr>
        </w:div>
        <w:div w:id="2102487841">
          <w:marLeft w:val="446"/>
          <w:marRight w:val="0"/>
          <w:marTop w:val="0"/>
          <w:marBottom w:val="0"/>
          <w:divBdr>
            <w:top w:val="none" w:sz="0" w:space="0" w:color="auto"/>
            <w:left w:val="none" w:sz="0" w:space="0" w:color="auto"/>
            <w:bottom w:val="none" w:sz="0" w:space="0" w:color="auto"/>
            <w:right w:val="none" w:sz="0" w:space="0" w:color="auto"/>
          </w:divBdr>
        </w:div>
      </w:divsChild>
    </w:div>
    <w:div w:id="1826192560">
      <w:bodyDiv w:val="1"/>
      <w:marLeft w:val="0"/>
      <w:marRight w:val="0"/>
      <w:marTop w:val="0"/>
      <w:marBottom w:val="0"/>
      <w:divBdr>
        <w:top w:val="none" w:sz="0" w:space="0" w:color="auto"/>
        <w:left w:val="none" w:sz="0" w:space="0" w:color="auto"/>
        <w:bottom w:val="none" w:sz="0" w:space="0" w:color="auto"/>
        <w:right w:val="none" w:sz="0" w:space="0" w:color="auto"/>
      </w:divBdr>
    </w:div>
    <w:div w:id="1930889374">
      <w:bodyDiv w:val="1"/>
      <w:marLeft w:val="0"/>
      <w:marRight w:val="0"/>
      <w:marTop w:val="0"/>
      <w:marBottom w:val="0"/>
      <w:divBdr>
        <w:top w:val="none" w:sz="0" w:space="0" w:color="auto"/>
        <w:left w:val="none" w:sz="0" w:space="0" w:color="auto"/>
        <w:bottom w:val="none" w:sz="0" w:space="0" w:color="auto"/>
        <w:right w:val="none" w:sz="0" w:space="0" w:color="auto"/>
      </w:divBdr>
    </w:div>
    <w:div w:id="2042709414">
      <w:bodyDiv w:val="1"/>
      <w:marLeft w:val="0"/>
      <w:marRight w:val="0"/>
      <w:marTop w:val="0"/>
      <w:marBottom w:val="0"/>
      <w:divBdr>
        <w:top w:val="none" w:sz="0" w:space="0" w:color="auto"/>
        <w:left w:val="none" w:sz="0" w:space="0" w:color="auto"/>
        <w:bottom w:val="none" w:sz="0" w:space="0" w:color="auto"/>
        <w:right w:val="none" w:sz="0" w:space="0" w:color="auto"/>
      </w:divBdr>
    </w:div>
    <w:div w:id="2043552781">
      <w:bodyDiv w:val="1"/>
      <w:marLeft w:val="0"/>
      <w:marRight w:val="0"/>
      <w:marTop w:val="0"/>
      <w:marBottom w:val="0"/>
      <w:divBdr>
        <w:top w:val="none" w:sz="0" w:space="0" w:color="auto"/>
        <w:left w:val="none" w:sz="0" w:space="0" w:color="auto"/>
        <w:bottom w:val="none" w:sz="0" w:space="0" w:color="auto"/>
        <w:right w:val="none" w:sz="0" w:space="0" w:color="auto"/>
      </w:divBdr>
    </w:div>
    <w:div w:id="2056537197">
      <w:bodyDiv w:val="1"/>
      <w:marLeft w:val="0"/>
      <w:marRight w:val="0"/>
      <w:marTop w:val="0"/>
      <w:marBottom w:val="0"/>
      <w:divBdr>
        <w:top w:val="none" w:sz="0" w:space="0" w:color="auto"/>
        <w:left w:val="none" w:sz="0" w:space="0" w:color="auto"/>
        <w:bottom w:val="none" w:sz="0" w:space="0" w:color="auto"/>
        <w:right w:val="none" w:sz="0" w:space="0" w:color="auto"/>
      </w:divBdr>
    </w:div>
    <w:div w:id="2076198757">
      <w:bodyDiv w:val="1"/>
      <w:marLeft w:val="0"/>
      <w:marRight w:val="0"/>
      <w:marTop w:val="0"/>
      <w:marBottom w:val="0"/>
      <w:divBdr>
        <w:top w:val="none" w:sz="0" w:space="0" w:color="auto"/>
        <w:left w:val="none" w:sz="0" w:space="0" w:color="auto"/>
        <w:bottom w:val="none" w:sz="0" w:space="0" w:color="auto"/>
        <w:right w:val="none" w:sz="0" w:space="0" w:color="auto"/>
      </w:divBdr>
    </w:div>
    <w:div w:id="2090536246">
      <w:bodyDiv w:val="1"/>
      <w:marLeft w:val="0"/>
      <w:marRight w:val="0"/>
      <w:marTop w:val="0"/>
      <w:marBottom w:val="0"/>
      <w:divBdr>
        <w:top w:val="none" w:sz="0" w:space="0" w:color="auto"/>
        <w:left w:val="none" w:sz="0" w:space="0" w:color="auto"/>
        <w:bottom w:val="none" w:sz="0" w:space="0" w:color="auto"/>
        <w:right w:val="none" w:sz="0" w:space="0" w:color="auto"/>
      </w:divBdr>
    </w:div>
    <w:div w:id="213597662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em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emf"/><Relationship Id="rId24" Type="http://schemas.openxmlformats.org/officeDocument/2006/relationships/image" Target="media/image10.png"/><Relationship Id="rId32"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footer" Target="footer2.xml"/><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20.png"/><Relationship Id="rId30" Type="http://schemas.openxmlformats.org/officeDocument/2006/relationships/image" Target="media/image15.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E9F4A0-8686-467B-A206-39A318DDE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2307</Words>
  <Characters>13156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NHS ERY</Company>
  <LinksUpToDate>false</LinksUpToDate>
  <CharactersWithSpaces>15433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Jablonski</dc:creator>
  <cp:lastModifiedBy>eMBED</cp:lastModifiedBy>
  <cp:revision>2</cp:revision>
  <cp:lastPrinted>2015-02-05T14:14:00Z</cp:lastPrinted>
  <dcterms:created xsi:type="dcterms:W3CDTF">2018-11-06T09:57:00Z</dcterms:created>
  <dcterms:modified xsi:type="dcterms:W3CDTF">2018-11-06T09:57:00Z</dcterms:modified>
</cp:coreProperties>
</file>