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89" w:rsidRDefault="00621589" w:rsidP="00E73B61">
      <w:pPr>
        <w:ind w:left="5041"/>
        <w:jc w:val="right"/>
      </w:pPr>
    </w:p>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DE272B">
                              <w:rPr>
                                <w:rFonts w:ascii="Calibri" w:hAnsi="Calibri"/>
                                <w:b/>
                                <w:sz w:val="22"/>
                                <w:szCs w:val="22"/>
                              </w:rPr>
                              <w:t xml:space="preserve">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DE272B">
                        <w:rPr>
                          <w:rFonts w:ascii="Calibri" w:hAnsi="Calibri"/>
                          <w:b/>
                          <w:sz w:val="22"/>
                          <w:szCs w:val="22"/>
                        </w:rPr>
                        <w:t xml:space="preserve"> 06</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485879" w:rsidRDefault="00136B75">
                            <w:pPr>
                              <w:rPr>
                                <w:rFonts w:ascii="Arial" w:hAnsi="Arial" w:cs="Arial"/>
                                <w:sz w:val="22"/>
                                <w:szCs w:val="22"/>
                              </w:rPr>
                            </w:pPr>
                            <w:r w:rsidRPr="00485879">
                              <w:rPr>
                                <w:rFonts w:ascii="Arial" w:hAnsi="Arial" w:cs="Arial"/>
                                <w:sz w:val="22"/>
                                <w:szCs w:val="22"/>
                              </w:rPr>
                              <w:t>Report to</w:t>
                            </w:r>
                            <w:r w:rsidR="00E402F3" w:rsidRPr="00485879">
                              <w:rPr>
                                <w:rFonts w:ascii="Arial" w:hAnsi="Arial" w:cs="Arial"/>
                                <w:sz w:val="22"/>
                                <w:szCs w:val="22"/>
                              </w:rPr>
                              <w:t>:</w:t>
                            </w:r>
                            <w:r w:rsidR="00FB449C" w:rsidRPr="00485879">
                              <w:rPr>
                                <w:rFonts w:ascii="Arial" w:hAnsi="Arial" w:cs="Arial"/>
                                <w:sz w:val="22"/>
                                <w:szCs w:val="22"/>
                              </w:rPr>
                              <w:t xml:space="preserve"> (Board/Sub-Committee)</w:t>
                            </w:r>
                            <w:r w:rsidRPr="00485879">
                              <w:rPr>
                                <w:rFonts w:ascii="Arial" w:hAnsi="Arial" w:cs="Arial"/>
                                <w:sz w:val="22"/>
                                <w:szCs w:val="22"/>
                              </w:rPr>
                              <w:t>:</w:t>
                            </w:r>
                            <w:r w:rsidR="00621589" w:rsidRPr="00485879">
                              <w:rPr>
                                <w:rFonts w:ascii="Arial" w:hAnsi="Arial" w:cs="Arial"/>
                                <w:sz w:val="22"/>
                                <w:szCs w:val="22"/>
                              </w:rPr>
                              <w:t xml:space="preserve">  </w:t>
                            </w:r>
                            <w:r w:rsidR="00621589" w:rsidRPr="00485879">
                              <w:rPr>
                                <w:rFonts w:ascii="Arial" w:hAnsi="Arial" w:cs="Arial"/>
                                <w:b/>
                                <w:sz w:val="22"/>
                                <w:szCs w:val="22"/>
                              </w:rPr>
                              <w:t>Partnership Board</w:t>
                            </w:r>
                          </w:p>
                          <w:p w:rsidR="00136B75" w:rsidRPr="00485879" w:rsidRDefault="00136B75">
                            <w:pPr>
                              <w:rPr>
                                <w:rFonts w:ascii="Arial" w:hAnsi="Arial" w:cs="Arial"/>
                                <w:sz w:val="22"/>
                                <w:szCs w:val="22"/>
                              </w:rPr>
                            </w:pPr>
                          </w:p>
                          <w:p w:rsidR="00136B75" w:rsidRPr="00485879" w:rsidRDefault="00136B75">
                            <w:pPr>
                              <w:rPr>
                                <w:rFonts w:ascii="Arial" w:hAnsi="Arial" w:cs="Arial"/>
                                <w:sz w:val="22"/>
                                <w:szCs w:val="22"/>
                              </w:rPr>
                            </w:pPr>
                            <w:r w:rsidRPr="00485879">
                              <w:rPr>
                                <w:rFonts w:ascii="Arial" w:hAnsi="Arial" w:cs="Arial"/>
                                <w:sz w:val="22"/>
                                <w:szCs w:val="22"/>
                              </w:rPr>
                              <w:t>Date of Meeting:</w:t>
                            </w:r>
                            <w:r w:rsidR="00621589" w:rsidRPr="00485879">
                              <w:rPr>
                                <w:rFonts w:ascii="Arial" w:hAnsi="Arial" w:cs="Arial"/>
                                <w:sz w:val="22"/>
                                <w:szCs w:val="22"/>
                              </w:rPr>
                              <w:t xml:space="preserve">   </w:t>
                            </w:r>
                            <w:r w:rsidR="00621589" w:rsidRPr="00485879">
                              <w:rPr>
                                <w:rFonts w:ascii="Arial" w:hAnsi="Arial" w:cs="Arial"/>
                                <w:b/>
                                <w:sz w:val="22"/>
                                <w:szCs w:val="22"/>
                              </w:rPr>
                              <w:t>September 13</w:t>
                            </w:r>
                            <w:r w:rsidR="00621589" w:rsidRPr="00485879">
                              <w:rPr>
                                <w:rFonts w:ascii="Arial" w:hAnsi="Arial" w:cs="Arial"/>
                                <w:b/>
                                <w:sz w:val="22"/>
                                <w:szCs w:val="22"/>
                                <w:vertAlign w:val="superscript"/>
                              </w:rPr>
                              <w:t>th</w:t>
                            </w:r>
                            <w:r w:rsidR="00621589" w:rsidRPr="00485879">
                              <w:rPr>
                                <w:rFonts w:ascii="Arial" w:hAnsi="Arial" w:cs="Arial"/>
                                <w:b/>
                                <w:sz w:val="22"/>
                                <w:szCs w:val="22"/>
                              </w:rPr>
                              <w:t>, 2018</w:t>
                            </w:r>
                          </w:p>
                          <w:p w:rsidR="00136B75" w:rsidRPr="00485879" w:rsidRDefault="00136B75">
                            <w:pPr>
                              <w:rPr>
                                <w:rFonts w:ascii="Arial" w:hAnsi="Arial" w:cs="Arial"/>
                                <w:sz w:val="22"/>
                                <w:szCs w:val="22"/>
                              </w:rPr>
                            </w:pPr>
                          </w:p>
                          <w:p w:rsidR="00136B75" w:rsidRPr="00485879" w:rsidRDefault="00136B75">
                            <w:pPr>
                              <w:rPr>
                                <w:rFonts w:ascii="Arial" w:hAnsi="Arial" w:cs="Arial"/>
                                <w:sz w:val="22"/>
                                <w:szCs w:val="22"/>
                              </w:rPr>
                            </w:pPr>
                            <w:r w:rsidRPr="00485879">
                              <w:rPr>
                                <w:rFonts w:ascii="Arial" w:hAnsi="Arial" w:cs="Arial"/>
                                <w:sz w:val="22"/>
                                <w:szCs w:val="22"/>
                              </w:rPr>
                              <w:t>Subject:</w:t>
                            </w:r>
                            <w:r w:rsidR="00621589" w:rsidRPr="00485879">
                              <w:rPr>
                                <w:rFonts w:ascii="Arial" w:hAnsi="Arial" w:cs="Arial"/>
                                <w:sz w:val="22"/>
                                <w:szCs w:val="22"/>
                              </w:rPr>
                              <w:t xml:space="preserve">  </w:t>
                            </w:r>
                            <w:r w:rsidR="00621589" w:rsidRPr="00485879">
                              <w:rPr>
                                <w:rFonts w:ascii="Arial" w:hAnsi="Arial" w:cs="Arial"/>
                                <w:b/>
                                <w:sz w:val="22"/>
                                <w:szCs w:val="22"/>
                              </w:rPr>
                              <w:t xml:space="preserve"> Accord Steering Group</w:t>
                            </w:r>
                            <w:r w:rsidR="0062333A" w:rsidRPr="00485879">
                              <w:rPr>
                                <w:rFonts w:ascii="Arial" w:hAnsi="Arial" w:cs="Arial"/>
                                <w:b/>
                                <w:sz w:val="22"/>
                                <w:szCs w:val="22"/>
                              </w:rPr>
                              <w:t xml:space="preserve"> review</w:t>
                            </w:r>
                          </w:p>
                          <w:p w:rsidR="00136B75" w:rsidRPr="00485879" w:rsidRDefault="00136B75">
                            <w:pPr>
                              <w:rPr>
                                <w:rFonts w:ascii="Arial" w:hAnsi="Arial" w:cs="Arial"/>
                                <w:sz w:val="22"/>
                                <w:szCs w:val="22"/>
                              </w:rPr>
                            </w:pPr>
                          </w:p>
                          <w:p w:rsidR="00136B75" w:rsidRPr="00485879" w:rsidRDefault="00136B75">
                            <w:pPr>
                              <w:rPr>
                                <w:rFonts w:ascii="Arial" w:hAnsi="Arial" w:cs="Arial"/>
                                <w:sz w:val="22"/>
                                <w:szCs w:val="22"/>
                              </w:rPr>
                            </w:pPr>
                            <w:r w:rsidRPr="00485879">
                              <w:rPr>
                                <w:rFonts w:ascii="Arial" w:hAnsi="Arial" w:cs="Arial"/>
                                <w:sz w:val="22"/>
                                <w:szCs w:val="22"/>
                              </w:rPr>
                              <w:t>Presented by:</w:t>
                            </w:r>
                            <w:r w:rsidR="00621589" w:rsidRPr="00485879">
                              <w:rPr>
                                <w:rFonts w:ascii="Arial" w:hAnsi="Arial" w:cs="Arial"/>
                                <w:sz w:val="22"/>
                                <w:szCs w:val="22"/>
                              </w:rPr>
                              <w:t xml:space="preserve"> </w:t>
                            </w:r>
                            <w:r w:rsidR="00621589" w:rsidRPr="00485879">
                              <w:rPr>
                                <w:rFonts w:ascii="Arial" w:hAnsi="Arial" w:cs="Arial"/>
                                <w:b/>
                                <w:sz w:val="22"/>
                                <w:szCs w:val="22"/>
                              </w:rPr>
                              <w:t>Philip Bond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485879" w:rsidRDefault="00136B75">
                      <w:pPr>
                        <w:rPr>
                          <w:rFonts w:ascii="Arial" w:hAnsi="Arial" w:cs="Arial"/>
                          <w:sz w:val="22"/>
                          <w:szCs w:val="22"/>
                        </w:rPr>
                      </w:pPr>
                      <w:r w:rsidRPr="00485879">
                        <w:rPr>
                          <w:rFonts w:ascii="Arial" w:hAnsi="Arial" w:cs="Arial"/>
                          <w:sz w:val="22"/>
                          <w:szCs w:val="22"/>
                        </w:rPr>
                        <w:t>Report to</w:t>
                      </w:r>
                      <w:r w:rsidR="00E402F3" w:rsidRPr="00485879">
                        <w:rPr>
                          <w:rFonts w:ascii="Arial" w:hAnsi="Arial" w:cs="Arial"/>
                          <w:sz w:val="22"/>
                          <w:szCs w:val="22"/>
                        </w:rPr>
                        <w:t>:</w:t>
                      </w:r>
                      <w:r w:rsidR="00FB449C" w:rsidRPr="00485879">
                        <w:rPr>
                          <w:rFonts w:ascii="Arial" w:hAnsi="Arial" w:cs="Arial"/>
                          <w:sz w:val="22"/>
                          <w:szCs w:val="22"/>
                        </w:rPr>
                        <w:t xml:space="preserve"> (Board/Sub-Committee)</w:t>
                      </w:r>
                      <w:r w:rsidRPr="00485879">
                        <w:rPr>
                          <w:rFonts w:ascii="Arial" w:hAnsi="Arial" w:cs="Arial"/>
                          <w:sz w:val="22"/>
                          <w:szCs w:val="22"/>
                        </w:rPr>
                        <w:t>:</w:t>
                      </w:r>
                      <w:r w:rsidR="00621589" w:rsidRPr="00485879">
                        <w:rPr>
                          <w:rFonts w:ascii="Arial" w:hAnsi="Arial" w:cs="Arial"/>
                          <w:sz w:val="22"/>
                          <w:szCs w:val="22"/>
                        </w:rPr>
                        <w:t xml:space="preserve">  </w:t>
                      </w:r>
                      <w:r w:rsidR="00621589" w:rsidRPr="00485879">
                        <w:rPr>
                          <w:rFonts w:ascii="Arial" w:hAnsi="Arial" w:cs="Arial"/>
                          <w:b/>
                          <w:sz w:val="22"/>
                          <w:szCs w:val="22"/>
                        </w:rPr>
                        <w:t>Partnership Board</w:t>
                      </w:r>
                    </w:p>
                    <w:p w:rsidR="00136B75" w:rsidRPr="00485879" w:rsidRDefault="00136B75">
                      <w:pPr>
                        <w:rPr>
                          <w:rFonts w:ascii="Arial" w:hAnsi="Arial" w:cs="Arial"/>
                          <w:sz w:val="22"/>
                          <w:szCs w:val="22"/>
                        </w:rPr>
                      </w:pPr>
                    </w:p>
                    <w:p w:rsidR="00136B75" w:rsidRPr="00485879" w:rsidRDefault="00136B75">
                      <w:pPr>
                        <w:rPr>
                          <w:rFonts w:ascii="Arial" w:hAnsi="Arial" w:cs="Arial"/>
                          <w:sz w:val="22"/>
                          <w:szCs w:val="22"/>
                        </w:rPr>
                      </w:pPr>
                      <w:r w:rsidRPr="00485879">
                        <w:rPr>
                          <w:rFonts w:ascii="Arial" w:hAnsi="Arial" w:cs="Arial"/>
                          <w:sz w:val="22"/>
                          <w:szCs w:val="22"/>
                        </w:rPr>
                        <w:t>Date of Meeting:</w:t>
                      </w:r>
                      <w:r w:rsidR="00621589" w:rsidRPr="00485879">
                        <w:rPr>
                          <w:rFonts w:ascii="Arial" w:hAnsi="Arial" w:cs="Arial"/>
                          <w:sz w:val="22"/>
                          <w:szCs w:val="22"/>
                        </w:rPr>
                        <w:t xml:space="preserve">   </w:t>
                      </w:r>
                      <w:r w:rsidR="00621589" w:rsidRPr="00485879">
                        <w:rPr>
                          <w:rFonts w:ascii="Arial" w:hAnsi="Arial" w:cs="Arial"/>
                          <w:b/>
                          <w:sz w:val="22"/>
                          <w:szCs w:val="22"/>
                        </w:rPr>
                        <w:t>September 13</w:t>
                      </w:r>
                      <w:r w:rsidR="00621589" w:rsidRPr="00485879">
                        <w:rPr>
                          <w:rFonts w:ascii="Arial" w:hAnsi="Arial" w:cs="Arial"/>
                          <w:b/>
                          <w:sz w:val="22"/>
                          <w:szCs w:val="22"/>
                          <w:vertAlign w:val="superscript"/>
                        </w:rPr>
                        <w:t>th</w:t>
                      </w:r>
                      <w:r w:rsidR="00621589" w:rsidRPr="00485879">
                        <w:rPr>
                          <w:rFonts w:ascii="Arial" w:hAnsi="Arial" w:cs="Arial"/>
                          <w:b/>
                          <w:sz w:val="22"/>
                          <w:szCs w:val="22"/>
                        </w:rPr>
                        <w:t>, 2018</w:t>
                      </w:r>
                    </w:p>
                    <w:p w:rsidR="00136B75" w:rsidRPr="00485879" w:rsidRDefault="00136B75">
                      <w:pPr>
                        <w:rPr>
                          <w:rFonts w:ascii="Arial" w:hAnsi="Arial" w:cs="Arial"/>
                          <w:sz w:val="22"/>
                          <w:szCs w:val="22"/>
                        </w:rPr>
                      </w:pPr>
                    </w:p>
                    <w:p w:rsidR="00136B75" w:rsidRPr="00485879" w:rsidRDefault="00136B75">
                      <w:pPr>
                        <w:rPr>
                          <w:rFonts w:ascii="Arial" w:hAnsi="Arial" w:cs="Arial"/>
                          <w:sz w:val="22"/>
                          <w:szCs w:val="22"/>
                        </w:rPr>
                      </w:pPr>
                      <w:r w:rsidRPr="00485879">
                        <w:rPr>
                          <w:rFonts w:ascii="Arial" w:hAnsi="Arial" w:cs="Arial"/>
                          <w:sz w:val="22"/>
                          <w:szCs w:val="22"/>
                        </w:rPr>
                        <w:t>Subject:</w:t>
                      </w:r>
                      <w:r w:rsidR="00621589" w:rsidRPr="00485879">
                        <w:rPr>
                          <w:rFonts w:ascii="Arial" w:hAnsi="Arial" w:cs="Arial"/>
                          <w:sz w:val="22"/>
                          <w:szCs w:val="22"/>
                        </w:rPr>
                        <w:t xml:space="preserve">  </w:t>
                      </w:r>
                      <w:r w:rsidR="00621589" w:rsidRPr="00485879">
                        <w:rPr>
                          <w:rFonts w:ascii="Arial" w:hAnsi="Arial" w:cs="Arial"/>
                          <w:b/>
                          <w:sz w:val="22"/>
                          <w:szCs w:val="22"/>
                        </w:rPr>
                        <w:t xml:space="preserve"> Accord Steering Group</w:t>
                      </w:r>
                      <w:r w:rsidR="0062333A" w:rsidRPr="00485879">
                        <w:rPr>
                          <w:rFonts w:ascii="Arial" w:hAnsi="Arial" w:cs="Arial"/>
                          <w:b/>
                          <w:sz w:val="22"/>
                          <w:szCs w:val="22"/>
                        </w:rPr>
                        <w:t xml:space="preserve"> review</w:t>
                      </w:r>
                    </w:p>
                    <w:p w:rsidR="00136B75" w:rsidRPr="00485879" w:rsidRDefault="00136B75">
                      <w:pPr>
                        <w:rPr>
                          <w:rFonts w:ascii="Arial" w:hAnsi="Arial" w:cs="Arial"/>
                          <w:sz w:val="22"/>
                          <w:szCs w:val="22"/>
                        </w:rPr>
                      </w:pPr>
                    </w:p>
                    <w:p w:rsidR="00136B75" w:rsidRPr="00485879" w:rsidRDefault="00136B75">
                      <w:pPr>
                        <w:rPr>
                          <w:rFonts w:ascii="Arial" w:hAnsi="Arial" w:cs="Arial"/>
                          <w:sz w:val="22"/>
                          <w:szCs w:val="22"/>
                        </w:rPr>
                      </w:pPr>
                      <w:r w:rsidRPr="00485879">
                        <w:rPr>
                          <w:rFonts w:ascii="Arial" w:hAnsi="Arial" w:cs="Arial"/>
                          <w:sz w:val="22"/>
                          <w:szCs w:val="22"/>
                        </w:rPr>
                        <w:t>Presented by:</w:t>
                      </w:r>
                      <w:r w:rsidR="00621589" w:rsidRPr="00485879">
                        <w:rPr>
                          <w:rFonts w:ascii="Arial" w:hAnsi="Arial" w:cs="Arial"/>
                          <w:sz w:val="22"/>
                          <w:szCs w:val="22"/>
                        </w:rPr>
                        <w:t xml:space="preserve"> </w:t>
                      </w:r>
                      <w:r w:rsidR="00621589" w:rsidRPr="00485879">
                        <w:rPr>
                          <w:rFonts w:ascii="Arial" w:hAnsi="Arial" w:cs="Arial"/>
                          <w:b/>
                          <w:sz w:val="22"/>
                          <w:szCs w:val="22"/>
                        </w:rPr>
                        <w:t>Philip Bond</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621589">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62333A">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621589">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62333A">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8384"/>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9B299F">
            <w:pPr>
              <w:pStyle w:val="NoSpacing"/>
              <w:rPr>
                <w:rFonts w:cs="Calibri"/>
                <w:b/>
                <w:sz w:val="20"/>
                <w:szCs w:val="20"/>
              </w:rPr>
            </w:pPr>
          </w:p>
        </w:tc>
        <w:tc>
          <w:tcPr>
            <w:tcW w:w="3817" w:type="pct"/>
            <w:shd w:val="clear" w:color="auto" w:fill="auto"/>
          </w:tcPr>
          <w:p w:rsidR="00EE2A08" w:rsidRPr="00485879" w:rsidRDefault="00EE2A08" w:rsidP="000D1B0D">
            <w:pPr>
              <w:pStyle w:val="Default"/>
              <w:jc w:val="both"/>
              <w:rPr>
                <w:sz w:val="22"/>
                <w:szCs w:val="22"/>
              </w:rPr>
            </w:pPr>
            <w:r w:rsidRPr="00485879">
              <w:rPr>
                <w:sz w:val="22"/>
                <w:szCs w:val="22"/>
              </w:rPr>
              <w:t xml:space="preserve">The Accord membership scheme was established in 2009 to “create a framework whereby the public have a direct say in what services are commissioned, and drive the commissioning strategy of the Care Trust Plus (CTP).”  </w:t>
            </w:r>
          </w:p>
          <w:p w:rsidR="00EE2A08" w:rsidRPr="00485879" w:rsidRDefault="00EE2A08" w:rsidP="000D1B0D">
            <w:pPr>
              <w:pStyle w:val="Default"/>
              <w:jc w:val="both"/>
              <w:rPr>
                <w:sz w:val="22"/>
                <w:szCs w:val="22"/>
              </w:rPr>
            </w:pPr>
          </w:p>
          <w:p w:rsidR="006B1D4E" w:rsidRPr="00485879" w:rsidRDefault="00EE2A08" w:rsidP="006B1D4E">
            <w:pPr>
              <w:pStyle w:val="Default"/>
              <w:jc w:val="both"/>
              <w:rPr>
                <w:sz w:val="22"/>
                <w:szCs w:val="22"/>
              </w:rPr>
            </w:pPr>
            <w:r w:rsidRPr="00485879">
              <w:rPr>
                <w:sz w:val="22"/>
                <w:szCs w:val="22"/>
              </w:rPr>
              <w:t xml:space="preserve">The membership scheme is open to people who live in or are registered with a GP practice in North East Lincolnshire, staff and local groups and organisations.  </w:t>
            </w:r>
            <w:r w:rsidR="006B1D4E" w:rsidRPr="00485879">
              <w:rPr>
                <w:sz w:val="22"/>
                <w:szCs w:val="22"/>
              </w:rPr>
              <w:t>The purpose of Accord is to provide local people with opportunities to influence decisions about local health and social care services.</w:t>
            </w:r>
            <w:r w:rsidR="00A30A8E" w:rsidRPr="00485879">
              <w:rPr>
                <w:sz w:val="22"/>
                <w:szCs w:val="22"/>
              </w:rPr>
              <w:t xml:space="preserve">  There are currently 2600 members of Accord.</w:t>
            </w:r>
          </w:p>
          <w:p w:rsidR="006B1D4E" w:rsidRPr="00485879" w:rsidRDefault="006B1D4E" w:rsidP="006B1D4E">
            <w:pPr>
              <w:pStyle w:val="Default"/>
              <w:jc w:val="both"/>
              <w:rPr>
                <w:sz w:val="22"/>
                <w:szCs w:val="22"/>
              </w:rPr>
            </w:pPr>
          </w:p>
          <w:p w:rsidR="006715AC" w:rsidRPr="00485879" w:rsidRDefault="00EE2A08" w:rsidP="000D1B0D">
            <w:pPr>
              <w:pStyle w:val="Default"/>
              <w:jc w:val="both"/>
              <w:rPr>
                <w:sz w:val="22"/>
                <w:szCs w:val="22"/>
              </w:rPr>
            </w:pPr>
            <w:r w:rsidRPr="00485879">
              <w:rPr>
                <w:sz w:val="22"/>
                <w:szCs w:val="22"/>
              </w:rPr>
              <w:t xml:space="preserve">In 2014 </w:t>
            </w:r>
            <w:r w:rsidR="006B1D4E" w:rsidRPr="00485879">
              <w:rPr>
                <w:sz w:val="22"/>
                <w:szCs w:val="22"/>
              </w:rPr>
              <w:t xml:space="preserve">the Accord Steering Group </w:t>
            </w:r>
            <w:r w:rsidRPr="00485879">
              <w:rPr>
                <w:sz w:val="22"/>
                <w:szCs w:val="22"/>
              </w:rPr>
              <w:t xml:space="preserve">was established </w:t>
            </w:r>
            <w:r w:rsidR="006048F2" w:rsidRPr="00485879">
              <w:rPr>
                <w:sz w:val="22"/>
                <w:szCs w:val="22"/>
              </w:rPr>
              <w:t xml:space="preserve">to </w:t>
            </w:r>
            <w:r w:rsidR="006B1D4E" w:rsidRPr="00485879">
              <w:rPr>
                <w:sz w:val="22"/>
                <w:szCs w:val="22"/>
              </w:rPr>
              <w:t xml:space="preserve">will provide a link between the membership </w:t>
            </w:r>
            <w:proofErr w:type="gramStart"/>
            <w:r w:rsidR="006B1D4E" w:rsidRPr="00485879">
              <w:rPr>
                <w:sz w:val="22"/>
                <w:szCs w:val="22"/>
              </w:rPr>
              <w:t>base</w:t>
            </w:r>
            <w:proofErr w:type="gramEnd"/>
            <w:r w:rsidR="006B1D4E" w:rsidRPr="00485879">
              <w:rPr>
                <w:sz w:val="22"/>
                <w:szCs w:val="22"/>
              </w:rPr>
              <w:t xml:space="preserve"> of Accord and determine the strategic direction and priorities for the scheme.  </w:t>
            </w:r>
          </w:p>
          <w:p w:rsidR="00BD6240" w:rsidRPr="00485879" w:rsidRDefault="00BD6240" w:rsidP="000D1B0D">
            <w:pPr>
              <w:pStyle w:val="Default"/>
              <w:jc w:val="both"/>
              <w:rPr>
                <w:sz w:val="22"/>
                <w:szCs w:val="22"/>
              </w:rPr>
            </w:pPr>
          </w:p>
          <w:p w:rsidR="00E76606" w:rsidRPr="00485879" w:rsidRDefault="006B1D4E" w:rsidP="000D1B0D">
            <w:pPr>
              <w:pStyle w:val="Default"/>
              <w:jc w:val="both"/>
              <w:rPr>
                <w:sz w:val="22"/>
                <w:szCs w:val="22"/>
              </w:rPr>
            </w:pPr>
            <w:r w:rsidRPr="00485879">
              <w:rPr>
                <w:sz w:val="22"/>
                <w:szCs w:val="22"/>
              </w:rPr>
              <w:t xml:space="preserve">The </w:t>
            </w:r>
            <w:r w:rsidR="00EE2A08" w:rsidRPr="00485879">
              <w:rPr>
                <w:sz w:val="22"/>
                <w:szCs w:val="22"/>
              </w:rPr>
              <w:t>group has been involved in planning Accord engagement events, raising the profile of the scheme in the community and monitoring the use and impact of Accord in the commissioning of health and care services.</w:t>
            </w:r>
          </w:p>
          <w:p w:rsidR="00EE2A08" w:rsidRPr="00485879" w:rsidRDefault="00EE2A08" w:rsidP="000D1B0D">
            <w:pPr>
              <w:pStyle w:val="Default"/>
              <w:jc w:val="both"/>
              <w:rPr>
                <w:sz w:val="22"/>
                <w:szCs w:val="22"/>
              </w:rPr>
            </w:pPr>
          </w:p>
          <w:p w:rsidR="00E76606" w:rsidRPr="00485879" w:rsidRDefault="009B299F" w:rsidP="000D1B0D">
            <w:pPr>
              <w:pStyle w:val="Default"/>
              <w:jc w:val="both"/>
              <w:rPr>
                <w:sz w:val="22"/>
                <w:szCs w:val="22"/>
              </w:rPr>
            </w:pPr>
            <w:r w:rsidRPr="00485879">
              <w:rPr>
                <w:sz w:val="22"/>
                <w:szCs w:val="22"/>
              </w:rPr>
              <w:t xml:space="preserve">The </w:t>
            </w:r>
            <w:r w:rsidR="00BD6240" w:rsidRPr="00485879">
              <w:rPr>
                <w:sz w:val="22"/>
                <w:szCs w:val="22"/>
              </w:rPr>
              <w:t xml:space="preserve">Steering </w:t>
            </w:r>
            <w:r w:rsidR="006B1D4E" w:rsidRPr="00485879">
              <w:rPr>
                <w:sz w:val="22"/>
                <w:szCs w:val="22"/>
              </w:rPr>
              <w:t>g</w:t>
            </w:r>
            <w:r w:rsidR="006048F2" w:rsidRPr="00485879">
              <w:rPr>
                <w:sz w:val="22"/>
                <w:szCs w:val="22"/>
              </w:rPr>
              <w:t xml:space="preserve">roup recently </w:t>
            </w:r>
            <w:r w:rsidRPr="00485879">
              <w:rPr>
                <w:sz w:val="22"/>
                <w:szCs w:val="22"/>
              </w:rPr>
              <w:t xml:space="preserve">carried out a </w:t>
            </w:r>
            <w:r w:rsidR="0062333A" w:rsidRPr="00485879">
              <w:rPr>
                <w:sz w:val="22"/>
                <w:szCs w:val="22"/>
              </w:rPr>
              <w:t>review of its activity and achie</w:t>
            </w:r>
            <w:r w:rsidRPr="00485879">
              <w:rPr>
                <w:sz w:val="22"/>
                <w:szCs w:val="22"/>
              </w:rPr>
              <w:t>vements</w:t>
            </w:r>
            <w:r w:rsidR="006048F2" w:rsidRPr="00485879">
              <w:rPr>
                <w:sz w:val="22"/>
                <w:szCs w:val="22"/>
              </w:rPr>
              <w:t xml:space="preserve"> to date and have now developed a new Terms of </w:t>
            </w:r>
            <w:r w:rsidRPr="00485879">
              <w:rPr>
                <w:sz w:val="22"/>
                <w:szCs w:val="22"/>
              </w:rPr>
              <w:t>Reference and Role Descripti</w:t>
            </w:r>
            <w:r w:rsidR="00BD6240" w:rsidRPr="00485879">
              <w:rPr>
                <w:sz w:val="22"/>
                <w:szCs w:val="22"/>
              </w:rPr>
              <w:t xml:space="preserve">on.  Their focus </w:t>
            </w:r>
            <w:r w:rsidR="00485879" w:rsidRPr="00485879">
              <w:rPr>
                <w:sz w:val="22"/>
                <w:szCs w:val="22"/>
              </w:rPr>
              <w:t xml:space="preserve">will continue </w:t>
            </w:r>
            <w:r w:rsidR="006048F2" w:rsidRPr="00485879">
              <w:rPr>
                <w:sz w:val="22"/>
                <w:szCs w:val="22"/>
              </w:rPr>
              <w:t xml:space="preserve">to </w:t>
            </w:r>
            <w:r w:rsidR="00BD6240" w:rsidRPr="00485879">
              <w:rPr>
                <w:sz w:val="22"/>
                <w:szCs w:val="22"/>
              </w:rPr>
              <w:t xml:space="preserve">make sure </w:t>
            </w:r>
            <w:r w:rsidR="006048F2" w:rsidRPr="00485879">
              <w:rPr>
                <w:sz w:val="22"/>
                <w:szCs w:val="22"/>
              </w:rPr>
              <w:t>A</w:t>
            </w:r>
            <w:r w:rsidR="00485879" w:rsidRPr="00485879">
              <w:rPr>
                <w:sz w:val="22"/>
                <w:szCs w:val="22"/>
              </w:rPr>
              <w:t xml:space="preserve">ccord counts with </w:t>
            </w:r>
            <w:r w:rsidR="006048F2" w:rsidRPr="00485879">
              <w:rPr>
                <w:sz w:val="22"/>
                <w:szCs w:val="22"/>
              </w:rPr>
              <w:t>members</w:t>
            </w:r>
            <w:r w:rsidR="00485879" w:rsidRPr="00485879">
              <w:rPr>
                <w:sz w:val="22"/>
                <w:szCs w:val="22"/>
              </w:rPr>
              <w:t xml:space="preserve"> </w:t>
            </w:r>
            <w:r w:rsidR="006048F2" w:rsidRPr="00485879">
              <w:rPr>
                <w:sz w:val="22"/>
                <w:szCs w:val="22"/>
              </w:rPr>
              <w:t xml:space="preserve">listened to </w:t>
            </w:r>
            <w:r w:rsidRPr="00485879">
              <w:rPr>
                <w:sz w:val="22"/>
                <w:szCs w:val="22"/>
              </w:rPr>
              <w:t>and taken</w:t>
            </w:r>
            <w:r w:rsidR="00EE2A08" w:rsidRPr="00485879">
              <w:rPr>
                <w:sz w:val="22"/>
                <w:szCs w:val="22"/>
              </w:rPr>
              <w:t xml:space="preserve"> seriously</w:t>
            </w:r>
            <w:r w:rsidR="00485879" w:rsidRPr="00485879">
              <w:rPr>
                <w:sz w:val="22"/>
                <w:szCs w:val="22"/>
              </w:rPr>
              <w:t xml:space="preserve"> under the new Union arrangements.</w:t>
            </w:r>
          </w:p>
          <w:p w:rsidR="006048F2" w:rsidRPr="006048F2" w:rsidRDefault="006048F2" w:rsidP="000D1B0D">
            <w:pPr>
              <w:pStyle w:val="Default"/>
              <w:jc w:val="both"/>
            </w:pPr>
          </w:p>
          <w:p w:rsidR="006048F2" w:rsidRPr="0062333A" w:rsidRDefault="006048F2" w:rsidP="000D1B0D">
            <w:pPr>
              <w:pStyle w:val="Default"/>
              <w:jc w:val="both"/>
              <w:rPr>
                <w:sz w:val="22"/>
                <w:szCs w:val="22"/>
              </w:rPr>
            </w:pPr>
            <w:r w:rsidRPr="006048F2">
              <w:t>Over the next few months the Steering group will be involved in the co-design of a joint Public and Stakeholder Engagement and Consultation Strategy for the Union and are currently developing Engagement Standards for the appropriate use of the scheme by public sector organisations.</w:t>
            </w:r>
          </w:p>
          <w:p w:rsidR="00144ED4" w:rsidRPr="0062333A" w:rsidRDefault="00144ED4" w:rsidP="000D1B0D">
            <w:pPr>
              <w:pStyle w:val="Default"/>
              <w:jc w:val="both"/>
              <w:rPr>
                <w:sz w:val="22"/>
                <w:szCs w:val="22"/>
              </w:rPr>
            </w:pP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9D4EDC" w:rsidRPr="0062333A" w:rsidRDefault="00780EAC" w:rsidP="000D1B0D">
            <w:pPr>
              <w:pStyle w:val="Default"/>
              <w:jc w:val="both"/>
              <w:rPr>
                <w:sz w:val="22"/>
                <w:szCs w:val="22"/>
              </w:rPr>
            </w:pPr>
            <w:r w:rsidRPr="0062333A">
              <w:rPr>
                <w:sz w:val="22"/>
                <w:szCs w:val="22"/>
              </w:rPr>
              <w:t>Part</w:t>
            </w:r>
            <w:r w:rsidR="0062333A">
              <w:rPr>
                <w:sz w:val="22"/>
                <w:szCs w:val="22"/>
              </w:rPr>
              <w:t xml:space="preserve">nership Board to </w:t>
            </w:r>
            <w:r w:rsidR="006048F2">
              <w:rPr>
                <w:sz w:val="22"/>
                <w:szCs w:val="22"/>
              </w:rPr>
              <w:t xml:space="preserve">note and support a refreshed terms of reference and role descriptions for the </w:t>
            </w:r>
            <w:r w:rsidR="0062333A">
              <w:rPr>
                <w:sz w:val="22"/>
                <w:szCs w:val="22"/>
              </w:rPr>
              <w:t>Accord Steering group</w:t>
            </w:r>
          </w:p>
          <w:p w:rsidR="009D4EDC" w:rsidRPr="000D1B0D" w:rsidRDefault="009D4EDC"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9D4EDC">
            <w:pPr>
              <w:pStyle w:val="Default"/>
              <w:rPr>
                <w:rFonts w:ascii="Calibri" w:hAnsi="Calibri" w:cs="Calibri"/>
                <w:b/>
                <w:sz w:val="20"/>
                <w:szCs w:val="20"/>
              </w:rPr>
            </w:pPr>
            <w:r w:rsidRPr="000D1B0D">
              <w:rPr>
                <w:rFonts w:ascii="Calibri" w:hAnsi="Calibri" w:cs="Calibri"/>
                <w:b/>
                <w:sz w:val="20"/>
                <w:szCs w:val="20"/>
              </w:rPr>
              <w:lastRenderedPageBreak/>
              <w:t>Sub Committee Process and Assurance:</w:t>
            </w:r>
          </w:p>
          <w:p w:rsidR="009D4EDC" w:rsidRPr="00046B77" w:rsidRDefault="009D4EDC" w:rsidP="00046B77">
            <w:pPr>
              <w:pStyle w:val="Default"/>
              <w:rPr>
                <w:rFonts w:ascii="Calibri" w:hAnsi="Calibri" w:cs="Calibri"/>
                <w:i/>
                <w:sz w:val="20"/>
                <w:szCs w:val="20"/>
              </w:rPr>
            </w:pPr>
          </w:p>
        </w:tc>
        <w:tc>
          <w:tcPr>
            <w:tcW w:w="3817" w:type="pct"/>
            <w:shd w:val="clear" w:color="auto" w:fill="auto"/>
          </w:tcPr>
          <w:p w:rsidR="00246EFA" w:rsidRDefault="00246EFA" w:rsidP="000D1B0D">
            <w:pPr>
              <w:pStyle w:val="Default"/>
              <w:jc w:val="both"/>
              <w:rPr>
                <w:rFonts w:ascii="Calibri" w:hAnsi="Calibri" w:cs="Calibri"/>
                <w:sz w:val="20"/>
                <w:szCs w:val="20"/>
              </w:rPr>
            </w:pPr>
          </w:p>
          <w:p w:rsidR="00246EFA" w:rsidRDefault="00246EFA" w:rsidP="000D1B0D">
            <w:pPr>
              <w:pStyle w:val="Default"/>
              <w:jc w:val="both"/>
              <w:rPr>
                <w:rFonts w:ascii="Calibri" w:hAnsi="Calibri" w:cs="Calibri"/>
                <w:sz w:val="20"/>
                <w:szCs w:val="20"/>
              </w:rPr>
            </w:pPr>
          </w:p>
          <w:p w:rsidR="00144ED4" w:rsidRDefault="00144ED4"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shd w:val="clear" w:color="auto" w:fill="auto"/>
          </w:tcPr>
          <w:p w:rsidR="00246EFA" w:rsidRDefault="00246EFA" w:rsidP="000D1B0D">
            <w:pPr>
              <w:pStyle w:val="Default"/>
              <w:jc w:val="both"/>
              <w:rPr>
                <w:rFonts w:ascii="Calibri" w:hAnsi="Calibri" w:cs="Calibri"/>
                <w:sz w:val="20"/>
                <w:szCs w:val="20"/>
              </w:rPr>
            </w:pPr>
          </w:p>
          <w:p w:rsidR="00246EFA" w:rsidRDefault="00246EFA" w:rsidP="000D1B0D">
            <w:pPr>
              <w:pStyle w:val="Default"/>
              <w:jc w:val="both"/>
              <w:rPr>
                <w:rFonts w:ascii="Calibri" w:hAnsi="Calibri" w:cs="Calibri"/>
                <w:sz w:val="20"/>
                <w:szCs w:val="20"/>
              </w:rPr>
            </w:pPr>
          </w:p>
          <w:p w:rsidR="00246EFA" w:rsidRDefault="00246EFA"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7E1C2F" w:rsidRPr="000D1B0D" w:rsidTr="00A30A8E">
        <w:trPr>
          <w:trHeight w:val="439"/>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E73B61" w:rsidP="004458C3">
            <w:pPr>
              <w:pStyle w:val="Default"/>
              <w:rPr>
                <w:rFonts w:ascii="Calibri" w:hAnsi="Calibri" w:cs="Calibri"/>
                <w:i/>
                <w:sz w:val="20"/>
                <w:szCs w:val="20"/>
              </w:rPr>
            </w:pPr>
            <w:r w:rsidRPr="00793F90">
              <w:rPr>
                <w:rFonts w:ascii="Calibri" w:hAnsi="Calibri" w:cs="Calibri"/>
                <w:i/>
                <w:color w:val="FF0000"/>
                <w:sz w:val="20"/>
                <w:szCs w:val="20"/>
              </w:rPr>
              <w:t>Summarise key legal issues/legislation relevant to the report</w:t>
            </w:r>
          </w:p>
        </w:tc>
        <w:tc>
          <w:tcPr>
            <w:tcW w:w="3817" w:type="pct"/>
            <w:shd w:val="clear" w:color="auto" w:fill="auto"/>
          </w:tcPr>
          <w:p w:rsidR="00A30A8E" w:rsidRPr="00485879" w:rsidRDefault="00A30A8E" w:rsidP="00A30A8E">
            <w:pPr>
              <w:pStyle w:val="Default"/>
              <w:jc w:val="both"/>
              <w:rPr>
                <w:sz w:val="22"/>
                <w:szCs w:val="22"/>
              </w:rPr>
            </w:pPr>
            <w:r w:rsidRPr="00485879">
              <w:rPr>
                <w:sz w:val="22"/>
                <w:szCs w:val="22"/>
              </w:rPr>
              <w:t xml:space="preserve">Under the </w:t>
            </w:r>
            <w:proofErr w:type="spellStart"/>
            <w:r w:rsidRPr="00485879">
              <w:rPr>
                <w:sz w:val="22"/>
                <w:szCs w:val="22"/>
              </w:rPr>
              <w:t>the</w:t>
            </w:r>
            <w:proofErr w:type="spellEnd"/>
            <w:r w:rsidRPr="00485879">
              <w:rPr>
                <w:sz w:val="22"/>
                <w:szCs w:val="22"/>
              </w:rPr>
              <w:t xml:space="preserve"> Health and Social Care Act 2012 (14Z2) CCGs are required by law to involve the public in the planning and development of services</w:t>
            </w:r>
          </w:p>
          <w:p w:rsidR="002054A0" w:rsidRPr="0062333A" w:rsidRDefault="002054A0" w:rsidP="00A30A8E">
            <w:pPr>
              <w:pStyle w:val="Default"/>
              <w:jc w:val="both"/>
            </w:pP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shd w:val="clear" w:color="auto" w:fill="auto"/>
          </w:tcPr>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621589">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246EFA" w:rsidRPr="00485879" w:rsidRDefault="00621589" w:rsidP="000D1B0D">
            <w:pPr>
              <w:pStyle w:val="Default"/>
              <w:jc w:val="both"/>
              <w:rPr>
                <w:sz w:val="22"/>
                <w:szCs w:val="22"/>
              </w:rPr>
            </w:pPr>
            <w:r w:rsidRPr="00485879">
              <w:rPr>
                <w:sz w:val="22"/>
                <w:szCs w:val="22"/>
              </w:rPr>
              <w:t>The</w:t>
            </w:r>
            <w:r w:rsidRPr="0062333A">
              <w:t xml:space="preserve"> </w:t>
            </w:r>
            <w:r w:rsidRPr="00485879">
              <w:rPr>
                <w:sz w:val="22"/>
                <w:szCs w:val="22"/>
              </w:rPr>
              <w:t>ongoing administrative support for this group is provided by the Engagement Team</w:t>
            </w: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shd w:val="clear" w:color="auto" w:fill="auto"/>
          </w:tcPr>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621589">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shd w:val="clear" w:color="auto" w:fill="auto"/>
          </w:tcPr>
          <w:p w:rsidR="00246EFA" w:rsidRPr="00901CC0" w:rsidRDefault="009B299F" w:rsidP="00E61AF0">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auto"/>
          </w:tcPr>
          <w:p w:rsidR="00473CC5" w:rsidRPr="00F300A1" w:rsidRDefault="00473CC5" w:rsidP="00F300A1">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r w:rsidR="00F300A1" w:rsidRPr="00793F90">
              <w:rPr>
                <w:rFonts w:ascii="Calibri" w:hAnsi="Calibri" w:cs="Calibri"/>
                <w:i/>
                <w:color w:val="FF0000"/>
                <w:sz w:val="20"/>
                <w:szCs w:val="20"/>
              </w:rPr>
              <w:t>Explain what engagement has taken place eg partners, patients and the public prior to presenting the paper and the outcome of this together with details of any future engagement activities</w:t>
            </w:r>
          </w:p>
        </w:tc>
        <w:tc>
          <w:tcPr>
            <w:tcW w:w="3817" w:type="pct"/>
            <w:shd w:val="clear" w:color="auto" w:fill="auto"/>
          </w:tcPr>
          <w:p w:rsidR="00246EFA" w:rsidRDefault="00246EFA" w:rsidP="000D1B0D">
            <w:pPr>
              <w:pStyle w:val="Default"/>
              <w:jc w:val="both"/>
              <w:rPr>
                <w:rFonts w:ascii="Calibri" w:hAnsi="Calibri" w:cs="Calibri"/>
                <w:sz w:val="20"/>
                <w:szCs w:val="20"/>
              </w:rPr>
            </w:pPr>
          </w:p>
          <w:p w:rsidR="00246EFA" w:rsidRPr="00485879" w:rsidRDefault="00485879" w:rsidP="000D1B0D">
            <w:pPr>
              <w:pStyle w:val="Default"/>
              <w:jc w:val="both"/>
              <w:rPr>
                <w:sz w:val="22"/>
                <w:szCs w:val="22"/>
              </w:rPr>
            </w:pPr>
            <w:r>
              <w:rPr>
                <w:sz w:val="22"/>
                <w:szCs w:val="22"/>
              </w:rPr>
              <w:t>The</w:t>
            </w:r>
            <w:r w:rsidR="0062333A" w:rsidRPr="00485879">
              <w:rPr>
                <w:sz w:val="22"/>
                <w:szCs w:val="22"/>
              </w:rPr>
              <w:t xml:space="preserve"> Terms of Reference and role descriptions were co-produced with Accord members</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r w:rsidR="006006E6" w:rsidRPr="00793F90">
              <w:rPr>
                <w:rFonts w:ascii="Calibri" w:hAnsi="Calibri" w:cs="Calibri"/>
                <w:i/>
                <w:color w:val="FF0000"/>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6E56D8"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0"/>
                  <w14:checkedState w14:val="2612" w14:font="MS Gothic"/>
                  <w14:uncheckedState w14:val="2610" w14:font="MS Gothic"/>
                </w14:checkbox>
              </w:sdtPr>
              <w:sdtEndPr/>
              <w:sdtContent>
                <w:r w:rsidR="009B299F">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1"/>
                  <w14:checkedState w14:val="2612" w14:font="MS Gothic"/>
                  <w14:uncheckedState w14:val="2610" w14:font="MS Gothic"/>
                </w14:checkbox>
              </w:sdtPr>
              <w:sdtEndPr/>
              <w:sdtContent>
                <w:r w:rsidR="009B299F">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lastRenderedPageBreak/>
              <w:t xml:space="preserve">Links to CCG’s </w:t>
            </w:r>
            <w:r w:rsidR="007663C8">
              <w:rPr>
                <w:rFonts w:ascii="Calibri" w:hAnsi="Calibri" w:cs="Calibri"/>
                <w:b/>
                <w:sz w:val="20"/>
                <w:szCs w:val="20"/>
              </w:rPr>
              <w:t>Strategic Objectives</w:t>
            </w:r>
          </w:p>
        </w:tc>
        <w:tc>
          <w:tcPr>
            <w:tcW w:w="3817" w:type="pct"/>
            <w:shd w:val="clear" w:color="auto" w:fill="auto"/>
          </w:tcPr>
          <w:p w:rsidR="007663C8" w:rsidRPr="00793F90" w:rsidRDefault="006330C7" w:rsidP="00793F90">
            <w:pPr>
              <w:autoSpaceDE w:val="0"/>
              <w:autoSpaceDN w:val="0"/>
              <w:rPr>
                <w:rFonts w:ascii="Calibri" w:hAnsi="Calibri" w:cs="Calibri"/>
                <w:b/>
                <w:color w:val="FF0000"/>
                <w:sz w:val="22"/>
                <w:szCs w:val="22"/>
              </w:rPr>
            </w:pPr>
            <w:r w:rsidRPr="00793F90">
              <w:rPr>
                <w:rFonts w:ascii="Calibri" w:hAnsi="Calibri" w:cs="Calibri"/>
                <w:b/>
                <w:i/>
                <w:color w:val="FF0000"/>
                <w:sz w:val="22"/>
                <w:szCs w:val="22"/>
              </w:rPr>
              <w:t>(Auto check relevant boxes)</w:t>
            </w:r>
          </w:p>
          <w:p w:rsidR="006330C7" w:rsidRDefault="006E56D8"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0"/>
                  <w14:checkedState w14:val="2612" w14:font="MS Gothic"/>
                  <w14:uncheckedState w14:val="2610" w14:font="MS Gothic"/>
                </w14:checkbox>
              </w:sdtPr>
              <w:sdtEndPr/>
              <w:sdtContent>
                <w:r w:rsidR="00DB37E5">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1"/>
                  <w14:checkedState w14:val="2612" w14:font="MS Gothic"/>
                  <w14:uncheckedState w14:val="2610" w14:font="MS Gothic"/>
                </w14:checkbox>
              </w:sdtPr>
              <w:sdtEndPr/>
              <w:sdtContent>
                <w:r w:rsidR="00621589">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Pr="006330C7" w:rsidRDefault="006E56D8"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621589">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0"/>
                  <w14:checkedState w14:val="2612" w14:font="MS Gothic"/>
                  <w14:uncheckedState w14:val="2610" w14:font="MS Gothic"/>
                </w14:checkbox>
              </w:sdtPr>
              <w:sdtEndPr/>
              <w:sdtContent>
                <w:r w:rsidR="00144ED4">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09052F" w:rsidP="0009052F">
            <w:pPr>
              <w:pStyle w:val="Default"/>
              <w:rPr>
                <w:rFonts w:ascii="Calibri" w:hAnsi="Calibri" w:cs="Calibri"/>
                <w:i/>
                <w:sz w:val="20"/>
                <w:szCs w:val="20"/>
              </w:rPr>
            </w:pPr>
            <w:r w:rsidRPr="00793F90">
              <w:rPr>
                <w:rFonts w:ascii="Calibri" w:hAnsi="Calibri" w:cs="Calibri"/>
                <w:i/>
                <w:color w:val="FF0000"/>
                <w:sz w:val="20"/>
                <w:szCs w:val="20"/>
              </w:rPr>
              <w:t>Provide a brief explanation of how the report supports the NHS Constitution</w:t>
            </w:r>
          </w:p>
        </w:tc>
        <w:tc>
          <w:tcPr>
            <w:tcW w:w="3817" w:type="pct"/>
            <w:shd w:val="clear" w:color="auto" w:fill="auto"/>
          </w:tcPr>
          <w:p w:rsidR="00144ED4" w:rsidRPr="00485879" w:rsidRDefault="006E56D8" w:rsidP="000D1B0D">
            <w:pPr>
              <w:pStyle w:val="Default"/>
              <w:jc w:val="both"/>
              <w:rPr>
                <w:sz w:val="22"/>
                <w:szCs w:val="22"/>
              </w:rPr>
            </w:pPr>
            <w:hyperlink r:id="rId10" w:history="1">
              <w:r w:rsidR="00160986" w:rsidRPr="00485879">
                <w:rPr>
                  <w:rStyle w:val="Hyperlink"/>
                  <w:sz w:val="22"/>
                  <w:szCs w:val="22"/>
                </w:rPr>
                <w:t>https://www.gov.uk/government/publications/the-nhs-constitution-for-england</w:t>
              </w:r>
            </w:hyperlink>
          </w:p>
          <w:p w:rsidR="00034CF6" w:rsidRPr="00485879" w:rsidRDefault="00034CF6" w:rsidP="000D1B0D">
            <w:pPr>
              <w:pStyle w:val="Default"/>
              <w:jc w:val="both"/>
              <w:rPr>
                <w:sz w:val="22"/>
                <w:szCs w:val="22"/>
              </w:rPr>
            </w:pPr>
          </w:p>
          <w:p w:rsidR="00BD6240" w:rsidRPr="00485879" w:rsidRDefault="00BD6240" w:rsidP="00BD6240">
            <w:pPr>
              <w:pStyle w:val="Default"/>
              <w:jc w:val="both"/>
              <w:rPr>
                <w:sz w:val="22"/>
                <w:szCs w:val="22"/>
              </w:rPr>
            </w:pPr>
            <w:r w:rsidRPr="00485879">
              <w:rPr>
                <w:sz w:val="22"/>
                <w:szCs w:val="22"/>
              </w:rPr>
              <w:t>The NHS Constitution places a statutory duty on NHS bodies and explains a number of rights which are a legal entitlement for patients. One of these is the right to be involved directly or indirectly through representatives in the:</w:t>
            </w:r>
          </w:p>
          <w:p w:rsidR="00BD6240" w:rsidRPr="00485879" w:rsidRDefault="00BD6240" w:rsidP="00BD6240">
            <w:pPr>
              <w:pStyle w:val="Default"/>
              <w:jc w:val="both"/>
              <w:rPr>
                <w:sz w:val="22"/>
                <w:szCs w:val="22"/>
              </w:rPr>
            </w:pPr>
            <w:r w:rsidRPr="00485879">
              <w:rPr>
                <w:sz w:val="22"/>
                <w:szCs w:val="22"/>
              </w:rPr>
              <w:t>•</w:t>
            </w:r>
            <w:r w:rsidRPr="00485879">
              <w:rPr>
                <w:sz w:val="22"/>
                <w:szCs w:val="22"/>
              </w:rPr>
              <w:tab/>
              <w:t>Planning of healthcare services;</w:t>
            </w:r>
          </w:p>
          <w:p w:rsidR="00BD6240" w:rsidRPr="00485879" w:rsidRDefault="00BD6240" w:rsidP="00BD6240">
            <w:pPr>
              <w:pStyle w:val="Default"/>
              <w:jc w:val="both"/>
              <w:rPr>
                <w:sz w:val="22"/>
                <w:szCs w:val="22"/>
              </w:rPr>
            </w:pPr>
            <w:r w:rsidRPr="00485879">
              <w:rPr>
                <w:sz w:val="22"/>
                <w:szCs w:val="22"/>
              </w:rPr>
              <w:t>•</w:t>
            </w:r>
            <w:r w:rsidRPr="00485879">
              <w:rPr>
                <w:sz w:val="22"/>
                <w:szCs w:val="22"/>
              </w:rPr>
              <w:tab/>
              <w:t>Development and consideration of proposals for changes in the way those services are provided; and</w:t>
            </w:r>
          </w:p>
          <w:p w:rsidR="00006E07" w:rsidRPr="00485879" w:rsidRDefault="00BD6240" w:rsidP="00BD6240">
            <w:pPr>
              <w:pStyle w:val="Default"/>
              <w:jc w:val="both"/>
              <w:rPr>
                <w:sz w:val="22"/>
                <w:szCs w:val="22"/>
              </w:rPr>
            </w:pPr>
            <w:r w:rsidRPr="00485879">
              <w:rPr>
                <w:sz w:val="22"/>
                <w:szCs w:val="22"/>
              </w:rPr>
              <w:t>•</w:t>
            </w:r>
            <w:r w:rsidRPr="00485879">
              <w:rPr>
                <w:sz w:val="22"/>
                <w:szCs w:val="22"/>
              </w:rPr>
              <w:tab/>
              <w:t>Decisions to be made affecting the operation of services.</w:t>
            </w:r>
          </w:p>
          <w:p w:rsidR="00BD6240" w:rsidRPr="00485879" w:rsidRDefault="00BD6240" w:rsidP="00BD6240">
            <w:pPr>
              <w:pStyle w:val="Default"/>
              <w:jc w:val="both"/>
              <w:rPr>
                <w:sz w:val="22"/>
                <w:szCs w:val="22"/>
              </w:rPr>
            </w:pPr>
          </w:p>
          <w:p w:rsidR="00BD6240" w:rsidRPr="00485879" w:rsidRDefault="00BD6240" w:rsidP="00BD6240">
            <w:pPr>
              <w:pStyle w:val="Default"/>
              <w:jc w:val="both"/>
              <w:rPr>
                <w:sz w:val="22"/>
                <w:szCs w:val="22"/>
              </w:rPr>
            </w:pPr>
            <w:r w:rsidRPr="00485879">
              <w:rPr>
                <w:sz w:val="22"/>
                <w:szCs w:val="22"/>
              </w:rPr>
              <w:t>The Accord membership scheme and Accord steering group</w:t>
            </w:r>
            <w:r w:rsidR="00A30A8E" w:rsidRPr="00485879">
              <w:rPr>
                <w:sz w:val="22"/>
                <w:szCs w:val="22"/>
              </w:rPr>
              <w:t xml:space="preserve"> are integral to the CCG’s arrangements to meet these legal duties.</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shd w:val="clear" w:color="auto" w:fill="auto"/>
          </w:tcPr>
          <w:p w:rsidR="00E402F3" w:rsidRPr="00485879" w:rsidRDefault="006048F2" w:rsidP="000D1B0D">
            <w:pPr>
              <w:pStyle w:val="Default"/>
              <w:jc w:val="both"/>
              <w:rPr>
                <w:sz w:val="22"/>
                <w:szCs w:val="22"/>
              </w:rPr>
            </w:pPr>
            <w:r w:rsidRPr="00485879">
              <w:rPr>
                <w:sz w:val="22"/>
                <w:szCs w:val="22"/>
              </w:rPr>
              <w:t>1.</w:t>
            </w:r>
            <w:r w:rsidR="00621589" w:rsidRPr="00485879">
              <w:rPr>
                <w:sz w:val="22"/>
                <w:szCs w:val="22"/>
              </w:rPr>
              <w:t>Accord Steering group Terms of Reference</w:t>
            </w:r>
          </w:p>
          <w:p w:rsidR="006E56D8" w:rsidRDefault="006048F2" w:rsidP="000D1B0D">
            <w:pPr>
              <w:pStyle w:val="Default"/>
              <w:jc w:val="both"/>
              <w:rPr>
                <w:sz w:val="22"/>
                <w:szCs w:val="22"/>
              </w:rPr>
            </w:pPr>
            <w:r w:rsidRPr="00485879">
              <w:rPr>
                <w:sz w:val="22"/>
                <w:szCs w:val="22"/>
              </w:rPr>
              <w:t>2.</w:t>
            </w:r>
            <w:r w:rsidR="00621589" w:rsidRPr="00485879">
              <w:rPr>
                <w:sz w:val="22"/>
                <w:szCs w:val="22"/>
              </w:rPr>
              <w:t>Accord Steering group Role Description</w:t>
            </w:r>
          </w:p>
          <w:bookmarkStart w:id="0" w:name="_MON_1597826156"/>
          <w:bookmarkEnd w:id="0"/>
          <w:p w:rsidR="00621589" w:rsidRPr="00485879" w:rsidRDefault="006E56D8" w:rsidP="000D1B0D">
            <w:pPr>
              <w:pStyle w:val="Default"/>
              <w:jc w:val="both"/>
              <w:rPr>
                <w:sz w:val="22"/>
                <w:szCs w:val="22"/>
              </w:rPr>
            </w:pPr>
            <w:r>
              <w:rPr>
                <w:sz w:val="22"/>
                <w:szCs w:val="22"/>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48pt" o:ole="">
                  <v:imagedata r:id="rId11" o:title=""/>
                </v:shape>
                <o:OLEObject Type="Embed" ProgID="Word.Document.12" ShapeID="_x0000_i1025" DrawAspect="Icon" ObjectID="_1597826228" r:id="rId12">
                  <o:FieldCodes>\s</o:FieldCodes>
                </o:OLEObject>
              </w:object>
            </w:r>
            <w:bookmarkStart w:id="1" w:name="_MON_1597826213"/>
            <w:bookmarkEnd w:id="1"/>
            <w:r>
              <w:rPr>
                <w:sz w:val="22"/>
                <w:szCs w:val="22"/>
              </w:rPr>
              <w:object w:dxaOrig="1513" w:dyaOrig="960">
                <v:shape id="_x0000_i1026" type="#_x0000_t75" style="width:75.65pt;height:48pt" o:ole="">
                  <v:imagedata r:id="rId13" o:title=""/>
                </v:shape>
                <o:OLEObject Type="Embed" ProgID="Word.Document.12" ShapeID="_x0000_i1026" DrawAspect="Icon" ObjectID="_1597826229" r:id="rId14">
                  <o:FieldCodes>\s</o:FieldCodes>
                </o:OLEObject>
              </w:object>
            </w: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bookmarkStart w:id="2" w:name="_GoBack"/>
      <w:bookmarkEnd w:id="2"/>
    </w:p>
    <w:sectPr w:rsidR="00893409" w:rsidSect="00144ED4">
      <w:headerReference w:type="default" r:id="rId15"/>
      <w:footerReference w:type="default" r:id="rId16"/>
      <w:pgSz w:w="11900" w:h="16840"/>
      <w:pgMar w:top="567" w:right="567" w:bottom="567" w:left="567" w:header="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DF" w:rsidRDefault="00B904DF" w:rsidP="00E1284E">
      <w:r>
        <w:separator/>
      </w:r>
    </w:p>
  </w:endnote>
  <w:endnote w:type="continuationSeparator" w:id="0">
    <w:p w:rsidR="00B904DF" w:rsidRDefault="00B904DF"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9C" w:rsidRDefault="0028419C">
    <w:pPr>
      <w:pStyle w:val="Footer"/>
    </w:pPr>
    <w:r>
      <w:fldChar w:fldCharType="begin"/>
    </w:r>
    <w:r>
      <w:instrText xml:space="preserve"> PAGE   \* MERGEFORMAT </w:instrText>
    </w:r>
    <w:r>
      <w:fldChar w:fldCharType="separate"/>
    </w:r>
    <w:r w:rsidR="006E56D8">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DF" w:rsidRDefault="00B904DF" w:rsidP="00E1284E">
      <w:r>
        <w:separator/>
      </w:r>
    </w:p>
  </w:footnote>
  <w:footnote w:type="continuationSeparator" w:id="0">
    <w:p w:rsidR="00B904DF" w:rsidRDefault="00B904DF" w:rsidP="00E1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36B75"/>
    <w:rsid w:val="00144ED4"/>
    <w:rsid w:val="001556E0"/>
    <w:rsid w:val="00160986"/>
    <w:rsid w:val="0016479A"/>
    <w:rsid w:val="001D2409"/>
    <w:rsid w:val="002044CF"/>
    <w:rsid w:val="002054A0"/>
    <w:rsid w:val="00246A4E"/>
    <w:rsid w:val="00246EFA"/>
    <w:rsid w:val="0028419C"/>
    <w:rsid w:val="002F38A7"/>
    <w:rsid w:val="00306A1B"/>
    <w:rsid w:val="003D7845"/>
    <w:rsid w:val="004458C3"/>
    <w:rsid w:val="00453E4B"/>
    <w:rsid w:val="00462732"/>
    <w:rsid w:val="00473CC5"/>
    <w:rsid w:val="00485879"/>
    <w:rsid w:val="004E32B5"/>
    <w:rsid w:val="004F5317"/>
    <w:rsid w:val="004F6116"/>
    <w:rsid w:val="005310F1"/>
    <w:rsid w:val="0054308A"/>
    <w:rsid w:val="005A0D0A"/>
    <w:rsid w:val="005A4EC5"/>
    <w:rsid w:val="005A53D1"/>
    <w:rsid w:val="005B0C13"/>
    <w:rsid w:val="006006E6"/>
    <w:rsid w:val="006048F2"/>
    <w:rsid w:val="00621589"/>
    <w:rsid w:val="0062333A"/>
    <w:rsid w:val="006330C7"/>
    <w:rsid w:val="00663808"/>
    <w:rsid w:val="006715AC"/>
    <w:rsid w:val="00697B0F"/>
    <w:rsid w:val="006A23CE"/>
    <w:rsid w:val="006B1D4E"/>
    <w:rsid w:val="006C1307"/>
    <w:rsid w:val="006E56D8"/>
    <w:rsid w:val="006F3A4E"/>
    <w:rsid w:val="00703268"/>
    <w:rsid w:val="0071072D"/>
    <w:rsid w:val="00734128"/>
    <w:rsid w:val="007405E7"/>
    <w:rsid w:val="00755446"/>
    <w:rsid w:val="007663C8"/>
    <w:rsid w:val="00780EAC"/>
    <w:rsid w:val="00793F90"/>
    <w:rsid w:val="007C526F"/>
    <w:rsid w:val="007D1C13"/>
    <w:rsid w:val="007E1C2F"/>
    <w:rsid w:val="007E2A23"/>
    <w:rsid w:val="008044FD"/>
    <w:rsid w:val="008336DE"/>
    <w:rsid w:val="00846301"/>
    <w:rsid w:val="00876931"/>
    <w:rsid w:val="00893409"/>
    <w:rsid w:val="008C5A15"/>
    <w:rsid w:val="008E23B1"/>
    <w:rsid w:val="00901CC0"/>
    <w:rsid w:val="00911F40"/>
    <w:rsid w:val="009169E9"/>
    <w:rsid w:val="009245B1"/>
    <w:rsid w:val="0092546C"/>
    <w:rsid w:val="0098436E"/>
    <w:rsid w:val="00991A1C"/>
    <w:rsid w:val="00995A9E"/>
    <w:rsid w:val="009B299F"/>
    <w:rsid w:val="009D39DE"/>
    <w:rsid w:val="009D4EDC"/>
    <w:rsid w:val="009E45D2"/>
    <w:rsid w:val="00A0148B"/>
    <w:rsid w:val="00A218A3"/>
    <w:rsid w:val="00A30A8E"/>
    <w:rsid w:val="00A34173"/>
    <w:rsid w:val="00A66D55"/>
    <w:rsid w:val="00A9358C"/>
    <w:rsid w:val="00A977E0"/>
    <w:rsid w:val="00AB645B"/>
    <w:rsid w:val="00AF4A4F"/>
    <w:rsid w:val="00B24425"/>
    <w:rsid w:val="00B62F45"/>
    <w:rsid w:val="00B658DC"/>
    <w:rsid w:val="00B76E57"/>
    <w:rsid w:val="00B904DF"/>
    <w:rsid w:val="00B96B78"/>
    <w:rsid w:val="00B971B9"/>
    <w:rsid w:val="00BB0439"/>
    <w:rsid w:val="00BB40A8"/>
    <w:rsid w:val="00BD6240"/>
    <w:rsid w:val="00BE2870"/>
    <w:rsid w:val="00BE53CE"/>
    <w:rsid w:val="00BE727A"/>
    <w:rsid w:val="00BE7CCE"/>
    <w:rsid w:val="00C41576"/>
    <w:rsid w:val="00C450D4"/>
    <w:rsid w:val="00C52984"/>
    <w:rsid w:val="00C64AF0"/>
    <w:rsid w:val="00C81EF3"/>
    <w:rsid w:val="00CA348E"/>
    <w:rsid w:val="00CA4E8E"/>
    <w:rsid w:val="00CB1860"/>
    <w:rsid w:val="00CC2C55"/>
    <w:rsid w:val="00CF20A6"/>
    <w:rsid w:val="00CF347F"/>
    <w:rsid w:val="00CF395E"/>
    <w:rsid w:val="00D00012"/>
    <w:rsid w:val="00D3211A"/>
    <w:rsid w:val="00D42959"/>
    <w:rsid w:val="00D7667F"/>
    <w:rsid w:val="00DB37E5"/>
    <w:rsid w:val="00DE0BED"/>
    <w:rsid w:val="00DE185E"/>
    <w:rsid w:val="00DE272B"/>
    <w:rsid w:val="00E1284E"/>
    <w:rsid w:val="00E26D6F"/>
    <w:rsid w:val="00E402F3"/>
    <w:rsid w:val="00E52FDA"/>
    <w:rsid w:val="00E61AF0"/>
    <w:rsid w:val="00E72942"/>
    <w:rsid w:val="00E72F52"/>
    <w:rsid w:val="00E73B61"/>
    <w:rsid w:val="00E76606"/>
    <w:rsid w:val="00E86651"/>
    <w:rsid w:val="00E97542"/>
    <w:rsid w:val="00EA4E01"/>
    <w:rsid w:val="00EB634A"/>
    <w:rsid w:val="00EE2A08"/>
    <w:rsid w:val="00F300A1"/>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publications/the-nhs-constitution-for-engla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A695-D856-4EE4-A611-CD2AB0CA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cp:lastModifiedBy>
  <cp:revision>6</cp:revision>
  <cp:lastPrinted>2015-02-05T14:14:00Z</cp:lastPrinted>
  <dcterms:created xsi:type="dcterms:W3CDTF">2018-08-09T11:35:00Z</dcterms:created>
  <dcterms:modified xsi:type="dcterms:W3CDTF">2018-09-07T10:51:00Z</dcterms:modified>
</cp:coreProperties>
</file>