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433B2B">
                              <w:rPr>
                                <w:rFonts w:ascii="Arial" w:hAnsi="Arial" w:cs="Arial"/>
                                <w:sz w:val="32"/>
                                <w:szCs w:val="32"/>
                              </w:rPr>
                              <w:t>08</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433B2B">
                        <w:rPr>
                          <w:rFonts w:ascii="Arial" w:hAnsi="Arial" w:cs="Arial"/>
                          <w:sz w:val="32"/>
                          <w:szCs w:val="32"/>
                        </w:rPr>
                        <w:t>08</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433B2B" w:rsidP="009306C6">
            <w:pPr>
              <w:rPr>
                <w:rFonts w:ascii="Arial" w:hAnsi="Arial" w:cs="Arial"/>
                <w:bCs/>
                <w:sz w:val="22"/>
                <w:szCs w:val="22"/>
              </w:rPr>
            </w:pPr>
            <w:r>
              <w:rPr>
                <w:rFonts w:ascii="Arial" w:hAnsi="Arial" w:cs="Arial"/>
                <w:bCs/>
                <w:sz w:val="22"/>
                <w:szCs w:val="22"/>
              </w:rPr>
              <w:t>Julie Taylor-Clark</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C11E56" w:rsidP="00BC5CEC">
            <w:pPr>
              <w:rPr>
                <w:rFonts w:ascii="Arial" w:hAnsi="Arial" w:cs="Arial"/>
                <w:bCs/>
                <w:sz w:val="22"/>
                <w:szCs w:val="22"/>
              </w:rPr>
            </w:pPr>
            <w:r>
              <w:rPr>
                <w:rFonts w:ascii="Arial" w:hAnsi="Arial" w:cs="Arial"/>
                <w:bCs/>
                <w:sz w:val="22"/>
                <w:szCs w:val="22"/>
              </w:rPr>
              <w:t>Thurs 10</w:t>
            </w:r>
            <w:r w:rsidRPr="00C11E56">
              <w:rPr>
                <w:rFonts w:ascii="Arial" w:hAnsi="Arial" w:cs="Arial"/>
                <w:bCs/>
                <w:sz w:val="22"/>
                <w:szCs w:val="22"/>
                <w:vertAlign w:val="superscript"/>
              </w:rPr>
              <w:t>th</w:t>
            </w:r>
            <w:r>
              <w:rPr>
                <w:rFonts w:ascii="Arial" w:hAnsi="Arial" w:cs="Arial"/>
                <w:bCs/>
                <w:sz w:val="22"/>
                <w:szCs w:val="22"/>
              </w:rPr>
              <w:t xml:space="preserve"> July 2014</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C11E56" w:rsidP="009306C6">
            <w:pPr>
              <w:rPr>
                <w:rFonts w:ascii="Arial" w:hAnsi="Arial" w:cs="Arial"/>
                <w:bCs/>
                <w:sz w:val="22"/>
                <w:szCs w:val="22"/>
              </w:rPr>
            </w:pPr>
            <w:r>
              <w:rPr>
                <w:rFonts w:ascii="Arial" w:hAnsi="Arial" w:cs="Arial"/>
                <w:bCs/>
                <w:sz w:val="22"/>
                <w:szCs w:val="22"/>
              </w:rPr>
              <w:t>Clinical Quality Committee</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8E1C13" w:rsidP="008E1C13">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0"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0"/>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7564" w:rsidRDefault="00DD7564" w:rsidP="008E1C13">
            <w:pPr>
              <w:rPr>
                <w:rFonts w:ascii="Arial" w:hAnsi="Arial" w:cs="Arial"/>
                <w:bCs/>
                <w:sz w:val="22"/>
                <w:szCs w:val="22"/>
              </w:rPr>
            </w:pPr>
          </w:p>
          <w:p w:rsidR="008E1C13" w:rsidRDefault="008E1C13" w:rsidP="008E1C13">
            <w:pPr>
              <w:rPr>
                <w:rFonts w:ascii="Arial" w:hAnsi="Arial" w:cs="Arial"/>
                <w:sz w:val="22"/>
                <w:szCs w:val="22"/>
              </w:rPr>
            </w:pPr>
            <w:r>
              <w:rPr>
                <w:rFonts w:ascii="Arial" w:hAnsi="Arial" w:cs="Arial"/>
                <w:sz w:val="22"/>
                <w:szCs w:val="22"/>
              </w:rPr>
              <w:t>To provide an overview of the current working arrangements for clinical quality within North East Lincolnshire Clinical Commissioning Group and make recommendations for amending these arrangements thereby  offering a “clearer line of sight” to the Board around quality issues</w:t>
            </w:r>
          </w:p>
          <w:p w:rsidR="008E1C13" w:rsidRPr="00752FD6" w:rsidRDefault="008E1C13" w:rsidP="008E1C13">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r w:rsidR="00C11E56">
              <w:rPr>
                <w:rFonts w:ascii="Arial" w:hAnsi="Arial" w:cs="Arial"/>
                <w:b/>
                <w:bCs/>
                <w:sz w:val="22"/>
                <w:szCs w:val="22"/>
              </w:rPr>
              <w:t xml:space="preserve">                          </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D35B27" w:rsidRDefault="00D35B27" w:rsidP="00B41D76">
            <w:pPr>
              <w:rPr>
                <w:rFonts w:ascii="Arial" w:hAnsi="Arial" w:cs="Arial"/>
                <w:bCs/>
                <w:sz w:val="22"/>
                <w:szCs w:val="22"/>
              </w:rPr>
            </w:pPr>
          </w:p>
          <w:p w:rsidR="00301655" w:rsidRPr="00752FD6" w:rsidRDefault="00446F94" w:rsidP="00B41D76">
            <w:pPr>
              <w:rPr>
                <w:rFonts w:ascii="Arial" w:hAnsi="Arial" w:cs="Arial"/>
                <w:bCs/>
                <w:sz w:val="22"/>
                <w:szCs w:val="22"/>
              </w:rPr>
            </w:pPr>
            <w:r>
              <w:rPr>
                <w:rFonts w:ascii="Arial" w:hAnsi="Arial" w:cs="Arial"/>
                <w:bCs/>
                <w:sz w:val="22"/>
                <w:szCs w:val="22"/>
              </w:rPr>
              <w:t>Clinical Quality, patient safety and patient experience</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Default="00446F94" w:rsidP="009306C6">
            <w:pPr>
              <w:rPr>
                <w:rFonts w:ascii="Arial" w:hAnsi="Arial" w:cs="Arial"/>
                <w:b/>
                <w:bCs/>
                <w:sz w:val="22"/>
                <w:szCs w:val="22"/>
              </w:rPr>
            </w:pPr>
            <w:r>
              <w:rPr>
                <w:rFonts w:ascii="Arial" w:hAnsi="Arial" w:cs="Arial"/>
                <w:b/>
                <w:bCs/>
                <w:sz w:val="22"/>
                <w:szCs w:val="22"/>
              </w:rPr>
              <w:t xml:space="preserve">  </w:t>
            </w:r>
          </w:p>
          <w:p w:rsidR="00446F94" w:rsidRDefault="00446F94" w:rsidP="009306C6">
            <w:pPr>
              <w:rPr>
                <w:rFonts w:ascii="Arial" w:hAnsi="Arial" w:cs="Arial"/>
                <w:b/>
                <w:bCs/>
                <w:sz w:val="22"/>
                <w:szCs w:val="22"/>
              </w:rPr>
            </w:pPr>
          </w:p>
          <w:p w:rsidR="00DD689C" w:rsidRPr="00752FD6" w:rsidRDefault="00DD689C" w:rsidP="00B12060">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B12060" w:rsidRDefault="00B12060" w:rsidP="00B12060">
            <w:pPr>
              <w:rPr>
                <w:rFonts w:ascii="Arial" w:hAnsi="Arial" w:cs="Arial"/>
                <w:bCs/>
                <w:sz w:val="22"/>
                <w:szCs w:val="22"/>
              </w:rPr>
            </w:pPr>
            <w:r>
              <w:rPr>
                <w:rFonts w:ascii="Arial" w:hAnsi="Arial" w:cs="Arial"/>
                <w:bCs/>
                <w:sz w:val="22"/>
                <w:szCs w:val="22"/>
              </w:rPr>
              <w:t>Since May 2013 the CCG has had in place a Clinical Quality Committee as part of its governance arrangements.</w:t>
            </w:r>
          </w:p>
          <w:p w:rsidR="00B12060" w:rsidRDefault="00B12060" w:rsidP="00B12060">
            <w:pPr>
              <w:rPr>
                <w:rFonts w:ascii="Arial" w:hAnsi="Arial" w:cs="Arial"/>
                <w:bCs/>
                <w:sz w:val="22"/>
                <w:szCs w:val="22"/>
              </w:rPr>
            </w:pPr>
            <w:r>
              <w:rPr>
                <w:rFonts w:ascii="Arial" w:hAnsi="Arial" w:cs="Arial"/>
                <w:bCs/>
                <w:sz w:val="22"/>
                <w:szCs w:val="22"/>
              </w:rPr>
              <w:t>The present terms of reference and membership of that committee are attached for information.</w:t>
            </w:r>
          </w:p>
          <w:p w:rsidR="00B12060" w:rsidRDefault="00B12060" w:rsidP="00B12060">
            <w:pPr>
              <w:rPr>
                <w:rFonts w:ascii="Arial" w:hAnsi="Arial" w:cs="Arial"/>
                <w:bCs/>
                <w:sz w:val="22"/>
                <w:szCs w:val="22"/>
              </w:rPr>
            </w:pPr>
          </w:p>
          <w:p w:rsidR="00B12060" w:rsidRDefault="00B12060" w:rsidP="00B12060">
            <w:pPr>
              <w:rPr>
                <w:rFonts w:ascii="Arial" w:hAnsi="Arial" w:cs="Arial"/>
                <w:bCs/>
                <w:sz w:val="22"/>
                <w:szCs w:val="22"/>
              </w:rPr>
            </w:pPr>
            <w:r>
              <w:rPr>
                <w:rFonts w:ascii="Arial" w:hAnsi="Arial" w:cs="Arial"/>
                <w:bCs/>
                <w:sz w:val="22"/>
                <w:szCs w:val="22"/>
              </w:rPr>
              <w:t>Key decisions and reports by exception are made on a quarterly basis to the Integrated Governance and Audit Committee which in turn escalates items to the CCG Board.</w:t>
            </w:r>
          </w:p>
          <w:p w:rsidR="00B12060" w:rsidRDefault="00B12060" w:rsidP="00B12060">
            <w:pPr>
              <w:rPr>
                <w:rFonts w:ascii="Arial" w:hAnsi="Arial" w:cs="Arial"/>
                <w:bCs/>
                <w:sz w:val="22"/>
                <w:szCs w:val="22"/>
              </w:rPr>
            </w:pPr>
          </w:p>
          <w:p w:rsidR="00B12060" w:rsidRDefault="00B12060" w:rsidP="00B12060">
            <w:pPr>
              <w:rPr>
                <w:rFonts w:ascii="Arial" w:hAnsi="Arial" w:cs="Arial"/>
                <w:bCs/>
                <w:sz w:val="22"/>
                <w:szCs w:val="22"/>
              </w:rPr>
            </w:pPr>
            <w:r>
              <w:rPr>
                <w:rFonts w:ascii="Arial" w:hAnsi="Arial" w:cs="Arial"/>
                <w:bCs/>
                <w:sz w:val="22"/>
                <w:szCs w:val="22"/>
              </w:rPr>
              <w:t>In order to ensure that the Board receives greater assurance and more timely information on quality issues that directly affect patient care and experience it is proposed that the Clinical Quality Committee becomes a sub- committee of the Board, thereby offering a clearer line of sight from Board to Ward and vice versa.</w:t>
            </w:r>
          </w:p>
          <w:p w:rsidR="00B12060" w:rsidRDefault="00B12060" w:rsidP="00B12060">
            <w:pPr>
              <w:rPr>
                <w:rFonts w:ascii="Arial" w:hAnsi="Arial" w:cs="Arial"/>
                <w:bCs/>
                <w:sz w:val="22"/>
                <w:szCs w:val="22"/>
              </w:rPr>
            </w:pPr>
          </w:p>
          <w:p w:rsidR="00B12060" w:rsidRPr="009C6E24" w:rsidRDefault="00B12060" w:rsidP="00B12060">
            <w:pPr>
              <w:numPr>
                <w:ilvl w:val="0"/>
                <w:numId w:val="24"/>
              </w:numPr>
              <w:rPr>
                <w:rFonts w:ascii="Arial" w:eastAsiaTheme="minorHAnsi" w:hAnsi="Arial" w:cs="Arial"/>
                <w:sz w:val="22"/>
                <w:szCs w:val="22"/>
                <w:lang w:eastAsia="en-US"/>
              </w:rPr>
            </w:pPr>
            <w:r w:rsidRPr="009C6E24">
              <w:rPr>
                <w:rFonts w:ascii="Arial" w:hAnsi="Arial" w:cs="Arial"/>
                <w:bCs/>
                <w:sz w:val="22"/>
                <w:szCs w:val="22"/>
              </w:rPr>
              <w:t>To enable this to occur it is proposed that work is progressed to rename the Clinical Quality Committee to the Quality Committee</w:t>
            </w:r>
            <w:r w:rsidRPr="009C6E24">
              <w:rPr>
                <w:rFonts w:ascii="Arial" w:eastAsiaTheme="minorHAnsi" w:hAnsi="Arial" w:cs="Arial"/>
                <w:sz w:val="22"/>
                <w:szCs w:val="22"/>
                <w:lang w:eastAsia="en-US"/>
              </w:rPr>
              <w:t xml:space="preserve">  (the current title abbreviation being CQC can be confused with the National CQC)</w:t>
            </w:r>
          </w:p>
          <w:p w:rsidR="00B12060" w:rsidRDefault="00B12060" w:rsidP="00B12060">
            <w:pPr>
              <w:numPr>
                <w:ilvl w:val="0"/>
                <w:numId w:val="24"/>
              </w:numPr>
              <w:rPr>
                <w:rFonts w:ascii="Arial" w:eastAsiaTheme="minorHAnsi" w:hAnsi="Arial" w:cs="Arial"/>
                <w:sz w:val="22"/>
                <w:szCs w:val="22"/>
                <w:lang w:eastAsia="en-US"/>
              </w:rPr>
            </w:pPr>
            <w:r w:rsidRPr="009C6E24">
              <w:rPr>
                <w:rFonts w:ascii="Arial" w:eastAsiaTheme="minorHAnsi" w:hAnsi="Arial" w:cs="Arial"/>
                <w:sz w:val="22"/>
                <w:szCs w:val="22"/>
                <w:lang w:eastAsia="en-US"/>
              </w:rPr>
              <w:lastRenderedPageBreak/>
              <w:t>The proposal is that the review</w:t>
            </w:r>
            <w:r>
              <w:rPr>
                <w:rFonts w:ascii="Arial" w:eastAsiaTheme="minorHAnsi" w:hAnsi="Arial" w:cs="Arial"/>
                <w:sz w:val="22"/>
                <w:szCs w:val="22"/>
                <w:lang w:eastAsia="en-US"/>
              </w:rPr>
              <w:t xml:space="preserve"> of the TOR would be with the Clinical Chair and it would encompass </w:t>
            </w:r>
            <w:r w:rsidRPr="009C6E24">
              <w:rPr>
                <w:rFonts w:ascii="Arial" w:eastAsiaTheme="minorHAnsi" w:hAnsi="Arial" w:cs="Arial"/>
                <w:sz w:val="22"/>
                <w:szCs w:val="22"/>
                <w:lang w:eastAsia="en-US"/>
              </w:rPr>
              <w:t xml:space="preserve">the whole organisation’s </w:t>
            </w:r>
            <w:r>
              <w:rPr>
                <w:rFonts w:ascii="Arial" w:eastAsiaTheme="minorHAnsi" w:hAnsi="Arial" w:cs="Arial"/>
                <w:sz w:val="22"/>
                <w:szCs w:val="22"/>
                <w:lang w:eastAsia="en-US"/>
              </w:rPr>
              <w:t>quality agenda/</w:t>
            </w:r>
            <w:r w:rsidRPr="009C6E24">
              <w:rPr>
                <w:rFonts w:ascii="Arial" w:eastAsiaTheme="minorHAnsi" w:hAnsi="Arial" w:cs="Arial"/>
                <w:sz w:val="22"/>
                <w:szCs w:val="22"/>
                <w:lang w:eastAsia="en-US"/>
              </w:rPr>
              <w:t>work including ASC which is n</w:t>
            </w:r>
            <w:r>
              <w:rPr>
                <w:rFonts w:ascii="Arial" w:eastAsiaTheme="minorHAnsi" w:hAnsi="Arial" w:cs="Arial"/>
                <w:sz w:val="22"/>
                <w:szCs w:val="22"/>
                <w:lang w:eastAsia="en-US"/>
              </w:rPr>
              <w:t>ot ‘clinical’</w:t>
            </w:r>
          </w:p>
          <w:p w:rsidR="00B12060" w:rsidRPr="009C6E24" w:rsidRDefault="00B12060" w:rsidP="00B12060">
            <w:pPr>
              <w:numPr>
                <w:ilvl w:val="0"/>
                <w:numId w:val="24"/>
              </w:numPr>
              <w:rPr>
                <w:rFonts w:ascii="Arial" w:eastAsiaTheme="minorHAnsi" w:hAnsi="Arial" w:cs="Arial"/>
                <w:sz w:val="22"/>
                <w:szCs w:val="22"/>
                <w:lang w:eastAsia="en-US"/>
              </w:rPr>
            </w:pPr>
            <w:r>
              <w:rPr>
                <w:rFonts w:ascii="Arial" w:hAnsi="Arial" w:cs="Arial"/>
                <w:bCs/>
                <w:sz w:val="22"/>
                <w:szCs w:val="22"/>
              </w:rPr>
              <w:t>T</w:t>
            </w:r>
            <w:r w:rsidRPr="009C6E24">
              <w:rPr>
                <w:rFonts w:ascii="Arial" w:hAnsi="Arial" w:cs="Arial"/>
                <w:bCs/>
                <w:sz w:val="22"/>
                <w:szCs w:val="22"/>
              </w:rPr>
              <w:t xml:space="preserve">he membership </w:t>
            </w:r>
            <w:r>
              <w:rPr>
                <w:rFonts w:ascii="Arial" w:hAnsi="Arial" w:cs="Arial"/>
                <w:bCs/>
                <w:sz w:val="22"/>
                <w:szCs w:val="22"/>
              </w:rPr>
              <w:t>to be reviewed to include greater Board representation</w:t>
            </w:r>
            <w:r w:rsidRPr="009C6E24">
              <w:rPr>
                <w:rFonts w:ascii="Arial" w:hAnsi="Arial" w:cs="Arial"/>
                <w:bCs/>
                <w:sz w:val="22"/>
                <w:szCs w:val="22"/>
              </w:rPr>
              <w:t>,</w:t>
            </w:r>
            <w:r>
              <w:rPr>
                <w:rFonts w:ascii="Arial" w:hAnsi="Arial" w:cs="Arial"/>
                <w:bCs/>
                <w:sz w:val="22"/>
                <w:szCs w:val="22"/>
              </w:rPr>
              <w:t xml:space="preserve"> </w:t>
            </w:r>
            <w:r w:rsidRPr="009C6E24">
              <w:rPr>
                <w:rFonts w:ascii="Arial" w:hAnsi="Arial" w:cs="Arial"/>
                <w:bCs/>
                <w:sz w:val="22"/>
                <w:szCs w:val="22"/>
              </w:rPr>
              <w:t xml:space="preserve">particularly from clinical colleagues within Primary </w:t>
            </w:r>
            <w:proofErr w:type="gramStart"/>
            <w:r w:rsidRPr="009C6E24">
              <w:rPr>
                <w:rFonts w:ascii="Arial" w:hAnsi="Arial" w:cs="Arial"/>
                <w:bCs/>
                <w:sz w:val="22"/>
                <w:szCs w:val="22"/>
              </w:rPr>
              <w:t>Care .(</w:t>
            </w:r>
            <w:proofErr w:type="gramEnd"/>
            <w:r w:rsidRPr="009C6E24">
              <w:rPr>
                <w:rFonts w:ascii="Arial" w:hAnsi="Arial" w:cs="Arial"/>
                <w:bCs/>
                <w:sz w:val="22"/>
                <w:szCs w:val="22"/>
              </w:rPr>
              <w:t>At present there is only 1 General Practitioner on the Clinical Quality Committee)</w:t>
            </w:r>
            <w:r>
              <w:rPr>
                <w:rFonts w:ascii="Arial" w:hAnsi="Arial" w:cs="Arial"/>
                <w:bCs/>
                <w:sz w:val="22"/>
                <w:szCs w:val="22"/>
              </w:rPr>
              <w:t>.</w:t>
            </w:r>
          </w:p>
          <w:p w:rsidR="00B12060" w:rsidRPr="007E5418" w:rsidRDefault="00B12060" w:rsidP="00B12060">
            <w:pPr>
              <w:numPr>
                <w:ilvl w:val="0"/>
                <w:numId w:val="24"/>
              </w:numPr>
              <w:rPr>
                <w:rFonts w:ascii="Arial" w:eastAsiaTheme="minorHAnsi" w:hAnsi="Arial" w:cs="Arial"/>
                <w:sz w:val="22"/>
                <w:szCs w:val="22"/>
                <w:lang w:eastAsia="en-US"/>
              </w:rPr>
            </w:pPr>
            <w:r>
              <w:rPr>
                <w:rFonts w:ascii="Arial" w:hAnsi="Arial" w:cs="Arial"/>
                <w:bCs/>
                <w:sz w:val="22"/>
                <w:szCs w:val="22"/>
              </w:rPr>
              <w:t>It is proposed that the Quality Committee will report directly to the Partnership Board.</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p w:rsidR="00AF1211" w:rsidRPr="00752FD6" w:rsidRDefault="00AF1211" w:rsidP="009306C6">
            <w:pPr>
              <w:rPr>
                <w:rFonts w:ascii="Arial" w:hAnsi="Arial" w:cs="Arial"/>
                <w:b/>
                <w:bCs/>
                <w:sz w:val="22"/>
                <w:szCs w:val="22"/>
              </w:rPr>
            </w:pP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66B4E" w:rsidRDefault="00766B4E" w:rsidP="00766B4E">
            <w:pPr>
              <w:jc w:val="both"/>
              <w:rPr>
                <w:rFonts w:ascii="Arial" w:hAnsi="Arial" w:cs="Arial"/>
                <w:bCs/>
                <w:sz w:val="22"/>
                <w:szCs w:val="22"/>
              </w:rPr>
            </w:pPr>
            <w:r w:rsidRPr="00766B4E">
              <w:rPr>
                <w:rFonts w:ascii="Arial" w:hAnsi="Arial" w:cs="Arial"/>
                <w:bCs/>
                <w:sz w:val="22"/>
                <w:szCs w:val="22"/>
              </w:rPr>
              <w:t>The Board are asked to endorse the recommendation to allow the Quality Committee to become a Board sub- committee and to receive a paper updating the Clinical Quality Committees terms of reference and membership at its September 2014 meeting</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pPr w:leftFromText="180" w:rightFromText="180" w:vertAnchor="text" w:horzAnchor="margin" w:tblpY="179"/>
        <w:tblW w:w="90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281954" w:rsidRPr="00752FD6" w:rsidTr="00281954">
        <w:trPr>
          <w:trHeight w:val="822"/>
          <w:tblHeader/>
        </w:trPr>
        <w:tc>
          <w:tcPr>
            <w:tcW w:w="720" w:type="dxa"/>
            <w:shd w:val="clear" w:color="auto" w:fill="C0C0C0"/>
            <w:vAlign w:val="center"/>
          </w:tcPr>
          <w:p w:rsidR="00281954" w:rsidRPr="00752FD6" w:rsidRDefault="00281954" w:rsidP="00281954">
            <w:pPr>
              <w:spacing w:before="80" w:after="80"/>
              <w:jc w:val="center"/>
              <w:rPr>
                <w:rFonts w:ascii="Arial" w:hAnsi="Arial" w:cs="Arial"/>
                <w:b/>
                <w:sz w:val="22"/>
                <w:szCs w:val="22"/>
              </w:rPr>
            </w:pPr>
          </w:p>
        </w:tc>
        <w:tc>
          <w:tcPr>
            <w:tcW w:w="4230" w:type="dxa"/>
            <w:shd w:val="clear" w:color="auto" w:fill="C0C0C0"/>
            <w:vAlign w:val="center"/>
          </w:tcPr>
          <w:p w:rsidR="00281954" w:rsidRPr="00752FD6" w:rsidRDefault="00281954" w:rsidP="00281954">
            <w:pPr>
              <w:spacing w:before="80" w:after="80"/>
              <w:rPr>
                <w:rFonts w:ascii="Arial" w:hAnsi="Arial" w:cs="Arial"/>
                <w:b/>
                <w:sz w:val="22"/>
                <w:szCs w:val="22"/>
              </w:rPr>
            </w:pPr>
          </w:p>
        </w:tc>
        <w:tc>
          <w:tcPr>
            <w:tcW w:w="1170" w:type="dxa"/>
            <w:shd w:val="clear" w:color="auto" w:fill="C0C0C0"/>
            <w:vAlign w:val="center"/>
          </w:tcPr>
          <w:p w:rsidR="00281954" w:rsidRPr="00752FD6" w:rsidRDefault="00281954" w:rsidP="00281954">
            <w:pPr>
              <w:spacing w:before="80" w:after="80"/>
              <w:jc w:val="center"/>
              <w:rPr>
                <w:rFonts w:ascii="Arial" w:hAnsi="Arial" w:cs="Arial"/>
                <w:b/>
                <w:sz w:val="22"/>
                <w:szCs w:val="22"/>
              </w:rPr>
            </w:pPr>
          </w:p>
          <w:p w:rsidR="00281954" w:rsidRPr="00752FD6" w:rsidRDefault="00281954" w:rsidP="00281954">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281954" w:rsidRPr="00752FD6" w:rsidRDefault="00281954" w:rsidP="00281954">
            <w:pPr>
              <w:spacing w:before="80" w:after="80"/>
              <w:jc w:val="center"/>
              <w:rPr>
                <w:rFonts w:ascii="Arial" w:hAnsi="Arial" w:cs="Arial"/>
                <w:b/>
                <w:sz w:val="22"/>
                <w:szCs w:val="22"/>
              </w:rPr>
            </w:pPr>
            <w:r w:rsidRPr="00752FD6">
              <w:rPr>
                <w:rFonts w:ascii="Arial" w:hAnsi="Arial" w:cs="Arial"/>
                <w:b/>
                <w:sz w:val="22"/>
                <w:szCs w:val="22"/>
              </w:rPr>
              <w:t>Comments</w:t>
            </w:r>
          </w:p>
        </w:tc>
      </w:tr>
      <w:tr w:rsidR="00281954" w:rsidRPr="00752FD6" w:rsidTr="00281954">
        <w:tc>
          <w:tcPr>
            <w:tcW w:w="720" w:type="dxa"/>
            <w:shd w:val="clear" w:color="auto" w:fill="auto"/>
          </w:tcPr>
          <w:p w:rsidR="00281954" w:rsidRPr="00752FD6" w:rsidRDefault="00281954" w:rsidP="00281954">
            <w:pPr>
              <w:spacing w:before="80" w:after="80"/>
              <w:rPr>
                <w:rFonts w:ascii="Arial" w:hAnsi="Arial" w:cs="Arial"/>
                <w:sz w:val="22"/>
                <w:szCs w:val="22"/>
              </w:rPr>
            </w:pPr>
          </w:p>
        </w:tc>
        <w:tc>
          <w:tcPr>
            <w:tcW w:w="4230" w:type="dxa"/>
            <w:shd w:val="clear" w:color="auto" w:fill="auto"/>
          </w:tcPr>
          <w:p w:rsidR="00281954" w:rsidRPr="00752FD6" w:rsidRDefault="00281954" w:rsidP="00281954">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281954" w:rsidRPr="00752FD6" w:rsidRDefault="00281954" w:rsidP="00281954">
            <w:pPr>
              <w:spacing w:before="80" w:after="80"/>
              <w:jc w:val="center"/>
              <w:rPr>
                <w:rFonts w:ascii="Arial" w:hAnsi="Arial" w:cs="Arial"/>
                <w:sz w:val="22"/>
                <w:szCs w:val="22"/>
              </w:rPr>
            </w:pPr>
          </w:p>
        </w:tc>
        <w:tc>
          <w:tcPr>
            <w:tcW w:w="2976" w:type="dxa"/>
            <w:shd w:val="clear" w:color="auto" w:fill="auto"/>
          </w:tcPr>
          <w:p w:rsidR="00281954" w:rsidRPr="00752FD6" w:rsidRDefault="00281954" w:rsidP="00281954">
            <w:pPr>
              <w:spacing w:before="80" w:after="80"/>
              <w:rPr>
                <w:rFonts w:ascii="Arial" w:hAnsi="Arial" w:cs="Arial"/>
                <w:sz w:val="22"/>
                <w:szCs w:val="22"/>
              </w:rPr>
            </w:pPr>
          </w:p>
        </w:tc>
      </w:tr>
      <w:tr w:rsidR="00281954" w:rsidRPr="00752FD6" w:rsidTr="00281954">
        <w:tc>
          <w:tcPr>
            <w:tcW w:w="720" w:type="dxa"/>
            <w:shd w:val="clear" w:color="auto" w:fill="auto"/>
          </w:tcPr>
          <w:p w:rsidR="00281954" w:rsidRPr="00752FD6" w:rsidRDefault="00281954" w:rsidP="00281954">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281954" w:rsidRPr="00752FD6" w:rsidRDefault="00281954" w:rsidP="00281954">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281954" w:rsidRPr="00752FD6" w:rsidRDefault="00281954" w:rsidP="0028195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81954" w:rsidRPr="00752FD6" w:rsidRDefault="00281954" w:rsidP="00281954">
            <w:pPr>
              <w:spacing w:before="80" w:after="80"/>
              <w:rPr>
                <w:rFonts w:ascii="Arial" w:hAnsi="Arial" w:cs="Arial"/>
                <w:sz w:val="22"/>
                <w:szCs w:val="22"/>
              </w:rPr>
            </w:pPr>
          </w:p>
        </w:tc>
      </w:tr>
      <w:tr w:rsidR="00281954" w:rsidRPr="00752FD6" w:rsidTr="00281954">
        <w:tc>
          <w:tcPr>
            <w:tcW w:w="720" w:type="dxa"/>
            <w:shd w:val="clear" w:color="auto" w:fill="auto"/>
          </w:tcPr>
          <w:p w:rsidR="00281954" w:rsidRPr="00752FD6" w:rsidRDefault="00281954" w:rsidP="00281954">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281954" w:rsidRPr="00752FD6" w:rsidRDefault="00281954" w:rsidP="00281954">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1170" w:type="dxa"/>
            <w:shd w:val="clear" w:color="auto" w:fill="auto"/>
          </w:tcPr>
          <w:p w:rsidR="00281954" w:rsidRPr="00752FD6" w:rsidRDefault="00281954" w:rsidP="0028195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81954" w:rsidRPr="00752FD6" w:rsidRDefault="00281954" w:rsidP="00281954">
            <w:pPr>
              <w:spacing w:before="80" w:after="80"/>
              <w:rPr>
                <w:rFonts w:ascii="Arial" w:hAnsi="Arial" w:cs="Arial"/>
                <w:sz w:val="22"/>
                <w:szCs w:val="22"/>
              </w:rPr>
            </w:pPr>
          </w:p>
        </w:tc>
      </w:tr>
      <w:tr w:rsidR="00281954" w:rsidRPr="00752FD6" w:rsidTr="00281954">
        <w:tc>
          <w:tcPr>
            <w:tcW w:w="720" w:type="dxa"/>
            <w:shd w:val="clear" w:color="auto" w:fill="auto"/>
          </w:tcPr>
          <w:p w:rsidR="00281954" w:rsidRPr="00752FD6" w:rsidRDefault="00281954" w:rsidP="00281954">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281954" w:rsidRPr="00752FD6" w:rsidRDefault="00281954" w:rsidP="00281954">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281954" w:rsidRPr="00752FD6" w:rsidRDefault="00281954" w:rsidP="0028195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81954" w:rsidRPr="00752FD6" w:rsidRDefault="00281954" w:rsidP="00281954">
            <w:pPr>
              <w:spacing w:before="80" w:after="80"/>
              <w:rPr>
                <w:rFonts w:ascii="Arial" w:hAnsi="Arial" w:cs="Arial"/>
                <w:sz w:val="22"/>
                <w:szCs w:val="22"/>
              </w:rPr>
            </w:pPr>
          </w:p>
        </w:tc>
      </w:tr>
      <w:tr w:rsidR="00281954" w:rsidRPr="00752FD6" w:rsidTr="00281954">
        <w:tc>
          <w:tcPr>
            <w:tcW w:w="720" w:type="dxa"/>
            <w:shd w:val="clear" w:color="auto" w:fill="auto"/>
          </w:tcPr>
          <w:p w:rsidR="00281954" w:rsidRPr="00752FD6" w:rsidRDefault="00281954" w:rsidP="00281954">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281954" w:rsidRPr="00752FD6" w:rsidRDefault="00281954" w:rsidP="00281954">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281954" w:rsidRPr="00752FD6" w:rsidRDefault="00281954" w:rsidP="0028195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81954" w:rsidRPr="00752FD6" w:rsidRDefault="00281954" w:rsidP="00281954">
            <w:pPr>
              <w:spacing w:before="80" w:after="80"/>
              <w:rPr>
                <w:rFonts w:ascii="Arial" w:hAnsi="Arial" w:cs="Arial"/>
                <w:sz w:val="22"/>
                <w:szCs w:val="22"/>
              </w:rPr>
            </w:pPr>
          </w:p>
        </w:tc>
      </w:tr>
      <w:tr w:rsidR="00281954" w:rsidRPr="00752FD6" w:rsidTr="00281954">
        <w:tc>
          <w:tcPr>
            <w:tcW w:w="720" w:type="dxa"/>
            <w:shd w:val="clear" w:color="auto" w:fill="auto"/>
          </w:tcPr>
          <w:p w:rsidR="00281954" w:rsidRPr="00752FD6" w:rsidRDefault="00281954" w:rsidP="00281954">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281954" w:rsidRPr="00752FD6" w:rsidRDefault="00281954" w:rsidP="00281954">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281954" w:rsidRPr="00752FD6" w:rsidRDefault="00281954" w:rsidP="0028195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81954" w:rsidRPr="00752FD6" w:rsidRDefault="00281954" w:rsidP="00281954">
            <w:pPr>
              <w:spacing w:before="80" w:after="80"/>
              <w:rPr>
                <w:rFonts w:ascii="Arial" w:hAnsi="Arial" w:cs="Arial"/>
                <w:sz w:val="22"/>
                <w:szCs w:val="22"/>
              </w:rPr>
            </w:pPr>
          </w:p>
        </w:tc>
      </w:tr>
      <w:tr w:rsidR="00281954" w:rsidRPr="00752FD6" w:rsidTr="00281954">
        <w:tc>
          <w:tcPr>
            <w:tcW w:w="720" w:type="dxa"/>
            <w:shd w:val="clear" w:color="auto" w:fill="auto"/>
          </w:tcPr>
          <w:p w:rsidR="00281954" w:rsidRPr="00752FD6" w:rsidRDefault="00281954" w:rsidP="00281954">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281954" w:rsidRDefault="00281954" w:rsidP="00281954">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281954" w:rsidRPr="00752FD6" w:rsidRDefault="00F01ECC" w:rsidP="00281954">
            <w:pPr>
              <w:spacing w:before="80" w:after="80"/>
              <w:rPr>
                <w:rFonts w:ascii="Arial" w:hAnsi="Arial" w:cs="Arial"/>
                <w:sz w:val="22"/>
                <w:szCs w:val="22"/>
              </w:rPr>
            </w:pPr>
            <w:hyperlink r:id="rId9" w:history="1">
              <w:r w:rsidR="00281954"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281954" w:rsidRPr="00752FD6" w:rsidRDefault="00281954" w:rsidP="00281954">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281954" w:rsidRPr="00752FD6" w:rsidRDefault="00281954" w:rsidP="00281954">
            <w:pPr>
              <w:spacing w:before="80" w:after="80"/>
              <w:rPr>
                <w:rFonts w:ascii="Arial" w:hAnsi="Arial" w:cs="Arial"/>
                <w:sz w:val="22"/>
                <w:szCs w:val="22"/>
              </w:rPr>
            </w:pPr>
          </w:p>
        </w:tc>
      </w:tr>
    </w:tbl>
    <w:p w:rsidR="00DD689C" w:rsidRDefault="00585083" w:rsidP="00DD689C">
      <w:pPr>
        <w:rPr>
          <w:rFonts w:ascii="Arial" w:hAnsi="Arial" w:cs="Arial"/>
          <w:b/>
          <w:sz w:val="22"/>
          <w:szCs w:val="22"/>
        </w:rPr>
      </w:pPr>
      <w:r>
        <w:rPr>
          <w:rFonts w:ascii="Arial" w:hAnsi="Arial" w:cs="Arial"/>
          <w:b/>
          <w:sz w:val="22"/>
          <w:szCs w:val="22"/>
        </w:rPr>
        <w:br w:type="page"/>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lastRenderedPageBreak/>
        <w:t>Terms of Reference for the Clinical Quality Committee (</w:t>
      </w:r>
      <w:proofErr w:type="spellStart"/>
      <w:r w:rsidRPr="00BD1005">
        <w:rPr>
          <w:rFonts w:ascii="Arial" w:eastAsia="ヒラギノ角ゴ Pro W3" w:hAnsi="Arial" w:cs="Arial"/>
          <w:b/>
          <w:color w:val="000000"/>
          <w:sz w:val="22"/>
          <w:szCs w:val="22"/>
          <w:lang w:val="en-US"/>
        </w:rPr>
        <w:t>CQuC</w:t>
      </w:r>
      <w:proofErr w:type="spellEnd"/>
      <w:r w:rsidRPr="00BD1005">
        <w:rPr>
          <w:rFonts w:ascii="Arial" w:eastAsia="ヒラギノ角ゴ Pro W3" w:hAnsi="Arial" w:cs="Arial"/>
          <w:b/>
          <w:color w:val="000000"/>
          <w:sz w:val="22"/>
          <w:szCs w:val="22"/>
          <w:lang w:val="en-US"/>
        </w:rPr>
        <w:t>)</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Purpose</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Health and Social Care Quality Governance Committee (the Committee) is being established under the leadership of a Clinical Lead / member of the Council of Members to monitor and drive forward the quality, safety, and effectiveness of all commissioned care; quality including the patient and service user experience.</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Introduction</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Committee is established in accordance with the NHS North East Lincolnshire Clinical Commissioning Group (the Group’s) Constitution.</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 xml:space="preserve">These terms of reference set out the membership, </w:t>
      </w:r>
      <w:proofErr w:type="gramStart"/>
      <w:r w:rsidRPr="00BD1005">
        <w:rPr>
          <w:rFonts w:ascii="Arial" w:eastAsia="ヒラギノ角ゴ Pro W3" w:hAnsi="Arial" w:cs="Arial"/>
          <w:color w:val="000000"/>
          <w:sz w:val="22"/>
          <w:szCs w:val="22"/>
          <w:lang w:val="en-US"/>
        </w:rPr>
        <w:t>remit,</w:t>
      </w:r>
      <w:proofErr w:type="gramEnd"/>
      <w:r w:rsidRPr="00BD1005">
        <w:rPr>
          <w:rFonts w:ascii="Arial" w:eastAsia="ヒラギノ角ゴ Pro W3" w:hAnsi="Arial" w:cs="Arial"/>
          <w:color w:val="000000"/>
          <w:sz w:val="22"/>
          <w:szCs w:val="22"/>
          <w:lang w:val="en-US"/>
        </w:rPr>
        <w:t xml:space="preserve"> responsibilities and reporting arrangements and shall have effect as if incorporated into the Constitution.</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 xml:space="preserve">The Committee is </w:t>
      </w:r>
      <w:proofErr w:type="spellStart"/>
      <w:r w:rsidRPr="00BD1005">
        <w:rPr>
          <w:rFonts w:ascii="Arial" w:eastAsia="ヒラギノ角ゴ Pro W3" w:hAnsi="Arial" w:cs="Arial"/>
          <w:color w:val="000000"/>
          <w:sz w:val="22"/>
          <w:szCs w:val="22"/>
          <w:lang w:val="en-US"/>
        </w:rPr>
        <w:t>authorised</w:t>
      </w:r>
      <w:proofErr w:type="spellEnd"/>
      <w:r w:rsidRPr="00BD1005">
        <w:rPr>
          <w:rFonts w:ascii="Arial" w:eastAsia="ヒラギノ角ゴ Pro W3" w:hAnsi="Arial" w:cs="Arial"/>
          <w:color w:val="000000"/>
          <w:sz w:val="22"/>
          <w:szCs w:val="22"/>
          <w:lang w:val="en-US"/>
        </w:rPr>
        <w:t xml:space="preserve"> by the Governing Body to act within its terms of reference.  All members and employees of ‘the group’ are directed to cooperate with any request made by the Committee.</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Membership</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Committee members are appointed by ‘the group’.</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Clinical lead for Quality and Clinical Governance (safety, effectiveness and experience) will chair the Committee. The Committee will appoint a Vice Chair from the body of the meeting</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membership shall consist of:</w:t>
      </w:r>
    </w:p>
    <w:p w:rsidR="00BD1005" w:rsidRPr="00BD1005" w:rsidRDefault="00BD1005" w:rsidP="00BD1005">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Clinical Lead for Quality and Clinical Governance (Chair)</w:t>
      </w:r>
    </w:p>
    <w:p w:rsidR="00BD1005" w:rsidRPr="00BD1005" w:rsidRDefault="00BD1005" w:rsidP="00BD1005">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Strategic Lead for Quality and Experience (registered nurse)</w:t>
      </w:r>
    </w:p>
    <w:p w:rsidR="00BD1005" w:rsidRPr="00BD1005" w:rsidRDefault="00BD1005" w:rsidP="00BD1005">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At least two (2) members of the Community Forum, one of whom should be a member of a service triangle</w:t>
      </w:r>
    </w:p>
    <w:p w:rsidR="00BD1005" w:rsidRPr="00BD1005" w:rsidRDefault="00BD1005" w:rsidP="00BD1005">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CCG Lay Member</w:t>
      </w:r>
    </w:p>
    <w:p w:rsidR="00BD1005" w:rsidRPr="00BD1005" w:rsidRDefault="00BD1005" w:rsidP="00BD1005">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Three clinicians one whom should be a practicing GP</w:t>
      </w:r>
    </w:p>
    <w:p w:rsidR="00BD1005" w:rsidRPr="00BD1005" w:rsidRDefault="00BD1005" w:rsidP="00BD1005">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Service Lead for Adult Social Care or a delegated representative</w:t>
      </w:r>
    </w:p>
    <w:p w:rsidR="00BD1005" w:rsidRPr="00BD1005" w:rsidRDefault="00BD1005" w:rsidP="00BD1005">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Two (2) members of the Council, one of whom should be a public health consultant</w:t>
      </w:r>
    </w:p>
    <w:p w:rsidR="00BD1005" w:rsidRPr="00BD1005" w:rsidRDefault="00BD1005" w:rsidP="00BD1005">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 xml:space="preserve">The designated nurse for safeguarding children and, </w:t>
      </w:r>
    </w:p>
    <w:p w:rsidR="00BD1005" w:rsidRPr="00BD1005" w:rsidRDefault="00BD1005" w:rsidP="00BD1005">
      <w:pPr>
        <w:numPr>
          <w:ilvl w:val="0"/>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designated professional lead for safeguarding adults.</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Chief Clinical Officer (Accountable Officer) and Deputy Chief Executives will have an open invitation to attend any meetings.</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Committee shall co-opt attendance as required to transact business.</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Committee shall be supported by service leads with responsibility for corporate governance, risk management, safeguarding and commissioning support services staff, but they will not be members.</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chair will preside at all meetings and members are expected to attend.  In the event that a member is not able to attend, a named deputy should be agreed with the chair.  In extraordinary circumstances if the chair is not available, the Vice Chair will be expected to lead the meeting with the authority of the chair.</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Quorum</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A quorum will consist of at least five (5) members including;</w:t>
      </w:r>
    </w:p>
    <w:p w:rsidR="00BD1005" w:rsidRPr="00BD1005" w:rsidRDefault="00BD1005" w:rsidP="00BD1005">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chair or strategic lead for quality and experience</w:t>
      </w:r>
    </w:p>
    <w:p w:rsidR="00BD1005" w:rsidRPr="00BD1005" w:rsidRDefault="00BD1005" w:rsidP="00BD1005">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 xml:space="preserve">Two clinicians </w:t>
      </w:r>
    </w:p>
    <w:p w:rsidR="00BD1005" w:rsidRPr="00BD1005" w:rsidRDefault="00BD1005" w:rsidP="00BD1005">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One (1) member of the community forum</w:t>
      </w:r>
    </w:p>
    <w:p w:rsidR="00BD1005" w:rsidRPr="00BD1005" w:rsidRDefault="00BD1005" w:rsidP="00BD1005">
      <w:pPr>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Two (2) others</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Frequency of meetings</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 xml:space="preserve">Meetings will be held every six (6) weeks and no less than eight (8) times over the period of twelve (12) months.  </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Meetings will last 2.5 – 3 hours and a calendar of dates will be set by the chair with the secretariat and circulated with the notes of the first (inaugural) meeting.</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Agenda</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agenda will be agreed with the chair ten (10) working days before the meeting and circulated no later than seven (7) working days before the meeting.</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Each item on the agenda will be covered by a summary sheet.</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structure of the agenda will provide a mapping to the Board Assurance Framework, Annual Plan, and Risk Register i.e. demonstrating how the work of the Committee is embedded into the core business of the CCG. (</w:t>
      </w:r>
      <w:proofErr w:type="gramStart"/>
      <w:r w:rsidRPr="00BD1005">
        <w:rPr>
          <w:rFonts w:ascii="Arial" w:eastAsia="ヒラギノ角ゴ Pro W3" w:hAnsi="Arial" w:cs="Arial"/>
          <w:color w:val="000000"/>
          <w:sz w:val="22"/>
          <w:szCs w:val="22"/>
          <w:lang w:val="en-US"/>
        </w:rPr>
        <w:t>see</w:t>
      </w:r>
      <w:proofErr w:type="gramEnd"/>
      <w:r w:rsidRPr="00BD1005">
        <w:rPr>
          <w:rFonts w:ascii="Arial" w:eastAsia="ヒラギノ角ゴ Pro W3" w:hAnsi="Arial" w:cs="Arial"/>
          <w:color w:val="000000"/>
          <w:sz w:val="22"/>
          <w:szCs w:val="22"/>
          <w:lang w:val="en-US"/>
        </w:rPr>
        <w:t xml:space="preserve"> example below)</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2494"/>
        <w:gridCol w:w="1871"/>
        <w:gridCol w:w="1231"/>
        <w:gridCol w:w="2462"/>
      </w:tblGrid>
      <w:tr w:rsidR="00BD1005" w:rsidRPr="00BD1005" w:rsidTr="0040339A">
        <w:tc>
          <w:tcPr>
            <w:tcW w:w="1304"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No.</w:t>
            </w:r>
          </w:p>
        </w:tc>
        <w:tc>
          <w:tcPr>
            <w:tcW w:w="2494"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Item</w:t>
            </w:r>
          </w:p>
        </w:tc>
        <w:tc>
          <w:tcPr>
            <w:tcW w:w="1871"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Lead</w:t>
            </w:r>
          </w:p>
        </w:tc>
        <w:tc>
          <w:tcPr>
            <w:tcW w:w="1231"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Time</w:t>
            </w:r>
          </w:p>
        </w:tc>
        <w:tc>
          <w:tcPr>
            <w:tcW w:w="2462"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Link to BAF etc.</w:t>
            </w:r>
          </w:p>
        </w:tc>
      </w:tr>
      <w:tr w:rsidR="00BD1005" w:rsidRPr="00BD1005" w:rsidTr="0040339A">
        <w:tc>
          <w:tcPr>
            <w:tcW w:w="1304"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1</w:t>
            </w:r>
          </w:p>
        </w:tc>
        <w:tc>
          <w:tcPr>
            <w:tcW w:w="2494"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Serious case reviews – end of quarter review of progress</w:t>
            </w:r>
          </w:p>
        </w:tc>
        <w:tc>
          <w:tcPr>
            <w:tcW w:w="1871"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Designated Nurse</w:t>
            </w:r>
          </w:p>
        </w:tc>
        <w:tc>
          <w:tcPr>
            <w:tcW w:w="1231"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 xml:space="preserve">15 </w:t>
            </w:r>
            <w:proofErr w:type="spellStart"/>
            <w:r w:rsidRPr="00BD1005">
              <w:rPr>
                <w:rFonts w:ascii="Arial" w:eastAsia="ヒラギノ角ゴ Pro W3" w:hAnsi="Arial" w:cs="Arial"/>
                <w:color w:val="000000"/>
                <w:sz w:val="22"/>
                <w:szCs w:val="22"/>
                <w:lang w:val="en-US"/>
              </w:rPr>
              <w:t>mins</w:t>
            </w:r>
            <w:proofErr w:type="spellEnd"/>
          </w:p>
        </w:tc>
        <w:tc>
          <w:tcPr>
            <w:tcW w:w="2462"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 xml:space="preserve">BAF 13/14/03/03 - </w:t>
            </w:r>
          </w:p>
        </w:tc>
      </w:tr>
      <w:tr w:rsidR="00BD1005" w:rsidRPr="00BD1005" w:rsidTr="0040339A">
        <w:tc>
          <w:tcPr>
            <w:tcW w:w="1304"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2</w:t>
            </w:r>
          </w:p>
        </w:tc>
        <w:tc>
          <w:tcPr>
            <w:tcW w:w="2494"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Quarterly review of the LD register</w:t>
            </w:r>
          </w:p>
        </w:tc>
        <w:tc>
          <w:tcPr>
            <w:tcW w:w="1871"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Service lead for LD</w:t>
            </w:r>
          </w:p>
        </w:tc>
        <w:tc>
          <w:tcPr>
            <w:tcW w:w="1231"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 xml:space="preserve">10 </w:t>
            </w:r>
            <w:proofErr w:type="spellStart"/>
            <w:r w:rsidRPr="00BD1005">
              <w:rPr>
                <w:rFonts w:ascii="Arial" w:eastAsia="ヒラギノ角ゴ Pro W3" w:hAnsi="Arial" w:cs="Arial"/>
                <w:color w:val="000000"/>
                <w:sz w:val="22"/>
                <w:szCs w:val="22"/>
                <w:lang w:val="en-US"/>
              </w:rPr>
              <w:t>mins</w:t>
            </w:r>
            <w:proofErr w:type="spellEnd"/>
          </w:p>
        </w:tc>
        <w:tc>
          <w:tcPr>
            <w:tcW w:w="2462"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BAF 13/14/03/02</w:t>
            </w:r>
          </w:p>
        </w:tc>
      </w:tr>
      <w:tr w:rsidR="00BD1005" w:rsidRPr="00BD1005" w:rsidTr="0040339A">
        <w:tc>
          <w:tcPr>
            <w:tcW w:w="1304"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3</w:t>
            </w:r>
          </w:p>
        </w:tc>
        <w:tc>
          <w:tcPr>
            <w:tcW w:w="2494"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Triangulating soft and hard intelligence</w:t>
            </w:r>
          </w:p>
        </w:tc>
        <w:tc>
          <w:tcPr>
            <w:tcW w:w="1871"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Chair</w:t>
            </w:r>
          </w:p>
        </w:tc>
        <w:tc>
          <w:tcPr>
            <w:tcW w:w="1231"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 xml:space="preserve">30 </w:t>
            </w:r>
            <w:proofErr w:type="spellStart"/>
            <w:r w:rsidRPr="00BD1005">
              <w:rPr>
                <w:rFonts w:ascii="Arial" w:eastAsia="ヒラギノ角ゴ Pro W3" w:hAnsi="Arial" w:cs="Arial"/>
                <w:color w:val="000000"/>
                <w:sz w:val="22"/>
                <w:szCs w:val="22"/>
                <w:lang w:val="en-US"/>
              </w:rPr>
              <w:t>mins</w:t>
            </w:r>
            <w:proofErr w:type="spellEnd"/>
          </w:p>
        </w:tc>
        <w:tc>
          <w:tcPr>
            <w:tcW w:w="2462" w:type="dxa"/>
            <w:shd w:val="clear" w:color="auto" w:fill="auto"/>
          </w:tcPr>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13/14 annual work plan for the Committee</w:t>
            </w:r>
          </w:p>
        </w:tc>
      </w:tr>
    </w:tbl>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In the interest of good governance, papers should not be tabled unless agreed in advance with the chair.</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notes (record) of the meeting will be circulated in draft no later than seven (7) working days after the meeting.  All notes will remain draft until signed by the Clinical Lead following approval at the Committee.</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Remit and responsibility</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Committee shall:</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monitor and drive forward the quality of all commissioned care, recommending action</w:t>
      </w:r>
      <w:r w:rsidRPr="00BD1005">
        <w:rPr>
          <w:rFonts w:ascii="Arial" w:eastAsia="ヒラギノ角ゴ Pro W3" w:hAnsi="Arial" w:cs="Arial"/>
          <w:color w:val="000000"/>
          <w:sz w:val="22"/>
          <w:szCs w:val="22"/>
          <w:vertAlign w:val="superscript"/>
          <w:lang w:val="en-US"/>
        </w:rPr>
        <w:footnoteReference w:id="1"/>
      </w:r>
      <w:r w:rsidRPr="00BD1005">
        <w:rPr>
          <w:rFonts w:ascii="Arial" w:eastAsia="ヒラギノ角ゴ Pro W3" w:hAnsi="Arial" w:cs="Arial"/>
          <w:color w:val="000000"/>
          <w:sz w:val="22"/>
          <w:szCs w:val="22"/>
          <w:lang w:val="en-US"/>
        </w:rPr>
        <w:t xml:space="preserve"> where concerns have been identified, and monitoring that action, i.e. review and act upon information received bringing together hard and soft intelligence; </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receive and discuss reports on primary care with a view to assisting and supporting the NHS Commissioning Board in its duty to improve the quality of such care;</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Arial" w:eastAsia="ヒラギノ角ゴ Pro W3" w:hAnsi="Arial" w:cs="Arial"/>
          <w:color w:val="000000"/>
          <w:sz w:val="22"/>
          <w:szCs w:val="22"/>
          <w:lang w:val="en-US"/>
        </w:rPr>
      </w:pP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receive and review reports on quality in respect of commissioned services to include performance against CQUINs, and patient experience (including complaints and compliments);</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ensure the patient  / service user voice is captured and changes in commissioning strategies are recommended to improve patient experience;</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 xml:space="preserve">ensure that there are robust systems and processes in place to safeguard adults and children, including the review of all serious case review reports relating to commissioned services and receiving the annual safeguarding report from the designated doctor and nurse; </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lastRenderedPageBreak/>
        <w:t xml:space="preserve">ensure delivery of the requirements for Information Governance and receive the annual </w:t>
      </w:r>
      <w:proofErr w:type="spellStart"/>
      <w:r w:rsidRPr="00BD1005">
        <w:rPr>
          <w:rFonts w:ascii="Arial" w:eastAsia="ヒラギノ角ゴ Pro W3" w:hAnsi="Arial" w:cs="Arial"/>
          <w:bCs/>
          <w:color w:val="000000"/>
          <w:sz w:val="22"/>
          <w:szCs w:val="22"/>
          <w:lang w:val="en-US"/>
        </w:rPr>
        <w:t>Caldicott</w:t>
      </w:r>
      <w:proofErr w:type="spellEnd"/>
      <w:r w:rsidRPr="00BD1005">
        <w:rPr>
          <w:rFonts w:ascii="Arial" w:eastAsia="ヒラギノ角ゴ Pro W3" w:hAnsi="Arial" w:cs="Arial"/>
          <w:bCs/>
          <w:color w:val="000000"/>
          <w:sz w:val="22"/>
          <w:szCs w:val="22"/>
          <w:lang w:val="en-US"/>
        </w:rPr>
        <w:t xml:space="preserve"> Guardian report</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ensure adequate systems are in place for the governance of research in line with the NHSCB requirements</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oversee and provide assurance on the clinical governance arrangements in commissioned services;</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 xml:space="preserve">receive, review and </w:t>
      </w:r>
      <w:proofErr w:type="spellStart"/>
      <w:r w:rsidRPr="00BD1005">
        <w:rPr>
          <w:rFonts w:ascii="Arial" w:eastAsia="ヒラギノ角ゴ Pro W3" w:hAnsi="Arial" w:cs="Arial"/>
          <w:bCs/>
          <w:color w:val="000000"/>
          <w:sz w:val="22"/>
          <w:szCs w:val="22"/>
          <w:lang w:val="en-US"/>
        </w:rPr>
        <w:t>scrutinise</w:t>
      </w:r>
      <w:proofErr w:type="spellEnd"/>
      <w:r w:rsidRPr="00BD1005">
        <w:rPr>
          <w:rFonts w:ascii="Arial" w:eastAsia="ヒラギノ角ゴ Pro W3" w:hAnsi="Arial" w:cs="Arial"/>
          <w:bCs/>
          <w:color w:val="000000"/>
          <w:sz w:val="22"/>
          <w:szCs w:val="22"/>
          <w:lang w:val="en-US"/>
        </w:rPr>
        <w:t xml:space="preserve"> reports on serious incidents (SIs) and Never Events occurring in commissioned services and monitoring associated action plans;</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monitor provider arrangements for the implementation of NICE guidance;</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receive and review quarterly updates on CQC inspections of commissioned services for assurance that appropriate action is being taken;</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produce an annual work plan for sign off by the Integrated Governance and Audit Committee (parent Committee) and provide a six monthly update and an annual report;</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ensure arrangements are in place to deliver other governance and statutory requirements as identified by the Governing Body as being within the remit of the Committee;</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review the provider Quality Accounts and draft the CCG response on behalf of the Chief Clinical Officer;</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roofErr w:type="gramStart"/>
      <w:r w:rsidRPr="00BD1005">
        <w:rPr>
          <w:rFonts w:ascii="Arial" w:eastAsia="ヒラギノ角ゴ Pro W3" w:hAnsi="Arial" w:cs="Arial"/>
          <w:bCs/>
          <w:color w:val="000000"/>
          <w:sz w:val="22"/>
          <w:szCs w:val="22"/>
          <w:lang w:val="en-US"/>
        </w:rPr>
        <w:t>be</w:t>
      </w:r>
      <w:proofErr w:type="gramEnd"/>
      <w:r w:rsidRPr="00BD1005">
        <w:rPr>
          <w:rFonts w:ascii="Arial" w:eastAsia="ヒラギノ角ゴ Pro W3" w:hAnsi="Arial" w:cs="Arial"/>
          <w:bCs/>
          <w:color w:val="000000"/>
          <w:sz w:val="22"/>
          <w:szCs w:val="22"/>
          <w:lang w:val="en-US"/>
        </w:rPr>
        <w:t xml:space="preserve"> as concerned with the need to diffuse good practice and eliminate variability as it is with seeking assurance that poor practice is being addressed.</w:t>
      </w:r>
    </w:p>
    <w:p w:rsidR="00BD1005" w:rsidRPr="00BD1005" w:rsidRDefault="00BD1005" w:rsidP="00BD1005">
      <w:pPr>
        <w:numPr>
          <w:ilvl w:val="0"/>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bCs/>
          <w:color w:val="000000"/>
          <w:sz w:val="22"/>
          <w:szCs w:val="22"/>
          <w:lang w:val="en-US"/>
        </w:rPr>
        <w:t>develop effective arrangements for the monitoring and improvement of quality, safety and effectiveness after the life of the Committee</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Urgent Business</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Chair and one other member, in consultation, may act on URGENT business between meetings, reporting that action to the next meeting.  In the absence of the chair, the Strategic Lead for Quality and Experience, in consultation with one other member may act.  All URGENT transactions must be recorded in the notes of the meeting to which that action is reported.</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Declaration of Interest</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If any member has an interest, pecuniary or otherwise, he or she will declare that interest as soon as possible and not participate in the discussion.  The declaration must be recorded in the notes.  The chair may take a view that the member should withdraw from the Committee until the Committee’s consideration is complete.  There would be no right of appeal against that decision.</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Relationship with Integrated Governance and Audit (IG&amp;A)</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IG&amp;A is the parent Committee.  The parent Committee will approve the annual work plan and formally receive the notes of each meeting of the Committee.</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Task and Finish Groups</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Committee shall have the authority to establish task and finish groups in order to deliver its remit and responsibilities.</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b/>
          <w:color w:val="000000"/>
          <w:sz w:val="22"/>
          <w:szCs w:val="22"/>
          <w:lang w:val="en-US"/>
        </w:rPr>
      </w:pPr>
      <w:r w:rsidRPr="00BD1005">
        <w:rPr>
          <w:rFonts w:ascii="Arial" w:eastAsia="ヒラギノ角ゴ Pro W3" w:hAnsi="Arial" w:cs="Arial"/>
          <w:b/>
          <w:color w:val="000000"/>
          <w:sz w:val="22"/>
          <w:szCs w:val="22"/>
          <w:lang w:val="en-US"/>
        </w:rPr>
        <w:t>Business conduct</w:t>
      </w:r>
    </w:p>
    <w:p w:rsidR="00BD1005" w:rsidRPr="00BD1005" w:rsidRDefault="00BD1005" w:rsidP="00BD100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The terms of reference would ordinarily be subject to annual review, but as this Committee is established for 12 months only, that will not be required.</w:t>
      </w:r>
    </w:p>
    <w:p w:rsidR="00BD1005" w:rsidRPr="00BD1005" w:rsidRDefault="00BD1005" w:rsidP="00BD1005">
      <w:pPr>
        <w:numPr>
          <w:ilvl w:val="0"/>
          <w:numId w:val="28"/>
        </w:numPr>
        <w:tabs>
          <w:tab w:val="left" w:pos="851"/>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hanging="503"/>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All members are expected to have read papers before the meeting and contribute to the discussion and decisions of the Committee</w:t>
      </w:r>
    </w:p>
    <w:p w:rsidR="00BD1005" w:rsidRPr="00BD1005" w:rsidRDefault="00BD1005" w:rsidP="00BD1005">
      <w:pPr>
        <w:numPr>
          <w:ilvl w:val="0"/>
          <w:numId w:val="28"/>
        </w:numPr>
        <w:tabs>
          <w:tab w:val="left" w:pos="851"/>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hanging="503"/>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All members have an equal voice.  The chair will facilitate active participation of all members but in the event of a divided Committee view, the chair will take a decision</w:t>
      </w:r>
    </w:p>
    <w:p w:rsidR="00BD1005" w:rsidRPr="00BD1005" w:rsidRDefault="00BD1005" w:rsidP="00BD1005">
      <w:pPr>
        <w:numPr>
          <w:ilvl w:val="0"/>
          <w:numId w:val="28"/>
        </w:numPr>
        <w:tabs>
          <w:tab w:val="left" w:pos="851"/>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hanging="503"/>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Members are expected to arrive on time and participate in the full meeting.</w:t>
      </w:r>
    </w:p>
    <w:p w:rsidR="00BD1005" w:rsidRPr="00BD1005" w:rsidRDefault="00BD1005" w:rsidP="00BD1005">
      <w:pPr>
        <w:numPr>
          <w:ilvl w:val="0"/>
          <w:numId w:val="28"/>
        </w:numPr>
        <w:tabs>
          <w:tab w:val="left" w:pos="851"/>
          <w:tab w:val="left" w:pos="1276"/>
          <w:tab w:val="left" w:pos="2126"/>
          <w:tab w:val="left" w:pos="2835"/>
          <w:tab w:val="left" w:pos="3543"/>
          <w:tab w:val="left" w:pos="4252"/>
          <w:tab w:val="left" w:pos="4961"/>
          <w:tab w:val="left" w:pos="5669"/>
          <w:tab w:val="left" w:pos="6378"/>
          <w:tab w:val="left" w:pos="7087"/>
          <w:tab w:val="left" w:pos="7795"/>
          <w:tab w:val="left" w:pos="8504"/>
          <w:tab w:val="left" w:pos="9213"/>
        </w:tabs>
        <w:ind w:hanging="503"/>
        <w:rPr>
          <w:rFonts w:ascii="Arial" w:eastAsia="ヒラギノ角ゴ Pro W3" w:hAnsi="Arial" w:cs="Arial"/>
          <w:color w:val="000000"/>
          <w:sz w:val="22"/>
          <w:szCs w:val="22"/>
          <w:lang w:val="en-US"/>
        </w:rPr>
      </w:pPr>
      <w:r w:rsidRPr="00BD1005">
        <w:rPr>
          <w:rFonts w:ascii="Arial" w:eastAsia="ヒラギノ角ゴ Pro W3" w:hAnsi="Arial" w:cs="Arial"/>
          <w:color w:val="000000"/>
          <w:sz w:val="22"/>
          <w:szCs w:val="22"/>
          <w:lang w:val="en-US"/>
        </w:rPr>
        <w:t>Unless members are on call, mobile telephones should be switched off during meetings</w:t>
      </w:r>
    </w:p>
    <w:p w:rsidR="009532DC" w:rsidRDefault="009532DC" w:rsidP="00BD1005">
      <w:pPr>
        <w:rPr>
          <w:rFonts w:ascii="Arial" w:eastAsia="ヒラギノ角ゴ Pro W3" w:hAnsi="Arial" w:cs="Arial"/>
          <w:color w:val="000000"/>
          <w:sz w:val="22"/>
          <w:szCs w:val="22"/>
          <w:lang w:val="en-US"/>
        </w:rPr>
      </w:pPr>
    </w:p>
    <w:p w:rsidR="00DC3218" w:rsidRDefault="00BD1005">
      <w:pPr>
        <w:rPr>
          <w:rFonts w:ascii="Arial" w:eastAsia="ヒラギノ角ゴ Pro W3" w:hAnsi="Arial" w:cs="Arial"/>
          <w:b/>
          <w:color w:val="000000"/>
          <w:sz w:val="20"/>
          <w:szCs w:val="20"/>
          <w:lang w:val="en-US"/>
        </w:rPr>
      </w:pPr>
      <w:r w:rsidRPr="00BD1005">
        <w:rPr>
          <w:rFonts w:ascii="Arial" w:eastAsia="ヒラギノ角ゴ Pro W3" w:hAnsi="Arial" w:cs="Arial"/>
          <w:b/>
          <w:color w:val="000000"/>
          <w:sz w:val="20"/>
          <w:szCs w:val="20"/>
          <w:lang w:val="en-US"/>
        </w:rPr>
        <w:t>Document Control</w:t>
      </w:r>
      <w:r w:rsidR="009532DC">
        <w:rPr>
          <w:rFonts w:ascii="Arial" w:eastAsia="ヒラギノ角ゴ Pro W3" w:hAnsi="Arial" w:cs="Arial"/>
          <w:b/>
          <w:color w:val="000000"/>
          <w:sz w:val="20"/>
          <w:szCs w:val="20"/>
          <w:lang w:val="en-US"/>
        </w:rPr>
        <w:t xml:space="preserve">: Author </w:t>
      </w:r>
      <w:r w:rsidRPr="00BD1005">
        <w:rPr>
          <w:rFonts w:ascii="Arial" w:eastAsia="ヒラギノ角ゴ Pro W3" w:hAnsi="Arial" w:cs="Arial"/>
          <w:b/>
          <w:color w:val="000000"/>
          <w:sz w:val="20"/>
          <w:szCs w:val="20"/>
          <w:lang w:val="en-US"/>
        </w:rPr>
        <w:t>P Kirton-Watson</w:t>
      </w:r>
      <w:r w:rsidR="009532DC">
        <w:rPr>
          <w:rFonts w:ascii="Arial" w:eastAsia="ヒラギノ角ゴ Pro W3" w:hAnsi="Arial" w:cs="Arial"/>
          <w:b/>
          <w:color w:val="000000"/>
          <w:sz w:val="20"/>
          <w:szCs w:val="20"/>
          <w:lang w:val="en-US"/>
        </w:rPr>
        <w:t xml:space="preserve">; Date </w:t>
      </w:r>
      <w:r w:rsidRPr="00BD1005">
        <w:rPr>
          <w:rFonts w:ascii="Arial" w:eastAsia="ヒラギノ角ゴ Pro W3" w:hAnsi="Arial" w:cs="Arial"/>
          <w:b/>
          <w:color w:val="000000"/>
          <w:sz w:val="20"/>
          <w:szCs w:val="20"/>
          <w:lang w:val="en-US"/>
        </w:rPr>
        <w:t>30 July 2013</w:t>
      </w:r>
      <w:r w:rsidR="009532DC">
        <w:rPr>
          <w:rFonts w:ascii="Arial" w:eastAsia="ヒラギノ角ゴ Pro W3" w:hAnsi="Arial" w:cs="Arial"/>
          <w:b/>
          <w:color w:val="000000"/>
          <w:sz w:val="20"/>
          <w:szCs w:val="20"/>
          <w:lang w:val="en-US"/>
        </w:rPr>
        <w:t xml:space="preserve">; </w:t>
      </w:r>
      <w:r w:rsidR="00C87D2D">
        <w:rPr>
          <w:rFonts w:ascii="Arial" w:eastAsia="ヒラギノ角ゴ Pro W3" w:hAnsi="Arial" w:cs="Arial"/>
          <w:b/>
          <w:color w:val="000000"/>
          <w:sz w:val="20"/>
          <w:szCs w:val="20"/>
          <w:lang w:val="en-US"/>
        </w:rPr>
        <w:t xml:space="preserve">Version </w:t>
      </w:r>
      <w:r w:rsidRPr="00BD1005">
        <w:rPr>
          <w:rFonts w:ascii="Arial" w:eastAsia="ヒラギノ角ゴ Pro W3" w:hAnsi="Arial" w:cs="Arial"/>
          <w:b/>
          <w:color w:val="000000"/>
          <w:sz w:val="20"/>
          <w:szCs w:val="20"/>
          <w:lang w:val="en-US"/>
        </w:rPr>
        <w:t xml:space="preserve">Four (4) </w:t>
      </w:r>
    </w:p>
    <w:p w:rsidR="00F01ECC" w:rsidRDefault="00F01ECC">
      <w:pPr>
        <w:rPr>
          <w:rFonts w:ascii="Arial" w:eastAsia="ヒラギノ角ゴ Pro W3" w:hAnsi="Arial" w:cs="Arial"/>
          <w:b/>
          <w:color w:val="000000"/>
          <w:sz w:val="20"/>
          <w:szCs w:val="20"/>
          <w:lang w:val="en-US"/>
        </w:rPr>
        <w:sectPr w:rsidR="00F01ECC" w:rsidSect="00DD7564">
          <w:footerReference w:type="default" r:id="rId10"/>
          <w:pgSz w:w="11906" w:h="16838"/>
          <w:pgMar w:top="902" w:right="902" w:bottom="902" w:left="1077" w:header="720" w:footer="720" w:gutter="0"/>
          <w:cols w:space="720"/>
          <w:docGrid w:linePitch="360"/>
        </w:sectPr>
      </w:pPr>
    </w:p>
    <w:p w:rsidR="00F01ECC" w:rsidRPr="00F01ECC" w:rsidRDefault="00F01ECC" w:rsidP="00F01ECC">
      <w:pPr>
        <w:jc w:val="center"/>
        <w:rPr>
          <w:rFonts w:ascii="Arial" w:hAnsi="Arial" w:cs="Arial"/>
          <w:b/>
          <w:sz w:val="22"/>
          <w:szCs w:val="22"/>
        </w:rPr>
      </w:pPr>
      <w:r w:rsidRPr="00F01ECC">
        <w:rPr>
          <w:rFonts w:ascii="Arial" w:hAnsi="Arial" w:cs="Arial"/>
          <w:b/>
          <w:sz w:val="22"/>
          <w:szCs w:val="22"/>
        </w:rPr>
        <w:lastRenderedPageBreak/>
        <w:t xml:space="preserve">REPORTING SCHEDULE FOR </w:t>
      </w:r>
    </w:p>
    <w:p w:rsidR="00F01ECC" w:rsidRPr="00F01ECC" w:rsidRDefault="00F01ECC" w:rsidP="00F01ECC">
      <w:pPr>
        <w:ind w:firstLine="720"/>
        <w:rPr>
          <w:rFonts w:ascii="Arial" w:hAnsi="Arial" w:cs="Arial"/>
          <w:sz w:val="22"/>
          <w:szCs w:val="22"/>
        </w:rPr>
      </w:pPr>
      <w:r w:rsidRPr="00F01ECC">
        <w:rPr>
          <w:rFonts w:ascii="Arial" w:hAnsi="Arial" w:cs="Arial"/>
          <w:b/>
          <w:sz w:val="22"/>
          <w:szCs w:val="22"/>
        </w:rPr>
        <w:t>NORTH EAST LINCOLNSHIRE CLINICAL COMMISSIONING GROUP – CLINICAL QUALITY COMMITTEE (</w:t>
      </w:r>
      <w:proofErr w:type="spellStart"/>
      <w:r w:rsidRPr="00F01ECC">
        <w:rPr>
          <w:rFonts w:ascii="Arial" w:hAnsi="Arial" w:cs="Arial"/>
          <w:b/>
          <w:sz w:val="22"/>
          <w:szCs w:val="22"/>
        </w:rPr>
        <w:t>CQuC</w:t>
      </w:r>
      <w:proofErr w:type="spellEnd"/>
      <w:r w:rsidRPr="00F01ECC">
        <w:rPr>
          <w:rFonts w:ascii="Arial" w:hAnsi="Arial" w:cs="Arial"/>
          <w:b/>
          <w:sz w:val="22"/>
          <w:szCs w:val="22"/>
        </w:rPr>
        <w:t>)</w:t>
      </w:r>
    </w:p>
    <w:p w:rsidR="00F01ECC" w:rsidRPr="00F01ECC" w:rsidRDefault="00F01ECC" w:rsidP="00F01ECC">
      <w:pPr>
        <w:jc w:val="center"/>
        <w:rPr>
          <w:rFonts w:ascii="Arial" w:hAnsi="Arial" w:cs="Arial"/>
          <w:b/>
          <w:sz w:val="22"/>
          <w:szCs w:val="22"/>
        </w:rPr>
      </w:pPr>
      <w:r w:rsidRPr="00F01ECC">
        <w:rPr>
          <w:rFonts w:ascii="Arial" w:hAnsi="Arial" w:cs="Arial"/>
          <w:b/>
          <w:sz w:val="22"/>
          <w:szCs w:val="22"/>
        </w:rPr>
        <w:t xml:space="preserve"> Chair – Dr Anne Spalding, Vice Chair Mr Philip Bond</w:t>
      </w:r>
    </w:p>
    <w:p w:rsidR="00F01ECC" w:rsidRPr="00F01ECC" w:rsidRDefault="00F01ECC" w:rsidP="00F01ECC">
      <w:pPr>
        <w:jc w:val="center"/>
        <w:rPr>
          <w:rFonts w:ascii="Arial" w:hAnsi="Arial" w:cs="Arial"/>
          <w:b/>
          <w:sz w:val="22"/>
          <w:szCs w:val="22"/>
        </w:rPr>
      </w:pPr>
    </w:p>
    <w:p w:rsidR="00F01ECC" w:rsidRPr="00F01ECC" w:rsidRDefault="00F01ECC" w:rsidP="00F01ECC">
      <w:pPr>
        <w:rPr>
          <w:rFonts w:ascii="Arial" w:hAnsi="Arial" w:cs="Arial"/>
          <w:sz w:val="20"/>
          <w:szCs w:val="22"/>
        </w:rPr>
      </w:pPr>
      <w:r w:rsidRPr="00F01ECC">
        <w:rPr>
          <w:rFonts w:ascii="Arial" w:hAnsi="Arial" w:cs="Arial"/>
          <w:sz w:val="20"/>
          <w:szCs w:val="22"/>
        </w:rPr>
        <w:t xml:space="preserve">This work plan will remain subject to review. Clearly the </w:t>
      </w:r>
      <w:proofErr w:type="spellStart"/>
      <w:r w:rsidRPr="00F01ECC">
        <w:rPr>
          <w:rFonts w:ascii="Arial" w:hAnsi="Arial" w:cs="Arial"/>
          <w:sz w:val="20"/>
          <w:szCs w:val="22"/>
        </w:rPr>
        <w:t>CQuC</w:t>
      </w:r>
      <w:proofErr w:type="spellEnd"/>
      <w:r w:rsidRPr="00F01ECC">
        <w:rPr>
          <w:rFonts w:ascii="Arial" w:hAnsi="Arial" w:cs="Arial"/>
          <w:sz w:val="20"/>
          <w:szCs w:val="22"/>
        </w:rPr>
        <w:t xml:space="preserve"> will require some flexibility in the construct of its agenda such that emerging issues are dealt with in a timely and appropriate manner, but it is equally important to the success of the CCG that a work plan underpins the structure of the </w:t>
      </w:r>
      <w:proofErr w:type="spellStart"/>
      <w:r w:rsidRPr="00F01ECC">
        <w:rPr>
          <w:rFonts w:ascii="Arial" w:hAnsi="Arial" w:cs="Arial"/>
          <w:sz w:val="20"/>
          <w:szCs w:val="22"/>
        </w:rPr>
        <w:t>CQuC</w:t>
      </w:r>
      <w:proofErr w:type="spellEnd"/>
      <w:r w:rsidRPr="00F01ECC">
        <w:rPr>
          <w:rFonts w:ascii="Arial" w:hAnsi="Arial" w:cs="Arial"/>
          <w:sz w:val="20"/>
          <w:szCs w:val="22"/>
        </w:rPr>
        <w:t xml:space="preserve">. </w:t>
      </w:r>
    </w:p>
    <w:p w:rsidR="00F01ECC" w:rsidRPr="00F01ECC" w:rsidRDefault="00F01ECC" w:rsidP="00F01ECC">
      <w:pPr>
        <w:rPr>
          <w:rFonts w:ascii="Arial" w:hAnsi="Arial" w:cs="Arial"/>
          <w:b/>
          <w:sz w:val="22"/>
          <w:szCs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977"/>
        <w:gridCol w:w="3969"/>
      </w:tblGrid>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r w:rsidRPr="00F01ECC">
              <w:rPr>
                <w:rFonts w:ascii="Arial" w:hAnsi="Arial" w:cs="Arial"/>
                <w:b/>
                <w:sz w:val="22"/>
                <w:szCs w:val="22"/>
              </w:rPr>
              <w:t>NORTH EAST LINCOLNSHIRE CLINICAL COMMISSIONING GROUP – CLINICAL QUALITY COMMITTEE (</w:t>
            </w:r>
            <w:proofErr w:type="spellStart"/>
            <w:r w:rsidRPr="00F01ECC">
              <w:rPr>
                <w:rFonts w:ascii="Arial" w:hAnsi="Arial" w:cs="Arial"/>
                <w:b/>
                <w:sz w:val="22"/>
                <w:szCs w:val="22"/>
              </w:rPr>
              <w:t>CQuC</w:t>
            </w:r>
            <w:proofErr w:type="spellEnd"/>
            <w:r w:rsidRPr="00F01ECC">
              <w:rPr>
                <w:rFonts w:ascii="Arial" w:hAnsi="Arial" w:cs="Arial"/>
                <w:b/>
                <w:sz w:val="22"/>
                <w:szCs w:val="22"/>
              </w:rPr>
              <w:t>)</w:t>
            </w:r>
          </w:p>
        </w:tc>
        <w:tc>
          <w:tcPr>
            <w:tcW w:w="2977" w:type="dxa"/>
            <w:shd w:val="clear" w:color="auto" w:fill="auto"/>
          </w:tcPr>
          <w:p w:rsidR="00F01ECC" w:rsidRPr="00F01ECC" w:rsidRDefault="00F01ECC" w:rsidP="00F01ECC">
            <w:pPr>
              <w:rPr>
                <w:rFonts w:ascii="Arial" w:hAnsi="Arial" w:cs="Arial"/>
                <w:b/>
                <w:sz w:val="22"/>
                <w:szCs w:val="22"/>
              </w:rPr>
            </w:pPr>
            <w:r w:rsidRPr="00F01ECC">
              <w:rPr>
                <w:rFonts w:ascii="Arial" w:hAnsi="Arial" w:cs="Arial"/>
                <w:b/>
                <w:sz w:val="22"/>
                <w:szCs w:val="22"/>
              </w:rPr>
              <w:t xml:space="preserve">Assured or provides assurance to </w:t>
            </w:r>
            <w:proofErr w:type="spellStart"/>
            <w:r w:rsidRPr="00F01ECC">
              <w:rPr>
                <w:rFonts w:ascii="Arial" w:hAnsi="Arial" w:cs="Arial"/>
                <w:b/>
                <w:sz w:val="22"/>
                <w:szCs w:val="22"/>
              </w:rPr>
              <w:t>IG&amp;Audit</w:t>
            </w:r>
            <w:proofErr w:type="spellEnd"/>
            <w:r w:rsidRPr="00F01ECC">
              <w:rPr>
                <w:rFonts w:ascii="Arial" w:hAnsi="Arial" w:cs="Arial"/>
                <w:b/>
                <w:sz w:val="22"/>
                <w:szCs w:val="22"/>
              </w:rPr>
              <w:t xml:space="preserve"> </w:t>
            </w:r>
          </w:p>
          <w:p w:rsidR="00F01ECC" w:rsidRPr="00F01ECC" w:rsidRDefault="00F01ECC" w:rsidP="00F01ECC">
            <w:pPr>
              <w:rPr>
                <w:rFonts w:ascii="Arial" w:hAnsi="Arial" w:cs="Arial"/>
                <w:b/>
                <w:sz w:val="22"/>
                <w:szCs w:val="22"/>
              </w:rPr>
            </w:pPr>
            <w:r w:rsidRPr="00F01ECC">
              <w:rPr>
                <w:rFonts w:ascii="Arial" w:hAnsi="Arial" w:cs="Arial"/>
                <w:b/>
                <w:sz w:val="22"/>
                <w:szCs w:val="22"/>
              </w:rPr>
              <w:t>in Quarterly Report</w:t>
            </w:r>
          </w:p>
        </w:tc>
        <w:tc>
          <w:tcPr>
            <w:tcW w:w="3969" w:type="dxa"/>
            <w:shd w:val="clear" w:color="auto" w:fill="auto"/>
          </w:tcPr>
          <w:p w:rsidR="00F01ECC" w:rsidRPr="00F01ECC" w:rsidRDefault="00F01ECC" w:rsidP="00F01ECC">
            <w:pPr>
              <w:jc w:val="center"/>
              <w:rPr>
                <w:rFonts w:ascii="Arial" w:hAnsi="Arial" w:cs="Arial"/>
                <w:b/>
                <w:sz w:val="22"/>
                <w:szCs w:val="22"/>
              </w:rPr>
            </w:pPr>
            <w:r w:rsidRPr="00F01ECC">
              <w:rPr>
                <w:rFonts w:ascii="Arial" w:hAnsi="Arial" w:cs="Arial"/>
                <w:b/>
                <w:sz w:val="22"/>
                <w:szCs w:val="22"/>
              </w:rPr>
              <w:t>LEAD</w:t>
            </w: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r w:rsidRPr="00F01ECC">
              <w:rPr>
                <w:rFonts w:ascii="Arial" w:hAnsi="Arial" w:cs="Arial"/>
                <w:b/>
                <w:sz w:val="22"/>
                <w:szCs w:val="22"/>
              </w:rPr>
              <w:t>Items for all meetings</w:t>
            </w: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Confirm the meeting is quorate</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Chair</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Declare any declarations of interest</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Chair</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Actions and matters arising from previous meeting</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Chair</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Review CQC Inspection Reports (if appropriate) </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Feedback from Commissioner-led Quality Visits (if appropriate)</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Ratification of Policies (if appropriate)</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All</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Caldecott issues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                         Chair</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Minutes and summary of NHS 111 reviews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SHMI update</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Assurance to IG</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r w:rsidRPr="00F01ECC">
              <w:rPr>
                <w:rFonts w:ascii="Arial" w:hAnsi="Arial" w:cs="Arial"/>
                <w:b/>
                <w:sz w:val="22"/>
                <w:szCs w:val="22"/>
              </w:rPr>
              <w:t>January</w:t>
            </w: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Review Quarter 3 incidents and SUI </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Patient Safety Lead</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Report on Q3 never events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Assurance to IG</w:t>
            </w: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Q3 Quality Framework for Care Homes summary</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Contracts Officer</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Update on progression with CQUINS target for the following year</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Update on Francis report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Assurance to IG</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r w:rsidRPr="00F01ECC">
              <w:rPr>
                <w:rFonts w:ascii="Arial" w:hAnsi="Arial" w:cs="Arial"/>
                <w:b/>
                <w:sz w:val="22"/>
                <w:szCs w:val="22"/>
              </w:rPr>
              <w:lastRenderedPageBreak/>
              <w:t>March</w:t>
            </w: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Update on Francis Report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Receive 6 monthly report from the Quality and Risk Panel</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Service Lead Mental Health and Disabilities</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Receive and critique Q3 Quality Assurance report</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Update on CQUINS for Q3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Patient experience including Friends and Family Q3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Customer Care Manager</w:t>
            </w: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r w:rsidRPr="00F01ECC">
              <w:rPr>
                <w:rFonts w:ascii="Arial" w:hAnsi="Arial" w:cs="Arial"/>
                <w:b/>
                <w:sz w:val="22"/>
                <w:szCs w:val="22"/>
              </w:rPr>
              <w:t>May</w:t>
            </w: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Review Q4 incidents and SUI</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Patient Safety Lead</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Q3 Quality Framework for Care Homes summary</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Contracts Officer</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Annual review of terms of reference for the Clinical Quality Committee</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Assurance to IG</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Annual review and updating of declarations of interest</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r w:rsidRPr="00F01ECC">
              <w:rPr>
                <w:rFonts w:ascii="Arial" w:hAnsi="Arial" w:cs="Arial"/>
                <w:b/>
                <w:sz w:val="22"/>
                <w:szCs w:val="22"/>
              </w:rPr>
              <w:t>July</w:t>
            </w: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Review Q1 incidents and SUI</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Patient Safety Lead</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Receive and critique Q4 Quality Assurance report</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sz w:val="22"/>
              </w:rPr>
              <w:t xml:space="preserve"> </w:t>
            </w: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Q1 Quality Framework for Care Homes summary</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Contracts Officer</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Update on CQUINS for Q4</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Patient experience </w:t>
            </w:r>
            <w:proofErr w:type="spellStart"/>
            <w:r w:rsidRPr="00F01ECC">
              <w:rPr>
                <w:rFonts w:ascii="Arial" w:hAnsi="Arial" w:cs="Arial"/>
                <w:sz w:val="22"/>
                <w:szCs w:val="22"/>
              </w:rPr>
              <w:t>inc</w:t>
            </w:r>
            <w:proofErr w:type="spellEnd"/>
            <w:r w:rsidRPr="00F01ECC">
              <w:rPr>
                <w:rFonts w:ascii="Arial" w:hAnsi="Arial" w:cs="Arial"/>
                <w:sz w:val="22"/>
                <w:szCs w:val="22"/>
              </w:rPr>
              <w:t xml:space="preserve"> Friends and family Q4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Customer Care Manager</w:t>
            </w: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r w:rsidRPr="00F01ECC">
              <w:rPr>
                <w:rFonts w:ascii="Arial" w:hAnsi="Arial" w:cs="Arial"/>
                <w:b/>
                <w:sz w:val="22"/>
                <w:szCs w:val="22"/>
              </w:rPr>
              <w:t>September</w:t>
            </w: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Receive and critique  Q1 Quality Assurance report</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Assurance to IG</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Receive Annual Social Services and Health Statutory Complaints Annual Report </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Customer Care Manager</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Patient Experience including Friends and Family Q1</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Customer Care Manager</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Update on CQUINS Q1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tabs>
                <w:tab w:val="center" w:pos="1876"/>
                <w:tab w:val="left" w:pos="2685"/>
              </w:tabs>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Update on Francis Report action plan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Assurance to IG</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 xml:space="preserve">Strategic Lead Quality and </w:t>
            </w:r>
            <w:r w:rsidRPr="00F01ECC">
              <w:rPr>
                <w:rFonts w:ascii="Arial" w:hAnsi="Arial" w:cs="Arial"/>
                <w:sz w:val="22"/>
                <w:szCs w:val="22"/>
              </w:rPr>
              <w:lastRenderedPageBreak/>
              <w:t>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Receive Annual report on Supervision in midwifery for </w:t>
            </w:r>
            <w:proofErr w:type="spellStart"/>
            <w:r w:rsidRPr="00F01ECC">
              <w:rPr>
                <w:rFonts w:ascii="Arial" w:hAnsi="Arial" w:cs="Arial"/>
                <w:sz w:val="22"/>
                <w:szCs w:val="22"/>
              </w:rPr>
              <w:t>NLaG</w:t>
            </w:r>
            <w:proofErr w:type="spellEnd"/>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proofErr w:type="spellStart"/>
            <w:r w:rsidRPr="00F01ECC">
              <w:rPr>
                <w:rFonts w:ascii="Arial" w:hAnsi="Arial" w:cs="Arial"/>
                <w:sz w:val="22"/>
                <w:szCs w:val="22"/>
              </w:rPr>
              <w:t>Asst</w:t>
            </w:r>
            <w:proofErr w:type="spellEnd"/>
            <w:r w:rsidRPr="00F01ECC">
              <w:rPr>
                <w:rFonts w:ascii="Arial" w:hAnsi="Arial" w:cs="Arial"/>
                <w:sz w:val="22"/>
                <w:szCs w:val="22"/>
              </w:rPr>
              <w:t xml:space="preserve"> Director Women &amp; Children</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r w:rsidRPr="00F01ECC">
              <w:rPr>
                <w:rFonts w:ascii="Arial" w:hAnsi="Arial" w:cs="Arial"/>
                <w:b/>
                <w:sz w:val="22"/>
                <w:szCs w:val="22"/>
              </w:rPr>
              <w:t>November</w:t>
            </w: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Review Q2 incidents and SUI</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Patient Safety Lead</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Report on Q2 Never events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Assurance to IG</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Receive 6 monthly report from Quality and Risk panel</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Service Lead Mental Health and Disabilities</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Receive and critique Q2 Quality Assurance Report </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Q2 Quality Framework for Care Homes summary</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Contracts Officer</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Receive Infection Control Quality Assurance Report </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Nurse Specialist Infection Control</w:t>
            </w: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r w:rsidRPr="00F01ECC">
              <w:rPr>
                <w:rFonts w:ascii="Arial" w:hAnsi="Arial" w:cs="Arial"/>
                <w:b/>
                <w:sz w:val="22"/>
                <w:szCs w:val="22"/>
              </w:rPr>
              <w:t>I</w:t>
            </w: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r w:rsidRPr="00F01ECC">
              <w:rPr>
                <w:rFonts w:ascii="Arial" w:hAnsi="Arial" w:cs="Arial"/>
                <w:b/>
                <w:sz w:val="22"/>
                <w:szCs w:val="22"/>
              </w:rPr>
              <w:t xml:space="preserve">December </w:t>
            </w: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Update on Q2 CQUINS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Patient Experience including Friends and family Q2</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Customer Care Manager</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Annual safeguarding of adults report</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Designated Nurse Safeguarding Adults</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Annual safeguarding of children report</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Assured</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Designated Nurse Safeguarding Children</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Update on Francis report by exception</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Assurance to IG</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Review Q3 Quality Surveillance and Assurance Report </w:t>
            </w:r>
          </w:p>
        </w:tc>
        <w:tc>
          <w:tcPr>
            <w:tcW w:w="2977" w:type="dxa"/>
            <w:shd w:val="clear" w:color="auto" w:fill="auto"/>
          </w:tcPr>
          <w:p w:rsidR="00F01ECC" w:rsidRPr="00F01ECC" w:rsidRDefault="00F01ECC" w:rsidP="00F01ECC">
            <w:pPr>
              <w:rPr>
                <w:rFonts w:ascii="Arial" w:hAnsi="Arial" w:cs="Arial"/>
                <w:sz w:val="22"/>
                <w:szCs w:val="22"/>
              </w:rPr>
            </w:pPr>
            <w:r w:rsidRPr="00F01ECC">
              <w:rPr>
                <w:rFonts w:ascii="Arial" w:hAnsi="Arial" w:cs="Arial"/>
                <w:sz w:val="22"/>
                <w:szCs w:val="22"/>
              </w:rPr>
              <w:t xml:space="preserve">Assurance to IG </w:t>
            </w:r>
          </w:p>
        </w:tc>
        <w:tc>
          <w:tcPr>
            <w:tcW w:w="3969" w:type="dxa"/>
            <w:shd w:val="clear" w:color="auto" w:fill="auto"/>
          </w:tcPr>
          <w:p w:rsidR="00F01ECC" w:rsidRPr="00F01ECC" w:rsidRDefault="00F01ECC" w:rsidP="00F01ECC">
            <w:pPr>
              <w:jc w:val="center"/>
              <w:rPr>
                <w:rFonts w:ascii="Arial" w:hAnsi="Arial" w:cs="Arial"/>
                <w:sz w:val="22"/>
                <w:szCs w:val="22"/>
              </w:rPr>
            </w:pPr>
            <w:r w:rsidRPr="00F01ECC">
              <w:rPr>
                <w:rFonts w:ascii="Arial" w:hAnsi="Arial" w:cs="Arial"/>
                <w:sz w:val="22"/>
                <w:szCs w:val="22"/>
              </w:rPr>
              <w:t>Strategic Lead Quality and Experience</w:t>
            </w:r>
          </w:p>
        </w:tc>
      </w:tr>
      <w:tr w:rsidR="00F01ECC" w:rsidRPr="00F01ECC" w:rsidTr="0040339A">
        <w:tc>
          <w:tcPr>
            <w:tcW w:w="7054" w:type="dxa"/>
            <w:shd w:val="clear" w:color="auto" w:fill="auto"/>
          </w:tcPr>
          <w:p w:rsidR="00F01ECC" w:rsidRPr="00F01ECC" w:rsidRDefault="00F01ECC" w:rsidP="00F01ECC">
            <w:pPr>
              <w:rPr>
                <w:rFonts w:ascii="Arial" w:hAnsi="Arial" w:cs="Arial"/>
                <w:sz w:val="22"/>
                <w:szCs w:val="22"/>
              </w:rPr>
            </w:pP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r w:rsidR="00F01ECC" w:rsidRPr="00F01ECC" w:rsidTr="0040339A">
        <w:tc>
          <w:tcPr>
            <w:tcW w:w="7054" w:type="dxa"/>
            <w:shd w:val="clear" w:color="auto" w:fill="auto"/>
          </w:tcPr>
          <w:p w:rsidR="00F01ECC" w:rsidRPr="00F01ECC" w:rsidRDefault="00F01ECC" w:rsidP="00F01ECC">
            <w:pPr>
              <w:rPr>
                <w:rFonts w:ascii="Arial" w:hAnsi="Arial" w:cs="Arial"/>
                <w:b/>
                <w:sz w:val="22"/>
                <w:szCs w:val="22"/>
              </w:rPr>
            </w:pPr>
          </w:p>
        </w:tc>
        <w:tc>
          <w:tcPr>
            <w:tcW w:w="2977" w:type="dxa"/>
            <w:shd w:val="clear" w:color="auto" w:fill="auto"/>
          </w:tcPr>
          <w:p w:rsidR="00F01ECC" w:rsidRPr="00F01ECC" w:rsidRDefault="00F01ECC" w:rsidP="00F01ECC">
            <w:pPr>
              <w:rPr>
                <w:rFonts w:ascii="Arial" w:hAnsi="Arial" w:cs="Arial"/>
                <w:sz w:val="22"/>
                <w:szCs w:val="22"/>
              </w:rPr>
            </w:pPr>
          </w:p>
        </w:tc>
        <w:tc>
          <w:tcPr>
            <w:tcW w:w="3969" w:type="dxa"/>
            <w:shd w:val="clear" w:color="auto" w:fill="auto"/>
          </w:tcPr>
          <w:p w:rsidR="00F01ECC" w:rsidRPr="00F01ECC" w:rsidRDefault="00F01ECC" w:rsidP="00F01ECC">
            <w:pPr>
              <w:jc w:val="center"/>
              <w:rPr>
                <w:rFonts w:ascii="Arial" w:hAnsi="Arial" w:cs="Arial"/>
                <w:sz w:val="22"/>
                <w:szCs w:val="22"/>
              </w:rPr>
            </w:pPr>
          </w:p>
        </w:tc>
      </w:tr>
    </w:tbl>
    <w:p w:rsidR="00F01ECC" w:rsidRPr="00F01ECC" w:rsidRDefault="00F01ECC" w:rsidP="00F01ECC">
      <w:pPr>
        <w:rPr>
          <w:rFonts w:ascii="Arial" w:hAnsi="Arial"/>
          <w:sz w:val="22"/>
        </w:rPr>
      </w:pPr>
    </w:p>
    <w:p w:rsidR="00F01ECC" w:rsidRPr="009532DC" w:rsidRDefault="00F01ECC">
      <w:pPr>
        <w:rPr>
          <w:rFonts w:ascii="Arial" w:eastAsia="ヒラギノ角ゴ Pro W3" w:hAnsi="Arial" w:cs="Arial"/>
          <w:b/>
          <w:color w:val="000000"/>
          <w:sz w:val="20"/>
          <w:szCs w:val="20"/>
          <w:lang w:val="en-US"/>
        </w:rPr>
      </w:pPr>
      <w:bookmarkStart w:id="1" w:name="_GoBack"/>
      <w:bookmarkEnd w:id="1"/>
    </w:p>
    <w:sectPr w:rsidR="00F01ECC" w:rsidRPr="009532DC" w:rsidSect="002E7F9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23" w:rsidRDefault="00463C23">
      <w:r>
        <w:separator/>
      </w:r>
    </w:p>
  </w:endnote>
  <w:endnote w:type="continuationSeparator" w:id="0">
    <w:p w:rsidR="00463C23" w:rsidRDefault="0046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769C722B" wp14:editId="6AD4D9F3">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02BA2290" wp14:editId="39CC955A">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23" w:rsidRDefault="00463C23">
      <w:r>
        <w:separator/>
      </w:r>
    </w:p>
  </w:footnote>
  <w:footnote w:type="continuationSeparator" w:id="0">
    <w:p w:rsidR="00463C23" w:rsidRDefault="00463C23">
      <w:r>
        <w:continuationSeparator/>
      </w:r>
    </w:p>
  </w:footnote>
  <w:footnote w:id="1">
    <w:p w:rsidR="00BD1005" w:rsidRPr="00A87C3F" w:rsidRDefault="00BD1005" w:rsidP="00BD1005">
      <w:pPr>
        <w:pStyle w:val="FootnoteText"/>
        <w:rPr>
          <w:lang w:val="en-GB"/>
        </w:rPr>
      </w:pPr>
      <w:r>
        <w:rPr>
          <w:rStyle w:val="FootnoteReference"/>
        </w:rPr>
        <w:footnoteRef/>
      </w:r>
      <w:r>
        <w:t xml:space="preserve"> </w:t>
      </w:r>
      <w:r>
        <w:rPr>
          <w:lang w:val="en-GB"/>
        </w:rPr>
        <w:t>All actions should be assigned to a person accountable for their delivery; be described in a manner that is measurable and have delivery timelines.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6557874"/>
    <w:multiLevelType w:val="hybridMultilevel"/>
    <w:tmpl w:val="B56C87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EE75E5"/>
    <w:multiLevelType w:val="hybridMultilevel"/>
    <w:tmpl w:val="5EF41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9754BD"/>
    <w:multiLevelType w:val="hybridMultilevel"/>
    <w:tmpl w:val="35AC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7D5BCC"/>
    <w:multiLevelType w:val="hybridMultilevel"/>
    <w:tmpl w:val="B9BE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9">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2">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E962653"/>
    <w:multiLevelType w:val="hybridMultilevel"/>
    <w:tmpl w:val="F138AD5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22"/>
  </w:num>
  <w:num w:numId="2">
    <w:abstractNumId w:val="2"/>
  </w:num>
  <w:num w:numId="3">
    <w:abstractNumId w:val="0"/>
  </w:num>
  <w:num w:numId="4">
    <w:abstractNumId w:val="26"/>
  </w:num>
  <w:num w:numId="5">
    <w:abstractNumId w:val="19"/>
  </w:num>
  <w:num w:numId="6">
    <w:abstractNumId w:val="24"/>
  </w:num>
  <w:num w:numId="7">
    <w:abstractNumId w:val="3"/>
  </w:num>
  <w:num w:numId="8">
    <w:abstractNumId w:val="18"/>
  </w:num>
  <w:num w:numId="9">
    <w:abstractNumId w:val="21"/>
  </w:num>
  <w:num w:numId="10">
    <w:abstractNumId w:val="5"/>
  </w:num>
  <w:num w:numId="11">
    <w:abstractNumId w:val="10"/>
  </w:num>
  <w:num w:numId="12">
    <w:abstractNumId w:val="23"/>
  </w:num>
  <w:num w:numId="13">
    <w:abstractNumId w:val="15"/>
  </w:num>
  <w:num w:numId="14">
    <w:abstractNumId w:val="1"/>
  </w:num>
  <w:num w:numId="15">
    <w:abstractNumId w:val="17"/>
  </w:num>
  <w:num w:numId="16">
    <w:abstractNumId w:val="11"/>
  </w:num>
  <w:num w:numId="17">
    <w:abstractNumId w:val="20"/>
  </w:num>
  <w:num w:numId="18">
    <w:abstractNumId w:val="16"/>
  </w:num>
  <w:num w:numId="19">
    <w:abstractNumId w:val="25"/>
  </w:num>
  <w:num w:numId="20">
    <w:abstractNumId w:val="9"/>
  </w:num>
  <w:num w:numId="21">
    <w:abstractNumId w:val="7"/>
  </w:num>
  <w:num w:numId="22">
    <w:abstractNumId w:val="14"/>
  </w:num>
  <w:num w:numId="23">
    <w:abstractNumId w:val="4"/>
  </w:num>
  <w:num w:numId="24">
    <w:abstractNumId w:val="6"/>
  </w:num>
  <w:num w:numId="25">
    <w:abstractNumId w:val="13"/>
  </w:num>
  <w:num w:numId="26">
    <w:abstractNumId w:val="12"/>
  </w:num>
  <w:num w:numId="27">
    <w:abstractNumId w:val="8"/>
  </w:num>
  <w:num w:numId="2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1954"/>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3B2B"/>
    <w:rsid w:val="00434363"/>
    <w:rsid w:val="0043664F"/>
    <w:rsid w:val="00441E7A"/>
    <w:rsid w:val="00446F94"/>
    <w:rsid w:val="00447394"/>
    <w:rsid w:val="00450490"/>
    <w:rsid w:val="00454EA5"/>
    <w:rsid w:val="00456662"/>
    <w:rsid w:val="00457AAE"/>
    <w:rsid w:val="00462810"/>
    <w:rsid w:val="00463C23"/>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1F74"/>
    <w:rsid w:val="0055649F"/>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47D8"/>
    <w:rsid w:val="00765D56"/>
    <w:rsid w:val="00766B4E"/>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5418"/>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B3714"/>
    <w:rsid w:val="008C70FB"/>
    <w:rsid w:val="008D12EA"/>
    <w:rsid w:val="008D6A39"/>
    <w:rsid w:val="008E1C13"/>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532DC"/>
    <w:rsid w:val="00960460"/>
    <w:rsid w:val="00961032"/>
    <w:rsid w:val="009615DA"/>
    <w:rsid w:val="009646FA"/>
    <w:rsid w:val="00975B74"/>
    <w:rsid w:val="009846C1"/>
    <w:rsid w:val="00995D16"/>
    <w:rsid w:val="009A0C1E"/>
    <w:rsid w:val="009B25F1"/>
    <w:rsid w:val="009B32B5"/>
    <w:rsid w:val="009C33D4"/>
    <w:rsid w:val="009C6E24"/>
    <w:rsid w:val="009D14DD"/>
    <w:rsid w:val="009D4815"/>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1211"/>
    <w:rsid w:val="00AF3749"/>
    <w:rsid w:val="00AF3A61"/>
    <w:rsid w:val="00AF47E2"/>
    <w:rsid w:val="00AF5DDB"/>
    <w:rsid w:val="00B02EF5"/>
    <w:rsid w:val="00B12060"/>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D1005"/>
    <w:rsid w:val="00BE2812"/>
    <w:rsid w:val="00BE6E0D"/>
    <w:rsid w:val="00BE7009"/>
    <w:rsid w:val="00BF4C1F"/>
    <w:rsid w:val="00BF64D8"/>
    <w:rsid w:val="00C053D3"/>
    <w:rsid w:val="00C0569D"/>
    <w:rsid w:val="00C07D8B"/>
    <w:rsid w:val="00C11E56"/>
    <w:rsid w:val="00C20949"/>
    <w:rsid w:val="00C523B4"/>
    <w:rsid w:val="00C52D50"/>
    <w:rsid w:val="00C628C9"/>
    <w:rsid w:val="00C703B6"/>
    <w:rsid w:val="00C74EC1"/>
    <w:rsid w:val="00C7588E"/>
    <w:rsid w:val="00C85824"/>
    <w:rsid w:val="00C86CC4"/>
    <w:rsid w:val="00C87D2D"/>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B27"/>
    <w:rsid w:val="00D35D4A"/>
    <w:rsid w:val="00D41C63"/>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499A"/>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1ECC"/>
    <w:rsid w:val="00F05335"/>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styleId="FootnoteText">
    <w:name w:val="footnote text"/>
    <w:basedOn w:val="Normal"/>
    <w:link w:val="FootnoteTextChar"/>
    <w:rsid w:val="00BD1005"/>
    <w:rPr>
      <w:sz w:val="20"/>
      <w:szCs w:val="20"/>
      <w:lang w:val="en-US" w:eastAsia="en-US"/>
    </w:rPr>
  </w:style>
  <w:style w:type="character" w:customStyle="1" w:styleId="FootnoteTextChar">
    <w:name w:val="Footnote Text Char"/>
    <w:basedOn w:val="DefaultParagraphFont"/>
    <w:link w:val="FootnoteText"/>
    <w:rsid w:val="00BD1005"/>
    <w:rPr>
      <w:lang w:val="en-US" w:eastAsia="en-US"/>
    </w:rPr>
  </w:style>
  <w:style w:type="character" w:styleId="FootnoteReference">
    <w:name w:val="footnote reference"/>
    <w:rsid w:val="00BD10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paragraph" w:styleId="FootnoteText">
    <w:name w:val="footnote text"/>
    <w:basedOn w:val="Normal"/>
    <w:link w:val="FootnoteTextChar"/>
    <w:rsid w:val="00BD1005"/>
    <w:rPr>
      <w:sz w:val="20"/>
      <w:szCs w:val="20"/>
      <w:lang w:val="en-US" w:eastAsia="en-US"/>
    </w:rPr>
  </w:style>
  <w:style w:type="character" w:customStyle="1" w:styleId="FootnoteTextChar">
    <w:name w:val="Footnote Text Char"/>
    <w:basedOn w:val="DefaultParagraphFont"/>
    <w:link w:val="FootnoteText"/>
    <w:rsid w:val="00BD1005"/>
    <w:rPr>
      <w:lang w:val="en-US" w:eastAsia="en-US"/>
    </w:rPr>
  </w:style>
  <w:style w:type="character" w:styleId="FootnoteReference">
    <w:name w:val="footnote reference"/>
    <w:rsid w:val="00BD1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2419</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16132</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12</cp:revision>
  <cp:lastPrinted>2011-06-01T15:50:00Z</cp:lastPrinted>
  <dcterms:created xsi:type="dcterms:W3CDTF">2014-07-03T10:41:00Z</dcterms:created>
  <dcterms:modified xsi:type="dcterms:W3CDTF">2014-07-03T11:13:00Z</dcterms:modified>
</cp:coreProperties>
</file>