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55E86" w:rsidRPr="00B320BB" w:rsidRDefault="00BA763E" w:rsidP="00B320BB">
      <w:pPr>
        <w:pStyle w:val="Header"/>
        <w:jc w:val="right"/>
        <w:rPr>
          <w:b/>
          <w:color w:val="365F91"/>
        </w:rPr>
      </w:pPr>
      <w:r>
        <w:rPr>
          <w:b/>
          <w:color w:val="365F91"/>
        </w:rPr>
        <w:t>North East Lincolnshire CCG</w:t>
      </w:r>
      <w:r w:rsidR="001D78A2">
        <w:rPr>
          <w:rFonts w:ascii="Arial" w:hAnsi="Arial" w:cs="Arial"/>
          <w:b/>
          <w:noProof/>
          <w:sz w:val="52"/>
          <w:szCs w:val="52"/>
        </w:rPr>
        <mc:AlternateContent>
          <mc:Choice Requires="wps">
            <w:drawing>
              <wp:anchor distT="0" distB="0" distL="114300" distR="114300" simplePos="0" relativeHeight="251657728" behindDoc="0" locked="0" layoutInCell="1" allowOverlap="1" wp14:anchorId="0F1EFB69" wp14:editId="329FB420">
                <wp:simplePos x="0" y="0"/>
                <wp:positionH relativeFrom="column">
                  <wp:posOffset>-114300</wp:posOffset>
                </wp:positionH>
                <wp:positionV relativeFrom="paragraph">
                  <wp:posOffset>167640</wp:posOffset>
                </wp:positionV>
                <wp:extent cx="22860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576" w:rsidRPr="00DD7564" w:rsidRDefault="005A5576" w:rsidP="00DD689C">
                            <w:pPr>
                              <w:rPr>
                                <w:rFonts w:ascii="Arial" w:hAnsi="Arial" w:cs="Arial"/>
                                <w:sz w:val="32"/>
                                <w:szCs w:val="32"/>
                              </w:rPr>
                            </w:pPr>
                            <w:r>
                              <w:rPr>
                                <w:rFonts w:ascii="Arial" w:hAnsi="Arial" w:cs="Arial"/>
                                <w:sz w:val="32"/>
                                <w:szCs w:val="32"/>
                              </w:rPr>
                              <w:t xml:space="preserve">Attachment </w:t>
                            </w:r>
                            <w:r w:rsidR="00B320BB">
                              <w:rPr>
                                <w:rFonts w:ascii="Arial" w:hAnsi="Arial" w:cs="Arial"/>
                                <w:sz w:val="32"/>
                                <w:szCs w:val="32"/>
                              </w:rPr>
                              <w:t>06</w:t>
                            </w:r>
                          </w:p>
                          <w:p w:rsidR="005A5576" w:rsidRDefault="005A5576"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3.2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" stroked="f">
                <v:textbox>
                  <w:txbxContent>
                    <w:p w:rsidR="005A5576" w:rsidRPr="00DD7564" w:rsidRDefault="005A5576" w:rsidP="00DD689C">
                      <w:pPr>
                        <w:rPr>
                          <w:rFonts w:ascii="Arial" w:hAnsi="Arial" w:cs="Arial"/>
                          <w:sz w:val="32"/>
                          <w:szCs w:val="32"/>
                        </w:rPr>
                      </w:pPr>
                      <w:r>
                        <w:rPr>
                          <w:rFonts w:ascii="Arial" w:hAnsi="Arial" w:cs="Arial"/>
                          <w:sz w:val="32"/>
                          <w:szCs w:val="32"/>
                        </w:rPr>
                        <w:t xml:space="preserve">Attachment </w:t>
                      </w:r>
                      <w:r w:rsidR="00B320BB">
                        <w:rPr>
                          <w:rFonts w:ascii="Arial" w:hAnsi="Arial" w:cs="Arial"/>
                          <w:sz w:val="32"/>
                          <w:szCs w:val="32"/>
                        </w:rPr>
                        <w:t>06</w:t>
                      </w:r>
                    </w:p>
                    <w:p w:rsidR="005A5576" w:rsidRDefault="005A5576" w:rsidP="00DD689C">
                      <w:pPr>
                        <w:rPr>
                          <w:sz w:val="36"/>
                        </w:rPr>
                      </w:pPr>
                    </w:p>
                  </w:txbxContent>
                </v:textbox>
              </v:shape>
            </w:pict>
          </mc:Fallback>
        </mc:AlternateContent>
      </w:r>
    </w:p>
    <w:p w:rsidR="00DD689C" w:rsidRDefault="00DD689C" w:rsidP="00B55E86">
      <w:pPr>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644A46" w:rsidP="009306C6">
            <w:pPr>
              <w:rPr>
                <w:rFonts w:ascii="Arial" w:hAnsi="Arial" w:cs="Arial"/>
                <w:bCs/>
                <w:sz w:val="22"/>
                <w:szCs w:val="22"/>
              </w:rPr>
            </w:pPr>
            <w:r>
              <w:rPr>
                <w:rFonts w:ascii="Arial" w:hAnsi="Arial" w:cs="Arial"/>
                <w:bCs/>
                <w:sz w:val="22"/>
                <w:szCs w:val="22"/>
              </w:rPr>
              <w:t>Laura Whitton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644A46" w:rsidP="00BC5CEC">
            <w:pPr>
              <w:rPr>
                <w:rFonts w:ascii="Arial" w:hAnsi="Arial" w:cs="Arial"/>
                <w:bCs/>
                <w:sz w:val="22"/>
                <w:szCs w:val="22"/>
              </w:rPr>
            </w:pPr>
            <w:r>
              <w:rPr>
                <w:rFonts w:ascii="Arial" w:hAnsi="Arial" w:cs="Arial"/>
                <w:bCs/>
                <w:sz w:val="22"/>
                <w:szCs w:val="22"/>
              </w:rPr>
              <w:t>13 March 2014</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73C07" w:rsidP="009306C6">
            <w:pPr>
              <w:rPr>
                <w:rFonts w:ascii="Arial" w:hAnsi="Arial" w:cs="Arial"/>
                <w:bCs/>
                <w:sz w:val="22"/>
                <w:szCs w:val="22"/>
              </w:rPr>
            </w:pPr>
            <w:r>
              <w:rPr>
                <w:rFonts w:ascii="Arial" w:hAnsi="Arial" w:cs="Arial"/>
                <w:bCs/>
                <w:sz w:val="22"/>
                <w:szCs w:val="22"/>
              </w:rPr>
              <w:t xml:space="preserve">CCG </w:t>
            </w:r>
            <w:r w:rsidR="00644A46">
              <w:rPr>
                <w:rFonts w:ascii="Arial" w:hAnsi="Arial" w:cs="Arial"/>
                <w:bCs/>
                <w:sz w:val="22"/>
                <w:szCs w:val="22"/>
              </w:rPr>
              <w:t xml:space="preserve">Board Assurance Framework </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644A46" w:rsidP="00752FD6">
            <w:pPr>
              <w:spacing w:before="60"/>
              <w:rPr>
                <w:rFonts w:ascii="Arial" w:hAnsi="Arial" w:cs="Arial"/>
                <w:sz w:val="22"/>
                <w:szCs w:val="22"/>
              </w:rPr>
            </w:pPr>
            <w:r>
              <w:rPr>
                <w:rFonts w:ascii="Arial" w:hAnsi="Arial" w:cs="Arial"/>
                <w:sz w:val="22"/>
                <w:szCs w:val="22"/>
              </w:rPr>
              <w:t xml:space="preserve">X </w:t>
            </w:r>
            <w:r w:rsidR="00DD689C" w:rsidRPr="00752FD6">
              <w:rPr>
                <w:rFonts w:ascii="Arial" w:hAnsi="Arial" w:cs="Arial"/>
                <w:sz w:val="22"/>
                <w:szCs w:val="22"/>
              </w:rPr>
              <w:t>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0"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0"/>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644A46" w:rsidP="00DD7564">
            <w:pPr>
              <w:spacing w:before="60"/>
              <w:rPr>
                <w:rFonts w:ascii="Arial" w:hAnsi="Arial" w:cs="Arial"/>
                <w:sz w:val="22"/>
                <w:szCs w:val="22"/>
              </w:rPr>
            </w:pPr>
            <w:r>
              <w:rPr>
                <w:rFonts w:ascii="Arial" w:hAnsi="Arial" w:cs="Arial"/>
                <w:sz w:val="22"/>
                <w:szCs w:val="22"/>
              </w:rPr>
              <w:t xml:space="preserve">X </w:t>
            </w:r>
            <w:r w:rsidR="00DD689C" w:rsidRPr="00752FD6">
              <w:rPr>
                <w:rFonts w:ascii="Arial" w:hAnsi="Arial" w:cs="Arial"/>
                <w:sz w:val="22"/>
                <w:szCs w:val="22"/>
              </w:rPr>
              <w:t>STRATEGY</w:t>
            </w:r>
            <w:r w:rsidR="00DD7564">
              <w:rPr>
                <w:rFonts w:ascii="Arial" w:hAnsi="Arial" w:cs="Arial"/>
                <w:sz w:val="22"/>
                <w:szCs w:val="22"/>
              </w:rPr>
              <w:tab/>
            </w:r>
            <w:r w:rsidR="00DD689C" w:rsidRPr="00752FD6">
              <w:rPr>
                <w:rFonts w:ascii="Arial" w:hAnsi="Arial" w:cs="Arial"/>
                <w:sz w:val="22"/>
                <w:szCs w:val="22"/>
              </w:rPr>
              <w:fldChar w:fldCharType="begin">
                <w:ffData>
                  <w:name w:val="Check4"/>
                  <w:enabled/>
                  <w:calcOnExit w:val="0"/>
                  <w:checkBox>
                    <w:sizeAuto/>
                    <w:default w:val="0"/>
                  </w:checkBox>
                </w:ffData>
              </w:fldChar>
            </w:r>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r w:rsidR="00DD689C"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00DD689C"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773C07" w:rsidRDefault="00C83ABE" w:rsidP="00773C07">
            <w:pPr>
              <w:suppressAutoHyphens/>
              <w:rPr>
                <w:rFonts w:ascii="Arial" w:hAnsi="Arial" w:cs="Arial"/>
                <w:bCs/>
                <w:sz w:val="22"/>
                <w:szCs w:val="22"/>
                <w:lang w:val="en-US" w:eastAsia="ar-SA"/>
              </w:rPr>
            </w:pPr>
            <w:r w:rsidRPr="00EB0172">
              <w:rPr>
                <w:rFonts w:ascii="Arial" w:hAnsi="Arial" w:cs="Arial"/>
                <w:bCs/>
                <w:sz w:val="22"/>
                <w:szCs w:val="22"/>
                <w:lang w:val="en-US" w:eastAsia="ar-SA"/>
              </w:rPr>
              <w:t xml:space="preserve">The </w:t>
            </w:r>
            <w:r w:rsidR="00700F21">
              <w:rPr>
                <w:rFonts w:ascii="Arial" w:hAnsi="Arial" w:cs="Arial"/>
                <w:bCs/>
                <w:sz w:val="22"/>
                <w:szCs w:val="22"/>
                <w:lang w:val="en-US" w:eastAsia="ar-SA"/>
              </w:rPr>
              <w:t xml:space="preserve">CCG </w:t>
            </w:r>
            <w:r w:rsidRPr="00EB0172">
              <w:rPr>
                <w:rFonts w:ascii="Arial" w:hAnsi="Arial" w:cs="Arial"/>
                <w:bCs/>
                <w:sz w:val="22"/>
                <w:szCs w:val="22"/>
                <w:lang w:val="en-US" w:eastAsia="ar-SA"/>
              </w:rPr>
              <w:t xml:space="preserve">Board Assurance Framework </w:t>
            </w:r>
            <w:r w:rsidR="00E2797C">
              <w:rPr>
                <w:rFonts w:ascii="Arial" w:hAnsi="Arial" w:cs="Arial"/>
                <w:bCs/>
                <w:sz w:val="22"/>
                <w:szCs w:val="22"/>
                <w:lang w:val="en-US" w:eastAsia="ar-SA"/>
              </w:rPr>
              <w:t xml:space="preserve">(BAF) </w:t>
            </w:r>
            <w:r w:rsidRPr="00EB0172">
              <w:rPr>
                <w:rFonts w:ascii="Arial" w:hAnsi="Arial" w:cs="Arial"/>
                <w:bCs/>
                <w:sz w:val="22"/>
                <w:szCs w:val="22"/>
                <w:lang w:val="en-US" w:eastAsia="ar-SA"/>
              </w:rPr>
              <w:t>demonstrates positive assurance received to date and any outstanding gaps in control or assurance</w:t>
            </w:r>
            <w:r w:rsidR="00382C21">
              <w:rPr>
                <w:rFonts w:ascii="Arial" w:hAnsi="Arial" w:cs="Arial"/>
                <w:bCs/>
                <w:sz w:val="22"/>
                <w:szCs w:val="22"/>
                <w:lang w:val="en-US" w:eastAsia="ar-SA"/>
              </w:rPr>
              <w:t>.</w:t>
            </w:r>
            <w:r w:rsidR="00E2797C">
              <w:rPr>
                <w:rFonts w:ascii="Arial" w:hAnsi="Arial" w:cs="Arial"/>
                <w:bCs/>
                <w:sz w:val="22"/>
                <w:szCs w:val="22"/>
                <w:lang w:val="en-US" w:eastAsia="ar-SA"/>
              </w:rPr>
              <w:t xml:space="preserve"> </w:t>
            </w:r>
          </w:p>
          <w:p w:rsidR="00A74AF7" w:rsidRDefault="00A74AF7" w:rsidP="00773C07">
            <w:pPr>
              <w:suppressAutoHyphens/>
              <w:rPr>
                <w:rFonts w:ascii="Arial" w:hAnsi="Arial" w:cs="Arial"/>
                <w:bCs/>
                <w:sz w:val="22"/>
                <w:szCs w:val="22"/>
                <w:lang w:val="en-US" w:eastAsia="ar-SA"/>
              </w:rPr>
            </w:pPr>
          </w:p>
          <w:p w:rsidR="00E2797C" w:rsidRPr="00D5514E" w:rsidRDefault="00E2797C" w:rsidP="00E2797C">
            <w:pPr>
              <w:suppressAutoHyphens/>
              <w:rPr>
                <w:rFonts w:ascii="Arial" w:hAnsi="Arial" w:cs="Arial"/>
                <w:bCs/>
                <w:sz w:val="22"/>
                <w:szCs w:val="22"/>
                <w:u w:val="single"/>
                <w:lang w:val="en-US" w:eastAsia="ar-SA"/>
              </w:rPr>
            </w:pPr>
            <w:r>
              <w:rPr>
                <w:rFonts w:ascii="Arial" w:hAnsi="Arial" w:cs="Arial"/>
                <w:bCs/>
                <w:sz w:val="22"/>
                <w:szCs w:val="22"/>
                <w:u w:val="single"/>
                <w:lang w:val="en-US" w:eastAsia="ar-SA"/>
              </w:rPr>
              <w:t>Key areas of development</w:t>
            </w:r>
            <w:r w:rsidR="005A5576">
              <w:rPr>
                <w:rFonts w:ascii="Arial" w:hAnsi="Arial" w:cs="Arial"/>
                <w:bCs/>
                <w:sz w:val="22"/>
                <w:szCs w:val="22"/>
                <w:u w:val="single"/>
                <w:lang w:val="en-US" w:eastAsia="ar-SA"/>
              </w:rPr>
              <w:t xml:space="preserve"> (since March 13)</w:t>
            </w:r>
          </w:p>
          <w:p w:rsidR="00E2797C" w:rsidRPr="009F7804" w:rsidRDefault="00E2797C" w:rsidP="00E2797C">
            <w:pPr>
              <w:numPr>
                <w:ilvl w:val="0"/>
                <w:numId w:val="21"/>
              </w:numPr>
              <w:suppressAutoHyphens/>
              <w:rPr>
                <w:rFonts w:ascii="Arial" w:hAnsi="Arial" w:cs="Arial"/>
                <w:bCs/>
                <w:sz w:val="22"/>
                <w:szCs w:val="22"/>
                <w:lang w:val="en-US" w:eastAsia="ar-SA"/>
              </w:rPr>
            </w:pPr>
            <w:r>
              <w:rPr>
                <w:rFonts w:ascii="Arial" w:hAnsi="Arial" w:cs="Arial"/>
                <w:bCs/>
                <w:sz w:val="22"/>
                <w:szCs w:val="22"/>
                <w:lang w:val="en-US" w:eastAsia="ar-SA"/>
              </w:rPr>
              <w:t xml:space="preserve">The BAF </w:t>
            </w:r>
            <w:r w:rsidR="00636BA1">
              <w:rPr>
                <w:rFonts w:ascii="Arial" w:hAnsi="Arial" w:cs="Arial"/>
                <w:bCs/>
                <w:sz w:val="22"/>
                <w:szCs w:val="22"/>
                <w:lang w:val="en-US" w:eastAsia="ar-SA"/>
              </w:rPr>
              <w:t xml:space="preserve">template has been amended. It </w:t>
            </w:r>
            <w:r>
              <w:rPr>
                <w:rFonts w:ascii="Arial" w:hAnsi="Arial" w:cs="Arial"/>
                <w:bCs/>
                <w:sz w:val="22"/>
                <w:szCs w:val="22"/>
                <w:lang w:val="en-US" w:eastAsia="ar-SA"/>
              </w:rPr>
              <w:t>has been grouped into six CCG assurance framework domains</w:t>
            </w:r>
            <w:r w:rsidRPr="00B57A4D">
              <w:rPr>
                <w:rFonts w:ascii="Arial" w:eastAsia="Calibri" w:hAnsi="Arial" w:cs="Arial"/>
                <w:bCs/>
                <w:sz w:val="23"/>
                <w:szCs w:val="23"/>
                <w:lang w:eastAsia="en-US"/>
              </w:rPr>
              <w:t xml:space="preserve"> for assurance of organisational health and capability (as defined within the CCG Assurance Framework 2013/14, NHS England, </w:t>
            </w:r>
            <w:proofErr w:type="gramStart"/>
            <w:r w:rsidRPr="00B57A4D">
              <w:rPr>
                <w:rFonts w:ascii="Arial" w:eastAsia="Calibri" w:hAnsi="Arial" w:cs="Arial"/>
                <w:bCs/>
                <w:sz w:val="23"/>
                <w:szCs w:val="23"/>
                <w:lang w:eastAsia="en-US"/>
              </w:rPr>
              <w:t>May</w:t>
            </w:r>
            <w:proofErr w:type="gramEnd"/>
            <w:r w:rsidRPr="00B57A4D">
              <w:rPr>
                <w:rFonts w:ascii="Arial" w:eastAsia="Calibri" w:hAnsi="Arial" w:cs="Arial"/>
                <w:bCs/>
                <w:sz w:val="23"/>
                <w:szCs w:val="23"/>
                <w:lang w:eastAsia="en-US"/>
              </w:rPr>
              <w:t xml:space="preserve"> 2013)</w:t>
            </w:r>
            <w:r>
              <w:rPr>
                <w:rFonts w:ascii="Arial" w:hAnsi="Arial" w:cs="Arial"/>
                <w:bCs/>
                <w:sz w:val="22"/>
                <w:szCs w:val="22"/>
                <w:lang w:val="en-US" w:eastAsia="ar-SA"/>
              </w:rPr>
              <w:t xml:space="preserve">, this is in line with CCG’s corporate risk register and performance measures </w:t>
            </w:r>
            <w:r w:rsidRPr="00DD3740">
              <w:rPr>
                <w:rFonts w:ascii="Arial" w:hAnsi="Arial" w:cs="Arial"/>
                <w:bCs/>
                <w:sz w:val="22"/>
                <w:szCs w:val="22"/>
                <w:lang w:val="en-US" w:eastAsia="ar-SA"/>
              </w:rPr>
              <w:t>so providing a clear link between the two.</w:t>
            </w:r>
          </w:p>
          <w:p w:rsidR="00E2797C" w:rsidRDefault="00E2797C" w:rsidP="00E2797C">
            <w:pPr>
              <w:numPr>
                <w:ilvl w:val="0"/>
                <w:numId w:val="21"/>
              </w:numPr>
              <w:suppressAutoHyphens/>
              <w:rPr>
                <w:rFonts w:ascii="Arial" w:hAnsi="Arial" w:cs="Arial"/>
                <w:bCs/>
                <w:sz w:val="22"/>
                <w:szCs w:val="22"/>
                <w:lang w:val="en-US" w:eastAsia="ar-SA"/>
              </w:rPr>
            </w:pPr>
            <w:r>
              <w:rPr>
                <w:rFonts w:ascii="Arial" w:hAnsi="Arial" w:cs="Arial"/>
                <w:bCs/>
                <w:sz w:val="22"/>
                <w:szCs w:val="22"/>
                <w:lang w:val="en-US" w:eastAsia="ar-SA"/>
              </w:rPr>
              <w:t xml:space="preserve">The CCG risk register has been divided into strategic and operational risks. </w:t>
            </w:r>
            <w:r w:rsidRPr="003B2AF2">
              <w:rPr>
                <w:rFonts w:ascii="Arial" w:hAnsi="Arial" w:cs="Arial"/>
                <w:bCs/>
                <w:sz w:val="22"/>
                <w:szCs w:val="22"/>
              </w:rPr>
              <w:t>Those risks which were deemed to be a strategic risk have been allocated to the assurance framework and risk owners asked to identify assurances on control; positive assurances; gaps in control and gaps in assurance</w:t>
            </w:r>
            <w:r w:rsidRPr="003B2AF2">
              <w:rPr>
                <w:rFonts w:ascii="Arial" w:hAnsi="Arial" w:cs="Arial"/>
                <w:b/>
                <w:bCs/>
                <w:i/>
                <w:sz w:val="22"/>
                <w:szCs w:val="22"/>
              </w:rPr>
              <w:t>.</w:t>
            </w:r>
            <w:r w:rsidRPr="003B2AF2">
              <w:rPr>
                <w:rFonts w:ascii="Arial" w:hAnsi="Arial" w:cs="Arial"/>
                <w:bCs/>
                <w:sz w:val="22"/>
                <w:szCs w:val="22"/>
                <w:lang w:val="en-US" w:eastAsia="ar-SA"/>
              </w:rPr>
              <w:t xml:space="preserve"> </w:t>
            </w:r>
            <w:r>
              <w:rPr>
                <w:rFonts w:ascii="Arial" w:hAnsi="Arial" w:cs="Arial"/>
                <w:bCs/>
                <w:sz w:val="22"/>
                <w:szCs w:val="22"/>
                <w:lang w:val="en-US" w:eastAsia="ar-SA"/>
              </w:rPr>
              <w:t>The operational risks form the content of the risk register.</w:t>
            </w:r>
          </w:p>
          <w:p w:rsidR="005A5576" w:rsidRPr="00636BA1" w:rsidRDefault="00E2797C" w:rsidP="00773C07">
            <w:pPr>
              <w:numPr>
                <w:ilvl w:val="0"/>
                <w:numId w:val="21"/>
              </w:numPr>
              <w:suppressAutoHyphens/>
              <w:rPr>
                <w:rFonts w:ascii="Arial" w:hAnsi="Arial" w:cs="Arial"/>
                <w:bCs/>
                <w:sz w:val="22"/>
                <w:szCs w:val="22"/>
                <w:lang w:val="en-US" w:eastAsia="ar-SA"/>
              </w:rPr>
            </w:pPr>
            <w:r>
              <w:rPr>
                <w:rFonts w:ascii="Arial" w:hAnsi="Arial" w:cs="Arial"/>
                <w:bCs/>
                <w:sz w:val="22"/>
                <w:szCs w:val="22"/>
                <w:lang w:val="en-US" w:eastAsia="ar-SA"/>
              </w:rPr>
              <w:t>The Board Assurance function on the Covalent electronic risk management system has been activated, this allows the Covalent administrator to capture data specifically relating to management of the CCG’s strategic risks (</w:t>
            </w:r>
            <w:r w:rsidRPr="00DD3740">
              <w:rPr>
                <w:rFonts w:ascii="Arial" w:hAnsi="Arial" w:cs="Arial"/>
                <w:bCs/>
                <w:sz w:val="22"/>
                <w:szCs w:val="22"/>
                <w:lang w:val="en-US" w:eastAsia="ar-SA"/>
              </w:rPr>
              <w:t>e.</w:t>
            </w:r>
            <w:r>
              <w:rPr>
                <w:rFonts w:ascii="Arial" w:hAnsi="Arial" w:cs="Arial"/>
                <w:bCs/>
                <w:sz w:val="22"/>
                <w:szCs w:val="22"/>
                <w:lang w:val="en-US" w:eastAsia="ar-SA"/>
              </w:rPr>
              <w:t>g. Assurance on controls, positive assurance, gaps in controls and gaps in assurances)</w:t>
            </w:r>
          </w:p>
          <w:p w:rsidR="00DD7564" w:rsidRDefault="00DD7564" w:rsidP="0025514C">
            <w:pPr>
              <w:rPr>
                <w:rFonts w:ascii="Arial" w:hAnsi="Arial" w:cs="Arial"/>
                <w:bCs/>
                <w:sz w:val="22"/>
                <w:szCs w:val="22"/>
              </w:rPr>
            </w:pPr>
          </w:p>
          <w:p w:rsidR="00636BA1" w:rsidRPr="00752FD6" w:rsidRDefault="00636BA1" w:rsidP="0025514C">
            <w:pPr>
              <w:rPr>
                <w:rFonts w:ascii="Arial" w:hAnsi="Arial" w:cs="Arial"/>
                <w:bCs/>
                <w:sz w:val="22"/>
                <w:szCs w:val="22"/>
              </w:rPr>
            </w:pPr>
            <w:r>
              <w:rPr>
                <w:rFonts w:ascii="Arial" w:hAnsi="Arial" w:cs="Arial"/>
                <w:bCs/>
                <w:sz w:val="22"/>
                <w:szCs w:val="22"/>
                <w:lang w:val="en-US" w:eastAsia="ar-SA"/>
              </w:rPr>
              <w:t>The current BAF (Appendix 1) was reviewed and approved at the IG &amp; Audit Committee on 4 March 2014.</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DD689C" w:rsidRPr="00752FD6" w:rsidRDefault="00DD689C" w:rsidP="009306C6">
            <w:pPr>
              <w:rPr>
                <w:rFonts w:ascii="Arial" w:hAnsi="Arial" w:cs="Arial"/>
                <w:bCs/>
                <w:sz w:val="22"/>
                <w:szCs w:val="22"/>
              </w:rPr>
            </w:pPr>
          </w:p>
          <w:p w:rsidR="00DD7564" w:rsidRDefault="00C83ABE" w:rsidP="009306C6">
            <w:pPr>
              <w:rPr>
                <w:rFonts w:ascii="Arial" w:hAnsi="Arial" w:cs="Arial"/>
                <w:bCs/>
                <w:sz w:val="22"/>
                <w:szCs w:val="22"/>
              </w:rPr>
            </w:pPr>
            <w:r w:rsidRPr="00EB0172">
              <w:rPr>
                <w:rFonts w:ascii="Arial" w:hAnsi="Arial" w:cs="Arial"/>
                <w:bCs/>
                <w:sz w:val="22"/>
                <w:szCs w:val="22"/>
              </w:rPr>
              <w:t xml:space="preserve">The CCG </w:t>
            </w:r>
            <w:r>
              <w:rPr>
                <w:rFonts w:ascii="Arial" w:hAnsi="Arial" w:cs="Arial"/>
                <w:bCs/>
                <w:sz w:val="22"/>
                <w:szCs w:val="22"/>
              </w:rPr>
              <w:t>Partnership Board</w:t>
            </w:r>
            <w:r w:rsidRPr="00EB0172">
              <w:rPr>
                <w:rFonts w:ascii="Arial" w:hAnsi="Arial" w:cs="Arial"/>
                <w:bCs/>
                <w:sz w:val="22"/>
                <w:szCs w:val="22"/>
              </w:rPr>
              <w:t xml:space="preserve"> monitors the achievement of its strategic and business objectives; the Board Assurance Framework captures how assurance has been received by the CCG and whether it </w:t>
            </w:r>
            <w:proofErr w:type="gramStart"/>
            <w:r w:rsidRPr="00EB0172">
              <w:rPr>
                <w:rFonts w:ascii="Arial" w:hAnsi="Arial" w:cs="Arial"/>
                <w:bCs/>
                <w:sz w:val="22"/>
                <w:szCs w:val="22"/>
              </w:rPr>
              <w:t>mitigates</w:t>
            </w:r>
            <w:proofErr w:type="gramEnd"/>
            <w:r w:rsidRPr="00EB0172">
              <w:rPr>
                <w:rFonts w:ascii="Arial" w:hAnsi="Arial" w:cs="Arial"/>
                <w:bCs/>
                <w:sz w:val="22"/>
                <w:szCs w:val="22"/>
              </w:rPr>
              <w:t xml:space="preserve"> against the risks that the CCGs objectives might not be achieved.  </w:t>
            </w:r>
          </w:p>
          <w:p w:rsidR="00DD7564" w:rsidRPr="00752FD6" w:rsidRDefault="00DD7564"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585083" w:rsidRDefault="00585083" w:rsidP="00585083">
            <w:pPr>
              <w:jc w:val="both"/>
              <w:rPr>
                <w:rFonts w:ascii="Arial" w:hAnsi="Arial" w:cs="Arial"/>
                <w:bCs/>
                <w:sz w:val="22"/>
                <w:szCs w:val="22"/>
              </w:rPr>
            </w:pPr>
          </w:p>
          <w:p w:rsidR="00DD7564" w:rsidRPr="00752FD6" w:rsidRDefault="00C83ABE" w:rsidP="00585083">
            <w:pPr>
              <w:jc w:val="both"/>
              <w:rPr>
                <w:rFonts w:ascii="Arial" w:hAnsi="Arial" w:cs="Arial"/>
                <w:bCs/>
                <w:sz w:val="22"/>
                <w:szCs w:val="22"/>
              </w:rPr>
            </w:pPr>
            <w:r w:rsidRPr="00EB0172">
              <w:rPr>
                <w:rFonts w:ascii="Arial" w:hAnsi="Arial" w:cs="Arial"/>
                <w:bCs/>
                <w:sz w:val="22"/>
                <w:szCs w:val="22"/>
              </w:rPr>
              <w:t xml:space="preserve">The CCG </w:t>
            </w:r>
            <w:r>
              <w:rPr>
                <w:rFonts w:ascii="Arial" w:hAnsi="Arial" w:cs="Arial"/>
                <w:bCs/>
                <w:sz w:val="22"/>
                <w:szCs w:val="22"/>
              </w:rPr>
              <w:t>Partnership Board</w:t>
            </w:r>
            <w:r w:rsidRPr="00EB0172">
              <w:rPr>
                <w:rFonts w:ascii="Arial" w:hAnsi="Arial" w:cs="Arial"/>
                <w:bCs/>
                <w:sz w:val="22"/>
                <w:szCs w:val="22"/>
              </w:rPr>
              <w:t xml:space="preserve"> should have the opportunity during the financial year to monitor the assurance it has received and identify any gaps that should be addressed in order to be assured.  </w:t>
            </w:r>
            <w:r w:rsidRPr="00EB0172">
              <w:rPr>
                <w:rFonts w:ascii="Arial" w:hAnsi="Arial" w:cs="Arial"/>
                <w:bCs/>
                <w:sz w:val="22"/>
                <w:szCs w:val="22"/>
              </w:rPr>
              <w:lastRenderedPageBreak/>
              <w:t>This is an on-going process and IG&amp;A should info</w:t>
            </w:r>
            <w:r w:rsidR="00773C07">
              <w:rPr>
                <w:rFonts w:ascii="Arial" w:hAnsi="Arial" w:cs="Arial"/>
                <w:bCs/>
                <w:sz w:val="22"/>
                <w:szCs w:val="22"/>
              </w:rPr>
              <w:t xml:space="preserve">rm the development of the amended </w:t>
            </w:r>
            <w:r w:rsidRPr="00EB0172">
              <w:rPr>
                <w:rFonts w:ascii="Arial" w:hAnsi="Arial" w:cs="Arial"/>
                <w:bCs/>
                <w:sz w:val="22"/>
                <w:szCs w:val="22"/>
              </w:rPr>
              <w:t>BAF for the CCG</w:t>
            </w: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p w:rsidR="00773C07" w:rsidRPr="00773C07" w:rsidRDefault="00773C07" w:rsidP="009306C6">
            <w:pPr>
              <w:rPr>
                <w:rFonts w:ascii="Arial" w:hAnsi="Arial" w:cs="Arial"/>
                <w:bCs/>
                <w:sz w:val="22"/>
                <w:szCs w:val="22"/>
              </w:rPr>
            </w:pPr>
          </w:p>
          <w:p w:rsidR="00D770D8" w:rsidRDefault="00773C07" w:rsidP="009306C6">
            <w:pPr>
              <w:rPr>
                <w:rFonts w:ascii="Arial" w:hAnsi="Arial" w:cs="Arial"/>
                <w:bCs/>
                <w:sz w:val="22"/>
                <w:szCs w:val="22"/>
              </w:rPr>
            </w:pPr>
            <w:r w:rsidRPr="00773C07">
              <w:rPr>
                <w:rFonts w:ascii="Arial" w:hAnsi="Arial" w:cs="Arial"/>
                <w:bCs/>
                <w:sz w:val="22"/>
                <w:szCs w:val="22"/>
              </w:rPr>
              <w:t>Board</w:t>
            </w:r>
            <w:r w:rsidR="00D770D8">
              <w:rPr>
                <w:rFonts w:ascii="Arial" w:hAnsi="Arial" w:cs="Arial"/>
                <w:bCs/>
                <w:sz w:val="22"/>
                <w:szCs w:val="22"/>
              </w:rPr>
              <w:t xml:space="preserve"> members are asked to note:</w:t>
            </w:r>
          </w:p>
          <w:p w:rsidR="00D770D8" w:rsidRPr="00D770D8" w:rsidRDefault="00D770D8" w:rsidP="00D770D8">
            <w:pPr>
              <w:pStyle w:val="ListParagraph"/>
              <w:numPr>
                <w:ilvl w:val="0"/>
                <w:numId w:val="20"/>
              </w:numPr>
              <w:rPr>
                <w:rFonts w:ascii="Arial" w:hAnsi="Arial" w:cs="Arial"/>
                <w:b/>
                <w:bCs/>
                <w:sz w:val="22"/>
                <w:szCs w:val="22"/>
              </w:rPr>
            </w:pPr>
            <w:r w:rsidRPr="00D770D8">
              <w:rPr>
                <w:rFonts w:ascii="Arial" w:hAnsi="Arial" w:cs="Arial"/>
                <w:bCs/>
                <w:sz w:val="22"/>
                <w:szCs w:val="22"/>
              </w:rPr>
              <w:t>amen</w:t>
            </w:r>
            <w:r>
              <w:rPr>
                <w:rFonts w:ascii="Arial" w:hAnsi="Arial" w:cs="Arial"/>
                <w:bCs/>
                <w:sz w:val="22"/>
                <w:szCs w:val="22"/>
              </w:rPr>
              <w:t>dments made to the BAF template</w:t>
            </w:r>
          </w:p>
          <w:p w:rsidR="00773C07" w:rsidRPr="00D770D8" w:rsidRDefault="00D770D8" w:rsidP="00D770D8">
            <w:pPr>
              <w:pStyle w:val="ListParagraph"/>
              <w:numPr>
                <w:ilvl w:val="0"/>
                <w:numId w:val="20"/>
              </w:numPr>
              <w:rPr>
                <w:rFonts w:ascii="Arial" w:hAnsi="Arial" w:cs="Arial"/>
                <w:b/>
                <w:bCs/>
                <w:sz w:val="22"/>
                <w:szCs w:val="22"/>
              </w:rPr>
            </w:pPr>
            <w:r>
              <w:rPr>
                <w:rFonts w:ascii="Arial" w:hAnsi="Arial" w:cs="Arial"/>
                <w:bCs/>
                <w:sz w:val="22"/>
                <w:szCs w:val="22"/>
              </w:rPr>
              <w:t xml:space="preserve">level of </w:t>
            </w:r>
            <w:r w:rsidRPr="00D770D8">
              <w:rPr>
                <w:rFonts w:ascii="Arial" w:hAnsi="Arial" w:cs="Arial"/>
                <w:bCs/>
                <w:sz w:val="22"/>
                <w:szCs w:val="22"/>
              </w:rPr>
              <w:t xml:space="preserve">assurance </w:t>
            </w:r>
            <w:r>
              <w:rPr>
                <w:rFonts w:ascii="Arial" w:hAnsi="Arial" w:cs="Arial"/>
                <w:bCs/>
                <w:sz w:val="22"/>
                <w:szCs w:val="22"/>
              </w:rPr>
              <w:t xml:space="preserve">received by the CCG, in relation to its strategic risks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9306C6">
            <w:pPr>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pPr w:leftFromText="180" w:rightFromText="180" w:vertAnchor="text" w:horzAnchor="margin" w:tblpY="923"/>
        <w:tblW w:w="90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B320BB" w:rsidRPr="00752FD6" w:rsidTr="00B320BB">
        <w:trPr>
          <w:trHeight w:val="822"/>
          <w:tblHeader/>
        </w:trPr>
        <w:tc>
          <w:tcPr>
            <w:tcW w:w="720" w:type="dxa"/>
            <w:shd w:val="clear" w:color="auto" w:fill="C0C0C0"/>
            <w:vAlign w:val="center"/>
          </w:tcPr>
          <w:p w:rsidR="00B320BB" w:rsidRPr="00752FD6" w:rsidRDefault="00B320BB" w:rsidP="00B320BB">
            <w:pPr>
              <w:spacing w:before="80" w:after="80"/>
              <w:jc w:val="center"/>
              <w:rPr>
                <w:rFonts w:ascii="Arial" w:hAnsi="Arial" w:cs="Arial"/>
                <w:b/>
                <w:sz w:val="22"/>
                <w:szCs w:val="22"/>
              </w:rPr>
            </w:pPr>
          </w:p>
        </w:tc>
        <w:tc>
          <w:tcPr>
            <w:tcW w:w="4230" w:type="dxa"/>
            <w:shd w:val="clear" w:color="auto" w:fill="C0C0C0"/>
            <w:vAlign w:val="center"/>
          </w:tcPr>
          <w:p w:rsidR="00B320BB" w:rsidRPr="00752FD6" w:rsidRDefault="00B320BB" w:rsidP="00B320BB">
            <w:pPr>
              <w:spacing w:before="80" w:after="80"/>
              <w:rPr>
                <w:rFonts w:ascii="Arial" w:hAnsi="Arial" w:cs="Arial"/>
                <w:b/>
                <w:sz w:val="22"/>
                <w:szCs w:val="22"/>
              </w:rPr>
            </w:pPr>
          </w:p>
        </w:tc>
        <w:tc>
          <w:tcPr>
            <w:tcW w:w="1170" w:type="dxa"/>
            <w:shd w:val="clear" w:color="auto" w:fill="C0C0C0"/>
            <w:vAlign w:val="center"/>
          </w:tcPr>
          <w:p w:rsidR="00B320BB" w:rsidRPr="00752FD6" w:rsidRDefault="00B320BB" w:rsidP="00B320BB">
            <w:pPr>
              <w:spacing w:before="80" w:after="80"/>
              <w:jc w:val="center"/>
              <w:rPr>
                <w:rFonts w:ascii="Arial" w:hAnsi="Arial" w:cs="Arial"/>
                <w:b/>
                <w:sz w:val="22"/>
                <w:szCs w:val="22"/>
              </w:rPr>
            </w:pPr>
          </w:p>
          <w:p w:rsidR="00B320BB" w:rsidRPr="00752FD6" w:rsidRDefault="00B320BB" w:rsidP="00B320BB">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B320BB" w:rsidRPr="00752FD6" w:rsidRDefault="00B320BB" w:rsidP="00B320BB">
            <w:pPr>
              <w:spacing w:before="80" w:after="80"/>
              <w:jc w:val="center"/>
              <w:rPr>
                <w:rFonts w:ascii="Arial" w:hAnsi="Arial" w:cs="Arial"/>
                <w:b/>
                <w:sz w:val="22"/>
                <w:szCs w:val="22"/>
              </w:rPr>
            </w:pPr>
            <w:r w:rsidRPr="00752FD6">
              <w:rPr>
                <w:rFonts w:ascii="Arial" w:hAnsi="Arial" w:cs="Arial"/>
                <w:b/>
                <w:sz w:val="22"/>
                <w:szCs w:val="22"/>
              </w:rPr>
              <w:t>Comments</w:t>
            </w:r>
          </w:p>
        </w:tc>
      </w:tr>
      <w:tr w:rsidR="00B320BB" w:rsidRPr="00752FD6" w:rsidTr="00B320BB">
        <w:tc>
          <w:tcPr>
            <w:tcW w:w="720" w:type="dxa"/>
            <w:shd w:val="clear" w:color="auto" w:fill="auto"/>
          </w:tcPr>
          <w:p w:rsidR="00B320BB" w:rsidRPr="00752FD6" w:rsidRDefault="00B320BB" w:rsidP="00B320BB">
            <w:pPr>
              <w:spacing w:before="80" w:after="80"/>
              <w:rPr>
                <w:rFonts w:ascii="Arial" w:hAnsi="Arial" w:cs="Arial"/>
                <w:sz w:val="22"/>
                <w:szCs w:val="22"/>
              </w:rPr>
            </w:pPr>
          </w:p>
        </w:tc>
        <w:tc>
          <w:tcPr>
            <w:tcW w:w="4230" w:type="dxa"/>
            <w:shd w:val="clear" w:color="auto" w:fill="auto"/>
          </w:tcPr>
          <w:p w:rsidR="00B320BB" w:rsidRPr="00752FD6" w:rsidRDefault="00B320BB" w:rsidP="00B320BB">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B320BB" w:rsidRPr="00752FD6" w:rsidRDefault="00B320BB" w:rsidP="00B320BB">
            <w:pPr>
              <w:spacing w:before="80" w:after="80"/>
              <w:jc w:val="center"/>
              <w:rPr>
                <w:rFonts w:ascii="Arial" w:hAnsi="Arial" w:cs="Arial"/>
                <w:sz w:val="22"/>
                <w:szCs w:val="22"/>
              </w:rPr>
            </w:pPr>
          </w:p>
        </w:tc>
        <w:tc>
          <w:tcPr>
            <w:tcW w:w="2976" w:type="dxa"/>
            <w:shd w:val="clear" w:color="auto" w:fill="auto"/>
          </w:tcPr>
          <w:p w:rsidR="00B320BB" w:rsidRPr="00752FD6" w:rsidRDefault="00B320BB" w:rsidP="00B320BB">
            <w:pPr>
              <w:spacing w:before="80" w:after="80"/>
              <w:rPr>
                <w:rFonts w:ascii="Arial" w:hAnsi="Arial" w:cs="Arial"/>
                <w:sz w:val="22"/>
                <w:szCs w:val="22"/>
              </w:rPr>
            </w:pPr>
          </w:p>
        </w:tc>
      </w:tr>
      <w:tr w:rsidR="00B320BB" w:rsidRPr="00752FD6" w:rsidTr="00B320BB">
        <w:tc>
          <w:tcPr>
            <w:tcW w:w="720" w:type="dxa"/>
            <w:shd w:val="clear" w:color="auto" w:fill="auto"/>
          </w:tcPr>
          <w:p w:rsidR="00B320BB" w:rsidRPr="00752FD6" w:rsidRDefault="00B320BB" w:rsidP="00B320BB">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B320BB" w:rsidRPr="00752FD6" w:rsidRDefault="00B320BB" w:rsidP="00B320BB">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B320BB" w:rsidRPr="00752FD6" w:rsidRDefault="00B320BB" w:rsidP="00B320BB">
            <w:pPr>
              <w:spacing w:before="80" w:after="80"/>
              <w:jc w:val="center"/>
              <w:rPr>
                <w:rFonts w:ascii="Arial" w:hAnsi="Arial" w:cs="Arial"/>
                <w:sz w:val="22"/>
                <w:szCs w:val="22"/>
              </w:rPr>
            </w:pPr>
            <w:r>
              <w:rPr>
                <w:rFonts w:ascii="Arial" w:hAnsi="Arial" w:cs="Arial"/>
                <w:sz w:val="22"/>
                <w:szCs w:val="22"/>
              </w:rPr>
              <w:t>Yes</w:t>
            </w:r>
          </w:p>
        </w:tc>
        <w:tc>
          <w:tcPr>
            <w:tcW w:w="2976" w:type="dxa"/>
            <w:shd w:val="clear" w:color="auto" w:fill="auto"/>
          </w:tcPr>
          <w:p w:rsidR="00B320BB" w:rsidRPr="00752FD6" w:rsidRDefault="00B320BB" w:rsidP="00B320BB">
            <w:pPr>
              <w:spacing w:before="80" w:after="80"/>
              <w:rPr>
                <w:rFonts w:ascii="Arial" w:hAnsi="Arial" w:cs="Arial"/>
                <w:sz w:val="22"/>
                <w:szCs w:val="22"/>
              </w:rPr>
            </w:pPr>
          </w:p>
        </w:tc>
      </w:tr>
      <w:tr w:rsidR="00B320BB" w:rsidRPr="00752FD6" w:rsidTr="00B320BB">
        <w:tc>
          <w:tcPr>
            <w:tcW w:w="720" w:type="dxa"/>
            <w:shd w:val="clear" w:color="auto" w:fill="auto"/>
          </w:tcPr>
          <w:p w:rsidR="00B320BB" w:rsidRPr="00752FD6" w:rsidRDefault="00B320BB" w:rsidP="00B320BB">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B320BB" w:rsidRPr="00752FD6" w:rsidRDefault="00B320BB" w:rsidP="00B320BB">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1170" w:type="dxa"/>
            <w:shd w:val="clear" w:color="auto" w:fill="auto"/>
          </w:tcPr>
          <w:p w:rsidR="00B320BB" w:rsidRPr="00752FD6" w:rsidRDefault="00B320BB" w:rsidP="00B320BB">
            <w:pPr>
              <w:spacing w:before="80" w:after="80"/>
              <w:jc w:val="center"/>
              <w:rPr>
                <w:rFonts w:ascii="Arial" w:hAnsi="Arial" w:cs="Arial"/>
                <w:sz w:val="22"/>
                <w:szCs w:val="22"/>
              </w:rPr>
            </w:pPr>
            <w:r>
              <w:rPr>
                <w:rFonts w:ascii="Arial" w:hAnsi="Arial" w:cs="Arial"/>
                <w:sz w:val="22"/>
                <w:szCs w:val="22"/>
              </w:rPr>
              <w:t>No</w:t>
            </w:r>
          </w:p>
        </w:tc>
        <w:tc>
          <w:tcPr>
            <w:tcW w:w="2976" w:type="dxa"/>
            <w:shd w:val="clear" w:color="auto" w:fill="auto"/>
          </w:tcPr>
          <w:p w:rsidR="00B320BB" w:rsidRPr="00752FD6" w:rsidRDefault="00B320BB" w:rsidP="00B320BB">
            <w:pPr>
              <w:spacing w:before="80" w:after="80"/>
              <w:rPr>
                <w:rFonts w:ascii="Arial" w:hAnsi="Arial" w:cs="Arial"/>
                <w:sz w:val="22"/>
                <w:szCs w:val="22"/>
              </w:rPr>
            </w:pPr>
            <w:r>
              <w:rPr>
                <w:rFonts w:ascii="Arial" w:hAnsi="Arial" w:cs="Arial"/>
                <w:sz w:val="22"/>
                <w:szCs w:val="22"/>
              </w:rPr>
              <w:t xml:space="preserve">Not applicable </w:t>
            </w:r>
          </w:p>
        </w:tc>
      </w:tr>
      <w:tr w:rsidR="00B320BB" w:rsidRPr="00752FD6" w:rsidTr="00B320BB">
        <w:tc>
          <w:tcPr>
            <w:tcW w:w="720" w:type="dxa"/>
            <w:shd w:val="clear" w:color="auto" w:fill="auto"/>
          </w:tcPr>
          <w:p w:rsidR="00B320BB" w:rsidRPr="00752FD6" w:rsidRDefault="00B320BB" w:rsidP="00B320BB">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B320BB" w:rsidRPr="00752FD6" w:rsidRDefault="00B320BB" w:rsidP="00B320BB">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B320BB" w:rsidRPr="00752FD6" w:rsidRDefault="00B320BB" w:rsidP="00B320BB">
            <w:pPr>
              <w:spacing w:before="80" w:after="80"/>
              <w:jc w:val="center"/>
              <w:rPr>
                <w:rFonts w:ascii="Arial" w:hAnsi="Arial" w:cs="Arial"/>
                <w:sz w:val="22"/>
                <w:szCs w:val="22"/>
              </w:rPr>
            </w:pPr>
            <w:r>
              <w:rPr>
                <w:rFonts w:ascii="Arial" w:hAnsi="Arial" w:cs="Arial"/>
                <w:sz w:val="22"/>
                <w:szCs w:val="22"/>
              </w:rPr>
              <w:t>Yes</w:t>
            </w:r>
          </w:p>
        </w:tc>
        <w:tc>
          <w:tcPr>
            <w:tcW w:w="2976" w:type="dxa"/>
            <w:shd w:val="clear" w:color="auto" w:fill="auto"/>
          </w:tcPr>
          <w:p w:rsidR="00B320BB" w:rsidRPr="00752FD6" w:rsidRDefault="00B320BB" w:rsidP="00B320BB">
            <w:pPr>
              <w:spacing w:before="80" w:after="80"/>
              <w:rPr>
                <w:rFonts w:ascii="Arial" w:hAnsi="Arial" w:cs="Arial"/>
                <w:sz w:val="22"/>
                <w:szCs w:val="22"/>
              </w:rPr>
            </w:pPr>
          </w:p>
        </w:tc>
      </w:tr>
      <w:tr w:rsidR="00B320BB" w:rsidRPr="00752FD6" w:rsidTr="00B320BB">
        <w:tc>
          <w:tcPr>
            <w:tcW w:w="720" w:type="dxa"/>
            <w:shd w:val="clear" w:color="auto" w:fill="auto"/>
          </w:tcPr>
          <w:p w:rsidR="00B320BB" w:rsidRPr="00752FD6" w:rsidRDefault="00B320BB" w:rsidP="00B320BB">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B320BB" w:rsidRPr="00752FD6" w:rsidRDefault="00B320BB" w:rsidP="00B320BB">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B320BB" w:rsidRPr="00752FD6" w:rsidRDefault="00B320BB" w:rsidP="00B320BB">
            <w:pPr>
              <w:spacing w:before="80" w:after="80"/>
              <w:jc w:val="center"/>
              <w:rPr>
                <w:rFonts w:ascii="Arial" w:hAnsi="Arial" w:cs="Arial"/>
                <w:sz w:val="22"/>
                <w:szCs w:val="22"/>
              </w:rPr>
            </w:pPr>
            <w:r>
              <w:rPr>
                <w:rFonts w:ascii="Arial" w:hAnsi="Arial" w:cs="Arial"/>
                <w:sz w:val="22"/>
                <w:szCs w:val="22"/>
              </w:rPr>
              <w:t>Yes</w:t>
            </w:r>
          </w:p>
        </w:tc>
        <w:tc>
          <w:tcPr>
            <w:tcW w:w="2976" w:type="dxa"/>
            <w:shd w:val="clear" w:color="auto" w:fill="auto"/>
          </w:tcPr>
          <w:p w:rsidR="00B320BB" w:rsidRPr="00752FD6" w:rsidRDefault="00B320BB" w:rsidP="00B320BB">
            <w:pPr>
              <w:spacing w:before="80" w:after="80"/>
              <w:rPr>
                <w:rFonts w:ascii="Arial" w:hAnsi="Arial" w:cs="Arial"/>
                <w:sz w:val="22"/>
                <w:szCs w:val="22"/>
              </w:rPr>
            </w:pPr>
          </w:p>
        </w:tc>
      </w:tr>
      <w:tr w:rsidR="00B320BB" w:rsidRPr="00752FD6" w:rsidTr="00B320BB">
        <w:tc>
          <w:tcPr>
            <w:tcW w:w="720" w:type="dxa"/>
            <w:shd w:val="clear" w:color="auto" w:fill="auto"/>
          </w:tcPr>
          <w:p w:rsidR="00B320BB" w:rsidRPr="00752FD6" w:rsidRDefault="00B320BB" w:rsidP="00B320BB">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B320BB" w:rsidRPr="00752FD6" w:rsidRDefault="00B320BB" w:rsidP="00B320BB">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B320BB" w:rsidRPr="00752FD6" w:rsidRDefault="00B320BB" w:rsidP="00B320BB">
            <w:pPr>
              <w:spacing w:before="80" w:after="80"/>
              <w:jc w:val="center"/>
              <w:rPr>
                <w:rFonts w:ascii="Arial" w:hAnsi="Arial" w:cs="Arial"/>
                <w:sz w:val="22"/>
                <w:szCs w:val="22"/>
              </w:rPr>
            </w:pPr>
            <w:r>
              <w:rPr>
                <w:rFonts w:ascii="Arial" w:hAnsi="Arial" w:cs="Arial"/>
                <w:sz w:val="22"/>
                <w:szCs w:val="22"/>
              </w:rPr>
              <w:t>Yes</w:t>
            </w:r>
          </w:p>
        </w:tc>
        <w:tc>
          <w:tcPr>
            <w:tcW w:w="2976" w:type="dxa"/>
            <w:shd w:val="clear" w:color="auto" w:fill="auto"/>
          </w:tcPr>
          <w:p w:rsidR="00B320BB" w:rsidRPr="00752FD6" w:rsidRDefault="00B320BB" w:rsidP="00B320BB">
            <w:pPr>
              <w:spacing w:before="80" w:after="80"/>
              <w:rPr>
                <w:rFonts w:ascii="Arial" w:hAnsi="Arial" w:cs="Arial"/>
                <w:sz w:val="22"/>
                <w:szCs w:val="22"/>
              </w:rPr>
            </w:pPr>
          </w:p>
        </w:tc>
      </w:tr>
      <w:tr w:rsidR="00B320BB" w:rsidRPr="00752FD6" w:rsidTr="00B320BB">
        <w:tc>
          <w:tcPr>
            <w:tcW w:w="720" w:type="dxa"/>
            <w:shd w:val="clear" w:color="auto" w:fill="auto"/>
          </w:tcPr>
          <w:p w:rsidR="00B320BB" w:rsidRPr="00752FD6" w:rsidRDefault="00B320BB" w:rsidP="00B320BB">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B320BB" w:rsidRDefault="00B320BB" w:rsidP="00B320BB">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B320BB" w:rsidRPr="00752FD6" w:rsidRDefault="00B320BB" w:rsidP="00B320BB">
            <w:pPr>
              <w:spacing w:before="80" w:after="80"/>
              <w:rPr>
                <w:rFonts w:ascii="Arial" w:hAnsi="Arial" w:cs="Arial"/>
                <w:sz w:val="22"/>
                <w:szCs w:val="22"/>
              </w:rPr>
            </w:pPr>
            <w:hyperlink r:id="rId9" w:history="1">
              <w:r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B320BB" w:rsidRPr="00752FD6" w:rsidRDefault="00B320BB" w:rsidP="00B320BB">
            <w:pPr>
              <w:spacing w:before="80" w:after="80"/>
              <w:jc w:val="center"/>
              <w:rPr>
                <w:rFonts w:ascii="Arial" w:hAnsi="Arial" w:cs="Arial"/>
                <w:sz w:val="22"/>
                <w:szCs w:val="22"/>
              </w:rPr>
            </w:pPr>
            <w:r>
              <w:rPr>
                <w:rFonts w:ascii="Arial" w:hAnsi="Arial" w:cs="Arial"/>
                <w:sz w:val="22"/>
                <w:szCs w:val="22"/>
              </w:rPr>
              <w:t>Yes</w:t>
            </w:r>
          </w:p>
        </w:tc>
        <w:tc>
          <w:tcPr>
            <w:tcW w:w="2976" w:type="dxa"/>
            <w:shd w:val="clear" w:color="auto" w:fill="auto"/>
          </w:tcPr>
          <w:p w:rsidR="00B320BB" w:rsidRPr="00752FD6" w:rsidRDefault="00B320BB" w:rsidP="00B320BB">
            <w:pPr>
              <w:spacing w:before="80" w:after="80"/>
              <w:rPr>
                <w:rFonts w:ascii="Arial" w:hAnsi="Arial" w:cs="Arial"/>
                <w:sz w:val="22"/>
                <w:szCs w:val="22"/>
              </w:rPr>
            </w:pPr>
          </w:p>
        </w:tc>
      </w:tr>
    </w:tbl>
    <w:p w:rsidR="009F2B28" w:rsidRPr="00B320BB" w:rsidRDefault="009F2B28" w:rsidP="0077428E">
      <w:pPr>
        <w:rPr>
          <w:rFonts w:ascii="Arial" w:hAnsi="Arial" w:cs="Arial"/>
          <w:b/>
          <w:sz w:val="22"/>
          <w:szCs w:val="22"/>
        </w:rPr>
        <w:sectPr w:rsidR="009F2B28" w:rsidRPr="00B320BB" w:rsidSect="00DD7564">
          <w:pgSz w:w="11906" w:h="16838"/>
          <w:pgMar w:top="902" w:right="902" w:bottom="902" w:left="1077" w:header="720" w:footer="720" w:gutter="0"/>
          <w:cols w:space="720"/>
          <w:docGrid w:linePitch="360"/>
        </w:sectPr>
      </w:pPr>
    </w:p>
    <w:p w:rsidR="00636BA1" w:rsidRPr="00636BA1" w:rsidRDefault="00636BA1" w:rsidP="009F2B28">
      <w:pPr>
        <w:rPr>
          <w:rFonts w:ascii="Arial" w:eastAsia="Verdana" w:hAnsi="Arial" w:cs="Arial"/>
          <w:b/>
          <w:color w:val="000000"/>
        </w:rPr>
      </w:pPr>
      <w:r w:rsidRPr="00636BA1">
        <w:rPr>
          <w:rFonts w:ascii="Arial" w:eastAsia="Verdana" w:hAnsi="Arial" w:cs="Arial"/>
          <w:b/>
          <w:color w:val="000000"/>
        </w:rPr>
        <w:t>Appendix 1</w:t>
      </w:r>
    </w:p>
    <w:p w:rsidR="00636BA1" w:rsidRDefault="00636BA1" w:rsidP="009F2B28">
      <w:pPr>
        <w:rPr>
          <w:rFonts w:ascii="Arial" w:eastAsia="Verdana" w:hAnsi="Arial" w:cs="Arial"/>
          <w:b/>
          <w:color w:val="000000"/>
          <w:sz w:val="32"/>
        </w:rPr>
      </w:pPr>
    </w:p>
    <w:p w:rsidR="009F2B28" w:rsidRPr="009F2B28" w:rsidRDefault="009F2B28" w:rsidP="009F2B28">
      <w:pPr>
        <w:rPr>
          <w:rFonts w:ascii="Arial" w:hAnsi="Arial" w:cs="Arial"/>
          <w:b/>
        </w:rPr>
      </w:pPr>
      <w:r w:rsidRPr="00E60291">
        <w:rPr>
          <w:rFonts w:ascii="Arial" w:eastAsia="Verdana" w:hAnsi="Arial" w:cs="Arial"/>
          <w:b/>
          <w:color w:val="000000"/>
          <w:sz w:val="32"/>
        </w:rPr>
        <w:t>Assurance Framework</w:t>
      </w:r>
    </w:p>
    <w:p w:rsidR="009F2B28" w:rsidRDefault="009F2B28" w:rsidP="009F2B28">
      <w:pPr>
        <w:rPr>
          <w:rFonts w:ascii="Arial" w:eastAsia="Verdana" w:hAnsi="Arial" w:cs="Arial"/>
          <w:b/>
          <w:bCs/>
          <w:kern w:val="3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321"/>
        <w:gridCol w:w="1355"/>
        <w:gridCol w:w="1119"/>
        <w:gridCol w:w="1162"/>
        <w:gridCol w:w="1162"/>
        <w:gridCol w:w="1162"/>
        <w:gridCol w:w="1162"/>
        <w:gridCol w:w="972"/>
        <w:gridCol w:w="932"/>
        <w:gridCol w:w="1040"/>
        <w:gridCol w:w="958"/>
        <w:gridCol w:w="1628"/>
      </w:tblGrid>
      <w:tr w:rsidR="009F2B28" w:rsidTr="00382C21">
        <w:trPr>
          <w:tblHeader/>
        </w:trPr>
        <w:tc>
          <w:tcPr>
            <w:tcW w:w="114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F2B28" w:rsidRDefault="009F2B28" w:rsidP="00382C21">
            <w:r>
              <w:rPr>
                <w:rFonts w:ascii="Verdana" w:eastAsia="Verdana" w:hAnsi="Verdana" w:cs="Verdana"/>
                <w:b/>
                <w:color w:val="000000"/>
                <w:sz w:val="16"/>
              </w:rPr>
              <w:t>Current Risk Matrix</w:t>
            </w:r>
          </w:p>
        </w:tc>
        <w:tc>
          <w:tcPr>
            <w:tcW w:w="1321"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F2B28" w:rsidRDefault="009F2B28" w:rsidP="00382C21">
            <w:pPr>
              <w:rPr>
                <w:rFonts w:ascii="Verdana" w:eastAsia="Verdana" w:hAnsi="Verdana" w:cs="Verdana"/>
                <w:b/>
                <w:color w:val="000000"/>
                <w:sz w:val="16"/>
              </w:rPr>
            </w:pPr>
            <w:r>
              <w:rPr>
                <w:rFonts w:ascii="Verdana" w:eastAsia="Verdana" w:hAnsi="Verdana" w:cs="Verdana"/>
                <w:b/>
                <w:color w:val="000000"/>
                <w:sz w:val="16"/>
              </w:rPr>
              <w:t>Code &amp; Title</w:t>
            </w:r>
          </w:p>
        </w:tc>
        <w:tc>
          <w:tcPr>
            <w:tcW w:w="1355"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F2B28" w:rsidRDefault="009F2B28" w:rsidP="00382C21">
            <w:pPr>
              <w:rPr>
                <w:rFonts w:ascii="Verdana" w:eastAsia="Verdana" w:hAnsi="Verdana" w:cs="Verdana"/>
                <w:b/>
                <w:color w:val="000000"/>
                <w:sz w:val="16"/>
              </w:rPr>
            </w:pPr>
            <w:r>
              <w:rPr>
                <w:rFonts w:ascii="Verdana" w:eastAsia="Verdana" w:hAnsi="Verdana" w:cs="Verdana"/>
                <w:b/>
                <w:color w:val="000000"/>
                <w:sz w:val="16"/>
              </w:rPr>
              <w:t>Risk Description</w:t>
            </w:r>
          </w:p>
        </w:tc>
        <w:tc>
          <w:tcPr>
            <w:tcW w:w="1119"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F2B28" w:rsidRDefault="009F2B28" w:rsidP="00382C21">
            <w:pPr>
              <w:rPr>
                <w:rFonts w:ascii="Verdana" w:eastAsia="Verdana" w:hAnsi="Verdana" w:cs="Verdana"/>
                <w:b/>
                <w:color w:val="000000"/>
                <w:sz w:val="16"/>
              </w:rPr>
            </w:pPr>
            <w:r>
              <w:rPr>
                <w:rFonts w:ascii="Verdana" w:eastAsia="Verdana" w:hAnsi="Verdana" w:cs="Verdana"/>
                <w:b/>
                <w:color w:val="000000"/>
                <w:sz w:val="16"/>
              </w:rPr>
              <w:t xml:space="preserve"> Internal Controls</w:t>
            </w:r>
          </w:p>
        </w:tc>
        <w:tc>
          <w:tcPr>
            <w:tcW w:w="11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F2B28" w:rsidRDefault="009F2B28" w:rsidP="00382C21">
            <w:pPr>
              <w:rPr>
                <w:rFonts w:ascii="Verdana" w:eastAsia="Verdana" w:hAnsi="Verdana" w:cs="Verdana"/>
                <w:b/>
                <w:color w:val="000000"/>
                <w:sz w:val="16"/>
              </w:rPr>
            </w:pPr>
            <w:r>
              <w:rPr>
                <w:rFonts w:ascii="Verdana" w:eastAsia="Verdana" w:hAnsi="Verdana" w:cs="Verdana"/>
                <w:b/>
                <w:color w:val="000000"/>
                <w:sz w:val="16"/>
              </w:rPr>
              <w:t>Assurances on controls</w:t>
            </w:r>
          </w:p>
        </w:tc>
        <w:tc>
          <w:tcPr>
            <w:tcW w:w="11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F2B28" w:rsidRDefault="009F2B28" w:rsidP="00382C21">
            <w:pPr>
              <w:rPr>
                <w:rFonts w:ascii="Verdana" w:eastAsia="Verdana" w:hAnsi="Verdana" w:cs="Verdana"/>
                <w:b/>
                <w:color w:val="000000"/>
                <w:sz w:val="16"/>
              </w:rPr>
            </w:pPr>
            <w:r>
              <w:rPr>
                <w:rFonts w:ascii="Verdana" w:eastAsia="Verdana" w:hAnsi="Verdana" w:cs="Verdana"/>
                <w:b/>
                <w:color w:val="000000"/>
                <w:sz w:val="16"/>
              </w:rPr>
              <w:t>Positive assurances</w:t>
            </w:r>
          </w:p>
        </w:tc>
        <w:tc>
          <w:tcPr>
            <w:tcW w:w="11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F2B28" w:rsidRDefault="009F2B28" w:rsidP="00382C21">
            <w:pPr>
              <w:rPr>
                <w:rFonts w:ascii="Verdana" w:eastAsia="Verdana" w:hAnsi="Verdana" w:cs="Verdana"/>
                <w:b/>
                <w:color w:val="000000"/>
                <w:sz w:val="16"/>
              </w:rPr>
            </w:pPr>
            <w:r>
              <w:rPr>
                <w:rFonts w:ascii="Verdana" w:eastAsia="Verdana" w:hAnsi="Verdana" w:cs="Verdana"/>
                <w:b/>
                <w:color w:val="000000"/>
                <w:sz w:val="16"/>
              </w:rPr>
              <w:t>Gaps in controls</w:t>
            </w:r>
          </w:p>
        </w:tc>
        <w:tc>
          <w:tcPr>
            <w:tcW w:w="116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F2B28" w:rsidRDefault="009F2B28" w:rsidP="00382C21">
            <w:pPr>
              <w:rPr>
                <w:rFonts w:ascii="Verdana" w:eastAsia="Verdana" w:hAnsi="Verdana" w:cs="Verdana"/>
                <w:b/>
                <w:color w:val="000000"/>
                <w:sz w:val="16"/>
              </w:rPr>
            </w:pPr>
            <w:r>
              <w:rPr>
                <w:rFonts w:ascii="Verdana" w:eastAsia="Verdana" w:hAnsi="Verdana" w:cs="Verdana"/>
                <w:b/>
                <w:color w:val="000000"/>
                <w:sz w:val="16"/>
              </w:rPr>
              <w:t>Gaps in assurances</w:t>
            </w:r>
          </w:p>
        </w:tc>
        <w:tc>
          <w:tcPr>
            <w:tcW w:w="97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F2B28" w:rsidRDefault="009F2B28" w:rsidP="00382C21">
            <w:pPr>
              <w:rPr>
                <w:rFonts w:ascii="Verdana" w:eastAsia="Verdana" w:hAnsi="Verdana" w:cs="Verdana"/>
                <w:b/>
                <w:color w:val="000000"/>
                <w:sz w:val="16"/>
              </w:rPr>
            </w:pPr>
            <w:r>
              <w:rPr>
                <w:rFonts w:ascii="Verdana" w:eastAsia="Verdana" w:hAnsi="Verdana" w:cs="Verdana"/>
                <w:b/>
                <w:color w:val="000000"/>
                <w:sz w:val="16"/>
              </w:rPr>
              <w:t>Managed By</w:t>
            </w:r>
          </w:p>
        </w:tc>
        <w:tc>
          <w:tcPr>
            <w:tcW w:w="932"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F2B28" w:rsidRDefault="009F2B28" w:rsidP="00382C21">
            <w:pPr>
              <w:rPr>
                <w:rFonts w:ascii="Verdana" w:eastAsia="Verdana" w:hAnsi="Verdana" w:cs="Verdana"/>
                <w:b/>
                <w:color w:val="000000"/>
                <w:sz w:val="16"/>
              </w:rPr>
            </w:pPr>
            <w:r>
              <w:rPr>
                <w:rFonts w:ascii="Verdana" w:eastAsia="Verdana" w:hAnsi="Verdana" w:cs="Verdana"/>
                <w:b/>
                <w:color w:val="000000"/>
                <w:sz w:val="16"/>
              </w:rPr>
              <w:t>Assigned To</w:t>
            </w:r>
          </w:p>
        </w:tc>
        <w:tc>
          <w:tcPr>
            <w:tcW w:w="1040"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F2B28" w:rsidRDefault="009F2B28" w:rsidP="00382C21">
            <w:pPr>
              <w:rPr>
                <w:rFonts w:ascii="Verdana" w:eastAsia="Verdana" w:hAnsi="Verdana" w:cs="Verdana"/>
                <w:b/>
                <w:color w:val="000000"/>
                <w:sz w:val="16"/>
              </w:rPr>
            </w:pPr>
            <w:r>
              <w:rPr>
                <w:rFonts w:ascii="Verdana" w:eastAsia="Verdana" w:hAnsi="Verdana" w:cs="Verdana"/>
                <w:b/>
                <w:color w:val="000000"/>
                <w:sz w:val="16"/>
              </w:rPr>
              <w:t>Current Risk Score</w:t>
            </w:r>
          </w:p>
        </w:tc>
        <w:tc>
          <w:tcPr>
            <w:tcW w:w="95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F2B28" w:rsidRDefault="009F2B28" w:rsidP="00382C21">
            <w:pPr>
              <w:rPr>
                <w:rFonts w:ascii="Verdana" w:eastAsia="Verdana" w:hAnsi="Verdana" w:cs="Verdana"/>
                <w:b/>
                <w:color w:val="000000"/>
                <w:sz w:val="16"/>
              </w:rPr>
            </w:pPr>
            <w:r>
              <w:rPr>
                <w:rFonts w:ascii="Verdana" w:eastAsia="Verdana" w:hAnsi="Verdana" w:cs="Verdana"/>
                <w:b/>
                <w:color w:val="000000"/>
                <w:sz w:val="16"/>
              </w:rPr>
              <w:t>Date Risk Last Reviewed</w:t>
            </w:r>
          </w:p>
        </w:tc>
        <w:tc>
          <w:tcPr>
            <w:tcW w:w="1628" w:type="dxa"/>
            <w:tcBorders>
              <w:top w:val="single" w:sz="8" w:space="0" w:color="787878"/>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9F2B28" w:rsidRDefault="009F2B28" w:rsidP="00382C21">
            <w:pPr>
              <w:rPr>
                <w:rFonts w:ascii="Verdana" w:eastAsia="Verdana" w:hAnsi="Verdana" w:cs="Verdana"/>
                <w:b/>
                <w:color w:val="000000"/>
                <w:sz w:val="16"/>
              </w:rPr>
            </w:pPr>
            <w:r>
              <w:rPr>
                <w:rFonts w:ascii="Verdana" w:eastAsia="Verdana" w:hAnsi="Verdana" w:cs="Verdana"/>
                <w:b/>
                <w:color w:val="000000"/>
                <w:sz w:val="16"/>
              </w:rPr>
              <w:t>Latest Note</w:t>
            </w:r>
          </w:p>
        </w:tc>
      </w:tr>
      <w:tr w:rsidR="009F2B28" w:rsidTr="00382C21">
        <w:tc>
          <w:tcPr>
            <w:tcW w:w="15114" w:type="dxa"/>
            <w:gridSpan w:val="13"/>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autoSpaceDE w:val="0"/>
              <w:autoSpaceDN w:val="0"/>
              <w:adjustRightInd w:val="0"/>
              <w:rPr>
                <w:rFonts w:ascii="Verdana" w:eastAsia="Calibri" w:hAnsi="Verdana" w:cs="Arial"/>
                <w:b/>
                <w:bCs/>
                <w:i/>
                <w:sz w:val="16"/>
                <w:szCs w:val="16"/>
                <w:lang w:eastAsia="en-US"/>
              </w:rPr>
            </w:pPr>
            <w:r>
              <w:rPr>
                <w:rFonts w:ascii="Verdana" w:eastAsia="Calibri" w:hAnsi="Verdana" w:cs="Arial"/>
                <w:b/>
                <w:bCs/>
                <w:i/>
                <w:sz w:val="16"/>
                <w:szCs w:val="16"/>
                <w:lang w:eastAsia="en-US"/>
              </w:rPr>
              <w:t>Title:</w:t>
            </w:r>
          </w:p>
          <w:p w:rsidR="009F2B28" w:rsidRPr="00BA03A3" w:rsidRDefault="009F2B28" w:rsidP="00382C21">
            <w:pPr>
              <w:autoSpaceDE w:val="0"/>
              <w:autoSpaceDN w:val="0"/>
              <w:adjustRightInd w:val="0"/>
              <w:rPr>
                <w:rFonts w:ascii="Verdana" w:eastAsia="Calibri" w:hAnsi="Verdana" w:cs="Arial"/>
                <w:bCs/>
                <w:sz w:val="16"/>
                <w:szCs w:val="16"/>
                <w:lang w:eastAsia="en-US"/>
              </w:rPr>
            </w:pPr>
            <w:r w:rsidRPr="00BA03A3">
              <w:rPr>
                <w:rFonts w:ascii="Verdana" w:eastAsia="Calibri" w:hAnsi="Verdana" w:cs="Arial"/>
                <w:bCs/>
                <w:sz w:val="16"/>
                <w:szCs w:val="16"/>
                <w:lang w:eastAsia="en-US"/>
              </w:rPr>
              <w:t>Domain 1: A clinical and multi-professional focus, with quality central to the organisation</w:t>
            </w:r>
          </w:p>
        </w:tc>
      </w:tr>
      <w:tr w:rsidR="009F2B28" w:rsidTr="00382C21">
        <w:tc>
          <w:tcPr>
            <w:tcW w:w="15114" w:type="dxa"/>
            <w:gridSpan w:val="13"/>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autoSpaceDE w:val="0"/>
              <w:autoSpaceDN w:val="0"/>
              <w:adjustRightInd w:val="0"/>
              <w:rPr>
                <w:rFonts w:ascii="Verdana" w:eastAsia="Calibri" w:hAnsi="Verdana" w:cs="Arial"/>
                <w:bCs/>
                <w:sz w:val="16"/>
                <w:szCs w:val="16"/>
                <w:lang w:eastAsia="en-US"/>
              </w:rPr>
            </w:pPr>
            <w:r w:rsidRPr="00BA03A3">
              <w:rPr>
                <w:rFonts w:ascii="Verdana" w:eastAsia="Calibri" w:hAnsi="Verdana" w:cs="Arial"/>
                <w:bCs/>
                <w:sz w:val="16"/>
                <w:szCs w:val="16"/>
                <w:lang w:eastAsia="en-US"/>
              </w:rPr>
              <w:t xml:space="preserve">There are currently no risk </w:t>
            </w:r>
            <w:r>
              <w:rPr>
                <w:rFonts w:ascii="Verdana" w:eastAsia="Calibri" w:hAnsi="Verdana" w:cs="Arial"/>
                <w:bCs/>
                <w:sz w:val="16"/>
                <w:szCs w:val="16"/>
                <w:lang w:eastAsia="en-US"/>
              </w:rPr>
              <w:t>under</w:t>
            </w:r>
            <w:r w:rsidRPr="00BA03A3">
              <w:rPr>
                <w:rFonts w:ascii="Verdana" w:eastAsia="Calibri" w:hAnsi="Verdana" w:cs="Arial"/>
                <w:bCs/>
                <w:sz w:val="16"/>
                <w:szCs w:val="16"/>
                <w:lang w:eastAsia="en-US"/>
              </w:rPr>
              <w:t xml:space="preserve"> th</w:t>
            </w:r>
            <w:r>
              <w:rPr>
                <w:rFonts w:ascii="Verdana" w:eastAsia="Calibri" w:hAnsi="Verdana" w:cs="Arial"/>
                <w:bCs/>
                <w:sz w:val="16"/>
                <w:szCs w:val="16"/>
                <w:lang w:eastAsia="en-US"/>
              </w:rPr>
              <w:t>is</w:t>
            </w:r>
            <w:r w:rsidRPr="00BA03A3">
              <w:rPr>
                <w:rFonts w:ascii="Verdana" w:eastAsia="Calibri" w:hAnsi="Verdana" w:cs="Arial"/>
                <w:bCs/>
                <w:sz w:val="16"/>
                <w:szCs w:val="16"/>
                <w:lang w:eastAsia="en-US"/>
              </w:rPr>
              <w:t xml:space="preserve"> domain </w:t>
            </w:r>
          </w:p>
          <w:p w:rsidR="009F2B28" w:rsidRPr="00BA03A3" w:rsidRDefault="009F2B28" w:rsidP="00382C21">
            <w:pPr>
              <w:autoSpaceDE w:val="0"/>
              <w:autoSpaceDN w:val="0"/>
              <w:adjustRightInd w:val="0"/>
              <w:rPr>
                <w:rFonts w:ascii="Verdana" w:eastAsia="Calibri" w:hAnsi="Verdana" w:cs="Arial"/>
                <w:bCs/>
                <w:sz w:val="16"/>
                <w:szCs w:val="16"/>
                <w:lang w:eastAsia="en-US"/>
              </w:rPr>
            </w:pPr>
          </w:p>
        </w:tc>
      </w:tr>
      <w:tr w:rsidR="009F2B28" w:rsidTr="00382C21">
        <w:tc>
          <w:tcPr>
            <w:tcW w:w="15114" w:type="dxa"/>
            <w:gridSpan w:val="13"/>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Pr="00BA03A3" w:rsidRDefault="009F2B28" w:rsidP="00382C21">
            <w:pPr>
              <w:autoSpaceDE w:val="0"/>
              <w:autoSpaceDN w:val="0"/>
              <w:adjustRightInd w:val="0"/>
              <w:rPr>
                <w:rFonts w:ascii="Verdana" w:eastAsia="Calibri" w:hAnsi="Verdana" w:cs="Arial"/>
                <w:b/>
                <w:bCs/>
                <w:i/>
                <w:sz w:val="16"/>
                <w:szCs w:val="16"/>
                <w:lang w:eastAsia="en-US"/>
              </w:rPr>
            </w:pPr>
            <w:r w:rsidRPr="00BA03A3">
              <w:rPr>
                <w:rFonts w:ascii="Verdana" w:eastAsia="Calibri" w:hAnsi="Verdana" w:cs="Arial"/>
                <w:b/>
                <w:bCs/>
                <w:i/>
                <w:sz w:val="16"/>
                <w:szCs w:val="16"/>
                <w:lang w:eastAsia="en-US"/>
              </w:rPr>
              <w:t>Title:</w:t>
            </w:r>
          </w:p>
          <w:p w:rsidR="009F2B28" w:rsidRPr="00BA03A3" w:rsidRDefault="009F2B28" w:rsidP="00382C21">
            <w:pPr>
              <w:autoSpaceDE w:val="0"/>
              <w:autoSpaceDN w:val="0"/>
              <w:adjustRightInd w:val="0"/>
              <w:rPr>
                <w:rFonts w:ascii="Verdana" w:eastAsia="Calibri" w:hAnsi="Verdana" w:cs="Arial"/>
                <w:sz w:val="16"/>
                <w:szCs w:val="16"/>
                <w:lang w:eastAsia="en-US"/>
              </w:rPr>
            </w:pPr>
            <w:r w:rsidRPr="00BA03A3">
              <w:rPr>
                <w:rFonts w:ascii="Verdana" w:eastAsia="Calibri" w:hAnsi="Verdana" w:cs="Arial"/>
                <w:bCs/>
                <w:sz w:val="16"/>
                <w:szCs w:val="16"/>
                <w:lang w:eastAsia="en-US"/>
              </w:rPr>
              <w:t>Domain</w:t>
            </w:r>
            <w:r w:rsidRPr="00BA03A3">
              <w:rPr>
                <w:rFonts w:ascii="Verdana" w:eastAsia="Calibri" w:hAnsi="Verdana" w:cs="Arial"/>
                <w:bCs/>
                <w:i/>
                <w:sz w:val="16"/>
                <w:szCs w:val="16"/>
                <w:lang w:eastAsia="en-US"/>
              </w:rPr>
              <w:t xml:space="preserve"> 2</w:t>
            </w:r>
            <w:r w:rsidRPr="00BA03A3">
              <w:rPr>
                <w:rFonts w:ascii="Verdana" w:eastAsia="Calibri" w:hAnsi="Verdana" w:cs="Arial"/>
                <w:bCs/>
                <w:sz w:val="16"/>
                <w:szCs w:val="16"/>
                <w:lang w:eastAsia="en-US"/>
              </w:rPr>
              <w:t>: Good engagement with patients and the public, listening to what they say and truly reflecting their wishes</w:t>
            </w:r>
          </w:p>
          <w:p w:rsidR="009F2B28" w:rsidRPr="00BA03A3" w:rsidRDefault="009F2B28" w:rsidP="00382C21">
            <w:pPr>
              <w:rPr>
                <w:rFonts w:ascii="Verdana" w:eastAsia="Verdana" w:hAnsi="Verdana" w:cs="Verdana"/>
                <w:color w:val="000000"/>
                <w:sz w:val="16"/>
                <w:szCs w:val="16"/>
              </w:rPr>
            </w:pPr>
          </w:p>
        </w:tc>
      </w:tr>
      <w:tr w:rsidR="009F2B28" w:rsidTr="00382C21">
        <w:tc>
          <w:tcPr>
            <w:tcW w:w="114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b/>
                <w:color w:val="000000"/>
                <w:sz w:val="16"/>
              </w:rPr>
            </w:pPr>
            <w:r>
              <w:rPr>
                <w:rFonts w:ascii="Verdana" w:eastAsia="Verdana" w:hAnsi="Verdana" w:cs="Verdana"/>
                <w:noProof/>
                <w:color w:val="000000"/>
                <w:sz w:val="16"/>
              </w:rPr>
              <w:drawing>
                <wp:inline distT="0" distB="0" distL="0" distR="0" wp14:anchorId="1FF1D781" wp14:editId="1BE52152">
                  <wp:extent cx="685800" cy="666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132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CCG2001 Failure to Establish CCG Identity within local Population</w:t>
            </w:r>
          </w:p>
        </w:tc>
        <w:tc>
          <w:tcPr>
            <w:tcW w:w="135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By not establishing the CCG’s unique identity within the local community there is a risk to both the organisation’s reputation, the reputation of the NHS as a whole. Additionally there is a risk that by not establishing itself in the community it will be harder for the CCG to achieve its strategic goals </w:t>
            </w:r>
          </w:p>
        </w:tc>
        <w:tc>
          <w:tcPr>
            <w:tcW w:w="11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Regular meetings with Cathy Kennedy and Mark Webb to manage the direction of travel for the communications function and ensure it achieves the organisational goals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Pr="005511FE" w:rsidRDefault="009F2B28" w:rsidP="00382C21">
            <w:pPr>
              <w:rPr>
                <w:rFonts w:ascii="Verdana" w:eastAsia="Verdana" w:hAnsi="Verdana" w:cs="Verdana"/>
                <w:sz w:val="16"/>
              </w:rPr>
            </w:pPr>
            <w:r w:rsidRPr="006C3271">
              <w:rPr>
                <w:rFonts w:ascii="Verdana" w:eastAsia="Verdana" w:hAnsi="Verdana" w:cs="Verdana"/>
                <w:sz w:val="16"/>
              </w:rPr>
              <w:t>Establishing a formal Comms &amp; engagement stakeholder group, once finalised the plan with be monitored and agreed at the meeting</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tcPr>
          <w:p w:rsidR="009F2B28" w:rsidRPr="0005690D" w:rsidRDefault="009F2B28" w:rsidP="00382C21">
            <w:pPr>
              <w:rPr>
                <w:rFonts w:ascii="Verdana" w:hAnsi="Verdana"/>
                <w:sz w:val="16"/>
                <w:szCs w:val="16"/>
              </w:rPr>
            </w:pPr>
            <w:r w:rsidRPr="006C3271">
              <w:rPr>
                <w:rFonts w:ascii="Verdana" w:hAnsi="Verdana"/>
                <w:sz w:val="16"/>
                <w:szCs w:val="16"/>
              </w:rPr>
              <w:t>Minutes and actions from the steering group</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tcPr>
          <w:p w:rsidR="009F2B28" w:rsidRPr="0005690D" w:rsidRDefault="009F2B28" w:rsidP="00382C21">
            <w:pPr>
              <w:rPr>
                <w:rFonts w:ascii="Verdana" w:hAnsi="Verdana"/>
                <w:sz w:val="16"/>
                <w:szCs w:val="16"/>
              </w:rPr>
            </w:pPr>
            <w:r w:rsidRPr="006C3271">
              <w:rPr>
                <w:rFonts w:ascii="Verdana" w:hAnsi="Verdana"/>
                <w:sz w:val="16"/>
                <w:szCs w:val="16"/>
              </w:rPr>
              <w:t>None at present but may be identified at steering group</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tcPr>
          <w:p w:rsidR="009F2B28" w:rsidRPr="006C3271" w:rsidRDefault="009F2B28" w:rsidP="00382C21">
            <w:pPr>
              <w:rPr>
                <w:rFonts w:ascii="Verdana" w:hAnsi="Verdana"/>
                <w:sz w:val="16"/>
                <w:szCs w:val="16"/>
              </w:rPr>
            </w:pPr>
            <w:r w:rsidRPr="006C3271">
              <w:rPr>
                <w:rFonts w:ascii="Verdana" w:hAnsi="Verdana"/>
                <w:sz w:val="16"/>
                <w:szCs w:val="16"/>
              </w:rPr>
              <w:t>System in place, steering group been established, inaugural meeting held mid-Feb.</w:t>
            </w:r>
          </w:p>
        </w:tc>
        <w:tc>
          <w:tcPr>
            <w:tcW w:w="9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Cathy Kennedy</w:t>
            </w:r>
          </w:p>
        </w:tc>
        <w:tc>
          <w:tcPr>
            <w:tcW w:w="9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Iquo Ema; </w:t>
            </w:r>
          </w:p>
        </w:tc>
        <w:tc>
          <w:tcPr>
            <w:tcW w:w="104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9</w:t>
            </w:r>
          </w:p>
        </w:tc>
        <w:tc>
          <w:tcPr>
            <w:tcW w:w="95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14-Jan-2014</w:t>
            </w:r>
          </w:p>
        </w:tc>
        <w:tc>
          <w:tcPr>
            <w:tcW w:w="162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Iquo Ema - risk reviewed and updated 14 January 2014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Iquo Ema, Communications and Engagement Managed commenced 6 January 2014, replacing James Tindall. A Marketing and PR Agency has been brought on board carry out a brand redesign for NEL CCG and help undertake proactive PR for a 12 month period alongside the CSU. A Communications Plan will be developed over the next couple of months. </w:t>
            </w:r>
          </w:p>
        </w:tc>
      </w:tr>
      <w:tr w:rsidR="009F2B28" w:rsidTr="00382C21">
        <w:tc>
          <w:tcPr>
            <w:tcW w:w="15114" w:type="dxa"/>
            <w:gridSpan w:val="13"/>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Pr="00BA03A3" w:rsidRDefault="009F2B28" w:rsidP="00382C21">
            <w:pPr>
              <w:rPr>
                <w:rFonts w:ascii="Verdana" w:eastAsia="Verdana" w:hAnsi="Verdana" w:cs="Verdana"/>
                <w:b/>
                <w:i/>
                <w:color w:val="000000"/>
                <w:sz w:val="16"/>
              </w:rPr>
            </w:pPr>
            <w:r w:rsidRPr="00BA03A3">
              <w:rPr>
                <w:rFonts w:ascii="Verdana" w:eastAsia="Verdana" w:hAnsi="Verdana" w:cs="Verdana"/>
                <w:b/>
                <w:i/>
                <w:color w:val="000000"/>
                <w:sz w:val="16"/>
              </w:rPr>
              <w:t>Title:</w:t>
            </w:r>
          </w:p>
          <w:p w:rsidR="009F2B28" w:rsidRDefault="009F2B28" w:rsidP="00382C21">
            <w:pPr>
              <w:rPr>
                <w:rFonts w:ascii="Verdana" w:eastAsia="Verdana" w:hAnsi="Verdana" w:cs="Verdana"/>
                <w:color w:val="000000"/>
                <w:sz w:val="16"/>
              </w:rPr>
            </w:pPr>
            <w:r w:rsidRPr="00BA03A3">
              <w:rPr>
                <w:rFonts w:ascii="Verdana" w:eastAsia="Verdana" w:hAnsi="Verdana" w:cs="Verdana"/>
                <w:color w:val="000000"/>
                <w:sz w:val="16"/>
              </w:rPr>
              <w:t>Domain 3: A clear and credible plan over the medium-term to deliver great outcomes within budget, which has been determined in partnership locally, and reflects the priorities of the health and wellbeing strategy</w:t>
            </w:r>
          </w:p>
        </w:tc>
      </w:tr>
      <w:tr w:rsidR="00700F21" w:rsidTr="00404D59">
        <w:tc>
          <w:tcPr>
            <w:tcW w:w="114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F21" w:rsidRDefault="00700F21" w:rsidP="00382C21">
            <w:pP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403BF5C5" wp14:editId="57505C22">
                  <wp:extent cx="685800" cy="666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132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F21" w:rsidRDefault="00700F21" w:rsidP="00382C21">
            <w:pPr>
              <w:rPr>
                <w:rFonts w:ascii="Verdana" w:eastAsia="Verdana" w:hAnsi="Verdana" w:cs="Verdana"/>
                <w:color w:val="000000"/>
                <w:sz w:val="16"/>
              </w:rPr>
            </w:pPr>
            <w:r>
              <w:rPr>
                <w:rFonts w:ascii="Verdana" w:eastAsia="Verdana" w:hAnsi="Verdana" w:cs="Verdana"/>
                <w:color w:val="000000"/>
                <w:sz w:val="16"/>
              </w:rPr>
              <w:t>CCG3003 Risk that Healthy Lives, Healthy Futures will not deliver the quality and financial sustainability outcomes in the requisite timeframe</w:t>
            </w:r>
          </w:p>
        </w:tc>
        <w:tc>
          <w:tcPr>
            <w:tcW w:w="135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F21" w:rsidRDefault="00700F21" w:rsidP="00382C21">
            <w:pPr>
              <w:rPr>
                <w:rFonts w:ascii="Verdana" w:eastAsia="Verdana" w:hAnsi="Verdana" w:cs="Verdana"/>
                <w:color w:val="000000"/>
                <w:sz w:val="16"/>
              </w:rPr>
            </w:pPr>
            <w:r>
              <w:rPr>
                <w:rFonts w:ascii="Verdana" w:eastAsia="Verdana" w:hAnsi="Verdana" w:cs="Verdana"/>
                <w:color w:val="000000"/>
                <w:sz w:val="16"/>
              </w:rPr>
              <w:t xml:space="preserve">Healthy Lives, Healthy Futures is a review of all services in the Northern Lincolnshire region. The review aims to make sure the services available to people in our area will be safe and of high quality and affordable for years to come. </w:t>
            </w:r>
          </w:p>
          <w:p w:rsidR="00700F21" w:rsidRDefault="00700F21" w:rsidP="00382C21">
            <w:pPr>
              <w:rPr>
                <w:rFonts w:ascii="Verdana" w:eastAsia="Verdana" w:hAnsi="Verdana" w:cs="Verdana"/>
                <w:color w:val="000000"/>
                <w:sz w:val="16"/>
              </w:rPr>
            </w:pPr>
            <w:r>
              <w:rPr>
                <w:rFonts w:ascii="Verdana" w:eastAsia="Verdana" w:hAnsi="Verdana" w:cs="Verdana"/>
                <w:color w:val="000000"/>
                <w:sz w:val="16"/>
              </w:rPr>
              <w:t xml:space="preserve"> </w:t>
            </w:r>
          </w:p>
          <w:p w:rsidR="00700F21" w:rsidRDefault="00700F21" w:rsidP="00382C21">
            <w:pPr>
              <w:rPr>
                <w:rFonts w:ascii="Verdana" w:eastAsia="Verdana" w:hAnsi="Verdana" w:cs="Verdana"/>
                <w:color w:val="000000"/>
                <w:sz w:val="16"/>
              </w:rPr>
            </w:pPr>
            <w:r>
              <w:rPr>
                <w:rFonts w:ascii="Verdana" w:eastAsia="Verdana" w:hAnsi="Verdana" w:cs="Verdana"/>
                <w:color w:val="000000"/>
                <w:sz w:val="16"/>
              </w:rPr>
              <w:t xml:space="preserve">Healthy Lives, Healthy Futures is being led by North Lincolnshire Clinical Commissioning Group (NLCCG) and North East Lincolnshire Clinical Commissioning Group (NELCCG) working with organisations such as the Northern Lincolnshire &amp; Goole Hospitals NHS Foundation Trust and other health and social care organisations. </w:t>
            </w:r>
          </w:p>
        </w:tc>
        <w:tc>
          <w:tcPr>
            <w:tcW w:w="11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F21" w:rsidRDefault="00700F21" w:rsidP="00382C21">
            <w:pPr>
              <w:rPr>
                <w:rFonts w:ascii="Verdana" w:eastAsia="Verdana" w:hAnsi="Verdana" w:cs="Verdana"/>
                <w:color w:val="000000"/>
                <w:sz w:val="16"/>
              </w:rPr>
            </w:pPr>
            <w:r>
              <w:rPr>
                <w:rFonts w:ascii="Verdana" w:eastAsia="Verdana" w:hAnsi="Verdana" w:cs="Verdana"/>
                <w:color w:val="000000"/>
                <w:sz w:val="16"/>
              </w:rPr>
              <w:t xml:space="preserve">HLHF Programme Board </w:t>
            </w:r>
          </w:p>
          <w:p w:rsidR="00700F21" w:rsidRDefault="00700F21" w:rsidP="00382C21">
            <w:pPr>
              <w:rPr>
                <w:rFonts w:ascii="Verdana" w:eastAsia="Verdana" w:hAnsi="Verdana" w:cs="Verdana"/>
                <w:color w:val="000000"/>
                <w:sz w:val="16"/>
              </w:rPr>
            </w:pPr>
          </w:p>
          <w:p w:rsidR="00700F21" w:rsidRDefault="00700F21" w:rsidP="00382C21">
            <w:pPr>
              <w:rPr>
                <w:rFonts w:ascii="Verdana" w:eastAsia="Verdana" w:hAnsi="Verdana" w:cs="Verdana"/>
                <w:color w:val="000000"/>
                <w:sz w:val="16"/>
              </w:rPr>
            </w:pPr>
            <w:r>
              <w:rPr>
                <w:rFonts w:ascii="Verdana" w:eastAsia="Verdana" w:hAnsi="Verdana" w:cs="Verdana"/>
                <w:color w:val="000000"/>
                <w:sz w:val="16"/>
              </w:rPr>
              <w:t xml:space="preserve">Governance framework provided by HLHF programme board, engagement core group and assurance sub group in place. </w:t>
            </w:r>
          </w:p>
          <w:p w:rsidR="00700F21" w:rsidRDefault="00700F21" w:rsidP="00382C21">
            <w:pPr>
              <w:rPr>
                <w:rFonts w:ascii="Verdana" w:eastAsia="Verdana" w:hAnsi="Verdana" w:cs="Verdana"/>
                <w:color w:val="000000"/>
                <w:sz w:val="16"/>
              </w:rPr>
            </w:pPr>
          </w:p>
          <w:p w:rsidR="00700F21" w:rsidRDefault="00700F21" w:rsidP="00382C21">
            <w:pPr>
              <w:rPr>
                <w:rFonts w:ascii="Verdana" w:eastAsia="Verdana" w:hAnsi="Verdana" w:cs="Verdana"/>
                <w:color w:val="000000"/>
                <w:sz w:val="16"/>
              </w:rPr>
            </w:pPr>
            <w:r>
              <w:rPr>
                <w:rFonts w:ascii="Verdana" w:eastAsia="Verdana" w:hAnsi="Verdana" w:cs="Verdana"/>
                <w:color w:val="000000"/>
                <w:sz w:val="16"/>
              </w:rPr>
              <w:t xml:space="preserve">The HLHF Programme Board reviews progress monthly towards financial and clinical sustainability goals for Northern Lincolnshire. The Programme Board reviews the programme risk log on a monthly basis and has also established an assurance sub group to identify key areas of concern and recommend remedial action. With regards to financial sustainability the Executive group of the Programme board meets weekly virtually and receives on-going reports and assurance on the updated financial position.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F21" w:rsidRPr="00700F21" w:rsidRDefault="00700F21">
            <w:pPr>
              <w:rPr>
                <w:rFonts w:ascii="Verdana" w:eastAsiaTheme="minorHAnsi" w:hAnsi="Verdana" w:cs="Calibri"/>
                <w:bCs/>
                <w:iCs/>
                <w:sz w:val="16"/>
                <w:szCs w:val="16"/>
                <w:lang w:eastAsia="en-US"/>
              </w:rPr>
            </w:pPr>
            <w:r w:rsidRPr="00700F21">
              <w:rPr>
                <w:rFonts w:ascii="Verdana" w:hAnsi="Verdana"/>
                <w:bCs/>
                <w:iCs/>
                <w:sz w:val="16"/>
                <w:szCs w:val="16"/>
              </w:rPr>
              <w:t>Programme Board, Exec group and Assurance sub group continue to meet regularly and review risks and issues</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tcPr>
          <w:p w:rsidR="00700F21" w:rsidRPr="00700F21" w:rsidRDefault="00700F21">
            <w:pPr>
              <w:rPr>
                <w:rFonts w:ascii="Calibri" w:eastAsiaTheme="minorHAnsi" w:hAnsi="Calibri" w:cs="Calibri"/>
                <w:sz w:val="22"/>
                <w:szCs w:val="22"/>
                <w:lang w:eastAsia="en-US"/>
              </w:rPr>
            </w:pPr>
            <w:r w:rsidRPr="00700F21">
              <w:rPr>
                <w:rFonts w:ascii="Verdana" w:hAnsi="Verdana"/>
                <w:bCs/>
                <w:iCs/>
                <w:sz w:val="16"/>
                <w:szCs w:val="16"/>
              </w:rPr>
              <w:t xml:space="preserve">Engagement with area team has yielded positive comparison with other areas’ similar processes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tcPr>
          <w:p w:rsidR="00700F21" w:rsidRPr="00700F21" w:rsidRDefault="00700F21">
            <w:pPr>
              <w:rPr>
                <w:rFonts w:ascii="Calibri" w:eastAsiaTheme="minorHAnsi" w:hAnsi="Calibri" w:cs="Calibri"/>
                <w:sz w:val="22"/>
                <w:szCs w:val="22"/>
                <w:lang w:eastAsia="en-US"/>
              </w:rPr>
            </w:pPr>
            <w:r w:rsidRPr="00700F21">
              <w:rPr>
                <w:rFonts w:ascii="Verdana" w:hAnsi="Verdana"/>
                <w:bCs/>
                <w:iCs/>
                <w:sz w:val="16"/>
                <w:szCs w:val="16"/>
              </w:rPr>
              <w:t xml:space="preserve">None identified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tcPr>
          <w:p w:rsidR="00700F21" w:rsidRPr="00700F21" w:rsidRDefault="00700F21">
            <w:pPr>
              <w:rPr>
                <w:rFonts w:ascii="Calibri" w:eastAsiaTheme="minorHAnsi" w:hAnsi="Calibri" w:cs="Calibri"/>
                <w:sz w:val="22"/>
                <w:szCs w:val="22"/>
                <w:lang w:eastAsia="en-US"/>
              </w:rPr>
            </w:pPr>
            <w:r w:rsidRPr="00700F21">
              <w:rPr>
                <w:rFonts w:ascii="Verdana" w:hAnsi="Verdana"/>
                <w:bCs/>
                <w:iCs/>
                <w:sz w:val="16"/>
                <w:szCs w:val="16"/>
              </w:rPr>
              <w:t xml:space="preserve">None identified </w:t>
            </w:r>
          </w:p>
        </w:tc>
        <w:tc>
          <w:tcPr>
            <w:tcW w:w="9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F21" w:rsidRDefault="00700F21" w:rsidP="00382C21">
            <w:pPr>
              <w:rPr>
                <w:rFonts w:ascii="Verdana" w:eastAsia="Verdana" w:hAnsi="Verdana" w:cs="Verdana"/>
                <w:color w:val="000000"/>
                <w:sz w:val="16"/>
              </w:rPr>
            </w:pPr>
            <w:r>
              <w:rPr>
                <w:rFonts w:ascii="Verdana" w:eastAsia="Verdana" w:hAnsi="Verdana" w:cs="Verdana"/>
                <w:color w:val="000000"/>
                <w:sz w:val="16"/>
              </w:rPr>
              <w:t>Lisa Hilder</w:t>
            </w:r>
          </w:p>
        </w:tc>
        <w:tc>
          <w:tcPr>
            <w:tcW w:w="9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F21" w:rsidRDefault="00700F21" w:rsidP="00382C21">
            <w:pPr>
              <w:rPr>
                <w:rFonts w:ascii="Verdana" w:eastAsia="Verdana" w:hAnsi="Verdana" w:cs="Verdana"/>
                <w:color w:val="000000"/>
                <w:sz w:val="16"/>
              </w:rPr>
            </w:pPr>
            <w:r>
              <w:rPr>
                <w:rFonts w:ascii="Verdana" w:eastAsia="Verdana" w:hAnsi="Verdana" w:cs="Verdana"/>
                <w:color w:val="000000"/>
                <w:sz w:val="16"/>
              </w:rPr>
              <w:t>Lisa Hilder</w:t>
            </w:r>
          </w:p>
        </w:tc>
        <w:tc>
          <w:tcPr>
            <w:tcW w:w="104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F21" w:rsidRDefault="00700F21" w:rsidP="00382C21">
            <w:pPr>
              <w:rPr>
                <w:rFonts w:ascii="Verdana" w:eastAsia="Verdana" w:hAnsi="Verdana" w:cs="Verdana"/>
                <w:color w:val="000000"/>
                <w:sz w:val="16"/>
              </w:rPr>
            </w:pPr>
            <w:r>
              <w:rPr>
                <w:rFonts w:ascii="Verdana" w:eastAsia="Verdana" w:hAnsi="Verdana" w:cs="Verdana"/>
                <w:color w:val="000000"/>
                <w:sz w:val="16"/>
              </w:rPr>
              <w:t>16</w:t>
            </w:r>
          </w:p>
        </w:tc>
        <w:tc>
          <w:tcPr>
            <w:tcW w:w="95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F21" w:rsidRDefault="00700F21" w:rsidP="00382C21">
            <w:pPr>
              <w:rPr>
                <w:rFonts w:ascii="Verdana" w:eastAsia="Verdana" w:hAnsi="Verdana" w:cs="Verdana"/>
                <w:color w:val="000000"/>
                <w:sz w:val="16"/>
              </w:rPr>
            </w:pPr>
            <w:r>
              <w:rPr>
                <w:rFonts w:ascii="Verdana" w:eastAsia="Verdana" w:hAnsi="Verdana" w:cs="Verdana"/>
                <w:color w:val="000000"/>
                <w:sz w:val="16"/>
              </w:rPr>
              <w:t>29-Jan-2014</w:t>
            </w:r>
          </w:p>
        </w:tc>
        <w:tc>
          <w:tcPr>
            <w:tcW w:w="162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700F21" w:rsidRDefault="00700F21" w:rsidP="00382C21">
            <w:pPr>
              <w:rPr>
                <w:rFonts w:ascii="Verdana" w:eastAsia="Verdana" w:hAnsi="Verdana" w:cs="Verdana"/>
                <w:color w:val="000000"/>
                <w:sz w:val="16"/>
              </w:rPr>
            </w:pPr>
            <w:r>
              <w:rPr>
                <w:rFonts w:ascii="Verdana" w:eastAsia="Verdana" w:hAnsi="Verdana" w:cs="Verdana"/>
                <w:color w:val="000000"/>
                <w:sz w:val="16"/>
              </w:rPr>
              <w:t xml:space="preserve">Lisa Hilder - risk reviewed and updated 29 January 2014 as follows: </w:t>
            </w:r>
          </w:p>
          <w:p w:rsidR="00700F21" w:rsidRDefault="00700F21" w:rsidP="00382C21">
            <w:pPr>
              <w:rPr>
                <w:rFonts w:ascii="Verdana" w:eastAsia="Verdana" w:hAnsi="Verdana" w:cs="Verdana"/>
                <w:color w:val="000000"/>
                <w:sz w:val="16"/>
              </w:rPr>
            </w:pPr>
          </w:p>
          <w:p w:rsidR="00700F21" w:rsidRDefault="00700F21" w:rsidP="00382C21">
            <w:pPr>
              <w:rPr>
                <w:rFonts w:ascii="Verdana" w:eastAsia="Verdana" w:hAnsi="Verdana" w:cs="Verdana"/>
                <w:color w:val="000000"/>
                <w:sz w:val="16"/>
              </w:rPr>
            </w:pPr>
            <w:r>
              <w:rPr>
                <w:rFonts w:ascii="Verdana" w:eastAsia="Verdana" w:hAnsi="Verdana" w:cs="Verdana"/>
                <w:color w:val="000000"/>
                <w:sz w:val="16"/>
              </w:rPr>
              <w:t xml:space="preserve">Key Service redesigns requiring public consultation (Paediatric Surgery, ENT, Stroke and Urgent Care) have been identified and feature clearly in the second phase of engagement activity due to commence imminently. Current modelling suggests progress towards the overall financial goals, however work is </w:t>
            </w:r>
            <w:proofErr w:type="spellStart"/>
            <w:r>
              <w:rPr>
                <w:rFonts w:ascii="Verdana" w:eastAsia="Verdana" w:hAnsi="Verdana" w:cs="Verdana"/>
                <w:color w:val="000000"/>
                <w:sz w:val="16"/>
              </w:rPr>
              <w:t>ongoing</w:t>
            </w:r>
            <w:proofErr w:type="spellEnd"/>
            <w:r>
              <w:rPr>
                <w:rFonts w:ascii="Verdana" w:eastAsia="Verdana" w:hAnsi="Verdana" w:cs="Verdana"/>
                <w:color w:val="000000"/>
                <w:sz w:val="16"/>
              </w:rPr>
              <w:t xml:space="preserve"> to verify the scope and impact of identified proposals and then any residual gaps. </w:t>
            </w:r>
          </w:p>
        </w:tc>
      </w:tr>
      <w:tr w:rsidR="009F2B28" w:rsidTr="00382C21">
        <w:tc>
          <w:tcPr>
            <w:tcW w:w="114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261526F3" wp14:editId="1483FCC4">
                  <wp:extent cx="685800"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132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CCG3005 Instability in partnership finances or services/costs leads to unaffordable consequences for members of the health care system</w:t>
            </w:r>
          </w:p>
        </w:tc>
        <w:tc>
          <w:tcPr>
            <w:tcW w:w="135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QIPP 16. Efficiencies within Public Health; 17. Efficiencies within the Children's Trust contract. Instability in partnership finances or services/costs leads to unaffordable consequences for member of the health care system </w:t>
            </w:r>
          </w:p>
        </w:tc>
        <w:tc>
          <w:tcPr>
            <w:tcW w:w="11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16/07/13: NELC have established an outcome review process engaging the CCG to meet £7-9million cost reduction target for ASC </w:t>
            </w:r>
          </w:p>
          <w:p w:rsidR="009F2B28" w:rsidRDefault="009F2B28" w:rsidP="00382C21">
            <w:pPr>
              <w:rPr>
                <w:rFonts w:ascii="Verdana" w:eastAsia="Verdana" w:hAnsi="Verdana" w:cs="Verdana"/>
                <w:color w:val="000000"/>
                <w:sz w:val="16"/>
              </w:rPr>
            </w:pP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01/04/11: 3 Year financial plan agreed in principle, joint work and processes to assess risks and agree recovery plans. Financial risk management arrangement in place.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Routine financial reports to partnership board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Delivery Assurance Committee scrutiny of financial plan delivery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Partnership funding discussions at partnership board workshop(s)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Integrated Governance &amp; Audit (IG&amp;A) review of key risks and actions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Medium Term Financial Plan reports to IG&amp;A and board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Internal audit plan is risk -based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None identified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None identified </w:t>
            </w:r>
          </w:p>
        </w:tc>
        <w:tc>
          <w:tcPr>
            <w:tcW w:w="9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Cathy Kennedy</w:t>
            </w:r>
          </w:p>
        </w:tc>
        <w:tc>
          <w:tcPr>
            <w:tcW w:w="9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Cathy Kennedy</w:t>
            </w:r>
          </w:p>
        </w:tc>
        <w:tc>
          <w:tcPr>
            <w:tcW w:w="104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12</w:t>
            </w:r>
          </w:p>
        </w:tc>
        <w:tc>
          <w:tcPr>
            <w:tcW w:w="95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17-Feb-2014</w:t>
            </w:r>
          </w:p>
        </w:tc>
        <w:tc>
          <w:tcPr>
            <w:tcW w:w="162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Cathy Kennedy – risk reviewed and updated 17 Feb 2014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Impact reduced from 5 to 4 due to agreement of ASC savings plans and Better Care Fund </w:t>
            </w:r>
          </w:p>
        </w:tc>
      </w:tr>
      <w:tr w:rsidR="009F2B28" w:rsidTr="00382C21">
        <w:tc>
          <w:tcPr>
            <w:tcW w:w="114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0C39204B" wp14:editId="06989DC3">
                  <wp:extent cx="685800" cy="666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132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CCG3008 Financial challenges</w:t>
            </w:r>
          </w:p>
        </w:tc>
        <w:tc>
          <w:tcPr>
            <w:tcW w:w="135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Risk that the CCG could face financial challenges (i.e. Fail to deliver a balanced budget or there is a funding gap) and therefore does not achieve statutory financial obligations  Particular issue at this time due to uncertainties in NHS transition/allocations and NELC (social care) funding pressures </w:t>
            </w:r>
          </w:p>
        </w:tc>
        <w:tc>
          <w:tcPr>
            <w:tcW w:w="11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17 May 13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Within the CCG the IG&amp;A committee assures management of financial risk </w:t>
            </w:r>
          </w:p>
          <w:p w:rsidR="009F2B28" w:rsidRDefault="009F2B28" w:rsidP="00382C21">
            <w:pPr>
              <w:rPr>
                <w:rFonts w:ascii="Verdana" w:eastAsia="Verdana" w:hAnsi="Verdana" w:cs="Verdana"/>
                <w:color w:val="000000"/>
                <w:sz w:val="16"/>
              </w:rPr>
            </w:pP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Regular meetings for Executive Directors for CCG/LA to monitor position.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Routine financial reports to partnership board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Delivery Assurance Committee scrutiny of financial plan delivery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Integrated Governance &amp; Audit (IG&amp;A) review of key risks and actions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Medium Term Financial Plan reports to IG&amp;A and board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Internal audit plan is risk -based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None identified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None identified </w:t>
            </w:r>
          </w:p>
        </w:tc>
        <w:tc>
          <w:tcPr>
            <w:tcW w:w="9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Cathy Kennedy</w:t>
            </w:r>
          </w:p>
        </w:tc>
        <w:tc>
          <w:tcPr>
            <w:tcW w:w="9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Cathy Kennedy</w:t>
            </w:r>
          </w:p>
        </w:tc>
        <w:tc>
          <w:tcPr>
            <w:tcW w:w="104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8</w:t>
            </w:r>
          </w:p>
        </w:tc>
        <w:tc>
          <w:tcPr>
            <w:tcW w:w="95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16-Jan-2014</w:t>
            </w:r>
          </w:p>
        </w:tc>
        <w:tc>
          <w:tcPr>
            <w:tcW w:w="162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Cathy Kennedy - Risk reviewed and updated 16 January 2014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Likelihood reduced from 4 to 2 for 13/14 because we have 9 months information available </w:t>
            </w:r>
          </w:p>
        </w:tc>
      </w:tr>
      <w:tr w:rsidR="009F2B28" w:rsidTr="00382C21">
        <w:tc>
          <w:tcPr>
            <w:tcW w:w="15114" w:type="dxa"/>
            <w:gridSpan w:val="13"/>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Pr="00BA03A3" w:rsidRDefault="009F2B28" w:rsidP="00382C21">
            <w:pPr>
              <w:rPr>
                <w:rFonts w:ascii="Verdana" w:eastAsia="Verdana" w:hAnsi="Verdana" w:cs="Verdana"/>
                <w:b/>
                <w:i/>
                <w:color w:val="000000"/>
                <w:sz w:val="16"/>
              </w:rPr>
            </w:pPr>
            <w:r w:rsidRPr="00BA03A3">
              <w:rPr>
                <w:rFonts w:ascii="Verdana" w:eastAsia="Verdana" w:hAnsi="Verdana" w:cs="Verdana"/>
                <w:b/>
                <w:i/>
                <w:color w:val="000000"/>
                <w:sz w:val="16"/>
              </w:rPr>
              <w:t>Title:</w:t>
            </w:r>
          </w:p>
          <w:p w:rsidR="009F2B28" w:rsidRDefault="009F2B28" w:rsidP="00382C21">
            <w:pPr>
              <w:rPr>
                <w:rFonts w:ascii="Verdana" w:eastAsia="Verdana" w:hAnsi="Verdana" w:cs="Verdana"/>
                <w:color w:val="000000"/>
                <w:sz w:val="16"/>
              </w:rPr>
            </w:pPr>
            <w:r w:rsidRPr="00BA03A3">
              <w:rPr>
                <w:rFonts w:ascii="Verdana" w:eastAsia="Verdana" w:hAnsi="Verdana" w:cs="Verdana"/>
                <w:color w:val="000000"/>
                <w:sz w:val="16"/>
              </w:rPr>
              <w:t xml:space="preserve">Domain 4: Proper constitutional and governance arrangements, and the capacity and capability to deliver all their duties and responsibilities </w:t>
            </w:r>
          </w:p>
        </w:tc>
      </w:tr>
      <w:tr w:rsidR="009F2B28" w:rsidTr="00382C21">
        <w:tc>
          <w:tcPr>
            <w:tcW w:w="114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78C8C9C4" wp14:editId="49F16E4C">
                  <wp:extent cx="685800" cy="66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132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CCG4001 Possible reduction in performance</w:t>
            </w:r>
          </w:p>
        </w:tc>
        <w:tc>
          <w:tcPr>
            <w:tcW w:w="135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Possibility of being unable to maintain performance and delivery whilst establishing the new statutory organisation </w:t>
            </w:r>
          </w:p>
        </w:tc>
        <w:tc>
          <w:tcPr>
            <w:tcW w:w="11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Delivery Assurance Committee meets regularly to discuss all elements of performance including provider performance. Regular reports to the Governing Body on escalated items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Regular reporting in to performance leads so that they can take action where appropriate to resolve issues and regular contract meetings with providers to ensure that performance issues are raised and assurance is received on actions being taken.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Regular reporting in to the Delivery Assurance Committee and Partnership Board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None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None </w:t>
            </w:r>
          </w:p>
        </w:tc>
        <w:tc>
          <w:tcPr>
            <w:tcW w:w="9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Cathy Kennedy</w:t>
            </w:r>
          </w:p>
        </w:tc>
        <w:tc>
          <w:tcPr>
            <w:tcW w:w="9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Martin (SU) Rabbetts</w:t>
            </w:r>
          </w:p>
        </w:tc>
        <w:tc>
          <w:tcPr>
            <w:tcW w:w="104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16</w:t>
            </w:r>
          </w:p>
        </w:tc>
        <w:tc>
          <w:tcPr>
            <w:tcW w:w="95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13-Feb-2014</w:t>
            </w:r>
          </w:p>
        </w:tc>
        <w:tc>
          <w:tcPr>
            <w:tcW w:w="162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Martin Rabbetts - 13 February 2014, risk reviewed, no changes noted </w:t>
            </w:r>
          </w:p>
        </w:tc>
      </w:tr>
      <w:tr w:rsidR="009F2B28" w:rsidTr="00382C21">
        <w:tc>
          <w:tcPr>
            <w:tcW w:w="114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455A891D" wp14:editId="3D4B06CF">
                  <wp:extent cx="685800" cy="66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132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CCG4004 Recruitment, retention and succession planning</w:t>
            </w:r>
          </w:p>
        </w:tc>
        <w:tc>
          <w:tcPr>
            <w:tcW w:w="135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Risk that the organisation is unable to recruit, retain and succession plan (re. leadership and HQ) to maintain the capacity and capability required to deliver its functions and meets its priorities </w:t>
            </w:r>
          </w:p>
        </w:tc>
        <w:tc>
          <w:tcPr>
            <w:tcW w:w="11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Clinical leadership development and succession planning overseen by Chair and Chief Clinical Officer. Personal objective and PDP system in place and overseen by Deputy Chief Executives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Ability to recruit to key roles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Corporate business plan delivery is monitored by Delivery Assurance committee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Routine Workforce report on IG&amp;A agenda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Actions included in OD plan and corporate business plan.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CE and Chair assure PDP system is in place for board and senior executives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Appraisal policy in place, delivery monitored by Workforce Team and Corporate Management Meeting (CMM)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None identified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None identified </w:t>
            </w:r>
          </w:p>
        </w:tc>
        <w:tc>
          <w:tcPr>
            <w:tcW w:w="9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Peter Melton</w:t>
            </w:r>
          </w:p>
        </w:tc>
        <w:tc>
          <w:tcPr>
            <w:tcW w:w="9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Cathy Kennedy</w:t>
            </w:r>
          </w:p>
        </w:tc>
        <w:tc>
          <w:tcPr>
            <w:tcW w:w="104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8</w:t>
            </w:r>
          </w:p>
        </w:tc>
        <w:tc>
          <w:tcPr>
            <w:tcW w:w="95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16-Jan-2014</w:t>
            </w:r>
          </w:p>
        </w:tc>
        <w:tc>
          <w:tcPr>
            <w:tcW w:w="162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Cathy Kennedy - risk reviewed and updated 16 January 2014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Likelihood reduced from 3 to 2 due to CoM vice chair and quality/</w:t>
            </w:r>
            <w:proofErr w:type="spellStart"/>
            <w:r>
              <w:rPr>
                <w:rFonts w:ascii="Verdana" w:eastAsia="Verdana" w:hAnsi="Verdana" w:cs="Verdana"/>
                <w:color w:val="000000"/>
                <w:sz w:val="16"/>
              </w:rPr>
              <w:t>caldicott</w:t>
            </w:r>
            <w:proofErr w:type="spellEnd"/>
            <w:r>
              <w:rPr>
                <w:rFonts w:ascii="Verdana" w:eastAsia="Verdana" w:hAnsi="Verdana" w:cs="Verdana"/>
                <w:color w:val="000000"/>
                <w:sz w:val="16"/>
              </w:rPr>
              <w:t xml:space="preserve"> lead appointments </w:t>
            </w:r>
          </w:p>
        </w:tc>
      </w:tr>
      <w:tr w:rsidR="009F2B28" w:rsidTr="00382C21">
        <w:tc>
          <w:tcPr>
            <w:tcW w:w="114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00CB019C" wp14:editId="070969BC">
                  <wp:extent cx="68580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132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CCG4006 Potential conflict of interest compromises planning process</w:t>
            </w:r>
          </w:p>
        </w:tc>
        <w:tc>
          <w:tcPr>
            <w:tcW w:w="135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Reputational, legal and/or regulatory risk if decisions are seen to be compromised by conflicts of interest. Main risk relates to GP member involvement in service planning and/or procurements. </w:t>
            </w:r>
          </w:p>
        </w:tc>
        <w:tc>
          <w:tcPr>
            <w:tcW w:w="11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Constitution/process that ensures transparency and openness and develop an open and honest culture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Constitution, Conflicts of Interest policy, and Procurement policy approved and available on website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Internal audit review of arrangements for managing conflicts of interest showed ‘Significant assurance’ in place in 2013/14. Follow up on the reports action plan will occur in 2014/15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Internal audit report identified a small number of actions to be taken – none were rated ‘significant’.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None identified </w:t>
            </w:r>
          </w:p>
        </w:tc>
        <w:tc>
          <w:tcPr>
            <w:tcW w:w="9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Cathy Kennedy</w:t>
            </w:r>
          </w:p>
        </w:tc>
        <w:tc>
          <w:tcPr>
            <w:tcW w:w="9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Cathy Kennedy</w:t>
            </w:r>
          </w:p>
        </w:tc>
        <w:tc>
          <w:tcPr>
            <w:tcW w:w="104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8</w:t>
            </w:r>
          </w:p>
        </w:tc>
        <w:tc>
          <w:tcPr>
            <w:tcW w:w="95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17-Feb-2014</w:t>
            </w:r>
          </w:p>
        </w:tc>
        <w:tc>
          <w:tcPr>
            <w:tcW w:w="162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Cathy Kennedy – risk reviewed and updated February 2014 </w:t>
            </w:r>
          </w:p>
          <w:p w:rsidR="009F2B28" w:rsidRDefault="009F2B28" w:rsidP="00382C21">
            <w:pPr>
              <w:rPr>
                <w:rFonts w:ascii="Verdana" w:eastAsia="Verdana" w:hAnsi="Verdana" w:cs="Verdana"/>
                <w:color w:val="000000"/>
                <w:sz w:val="16"/>
              </w:rPr>
            </w:pPr>
            <w:proofErr w:type="gramStart"/>
            <w:r>
              <w:rPr>
                <w:rFonts w:ascii="Verdana" w:eastAsia="Verdana" w:hAnsi="Verdana" w:cs="Verdana"/>
                <w:color w:val="000000"/>
                <w:sz w:val="16"/>
              </w:rPr>
              <w:t>internal</w:t>
            </w:r>
            <w:proofErr w:type="gramEnd"/>
            <w:r>
              <w:rPr>
                <w:rFonts w:ascii="Verdana" w:eastAsia="Verdana" w:hAnsi="Verdana" w:cs="Verdana"/>
                <w:color w:val="000000"/>
                <w:sz w:val="16"/>
              </w:rPr>
              <w:t xml:space="preserve"> audit report shows ‘significant assurance’. </w:t>
            </w:r>
          </w:p>
        </w:tc>
      </w:tr>
      <w:tr w:rsidR="009F2B28" w:rsidTr="00382C21">
        <w:tc>
          <w:tcPr>
            <w:tcW w:w="114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5B8B167F" wp14:editId="01EAF2B6">
                  <wp:extent cx="68580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132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CCG4007 Failure to meet nationally laid out deadlines for contract development and sign off as a result of transition turbulence in the health system</w:t>
            </w:r>
          </w:p>
        </w:tc>
        <w:tc>
          <w:tcPr>
            <w:tcW w:w="135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Whole scale system change could result in tardiness of contract development and sign off, placing the CCG at disadvantage </w:t>
            </w:r>
          </w:p>
        </w:tc>
        <w:tc>
          <w:tcPr>
            <w:tcW w:w="11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On-going regular discussions with the Local Area Team provide a mechanism for timely information dissemination around system change and financial allocations update  This is internally disseminated through CMM and the LIP core group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Pr="00044E50" w:rsidRDefault="009F2B28" w:rsidP="00382C21">
            <w:pPr>
              <w:rPr>
                <w:rFonts w:ascii="Verdana" w:hAnsi="Verdana"/>
                <w:sz w:val="16"/>
                <w:szCs w:val="16"/>
              </w:rPr>
            </w:pPr>
            <w:r w:rsidRPr="00044E50">
              <w:rPr>
                <w:rFonts w:ascii="Verdana" w:hAnsi="Verdana"/>
                <w:sz w:val="16"/>
                <w:szCs w:val="16"/>
              </w:rPr>
              <w:t>Regular contract update meetings with the Area Team which includes all CCGs</w:t>
            </w:r>
          </w:p>
          <w:p w:rsidR="009F2B28" w:rsidRPr="00044E50" w:rsidRDefault="009F2B28" w:rsidP="00382C21">
            <w:pPr>
              <w:rPr>
                <w:rFonts w:ascii="Verdana" w:hAnsi="Verdana"/>
                <w:sz w:val="16"/>
                <w:szCs w:val="16"/>
              </w:rPr>
            </w:pPr>
          </w:p>
          <w:p w:rsidR="009F2B28" w:rsidRDefault="009F2B28" w:rsidP="00382C21">
            <w:pPr>
              <w:rPr>
                <w:rFonts w:ascii="Verdana" w:eastAsia="Verdana" w:hAnsi="Verdana" w:cs="Verdana"/>
                <w:color w:val="000000"/>
                <w:sz w:val="16"/>
              </w:rPr>
            </w:pPr>
            <w:r w:rsidRPr="00044E50">
              <w:rPr>
                <w:rFonts w:ascii="Verdana" w:hAnsi="Verdana"/>
                <w:sz w:val="16"/>
                <w:szCs w:val="16"/>
              </w:rPr>
              <w:t>Regular updates via the patch wide CFO meetings which take place monthly</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Pr="00044E50" w:rsidRDefault="009F2B28" w:rsidP="00382C21">
            <w:pPr>
              <w:rPr>
                <w:rFonts w:ascii="Verdana" w:hAnsi="Verdana"/>
                <w:sz w:val="16"/>
                <w:szCs w:val="16"/>
              </w:rPr>
            </w:pPr>
            <w:r w:rsidRPr="00044E50">
              <w:rPr>
                <w:rFonts w:ascii="Verdana" w:hAnsi="Verdana"/>
                <w:sz w:val="16"/>
                <w:szCs w:val="16"/>
              </w:rPr>
              <w:t>2014/15 allocations confirmed</w:t>
            </w:r>
          </w:p>
          <w:p w:rsidR="009F2B28" w:rsidRPr="00044E50" w:rsidRDefault="009F2B28" w:rsidP="00382C21">
            <w:pPr>
              <w:rPr>
                <w:rFonts w:ascii="Verdana" w:hAnsi="Verdana"/>
                <w:sz w:val="16"/>
                <w:szCs w:val="16"/>
              </w:rPr>
            </w:pPr>
          </w:p>
          <w:p w:rsidR="009F2B28" w:rsidRDefault="009F2B28" w:rsidP="00382C21">
            <w:pPr>
              <w:rPr>
                <w:rFonts w:ascii="Verdana" w:eastAsia="Verdana" w:hAnsi="Verdana" w:cs="Verdana"/>
                <w:color w:val="000000"/>
                <w:sz w:val="16"/>
              </w:rPr>
            </w:pPr>
            <w:r w:rsidRPr="00044E50">
              <w:rPr>
                <w:rFonts w:ascii="Verdana" w:hAnsi="Verdana"/>
                <w:sz w:val="16"/>
                <w:szCs w:val="16"/>
              </w:rPr>
              <w:t>CCG/SCG approach to</w:t>
            </w:r>
            <w:r>
              <w:rPr>
                <w:rFonts w:ascii="Verdana" w:hAnsi="Verdana"/>
                <w:sz w:val="16"/>
                <w:szCs w:val="16"/>
              </w:rPr>
              <w:t xml:space="preserve"> be</w:t>
            </w:r>
            <w:r w:rsidRPr="00044E50">
              <w:rPr>
                <w:rFonts w:ascii="Verdana" w:hAnsi="Verdana"/>
                <w:sz w:val="16"/>
                <w:szCs w:val="16"/>
              </w:rPr>
              <w:t xml:space="preserve"> agreed with regard to the 2013/14 outturn</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None identified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None identified</w:t>
            </w:r>
          </w:p>
        </w:tc>
        <w:tc>
          <w:tcPr>
            <w:tcW w:w="9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Helen Kenyon</w:t>
            </w:r>
          </w:p>
        </w:tc>
        <w:tc>
          <w:tcPr>
            <w:tcW w:w="9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Laura Whitton</w:t>
            </w:r>
          </w:p>
        </w:tc>
        <w:tc>
          <w:tcPr>
            <w:tcW w:w="104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6</w:t>
            </w:r>
          </w:p>
        </w:tc>
        <w:tc>
          <w:tcPr>
            <w:tcW w:w="95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11-Dec-2013</w:t>
            </w:r>
          </w:p>
        </w:tc>
        <w:tc>
          <w:tcPr>
            <w:tcW w:w="162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Laura Whitton - risk reviewed and updated 11 December 2013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Likelihood reduced from 3 to 2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Final discussions taking place across patch, but no adjustments to be made in 13/14. Small risk that there will be an adjustment in 14/15. </w:t>
            </w:r>
          </w:p>
        </w:tc>
      </w:tr>
      <w:tr w:rsidR="009F2B28" w:rsidTr="00382C21">
        <w:tc>
          <w:tcPr>
            <w:tcW w:w="15114" w:type="dxa"/>
            <w:gridSpan w:val="13"/>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Pr="00BA03A3" w:rsidRDefault="009F2B28" w:rsidP="00382C21">
            <w:pPr>
              <w:rPr>
                <w:rFonts w:ascii="Verdana" w:eastAsia="Verdana" w:hAnsi="Verdana" w:cs="Verdana"/>
                <w:b/>
                <w:i/>
                <w:color w:val="000000"/>
                <w:sz w:val="16"/>
              </w:rPr>
            </w:pPr>
            <w:r w:rsidRPr="00BA03A3">
              <w:rPr>
                <w:rFonts w:ascii="Verdana" w:eastAsia="Verdana" w:hAnsi="Verdana" w:cs="Verdana"/>
                <w:b/>
                <w:i/>
                <w:color w:val="000000"/>
                <w:sz w:val="16"/>
              </w:rPr>
              <w:t>Title:</w:t>
            </w:r>
          </w:p>
          <w:p w:rsidR="009F2B28" w:rsidRDefault="009F2B28" w:rsidP="00382C21">
            <w:pPr>
              <w:rPr>
                <w:rFonts w:ascii="Verdana" w:eastAsia="Verdana" w:hAnsi="Verdana" w:cs="Verdana"/>
                <w:color w:val="000000"/>
                <w:sz w:val="16"/>
              </w:rPr>
            </w:pPr>
            <w:r w:rsidRPr="00BA03A3">
              <w:rPr>
                <w:rFonts w:ascii="Verdana" w:eastAsia="Verdana" w:hAnsi="Verdana" w:cs="Verdana"/>
                <w:color w:val="000000"/>
                <w:sz w:val="16"/>
              </w:rPr>
              <w:t>Domain 5: Collaborative arrangements with other CCGs, local authorities and NHS England, appropriate commissioning support and good partnership relationships with their providers</w:t>
            </w:r>
          </w:p>
        </w:tc>
      </w:tr>
      <w:tr w:rsidR="009F2B28" w:rsidTr="00382C21">
        <w:tc>
          <w:tcPr>
            <w:tcW w:w="114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6488E846" wp14:editId="7343C208">
                  <wp:extent cx="68580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132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CCG5002 Summary Hospital Mortality Indicator (SHMI) Organisational Risk</w:t>
            </w:r>
          </w:p>
        </w:tc>
        <w:tc>
          <w:tcPr>
            <w:tcW w:w="135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The Summary Hospital-level Mortality Indicator (SHMI) reports on mortality at trust level across the NHS in England. This indicator is produced and published quarterly as an experimental official statistic by the Health and Social Care Information Centre (HSCIC). On February 6 2013, the Prime Minister announced that he had asked Professor Sir Bruce Keogh, NHS Medical Director for England, to review the quality of care and treatment provided by those NHS trusts and NHS foundation trusts that are persistent outliers on mortality indicators. NL&amp;G Hospital Trust formed part of this review. </w:t>
            </w:r>
          </w:p>
        </w:tc>
        <w:tc>
          <w:tcPr>
            <w:tcW w:w="11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A Northern Lincolnshire Mortality Stakeholder Group has been established to oversee the release of information into the public domain and to oversee the delivery of the associated action plan and communications plan. Progress monitored via the NL&amp;G Contract Board.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Pr="001F2269" w:rsidRDefault="009F2B28" w:rsidP="00382C21">
            <w:pPr>
              <w:rPr>
                <w:rFonts w:ascii="Verdana" w:eastAsia="Verdana" w:hAnsi="Verdana" w:cs="Verdana"/>
                <w:color w:val="000000"/>
                <w:sz w:val="16"/>
              </w:rPr>
            </w:pPr>
            <w:r w:rsidRPr="001F2269">
              <w:rPr>
                <w:rFonts w:ascii="Verdana" w:eastAsia="Verdana" w:hAnsi="Verdana" w:cs="Verdana"/>
                <w:color w:val="000000"/>
                <w:sz w:val="16"/>
              </w:rPr>
              <w:t>The latest SHMI data indicates that the current position is now within the “expiated range”</w:t>
            </w:r>
          </w:p>
          <w:p w:rsidR="009F2B28" w:rsidRDefault="009F2B28" w:rsidP="00382C21">
            <w:pPr>
              <w:rPr>
                <w:rFonts w:ascii="Verdana" w:eastAsia="Verdana" w:hAnsi="Verdana" w:cs="Verdana"/>
                <w:color w:val="000000"/>
                <w:sz w:val="16"/>
              </w:rPr>
            </w:pP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A paper was taken to the Partnership Board on Thurs 9/1/14 which outlined where the Acute Trust are in terms of Keogh.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The Trust has an on-going action plan in relation to Keogh and the latest plan was attached to the partnership Board paper to raise </w:t>
            </w:r>
            <w:proofErr w:type="gramStart"/>
            <w:r>
              <w:rPr>
                <w:rFonts w:ascii="Verdana" w:eastAsia="Verdana" w:hAnsi="Verdana" w:cs="Verdana"/>
                <w:color w:val="000000"/>
                <w:sz w:val="16"/>
              </w:rPr>
              <w:t>members</w:t>
            </w:r>
            <w:proofErr w:type="gramEnd"/>
            <w:r>
              <w:rPr>
                <w:rFonts w:ascii="Verdana" w:eastAsia="Verdana" w:hAnsi="Verdana" w:cs="Verdana"/>
                <w:color w:val="000000"/>
                <w:sz w:val="16"/>
              </w:rPr>
              <w:t xml:space="preserve"> awareness of progress being made. </w:t>
            </w:r>
          </w:p>
          <w:p w:rsidR="009F2B28" w:rsidRDefault="009F2B28" w:rsidP="00382C21">
            <w:pPr>
              <w:rPr>
                <w:rFonts w:ascii="Verdana" w:eastAsia="Verdana" w:hAnsi="Verdana" w:cs="Verdana"/>
                <w:color w:val="000000"/>
                <w:sz w:val="16"/>
              </w:rPr>
            </w:pP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In relation to SHMI a paper was also tabled at the partnership board on 9/1/14 noting the progress being made by the Trust as their SHMI is now within the expected range. It was noted that there is still differential between Grimsby and Scunthorpe Hospitals and the Trusts monthly action plan acknowledges this and identifies work needed to progress with improvement in this area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tcPr>
          <w:p w:rsidR="009F2B28" w:rsidRPr="001F2269" w:rsidRDefault="009F2B28" w:rsidP="00382C21">
            <w:pPr>
              <w:rPr>
                <w:rFonts w:ascii="Verdana" w:eastAsia="Verdana" w:hAnsi="Verdana" w:cs="Verdana"/>
                <w:sz w:val="16"/>
              </w:rPr>
            </w:pPr>
            <w:r w:rsidRPr="001F2269">
              <w:rPr>
                <w:rFonts w:ascii="Verdana" w:eastAsia="Verdana" w:hAnsi="Verdana" w:cs="Verdana"/>
                <w:sz w:val="16"/>
              </w:rPr>
              <w:t xml:space="preserve"> </w:t>
            </w:r>
          </w:p>
          <w:p w:rsidR="009F2B28" w:rsidRPr="001F2269" w:rsidRDefault="009F2B28" w:rsidP="00382C21">
            <w:pPr>
              <w:rPr>
                <w:rFonts w:ascii="Verdana" w:eastAsia="Verdana" w:hAnsi="Verdana" w:cs="Verdana"/>
                <w:sz w:val="16"/>
              </w:rPr>
            </w:pPr>
          </w:p>
          <w:p w:rsidR="009F2B28" w:rsidRPr="001F2269" w:rsidRDefault="009F2B28" w:rsidP="00382C21">
            <w:pPr>
              <w:rPr>
                <w:rFonts w:ascii="Verdana" w:eastAsia="Verdana" w:hAnsi="Verdana" w:cs="Verdana"/>
                <w:sz w:val="16"/>
              </w:rPr>
            </w:pPr>
            <w:r w:rsidRPr="001F2269">
              <w:rPr>
                <w:rFonts w:ascii="Verdana" w:eastAsia="Verdana" w:hAnsi="Verdana" w:cs="Verdana"/>
                <w:sz w:val="16"/>
              </w:rPr>
              <w:t>The Mortality Action Group meets next month to review the latest Mortality Action Plan, terms of reference, Chair to be reviewed</w:t>
            </w:r>
          </w:p>
          <w:p w:rsidR="009F2B28" w:rsidRPr="001F2269" w:rsidRDefault="009F2B28" w:rsidP="00382C21">
            <w:pPr>
              <w:rPr>
                <w:rFonts w:ascii="Verdana" w:eastAsia="Verdana" w:hAnsi="Verdana" w:cs="Verdana"/>
                <w:sz w:val="16"/>
              </w:rPr>
            </w:pPr>
          </w:p>
          <w:p w:rsidR="009F2B28" w:rsidRPr="001F2269" w:rsidRDefault="009F2B28" w:rsidP="00382C21">
            <w:pPr>
              <w:rPr>
                <w:rFonts w:ascii="Verdana" w:eastAsia="Verdana" w:hAnsi="Verdana" w:cs="Verdana"/>
                <w:sz w:val="16"/>
              </w:rPr>
            </w:pPr>
          </w:p>
          <w:p w:rsidR="009F2B28" w:rsidRPr="001F2269" w:rsidRDefault="009F2B28" w:rsidP="00382C21">
            <w:pPr>
              <w:rPr>
                <w:rFonts w:ascii="Verdana" w:eastAsia="Verdana" w:hAnsi="Verdana" w:cs="Verdana"/>
                <w:sz w:val="16"/>
              </w:rPr>
            </w:pPr>
          </w:p>
          <w:p w:rsidR="009F2B28" w:rsidRPr="001F2269" w:rsidRDefault="009F2B28" w:rsidP="00382C21"/>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tcPr>
          <w:p w:rsidR="009F2B28" w:rsidRPr="001F2269" w:rsidRDefault="009F2B28" w:rsidP="00382C21">
            <w:pPr>
              <w:rPr>
                <w:rFonts w:ascii="Verdana" w:eastAsia="Verdana" w:hAnsi="Verdana" w:cs="Verdana"/>
                <w:sz w:val="16"/>
              </w:rPr>
            </w:pPr>
          </w:p>
          <w:p w:rsidR="009F2B28" w:rsidRPr="001F2269" w:rsidRDefault="009F2B28" w:rsidP="00382C21">
            <w:pPr>
              <w:rPr>
                <w:rFonts w:ascii="Verdana" w:eastAsia="Verdana" w:hAnsi="Verdana" w:cs="Verdana"/>
                <w:sz w:val="16"/>
              </w:rPr>
            </w:pPr>
          </w:p>
          <w:p w:rsidR="009F2B28" w:rsidRPr="001F2269" w:rsidRDefault="009F2B28" w:rsidP="00382C21">
            <w:pPr>
              <w:rPr>
                <w:rFonts w:ascii="Verdana" w:eastAsia="Verdana" w:hAnsi="Verdana" w:cs="Verdana"/>
                <w:sz w:val="16"/>
              </w:rPr>
            </w:pPr>
            <w:r w:rsidRPr="001F2269">
              <w:rPr>
                <w:rFonts w:ascii="Verdana" w:eastAsia="Verdana" w:hAnsi="Verdana" w:cs="Verdana"/>
                <w:sz w:val="16"/>
              </w:rPr>
              <w:t>MAP  needs to be RAG rated – this is on the agenda for the next meeting</w:t>
            </w:r>
          </w:p>
          <w:p w:rsidR="009F2B28" w:rsidRPr="001F2269" w:rsidRDefault="009F2B28" w:rsidP="00382C21">
            <w:pPr>
              <w:rPr>
                <w:rFonts w:ascii="Verdana" w:eastAsia="Verdana" w:hAnsi="Verdana" w:cs="Verdana"/>
                <w:sz w:val="16"/>
              </w:rPr>
            </w:pPr>
          </w:p>
          <w:p w:rsidR="009F2B28" w:rsidRPr="001F2269" w:rsidRDefault="009F2B28" w:rsidP="00382C21">
            <w:pPr>
              <w:rPr>
                <w:rFonts w:ascii="Verdana" w:eastAsia="Verdana" w:hAnsi="Verdana" w:cs="Verdana"/>
                <w:sz w:val="16"/>
              </w:rPr>
            </w:pPr>
          </w:p>
          <w:p w:rsidR="009F2B28" w:rsidRPr="001F2269" w:rsidRDefault="009F2B28" w:rsidP="00382C21">
            <w:pPr>
              <w:rPr>
                <w:rFonts w:ascii="Verdana" w:eastAsia="Verdana" w:hAnsi="Verdana" w:cs="Verdana"/>
                <w:sz w:val="16"/>
              </w:rPr>
            </w:pPr>
          </w:p>
          <w:p w:rsidR="009F2B28" w:rsidRPr="001F2269" w:rsidRDefault="009F2B28" w:rsidP="00382C21">
            <w:pPr>
              <w:rPr>
                <w:rFonts w:ascii="Verdana" w:eastAsia="Verdana" w:hAnsi="Verdana" w:cs="Verdana"/>
                <w:sz w:val="16"/>
              </w:rPr>
            </w:pPr>
          </w:p>
          <w:p w:rsidR="009F2B28" w:rsidRPr="001F2269" w:rsidRDefault="009F2B28" w:rsidP="00382C21"/>
        </w:tc>
        <w:tc>
          <w:tcPr>
            <w:tcW w:w="9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Helen Kenyon</w:t>
            </w:r>
          </w:p>
        </w:tc>
        <w:tc>
          <w:tcPr>
            <w:tcW w:w="9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Paul Kirton-Watson</w:t>
            </w:r>
          </w:p>
        </w:tc>
        <w:tc>
          <w:tcPr>
            <w:tcW w:w="104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12</w:t>
            </w:r>
          </w:p>
        </w:tc>
        <w:tc>
          <w:tcPr>
            <w:tcW w:w="95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11-Feb-2014</w:t>
            </w:r>
          </w:p>
        </w:tc>
        <w:tc>
          <w:tcPr>
            <w:tcW w:w="162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Paul Kirton-Watson - Risk reviewed 31 January: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Likelihood reduced from 4 to 3 as progress made with internal controls: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A number of </w:t>
            </w:r>
            <w:proofErr w:type="spellStart"/>
            <w:r>
              <w:rPr>
                <w:rFonts w:ascii="Verdana" w:eastAsia="Verdana" w:hAnsi="Verdana" w:cs="Verdana"/>
                <w:color w:val="000000"/>
                <w:sz w:val="16"/>
              </w:rPr>
              <w:t>workstreams</w:t>
            </w:r>
            <w:proofErr w:type="spellEnd"/>
            <w:r>
              <w:rPr>
                <w:rFonts w:ascii="Verdana" w:eastAsia="Verdana" w:hAnsi="Verdana" w:cs="Verdana"/>
                <w:color w:val="000000"/>
                <w:sz w:val="16"/>
              </w:rPr>
              <w:t xml:space="preserve"> are active and working on pathways that contribute to reducing avoidable mortality. Examples of these are COPD pathway being led by Pauline </w:t>
            </w:r>
            <w:proofErr w:type="gramStart"/>
            <w:r>
              <w:rPr>
                <w:rFonts w:ascii="Verdana" w:eastAsia="Verdana" w:hAnsi="Verdana" w:cs="Verdana"/>
                <w:color w:val="000000"/>
                <w:sz w:val="16"/>
              </w:rPr>
              <w:t>Bamgbala ,front</w:t>
            </w:r>
            <w:proofErr w:type="gramEnd"/>
            <w:r>
              <w:rPr>
                <w:rFonts w:ascii="Verdana" w:eastAsia="Verdana" w:hAnsi="Verdana" w:cs="Verdana"/>
                <w:color w:val="000000"/>
                <w:sz w:val="16"/>
              </w:rPr>
              <w:t xml:space="preserve"> ending A&amp;E – led by Andy Ombler and Rakesh and the RFID project for streamlining ambulance handovers in A&amp;E- again being led by Andy. The community wide mortality action group meets monthly and manages the risks as well as the action plan – some of the key interdependencies remain on the action plan – some have been archived and moved to other work areas eg Urgent Care Boards for them to progress. The latest SHMI indicators show that the SHMI has reduced and that NLAG are now within the “expected range”. </w:t>
            </w:r>
          </w:p>
        </w:tc>
      </w:tr>
      <w:tr w:rsidR="009F2B28" w:rsidTr="00382C21">
        <w:tc>
          <w:tcPr>
            <w:tcW w:w="114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18FF5199" wp14:editId="15EA0B70">
                  <wp:extent cx="68580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132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CCG5003 Ineffective planning mechanisms across new systems, including CCG, PHE networks, senates, </w:t>
            </w:r>
            <w:proofErr w:type="spellStart"/>
            <w:r>
              <w:rPr>
                <w:rFonts w:ascii="Verdana" w:eastAsia="Verdana" w:hAnsi="Verdana" w:cs="Verdana"/>
                <w:color w:val="000000"/>
                <w:sz w:val="16"/>
              </w:rPr>
              <w:t>Propco</w:t>
            </w:r>
            <w:proofErr w:type="spellEnd"/>
            <w:r>
              <w:rPr>
                <w:rFonts w:ascii="Verdana" w:eastAsia="Verdana" w:hAnsi="Verdana" w:cs="Verdana"/>
                <w:color w:val="000000"/>
                <w:sz w:val="16"/>
              </w:rPr>
              <w:t xml:space="preserve"> and NHSCB</w:t>
            </w:r>
          </w:p>
        </w:tc>
        <w:tc>
          <w:tcPr>
            <w:tcW w:w="135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Fragmented new system fails to coordinate effective planning of services and infrastructure </w:t>
            </w:r>
          </w:p>
        </w:tc>
        <w:tc>
          <w:tcPr>
            <w:tcW w:w="11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Deputy Chief Executive (DCE) membership of CCG collaborative group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DCE attendance at Area Team strategic service meetings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Clinical Chief Officer and DCE membership of HLHF programme board spans all relevant CCGs and providers.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Strategic and operational plans in place.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Plans reflected in corporate business plan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Corporate business plan delivery is monitored by Delivery Assurance committee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Key service planning risks brought to board meetings and workshops for discussion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Senates not yet fully established to engage with, but early links have been made through HLHF programme office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proofErr w:type="spellStart"/>
            <w:r>
              <w:rPr>
                <w:rFonts w:ascii="Verdana" w:eastAsia="Verdana" w:hAnsi="Verdana" w:cs="Verdana"/>
                <w:color w:val="000000"/>
                <w:sz w:val="16"/>
              </w:rPr>
              <w:t>Propco</w:t>
            </w:r>
            <w:proofErr w:type="spellEnd"/>
            <w:r>
              <w:rPr>
                <w:rFonts w:ascii="Verdana" w:eastAsia="Verdana" w:hAnsi="Verdana" w:cs="Verdana"/>
                <w:color w:val="000000"/>
                <w:sz w:val="16"/>
              </w:rPr>
              <w:t xml:space="preserve"> processes and functions are not fully established, but CCG is initiating discussions as and when required on specific matters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None identified </w:t>
            </w:r>
          </w:p>
        </w:tc>
        <w:tc>
          <w:tcPr>
            <w:tcW w:w="9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Cathy Kennedy</w:t>
            </w:r>
          </w:p>
        </w:tc>
        <w:tc>
          <w:tcPr>
            <w:tcW w:w="9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Cathy Kennedy</w:t>
            </w:r>
          </w:p>
        </w:tc>
        <w:tc>
          <w:tcPr>
            <w:tcW w:w="104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12</w:t>
            </w:r>
          </w:p>
        </w:tc>
        <w:tc>
          <w:tcPr>
            <w:tcW w:w="95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16-Jan-2014</w:t>
            </w:r>
          </w:p>
        </w:tc>
        <w:tc>
          <w:tcPr>
            <w:tcW w:w="162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Cathy Kennedy - risk reviewed 16 January 2014, no changes noted </w:t>
            </w:r>
          </w:p>
        </w:tc>
      </w:tr>
      <w:tr w:rsidR="009F2B28" w:rsidTr="00382C21">
        <w:tc>
          <w:tcPr>
            <w:tcW w:w="114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5CA96F12" wp14:editId="6B16F3D5">
                  <wp:extent cx="68580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132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CCG5004 Lack of  Effective risk sharing with other CCG’s, including financial risk sharing and strategic service planning</w:t>
            </w:r>
          </w:p>
        </w:tc>
        <w:tc>
          <w:tcPr>
            <w:tcW w:w="135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Lack of effective risk sharing will increase the risk exposure of the organisation , and criticism of CCG arrangements (including a potential on-going authorisation condition) </w:t>
            </w:r>
          </w:p>
        </w:tc>
        <w:tc>
          <w:tcPr>
            <w:tcW w:w="11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Deputy Chief Executives given authority to implement policies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Routine financial reports to partnership board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Delivery Assurance Committee scrutiny of financial plan delivery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Strategic and operational plans in place.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Integrated Governance &amp; Audit (IG&amp;A) review of key risks and actions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Key service planning risks brought to board meetings and workshops for discussion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None identified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None identified </w:t>
            </w:r>
          </w:p>
        </w:tc>
        <w:tc>
          <w:tcPr>
            <w:tcW w:w="9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Cathy Kennedy</w:t>
            </w:r>
          </w:p>
        </w:tc>
        <w:tc>
          <w:tcPr>
            <w:tcW w:w="9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Cathy Kennedy</w:t>
            </w:r>
          </w:p>
        </w:tc>
        <w:tc>
          <w:tcPr>
            <w:tcW w:w="104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6</w:t>
            </w:r>
          </w:p>
        </w:tc>
        <w:tc>
          <w:tcPr>
            <w:tcW w:w="95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16-Jan-2014</w:t>
            </w:r>
          </w:p>
        </w:tc>
        <w:tc>
          <w:tcPr>
            <w:tcW w:w="162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Cathy Kennedy - risk reviewed and updated 16 January 2014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likelihood reduced from 3 to 2 due to collaborative meetings re strategic service planning, and impact reduced from 4 to 3 as now have 9 months experience in financial risks </w:t>
            </w:r>
          </w:p>
        </w:tc>
      </w:tr>
      <w:tr w:rsidR="009F2B28" w:rsidTr="00382C21">
        <w:tc>
          <w:tcPr>
            <w:tcW w:w="114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noProof/>
                <w:color w:val="000000"/>
                <w:sz w:val="16"/>
              </w:rPr>
              <w:drawing>
                <wp:inline distT="0" distB="0" distL="0" distR="0" wp14:anchorId="4C7CAB11" wp14:editId="65BB7DAB">
                  <wp:extent cx="6858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132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CCG5005 Impact of the </w:t>
            </w:r>
            <w:proofErr w:type="spellStart"/>
            <w:r>
              <w:rPr>
                <w:rFonts w:ascii="Verdana" w:eastAsia="Verdana" w:hAnsi="Verdana" w:cs="Verdana"/>
                <w:color w:val="000000"/>
                <w:sz w:val="16"/>
              </w:rPr>
              <w:t>Dilnot</w:t>
            </w:r>
            <w:proofErr w:type="spellEnd"/>
            <w:r>
              <w:rPr>
                <w:rFonts w:ascii="Verdana" w:eastAsia="Verdana" w:hAnsi="Verdana" w:cs="Verdana"/>
                <w:color w:val="000000"/>
                <w:sz w:val="16"/>
              </w:rPr>
              <w:t xml:space="preserve"> Report (Government proposals for social care funding reform)</w:t>
            </w:r>
          </w:p>
        </w:tc>
        <w:tc>
          <w:tcPr>
            <w:tcW w:w="135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Potential Financial and Systems and Processing implications deriving from the </w:t>
            </w:r>
            <w:proofErr w:type="spellStart"/>
            <w:r>
              <w:rPr>
                <w:rFonts w:ascii="Verdana" w:eastAsia="Verdana" w:hAnsi="Verdana" w:cs="Verdana"/>
                <w:color w:val="000000"/>
                <w:sz w:val="16"/>
              </w:rPr>
              <w:t>Dilnot</w:t>
            </w:r>
            <w:proofErr w:type="spellEnd"/>
            <w:r>
              <w:rPr>
                <w:rFonts w:ascii="Verdana" w:eastAsia="Verdana" w:hAnsi="Verdana" w:cs="Verdana"/>
                <w:color w:val="000000"/>
                <w:sz w:val="16"/>
              </w:rPr>
              <w:t xml:space="preserve"> Report if it becomes law </w:t>
            </w:r>
          </w:p>
        </w:tc>
        <w:tc>
          <w:tcPr>
            <w:tcW w:w="11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Financial procedure board which is overseeing the work and will make sure everything is implemented correctly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sidRPr="005824B7">
              <w:rPr>
                <w:rFonts w:ascii="Verdana" w:eastAsia="Verdana" w:hAnsi="Verdana" w:cs="Verdana"/>
                <w:color w:val="000000"/>
                <w:sz w:val="16"/>
              </w:rPr>
              <w:t>We still await a final position in terms of “actual financial impact”. Modelling work is on-going</w:t>
            </w:r>
          </w:p>
          <w:p w:rsidR="009F2B28" w:rsidRPr="005824B7" w:rsidRDefault="009F2B28" w:rsidP="00382C21">
            <w:pPr>
              <w:rPr>
                <w:rFonts w:ascii="Verdana" w:eastAsia="Verdana" w:hAnsi="Verdana" w:cs="Verdana"/>
                <w:color w:val="000000"/>
                <w:sz w:val="16"/>
              </w:rPr>
            </w:pPr>
          </w:p>
          <w:p w:rsidR="009F2B28" w:rsidRPr="005824B7" w:rsidRDefault="009F2B28" w:rsidP="00382C21">
            <w:pPr>
              <w:rPr>
                <w:rFonts w:ascii="Verdana" w:eastAsia="Verdana" w:hAnsi="Verdana" w:cs="Verdana"/>
                <w:color w:val="000000"/>
                <w:sz w:val="16"/>
              </w:rPr>
            </w:pPr>
            <w:r w:rsidRPr="005824B7">
              <w:rPr>
                <w:rFonts w:ascii="Verdana" w:eastAsia="Verdana" w:hAnsi="Verdana" w:cs="Verdana"/>
                <w:color w:val="000000"/>
                <w:sz w:val="16"/>
              </w:rPr>
              <w:t>We have begun to think about how this might work but we do not have a detailed and robust action plan as yet.</w:t>
            </w:r>
          </w:p>
          <w:p w:rsidR="009F2B28" w:rsidRPr="005824B7" w:rsidRDefault="009F2B28" w:rsidP="00382C21">
            <w:pPr>
              <w:rPr>
                <w:rFonts w:ascii="Verdana" w:eastAsia="Verdana" w:hAnsi="Verdana" w:cs="Verdana"/>
                <w:color w:val="000000"/>
                <w:sz w:val="16"/>
              </w:rPr>
            </w:pPr>
            <w:r w:rsidRPr="005824B7">
              <w:rPr>
                <w:rFonts w:ascii="Verdana" w:eastAsia="Verdana" w:hAnsi="Verdana" w:cs="Verdana"/>
                <w:color w:val="000000"/>
                <w:sz w:val="16"/>
              </w:rPr>
              <w:t>This needs to be considered.</w:t>
            </w:r>
          </w:p>
          <w:p w:rsidR="009F2B28" w:rsidRDefault="009F2B28" w:rsidP="00382C21">
            <w:pPr>
              <w:rPr>
                <w:rFonts w:ascii="Verdana" w:eastAsia="Verdana" w:hAnsi="Verdana" w:cs="Verdana"/>
                <w:color w:val="000000"/>
                <w:sz w:val="16"/>
              </w:rPr>
            </w:pPr>
          </w:p>
          <w:p w:rsidR="009F2B28" w:rsidRPr="005824B7" w:rsidRDefault="009F2B28" w:rsidP="00382C21">
            <w:pPr>
              <w:rPr>
                <w:rFonts w:ascii="Verdana" w:eastAsia="Verdana" w:hAnsi="Verdana" w:cs="Verdana"/>
                <w:color w:val="000000"/>
                <w:sz w:val="16"/>
              </w:rPr>
            </w:pPr>
            <w:r w:rsidRPr="005824B7">
              <w:rPr>
                <w:rFonts w:ascii="Verdana" w:eastAsia="Verdana" w:hAnsi="Verdana" w:cs="Verdana"/>
                <w:color w:val="000000"/>
                <w:sz w:val="16"/>
              </w:rPr>
              <w:t>A contact group of home owners is being established.</w:t>
            </w:r>
          </w:p>
          <w:p w:rsidR="009F2B28" w:rsidRDefault="009F2B28" w:rsidP="00382C21">
            <w:pPr>
              <w:rPr>
                <w:rFonts w:ascii="Verdana" w:eastAsia="Verdana" w:hAnsi="Verdana" w:cs="Verdana"/>
                <w:color w:val="000000"/>
                <w:sz w:val="16"/>
              </w:rPr>
            </w:pPr>
            <w:r w:rsidRPr="005824B7">
              <w:rPr>
                <w:rFonts w:ascii="Verdana" w:eastAsia="Verdana" w:hAnsi="Verdana" w:cs="Verdana"/>
                <w:color w:val="000000"/>
                <w:sz w:val="16"/>
              </w:rPr>
              <w:t xml:space="preserve">This is </w:t>
            </w:r>
            <w:proofErr w:type="gramStart"/>
            <w:r w:rsidRPr="005824B7">
              <w:rPr>
                <w:rFonts w:ascii="Verdana" w:eastAsia="Verdana" w:hAnsi="Verdana" w:cs="Verdana"/>
                <w:color w:val="000000"/>
                <w:sz w:val="16"/>
              </w:rPr>
              <w:t>being  monitored</w:t>
            </w:r>
            <w:proofErr w:type="gramEnd"/>
            <w:r w:rsidRPr="005824B7">
              <w:rPr>
                <w:rFonts w:ascii="Verdana" w:eastAsia="Verdana" w:hAnsi="Verdana" w:cs="Verdana"/>
                <w:color w:val="000000"/>
                <w:sz w:val="16"/>
              </w:rPr>
              <w:t>.</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sidRPr="005824B7">
              <w:rPr>
                <w:rFonts w:ascii="Verdana" w:eastAsia="Verdana" w:hAnsi="Verdana" w:cs="Verdana"/>
                <w:color w:val="000000"/>
                <w:sz w:val="16"/>
              </w:rPr>
              <w:t>Other LA areas are in a similar position and are sharing information.</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Pr="005824B7" w:rsidRDefault="009F2B28" w:rsidP="00382C21">
            <w:pPr>
              <w:rPr>
                <w:rFonts w:ascii="Verdana" w:eastAsia="Verdana" w:hAnsi="Verdana" w:cs="Verdana"/>
                <w:color w:val="000000"/>
                <w:sz w:val="16"/>
              </w:rPr>
            </w:pPr>
            <w:r w:rsidRPr="005824B7">
              <w:rPr>
                <w:rFonts w:ascii="Verdana" w:eastAsia="Verdana" w:hAnsi="Verdana" w:cs="Verdana"/>
                <w:color w:val="000000"/>
                <w:sz w:val="16"/>
              </w:rPr>
              <w:t>We still await a reliable financial implication analysis.</w:t>
            </w:r>
          </w:p>
          <w:p w:rsidR="009F2B28" w:rsidRDefault="009F2B28" w:rsidP="00382C21">
            <w:pPr>
              <w:rPr>
                <w:rFonts w:ascii="Verdana" w:eastAsia="Verdana" w:hAnsi="Verdana" w:cs="Verdana"/>
                <w:color w:val="000000"/>
                <w:sz w:val="16"/>
              </w:rPr>
            </w:pPr>
          </w:p>
          <w:p w:rsidR="009F2B28" w:rsidRPr="005824B7" w:rsidRDefault="009F2B28" w:rsidP="00382C21">
            <w:pPr>
              <w:rPr>
                <w:rFonts w:ascii="Verdana" w:eastAsia="Verdana" w:hAnsi="Verdana" w:cs="Verdana"/>
                <w:color w:val="000000"/>
                <w:sz w:val="16"/>
              </w:rPr>
            </w:pPr>
            <w:r>
              <w:rPr>
                <w:rFonts w:ascii="Verdana" w:eastAsia="Verdana" w:hAnsi="Verdana" w:cs="Verdana"/>
                <w:color w:val="000000"/>
                <w:sz w:val="16"/>
              </w:rPr>
              <w:t>Need to better understand wha</w:t>
            </w:r>
            <w:r w:rsidRPr="005824B7">
              <w:rPr>
                <w:rFonts w:ascii="Verdana" w:eastAsia="Verdana" w:hAnsi="Verdana" w:cs="Verdana"/>
                <w:color w:val="000000"/>
                <w:sz w:val="16"/>
              </w:rPr>
              <w:t>t systems need developing.</w:t>
            </w:r>
          </w:p>
          <w:p w:rsidR="009F2B28" w:rsidRDefault="009F2B28" w:rsidP="00382C21">
            <w:pPr>
              <w:rPr>
                <w:rFonts w:ascii="Verdana" w:eastAsia="Verdana" w:hAnsi="Verdana" w:cs="Verdana"/>
                <w:color w:val="000000"/>
                <w:sz w:val="16"/>
              </w:rPr>
            </w:pPr>
          </w:p>
          <w:p w:rsidR="009F2B28" w:rsidRDefault="009F2B28" w:rsidP="00382C21">
            <w:pPr>
              <w:rPr>
                <w:rFonts w:ascii="Verdana" w:eastAsia="Verdana" w:hAnsi="Verdana" w:cs="Verdana"/>
                <w:color w:val="000000"/>
                <w:sz w:val="16"/>
              </w:rPr>
            </w:pP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None identified</w:t>
            </w:r>
          </w:p>
        </w:tc>
        <w:tc>
          <w:tcPr>
            <w:tcW w:w="9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Helen Kenyon</w:t>
            </w:r>
          </w:p>
        </w:tc>
        <w:tc>
          <w:tcPr>
            <w:tcW w:w="9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Helen Kenyon</w:t>
            </w:r>
          </w:p>
        </w:tc>
        <w:tc>
          <w:tcPr>
            <w:tcW w:w="104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12</w:t>
            </w:r>
          </w:p>
        </w:tc>
        <w:tc>
          <w:tcPr>
            <w:tcW w:w="95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19-Nov-2013</w:t>
            </w:r>
          </w:p>
        </w:tc>
        <w:tc>
          <w:tcPr>
            <w:tcW w:w="162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New potential risk added 19 November 2013.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Unknown financial implications.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Possible system and processing implications to administer. </w:t>
            </w:r>
          </w:p>
        </w:tc>
      </w:tr>
      <w:tr w:rsidR="009F2B28" w:rsidTr="00382C21">
        <w:tc>
          <w:tcPr>
            <w:tcW w:w="15114" w:type="dxa"/>
            <w:gridSpan w:val="13"/>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Pr="00BA03A3" w:rsidRDefault="009F2B28" w:rsidP="00382C21">
            <w:pPr>
              <w:rPr>
                <w:rFonts w:ascii="Verdana" w:eastAsia="Verdana" w:hAnsi="Verdana" w:cs="Verdana"/>
                <w:b/>
                <w:i/>
                <w:color w:val="000000"/>
                <w:sz w:val="16"/>
              </w:rPr>
            </w:pPr>
            <w:r w:rsidRPr="00BA03A3">
              <w:rPr>
                <w:rFonts w:ascii="Verdana" w:eastAsia="Verdana" w:hAnsi="Verdana" w:cs="Verdana"/>
                <w:b/>
                <w:i/>
                <w:color w:val="000000"/>
                <w:sz w:val="16"/>
              </w:rPr>
              <w:t>Title:</w:t>
            </w:r>
          </w:p>
          <w:p w:rsidR="009F2B28" w:rsidRDefault="009F2B28" w:rsidP="00382C21">
            <w:pPr>
              <w:rPr>
                <w:rFonts w:ascii="Verdana" w:eastAsia="Verdana" w:hAnsi="Verdana" w:cs="Verdana"/>
                <w:color w:val="000000"/>
                <w:sz w:val="16"/>
              </w:rPr>
            </w:pPr>
            <w:r w:rsidRPr="00BA03A3">
              <w:rPr>
                <w:rFonts w:ascii="Verdana" w:eastAsia="Verdana" w:hAnsi="Verdana" w:cs="Verdana"/>
                <w:color w:val="000000"/>
                <w:sz w:val="16"/>
              </w:rPr>
              <w:t>Domain 6: Great leaders who individually and collectively can make a real difference</w:t>
            </w:r>
          </w:p>
        </w:tc>
      </w:tr>
      <w:tr w:rsidR="009F2B28" w:rsidTr="00382C21">
        <w:tc>
          <w:tcPr>
            <w:tcW w:w="114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bookmarkStart w:id="1" w:name="_GoBack"/>
            <w:bookmarkEnd w:id="1"/>
            <w:r>
              <w:rPr>
                <w:rFonts w:ascii="Verdana" w:eastAsia="Verdana" w:hAnsi="Verdana" w:cs="Verdana"/>
                <w:noProof/>
                <w:color w:val="000000"/>
                <w:sz w:val="16"/>
              </w:rPr>
              <w:drawing>
                <wp:inline distT="0" distB="0" distL="0" distR="0" wp14:anchorId="73058FBD" wp14:editId="376840B1">
                  <wp:extent cx="68580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1321"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CCG6003 Lack of engagement with non GP clinicians</w:t>
            </w:r>
          </w:p>
        </w:tc>
        <w:tc>
          <w:tcPr>
            <w:tcW w:w="1355"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Pr="00615DED" w:rsidRDefault="009F2B28" w:rsidP="00382C21">
            <w:pPr>
              <w:rPr>
                <w:rFonts w:ascii="Verdana" w:eastAsia="Verdana" w:hAnsi="Verdana" w:cs="Verdana"/>
                <w:sz w:val="16"/>
              </w:rPr>
            </w:pPr>
            <w:r w:rsidRPr="00615DED">
              <w:rPr>
                <w:rFonts w:ascii="Verdana" w:eastAsia="Verdana" w:hAnsi="Verdana" w:cs="Verdana"/>
                <w:sz w:val="16"/>
              </w:rPr>
              <w:t>Suboptimal communication with non GP clinicians</w:t>
            </w:r>
          </w:p>
        </w:tc>
        <w:tc>
          <w:tcPr>
            <w:tcW w:w="1119"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Database of professionals interested in involvement </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tcPr>
          <w:p w:rsidR="009F2B28" w:rsidRPr="00615DED" w:rsidRDefault="009F2B28" w:rsidP="00382C21">
            <w:pPr>
              <w:rPr>
                <w:rFonts w:ascii="Verdana" w:eastAsia="Verdana" w:hAnsi="Verdana" w:cs="Verdana"/>
                <w:sz w:val="16"/>
                <w:szCs w:val="16"/>
              </w:rPr>
            </w:pPr>
          </w:p>
          <w:p w:rsidR="009F2B28" w:rsidRPr="00615DED" w:rsidRDefault="009F2B28" w:rsidP="00382C21">
            <w:pPr>
              <w:rPr>
                <w:rFonts w:ascii="Verdana" w:eastAsia="Verdana" w:hAnsi="Verdana" w:cs="Verdana"/>
                <w:sz w:val="16"/>
                <w:szCs w:val="16"/>
              </w:rPr>
            </w:pPr>
          </w:p>
          <w:p w:rsidR="009F2B28" w:rsidRPr="00615DED" w:rsidRDefault="009F2B28" w:rsidP="00382C21">
            <w:pPr>
              <w:rPr>
                <w:rFonts w:ascii="Verdana" w:eastAsia="Verdana" w:hAnsi="Verdana" w:cs="Verdana"/>
                <w:sz w:val="16"/>
                <w:szCs w:val="16"/>
              </w:rPr>
            </w:pPr>
          </w:p>
          <w:p w:rsidR="009F2B28" w:rsidRPr="00615DED" w:rsidRDefault="009F2B28" w:rsidP="00382C21">
            <w:pPr>
              <w:rPr>
                <w:rFonts w:ascii="Verdana" w:eastAsia="Verdana" w:hAnsi="Verdana" w:cs="Verdana"/>
                <w:sz w:val="16"/>
                <w:szCs w:val="16"/>
              </w:rPr>
            </w:pPr>
          </w:p>
          <w:p w:rsidR="009F2B28" w:rsidRPr="00615DED" w:rsidRDefault="009F2B28" w:rsidP="00382C21">
            <w:pPr>
              <w:rPr>
                <w:rFonts w:ascii="Verdana" w:eastAsia="Verdana" w:hAnsi="Verdana" w:cs="Verdana"/>
                <w:sz w:val="16"/>
                <w:szCs w:val="16"/>
              </w:rPr>
            </w:pPr>
          </w:p>
          <w:p w:rsidR="009F2B28" w:rsidRPr="00615DED" w:rsidRDefault="009F2B28" w:rsidP="00382C21">
            <w:pPr>
              <w:rPr>
                <w:rFonts w:ascii="Verdana" w:hAnsi="Verdana"/>
                <w:sz w:val="16"/>
                <w:szCs w:val="16"/>
              </w:rPr>
            </w:pPr>
            <w:r w:rsidRPr="00615DED">
              <w:rPr>
                <w:rFonts w:ascii="Verdana" w:eastAsia="Verdana" w:hAnsi="Verdana" w:cs="Verdana"/>
                <w:sz w:val="16"/>
                <w:szCs w:val="16"/>
              </w:rPr>
              <w:t>Database of interested parties to be collated in QI 14/15</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tcPr>
          <w:p w:rsidR="009F2B28" w:rsidRPr="00615DED" w:rsidRDefault="009F2B28" w:rsidP="00382C21">
            <w:pPr>
              <w:rPr>
                <w:rFonts w:ascii="Verdana" w:eastAsia="Verdana" w:hAnsi="Verdana" w:cs="Verdana"/>
                <w:sz w:val="16"/>
                <w:szCs w:val="16"/>
              </w:rPr>
            </w:pPr>
          </w:p>
          <w:p w:rsidR="009F2B28" w:rsidRPr="00615DED" w:rsidRDefault="009F2B28" w:rsidP="00382C21">
            <w:pPr>
              <w:rPr>
                <w:rFonts w:ascii="Verdana" w:eastAsia="Verdana" w:hAnsi="Verdana" w:cs="Verdana"/>
                <w:sz w:val="16"/>
                <w:szCs w:val="16"/>
              </w:rPr>
            </w:pPr>
          </w:p>
          <w:p w:rsidR="009F2B28" w:rsidRPr="00615DED" w:rsidRDefault="009F2B28" w:rsidP="00382C21">
            <w:pPr>
              <w:rPr>
                <w:rFonts w:ascii="Verdana" w:eastAsia="Verdana" w:hAnsi="Verdana" w:cs="Verdana"/>
                <w:sz w:val="16"/>
                <w:szCs w:val="16"/>
              </w:rPr>
            </w:pPr>
          </w:p>
          <w:p w:rsidR="009F2B28" w:rsidRPr="00615DED" w:rsidRDefault="009F2B28" w:rsidP="00382C21">
            <w:pPr>
              <w:rPr>
                <w:rFonts w:ascii="Verdana" w:eastAsia="Verdana" w:hAnsi="Verdana" w:cs="Verdana"/>
                <w:sz w:val="16"/>
                <w:szCs w:val="16"/>
              </w:rPr>
            </w:pPr>
          </w:p>
          <w:p w:rsidR="009F2B28" w:rsidRPr="00615DED" w:rsidRDefault="009F2B28" w:rsidP="00382C21">
            <w:pPr>
              <w:rPr>
                <w:rFonts w:ascii="Verdana" w:eastAsia="Verdana" w:hAnsi="Verdana" w:cs="Verdana"/>
                <w:sz w:val="16"/>
                <w:szCs w:val="16"/>
              </w:rPr>
            </w:pPr>
          </w:p>
          <w:p w:rsidR="009F2B28" w:rsidRPr="00615DED" w:rsidRDefault="009F2B28" w:rsidP="00382C21">
            <w:pPr>
              <w:rPr>
                <w:rFonts w:ascii="Verdana" w:eastAsia="Verdana" w:hAnsi="Verdana" w:cs="Verdana"/>
                <w:sz w:val="16"/>
                <w:szCs w:val="16"/>
              </w:rPr>
            </w:pPr>
            <w:r w:rsidRPr="00615DED">
              <w:rPr>
                <w:rFonts w:ascii="Verdana" w:eastAsia="Verdana" w:hAnsi="Verdana" w:cs="Verdana"/>
                <w:sz w:val="16"/>
                <w:szCs w:val="16"/>
              </w:rPr>
              <w:t xml:space="preserve">Some work has already commenced with AHPS and </w:t>
            </w:r>
            <w:proofErr w:type="spellStart"/>
            <w:r w:rsidRPr="00615DED">
              <w:rPr>
                <w:rFonts w:ascii="Verdana" w:eastAsia="Verdana" w:hAnsi="Verdana" w:cs="Verdana"/>
                <w:sz w:val="16"/>
                <w:szCs w:val="16"/>
              </w:rPr>
              <w:t>te</w:t>
            </w:r>
            <w:proofErr w:type="spellEnd"/>
            <w:r w:rsidRPr="00615DED">
              <w:rPr>
                <w:rFonts w:ascii="Verdana" w:eastAsia="Verdana" w:hAnsi="Verdana" w:cs="Verdana"/>
                <w:sz w:val="16"/>
                <w:szCs w:val="16"/>
              </w:rPr>
              <w:t xml:space="preserve"> Practice Nurse Forum continues to meet regularly.</w:t>
            </w:r>
          </w:p>
          <w:p w:rsidR="009F2B28" w:rsidRPr="00615DED" w:rsidRDefault="009F2B28" w:rsidP="00382C21">
            <w:pPr>
              <w:rPr>
                <w:rFonts w:ascii="Verdana" w:eastAsia="Verdana" w:hAnsi="Verdana" w:cs="Verdana"/>
                <w:sz w:val="16"/>
                <w:szCs w:val="16"/>
              </w:rPr>
            </w:pPr>
            <w:r w:rsidRPr="00615DED">
              <w:rPr>
                <w:rFonts w:ascii="Verdana" w:eastAsia="Verdana" w:hAnsi="Verdana" w:cs="Verdana"/>
                <w:sz w:val="16"/>
                <w:szCs w:val="16"/>
              </w:rPr>
              <w:t>E mail has recently circulated to Practice Nurses to seek representation on the Clinical Quality Committee</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tcPr>
          <w:p w:rsidR="009F2B28" w:rsidRPr="00615DED" w:rsidRDefault="009F2B28" w:rsidP="00382C21">
            <w:pPr>
              <w:rPr>
                <w:rFonts w:ascii="Verdana" w:hAnsi="Verdana"/>
                <w:sz w:val="16"/>
                <w:szCs w:val="16"/>
              </w:rPr>
            </w:pPr>
          </w:p>
          <w:p w:rsidR="009F2B28" w:rsidRPr="00615DED" w:rsidRDefault="009F2B28" w:rsidP="00382C21">
            <w:pPr>
              <w:rPr>
                <w:rFonts w:ascii="Verdana" w:hAnsi="Verdana"/>
                <w:sz w:val="16"/>
                <w:szCs w:val="16"/>
              </w:rPr>
            </w:pPr>
          </w:p>
          <w:p w:rsidR="009F2B28" w:rsidRPr="00615DED" w:rsidRDefault="009F2B28" w:rsidP="00382C21">
            <w:pPr>
              <w:rPr>
                <w:rFonts w:ascii="Verdana" w:hAnsi="Verdana"/>
                <w:sz w:val="16"/>
                <w:szCs w:val="16"/>
              </w:rPr>
            </w:pPr>
          </w:p>
          <w:p w:rsidR="009F2B28" w:rsidRPr="00615DED" w:rsidRDefault="009F2B28" w:rsidP="00382C21">
            <w:pPr>
              <w:rPr>
                <w:rFonts w:ascii="Verdana" w:hAnsi="Verdana"/>
                <w:sz w:val="16"/>
                <w:szCs w:val="16"/>
              </w:rPr>
            </w:pPr>
          </w:p>
          <w:p w:rsidR="009F2B28" w:rsidRPr="00615DED" w:rsidRDefault="009F2B28" w:rsidP="00382C21">
            <w:pPr>
              <w:rPr>
                <w:rFonts w:ascii="Verdana" w:hAnsi="Verdana"/>
                <w:sz w:val="16"/>
                <w:szCs w:val="16"/>
              </w:rPr>
            </w:pPr>
            <w:r w:rsidRPr="00615DED">
              <w:rPr>
                <w:rFonts w:ascii="Verdana" w:hAnsi="Verdana"/>
                <w:sz w:val="16"/>
                <w:szCs w:val="16"/>
              </w:rPr>
              <w:t>Evidence</w:t>
            </w:r>
            <w:r>
              <w:rPr>
                <w:rFonts w:ascii="Verdana" w:hAnsi="Verdana"/>
                <w:sz w:val="16"/>
                <w:szCs w:val="16"/>
              </w:rPr>
              <w:t xml:space="preserve"> that </w:t>
            </w:r>
            <w:r w:rsidRPr="00615DED">
              <w:rPr>
                <w:rFonts w:ascii="Verdana" w:hAnsi="Verdana"/>
                <w:sz w:val="16"/>
                <w:szCs w:val="16"/>
              </w:rPr>
              <w:t>triangles are actively engaged with AHPS</w:t>
            </w:r>
          </w:p>
        </w:tc>
        <w:tc>
          <w:tcPr>
            <w:tcW w:w="116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tcPr>
          <w:p w:rsidR="009F2B28" w:rsidRPr="00615DED" w:rsidRDefault="009F2B28" w:rsidP="00382C21">
            <w:pPr>
              <w:tabs>
                <w:tab w:val="left" w:pos="915"/>
              </w:tabs>
              <w:rPr>
                <w:rFonts w:ascii="Verdana" w:eastAsia="Verdana" w:hAnsi="Verdana" w:cs="Verdana"/>
                <w:sz w:val="16"/>
                <w:szCs w:val="16"/>
              </w:rPr>
            </w:pPr>
            <w:r w:rsidRPr="00615DED">
              <w:rPr>
                <w:rFonts w:ascii="Verdana" w:eastAsia="Verdana" w:hAnsi="Verdana" w:cs="Verdana"/>
                <w:sz w:val="16"/>
                <w:szCs w:val="16"/>
              </w:rPr>
              <w:tab/>
            </w:r>
          </w:p>
          <w:p w:rsidR="009F2B28" w:rsidRPr="00615DED" w:rsidRDefault="009F2B28" w:rsidP="00382C21">
            <w:pPr>
              <w:tabs>
                <w:tab w:val="left" w:pos="915"/>
              </w:tabs>
              <w:rPr>
                <w:rFonts w:ascii="Verdana" w:eastAsia="Verdana" w:hAnsi="Verdana" w:cs="Verdana"/>
                <w:sz w:val="16"/>
                <w:szCs w:val="16"/>
              </w:rPr>
            </w:pPr>
          </w:p>
          <w:p w:rsidR="009F2B28" w:rsidRPr="00615DED" w:rsidRDefault="009F2B28" w:rsidP="00382C21">
            <w:pPr>
              <w:rPr>
                <w:rFonts w:ascii="Verdana" w:eastAsia="Verdana" w:hAnsi="Verdana" w:cs="Verdana"/>
                <w:sz w:val="16"/>
                <w:szCs w:val="16"/>
              </w:rPr>
            </w:pPr>
          </w:p>
          <w:p w:rsidR="009F2B28" w:rsidRPr="00615DED" w:rsidRDefault="009F2B28" w:rsidP="00382C21">
            <w:pPr>
              <w:rPr>
                <w:rFonts w:ascii="Verdana" w:eastAsia="Verdana" w:hAnsi="Verdana" w:cs="Verdana"/>
                <w:sz w:val="16"/>
                <w:szCs w:val="16"/>
              </w:rPr>
            </w:pPr>
          </w:p>
          <w:p w:rsidR="009F2B28" w:rsidRPr="00615DED" w:rsidRDefault="009F2B28" w:rsidP="00382C21">
            <w:pPr>
              <w:rPr>
                <w:rFonts w:ascii="Verdana" w:eastAsia="Verdana" w:hAnsi="Verdana" w:cs="Verdana"/>
                <w:sz w:val="16"/>
                <w:szCs w:val="16"/>
              </w:rPr>
            </w:pPr>
          </w:p>
          <w:p w:rsidR="009F2B28" w:rsidRPr="00615DED" w:rsidRDefault="009F2B28" w:rsidP="00382C21">
            <w:pPr>
              <w:rPr>
                <w:rFonts w:ascii="Verdana" w:eastAsia="Verdana" w:hAnsi="Verdana" w:cs="Verdana"/>
                <w:sz w:val="16"/>
                <w:szCs w:val="16"/>
              </w:rPr>
            </w:pPr>
            <w:r w:rsidRPr="00615DED">
              <w:rPr>
                <w:rFonts w:ascii="Verdana" w:eastAsia="Verdana" w:hAnsi="Verdana" w:cs="Verdana"/>
                <w:sz w:val="16"/>
                <w:szCs w:val="16"/>
              </w:rPr>
              <w:t>Minutes of Triangle/Clinical Quality Committee to reflect higher levels of engagement around specific work areas</w:t>
            </w:r>
          </w:p>
        </w:tc>
        <w:tc>
          <w:tcPr>
            <w:tcW w:w="97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Cathy Kennedy</w:t>
            </w:r>
          </w:p>
        </w:tc>
        <w:tc>
          <w:tcPr>
            <w:tcW w:w="932"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Paul Kirton-Watson</w:t>
            </w:r>
          </w:p>
        </w:tc>
        <w:tc>
          <w:tcPr>
            <w:tcW w:w="1040"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12</w:t>
            </w:r>
          </w:p>
        </w:tc>
        <w:tc>
          <w:tcPr>
            <w:tcW w:w="95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12-Dec-2013</w:t>
            </w:r>
          </w:p>
        </w:tc>
        <w:tc>
          <w:tcPr>
            <w:tcW w:w="1628" w:type="dxa"/>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vAlign w:val="center"/>
          </w:tcPr>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Paul Kirton-Watson - 12 December 2013 risk reviewed and updated </w:t>
            </w:r>
          </w:p>
          <w:p w:rsidR="009F2B28" w:rsidRDefault="009F2B28" w:rsidP="00382C21">
            <w:pPr>
              <w:rPr>
                <w:rFonts w:ascii="Verdana" w:eastAsia="Verdana" w:hAnsi="Verdana" w:cs="Verdana"/>
                <w:color w:val="000000"/>
                <w:sz w:val="16"/>
              </w:rPr>
            </w:pPr>
            <w:r>
              <w:rPr>
                <w:rFonts w:ascii="Verdana" w:eastAsia="Verdana" w:hAnsi="Verdana" w:cs="Verdana"/>
                <w:color w:val="000000"/>
                <w:sz w:val="16"/>
              </w:rPr>
              <w:t xml:space="preserve">Met with AHP’s at NLAG which was a very productive meeting- they showed a willingness to work with the CCG on specific areas and this has been fed into the service leads meeting for them to pursue. The Practice Nurse Forum continues to meet regularly </w:t>
            </w:r>
          </w:p>
        </w:tc>
      </w:tr>
    </w:tbl>
    <w:p w:rsidR="009F2B28" w:rsidRDefault="009F2B28" w:rsidP="009F2B28">
      <w:pPr>
        <w:rPr>
          <w:rFonts w:ascii="Arial" w:eastAsia="Verdana" w:hAnsi="Arial" w:cs="Arial"/>
          <w:b/>
          <w:bCs/>
          <w:kern w:val="32"/>
          <w:sz w:val="28"/>
          <w:szCs w:val="28"/>
        </w:rPr>
      </w:pPr>
    </w:p>
    <w:p w:rsidR="009F2B28" w:rsidRDefault="009F2B28" w:rsidP="009F2B28">
      <w:pPr>
        <w:rPr>
          <w:rFonts w:ascii="Arial" w:hAnsi="Arial" w:cs="Arial"/>
          <w:b/>
          <w:bCs/>
          <w:sz w:val="22"/>
          <w:szCs w:val="22"/>
        </w:rPr>
      </w:pPr>
    </w:p>
    <w:p w:rsidR="009F2B28" w:rsidRPr="009D14DD" w:rsidRDefault="009F2B28" w:rsidP="009F2B28">
      <w:pPr>
        <w:rPr>
          <w:rFonts w:ascii="Arial" w:hAnsi="Arial" w:cs="Arial"/>
          <w:b/>
          <w:bCs/>
          <w:sz w:val="22"/>
          <w:szCs w:val="22"/>
        </w:rPr>
      </w:pPr>
    </w:p>
    <w:p w:rsidR="009F2B28" w:rsidRPr="009D14DD" w:rsidRDefault="009F2B28" w:rsidP="0077428E">
      <w:pPr>
        <w:rPr>
          <w:rFonts w:ascii="Arial" w:hAnsi="Arial" w:cs="Arial"/>
          <w:b/>
          <w:bCs/>
          <w:sz w:val="22"/>
          <w:szCs w:val="22"/>
        </w:rPr>
      </w:pPr>
    </w:p>
    <w:sectPr w:rsidR="009F2B28" w:rsidRPr="009D14DD" w:rsidSect="00382C21">
      <w:pgSz w:w="16838" w:h="11906" w:orient="landscape"/>
      <w:pgMar w:top="1077" w:right="902" w:bottom="902"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76" w:rsidRDefault="005A5576">
      <w:r>
        <w:separator/>
      </w:r>
    </w:p>
  </w:endnote>
  <w:endnote w:type="continuationSeparator" w:id="0">
    <w:p w:rsidR="005A5576" w:rsidRDefault="005A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76" w:rsidRDefault="005A5576">
      <w:r>
        <w:separator/>
      </w:r>
    </w:p>
  </w:footnote>
  <w:footnote w:type="continuationSeparator" w:id="0">
    <w:p w:rsidR="005A5576" w:rsidRDefault="005A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74983"/>
    <w:multiLevelType w:val="hybridMultilevel"/>
    <w:tmpl w:val="438A5CEC"/>
    <w:lvl w:ilvl="0" w:tplc="4BDEEE8E">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9A0453"/>
    <w:multiLevelType w:val="hybridMultilevel"/>
    <w:tmpl w:val="456A6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3">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6">
    <w:nsid w:val="53790572"/>
    <w:multiLevelType w:val="hybridMultilevel"/>
    <w:tmpl w:val="C76E4866"/>
    <w:lvl w:ilvl="0" w:tplc="F67ECB3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0"/>
  </w:num>
  <w:num w:numId="4">
    <w:abstractNumId w:val="21"/>
  </w:num>
  <w:num w:numId="5">
    <w:abstractNumId w:val="13"/>
  </w:num>
  <w:num w:numId="6">
    <w:abstractNumId w:val="19"/>
  </w:num>
  <w:num w:numId="7">
    <w:abstractNumId w:val="3"/>
  </w:num>
  <w:num w:numId="8">
    <w:abstractNumId w:val="12"/>
  </w:num>
  <w:num w:numId="9">
    <w:abstractNumId w:val="15"/>
  </w:num>
  <w:num w:numId="10">
    <w:abstractNumId w:val="4"/>
  </w:num>
  <w:num w:numId="11">
    <w:abstractNumId w:val="5"/>
  </w:num>
  <w:num w:numId="12">
    <w:abstractNumId w:val="18"/>
  </w:num>
  <w:num w:numId="13">
    <w:abstractNumId w:val="8"/>
  </w:num>
  <w:num w:numId="14">
    <w:abstractNumId w:val="1"/>
  </w:num>
  <w:num w:numId="15">
    <w:abstractNumId w:val="11"/>
  </w:num>
  <w:num w:numId="16">
    <w:abstractNumId w:val="6"/>
  </w:num>
  <w:num w:numId="17">
    <w:abstractNumId w:val="14"/>
  </w:num>
  <w:num w:numId="18">
    <w:abstractNumId w:val="9"/>
  </w:num>
  <w:num w:numId="19">
    <w:abstractNumId w:val="20"/>
  </w:num>
  <w:num w:numId="20">
    <w:abstractNumId w:val="7"/>
  </w:num>
  <w:num w:numId="21">
    <w:abstractNumId w:val="16"/>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3B76"/>
    <w:rsid w:val="00312796"/>
    <w:rsid w:val="003225BA"/>
    <w:rsid w:val="00326AB8"/>
    <w:rsid w:val="0034307E"/>
    <w:rsid w:val="00363C1F"/>
    <w:rsid w:val="0036628F"/>
    <w:rsid w:val="00366F7D"/>
    <w:rsid w:val="00380FCF"/>
    <w:rsid w:val="00382C21"/>
    <w:rsid w:val="00384979"/>
    <w:rsid w:val="00394F30"/>
    <w:rsid w:val="003A03CB"/>
    <w:rsid w:val="003B0A06"/>
    <w:rsid w:val="003B626C"/>
    <w:rsid w:val="003D2887"/>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92C1A"/>
    <w:rsid w:val="004A5EE0"/>
    <w:rsid w:val="004A75B1"/>
    <w:rsid w:val="004B29A9"/>
    <w:rsid w:val="004B4F56"/>
    <w:rsid w:val="004C5FA2"/>
    <w:rsid w:val="004C677C"/>
    <w:rsid w:val="004C6F5C"/>
    <w:rsid w:val="004D0321"/>
    <w:rsid w:val="004E7A80"/>
    <w:rsid w:val="004F2E71"/>
    <w:rsid w:val="004F3209"/>
    <w:rsid w:val="004F64DF"/>
    <w:rsid w:val="005109BE"/>
    <w:rsid w:val="00517C3A"/>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5576"/>
    <w:rsid w:val="005A625B"/>
    <w:rsid w:val="005E01FA"/>
    <w:rsid w:val="005F0C84"/>
    <w:rsid w:val="005F11AA"/>
    <w:rsid w:val="005F195A"/>
    <w:rsid w:val="0060216B"/>
    <w:rsid w:val="00604967"/>
    <w:rsid w:val="00607C7F"/>
    <w:rsid w:val="006203A2"/>
    <w:rsid w:val="00625124"/>
    <w:rsid w:val="00636BA1"/>
    <w:rsid w:val="00644A46"/>
    <w:rsid w:val="006468ED"/>
    <w:rsid w:val="006569A3"/>
    <w:rsid w:val="00657CC2"/>
    <w:rsid w:val="00664815"/>
    <w:rsid w:val="0067295A"/>
    <w:rsid w:val="0068471B"/>
    <w:rsid w:val="0068496F"/>
    <w:rsid w:val="0069645B"/>
    <w:rsid w:val="0069733F"/>
    <w:rsid w:val="006A2E19"/>
    <w:rsid w:val="006A788A"/>
    <w:rsid w:val="006B7C64"/>
    <w:rsid w:val="006C03B7"/>
    <w:rsid w:val="006C1DEF"/>
    <w:rsid w:val="006C5536"/>
    <w:rsid w:val="006D2FBF"/>
    <w:rsid w:val="006D535E"/>
    <w:rsid w:val="006E2F1F"/>
    <w:rsid w:val="006F1162"/>
    <w:rsid w:val="006F45C7"/>
    <w:rsid w:val="006F5C8A"/>
    <w:rsid w:val="006F7B59"/>
    <w:rsid w:val="00700F21"/>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3C07"/>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7A0"/>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9F2B28"/>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4AF7"/>
    <w:rsid w:val="00A773EC"/>
    <w:rsid w:val="00A77DA9"/>
    <w:rsid w:val="00A83BD9"/>
    <w:rsid w:val="00A860CA"/>
    <w:rsid w:val="00A862EF"/>
    <w:rsid w:val="00A873BF"/>
    <w:rsid w:val="00A87ACE"/>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20BB"/>
    <w:rsid w:val="00B349FF"/>
    <w:rsid w:val="00B363A4"/>
    <w:rsid w:val="00B40742"/>
    <w:rsid w:val="00B54373"/>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4EC1"/>
    <w:rsid w:val="00C7588E"/>
    <w:rsid w:val="00C81DBF"/>
    <w:rsid w:val="00C83AB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651A"/>
    <w:rsid w:val="00D6660C"/>
    <w:rsid w:val="00D76A89"/>
    <w:rsid w:val="00D770D8"/>
    <w:rsid w:val="00D803BA"/>
    <w:rsid w:val="00D91037"/>
    <w:rsid w:val="00D921A3"/>
    <w:rsid w:val="00DA584B"/>
    <w:rsid w:val="00DA6818"/>
    <w:rsid w:val="00DA75DE"/>
    <w:rsid w:val="00DB0269"/>
    <w:rsid w:val="00DC2203"/>
    <w:rsid w:val="00DC46DB"/>
    <w:rsid w:val="00DD1E33"/>
    <w:rsid w:val="00DD27F1"/>
    <w:rsid w:val="00DD3E42"/>
    <w:rsid w:val="00DD689C"/>
    <w:rsid w:val="00DD7564"/>
    <w:rsid w:val="00DE6E0E"/>
    <w:rsid w:val="00DF00F8"/>
    <w:rsid w:val="00DF3185"/>
    <w:rsid w:val="00DF3E42"/>
    <w:rsid w:val="00E24870"/>
    <w:rsid w:val="00E2557D"/>
    <w:rsid w:val="00E2797C"/>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B7F97"/>
    <w:rsid w:val="00EC03DC"/>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D77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D77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3054</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20514</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subject/>
  <dc:creator>Administrator</dc:creator>
  <cp:keywords/>
  <dc:description/>
  <cp:lastModifiedBy>Jeanette Harris</cp:lastModifiedBy>
  <cp:revision>3</cp:revision>
  <cp:lastPrinted>2011-06-01T15:50:00Z</cp:lastPrinted>
  <dcterms:created xsi:type="dcterms:W3CDTF">2014-03-06T10:18:00Z</dcterms:created>
  <dcterms:modified xsi:type="dcterms:W3CDTF">2014-03-06T12:15:00Z</dcterms:modified>
</cp:coreProperties>
</file>