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5F11AA" w:rsidP="00BA763E">
      <w:pPr>
        <w:pStyle w:val="Header"/>
        <w:jc w:val="right"/>
        <w:rPr>
          <w:b/>
          <w:color w:val="365F91"/>
        </w:rPr>
      </w:pPr>
    </w:p>
    <w:p w:rsidR="00B55E86" w:rsidRDefault="001D78A2" w:rsidP="00DD689C">
      <w:pPr>
        <w:jc w:val="right"/>
        <w:rPr>
          <w:rFonts w:ascii="Arial" w:hAnsi="Arial" w:cs="Arial"/>
          <w:b/>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167640</wp:posOffset>
                </wp:positionV>
                <wp:extent cx="22860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E01" w:rsidRPr="00DD7564" w:rsidRDefault="00DF6E01" w:rsidP="00DD689C">
                            <w:pPr>
                              <w:rPr>
                                <w:rFonts w:ascii="Arial" w:hAnsi="Arial" w:cs="Arial"/>
                                <w:sz w:val="32"/>
                                <w:szCs w:val="32"/>
                              </w:rPr>
                            </w:pPr>
                            <w:r>
                              <w:rPr>
                                <w:rFonts w:ascii="Arial" w:hAnsi="Arial" w:cs="Arial"/>
                                <w:sz w:val="32"/>
                                <w:szCs w:val="32"/>
                              </w:rPr>
                              <w:t xml:space="preserve">Attachment </w:t>
                            </w:r>
                            <w:r w:rsidR="00982582">
                              <w:rPr>
                                <w:rFonts w:ascii="Arial" w:hAnsi="Arial" w:cs="Arial"/>
                                <w:sz w:val="32"/>
                                <w:szCs w:val="32"/>
                              </w:rPr>
                              <w:t>08</w:t>
                            </w:r>
                          </w:p>
                          <w:p w:rsidR="00DF6E01" w:rsidRDefault="00DF6E01"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" stroked="f">
                <v:textbox>
                  <w:txbxContent>
                    <w:p w:rsidR="00DF6E01" w:rsidRPr="00DD7564" w:rsidRDefault="00DF6E01" w:rsidP="00DD689C">
                      <w:pPr>
                        <w:rPr>
                          <w:rFonts w:ascii="Arial" w:hAnsi="Arial" w:cs="Arial"/>
                          <w:sz w:val="32"/>
                          <w:szCs w:val="32"/>
                        </w:rPr>
                      </w:pPr>
                      <w:r>
                        <w:rPr>
                          <w:rFonts w:ascii="Arial" w:hAnsi="Arial" w:cs="Arial"/>
                          <w:sz w:val="32"/>
                          <w:szCs w:val="32"/>
                        </w:rPr>
                        <w:t xml:space="preserve">Attachment </w:t>
                      </w:r>
                      <w:r w:rsidR="00982582">
                        <w:rPr>
                          <w:rFonts w:ascii="Arial" w:hAnsi="Arial" w:cs="Arial"/>
                          <w:sz w:val="32"/>
                          <w:szCs w:val="32"/>
                        </w:rPr>
                        <w:t>08</w:t>
                      </w:r>
                    </w:p>
                    <w:p w:rsidR="00DF6E01" w:rsidRDefault="00DF6E01" w:rsidP="00DD689C">
                      <w:pPr>
                        <w:rPr>
                          <w:sz w:val="36"/>
                        </w:rPr>
                      </w:pPr>
                    </w:p>
                  </w:txbxContent>
                </v:textbox>
              </v:shape>
            </w:pict>
          </mc:Fallback>
        </mc:AlternateContent>
      </w:r>
    </w:p>
    <w:p w:rsidR="00DD689C" w:rsidRDefault="00DD689C" w:rsidP="00B55E86">
      <w:pPr>
        <w:rPr>
          <w:rFonts w:ascii="Arial" w:hAnsi="Arial" w:cs="Arial"/>
          <w:b/>
          <w:sz w:val="52"/>
          <w:szCs w:val="52"/>
        </w:rPr>
      </w:pPr>
      <w:bookmarkStart w:id="0" w:name="_GoBack"/>
      <w:bookmarkEnd w:id="0"/>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F6E01"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F6E01" w:rsidP="00BC5CEC">
            <w:pPr>
              <w:rPr>
                <w:rFonts w:ascii="Arial" w:hAnsi="Arial" w:cs="Arial"/>
                <w:bCs/>
                <w:sz w:val="22"/>
                <w:szCs w:val="22"/>
              </w:rPr>
            </w:pPr>
            <w:r>
              <w:rPr>
                <w:rFonts w:ascii="Arial" w:hAnsi="Arial" w:cs="Arial"/>
                <w:bCs/>
                <w:sz w:val="22"/>
                <w:szCs w:val="22"/>
              </w:rPr>
              <w:t>13 March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F6E01" w:rsidP="009306C6">
            <w:pPr>
              <w:rPr>
                <w:rFonts w:ascii="Arial" w:hAnsi="Arial" w:cs="Arial"/>
                <w:bCs/>
                <w:sz w:val="22"/>
                <w:szCs w:val="22"/>
              </w:rPr>
            </w:pPr>
            <w:r>
              <w:rPr>
                <w:rFonts w:ascii="Arial" w:hAnsi="Arial" w:cs="Arial"/>
                <w:bCs/>
                <w:sz w:val="22"/>
                <w:szCs w:val="22"/>
              </w:rPr>
              <w:t>Winter Planning Review</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F6E01"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Pr="00752FD6" w:rsidRDefault="00DD689C" w:rsidP="009306C6">
            <w:pPr>
              <w:rPr>
                <w:rFonts w:ascii="Arial" w:hAnsi="Arial" w:cs="Arial"/>
                <w:bCs/>
                <w:sz w:val="22"/>
                <w:szCs w:val="22"/>
              </w:rPr>
            </w:pPr>
          </w:p>
          <w:p w:rsidR="00DD689C" w:rsidRDefault="00DF6E01" w:rsidP="0025514C">
            <w:pPr>
              <w:rPr>
                <w:rFonts w:ascii="Arial" w:hAnsi="Arial" w:cs="Arial"/>
                <w:bCs/>
                <w:sz w:val="22"/>
                <w:szCs w:val="22"/>
              </w:rPr>
            </w:pPr>
            <w:r>
              <w:rPr>
                <w:rFonts w:ascii="Arial" w:hAnsi="Arial" w:cs="Arial"/>
                <w:bCs/>
                <w:sz w:val="22"/>
                <w:szCs w:val="22"/>
              </w:rPr>
              <w:t>To update the Board on winter planning, issues arising and performance.</w:t>
            </w:r>
          </w:p>
          <w:p w:rsidR="00DD7564" w:rsidRDefault="00DD7564" w:rsidP="0025514C">
            <w:pPr>
              <w:rPr>
                <w:rFonts w:ascii="Arial" w:hAnsi="Arial" w:cs="Arial"/>
                <w:bCs/>
                <w:sz w:val="22"/>
                <w:szCs w:val="22"/>
              </w:rPr>
            </w:pPr>
          </w:p>
          <w:p w:rsidR="00DD7564" w:rsidRPr="00752FD6" w:rsidRDefault="00DD7564" w:rsidP="0025514C">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DD689C" w:rsidRPr="00752FD6" w:rsidRDefault="00DD689C" w:rsidP="009306C6">
            <w:pPr>
              <w:rPr>
                <w:rFonts w:ascii="Arial" w:hAnsi="Arial" w:cs="Arial"/>
                <w:bCs/>
                <w:sz w:val="22"/>
                <w:szCs w:val="22"/>
              </w:rPr>
            </w:pPr>
          </w:p>
          <w:p w:rsidR="00DD689C" w:rsidRDefault="00DF6E01" w:rsidP="009306C6">
            <w:pPr>
              <w:rPr>
                <w:rFonts w:ascii="Arial" w:hAnsi="Arial" w:cs="Arial"/>
                <w:bCs/>
                <w:sz w:val="22"/>
                <w:szCs w:val="22"/>
              </w:rPr>
            </w:pPr>
            <w:r>
              <w:rPr>
                <w:rFonts w:ascii="Arial" w:hAnsi="Arial" w:cs="Arial"/>
                <w:bCs/>
                <w:sz w:val="22"/>
                <w:szCs w:val="22"/>
              </w:rPr>
              <w:t>Not a</w:t>
            </w:r>
            <w:r w:rsidR="00C16D24">
              <w:rPr>
                <w:rFonts w:ascii="Arial" w:hAnsi="Arial" w:cs="Arial"/>
                <w:bCs/>
                <w:sz w:val="22"/>
                <w:szCs w:val="22"/>
              </w:rPr>
              <w:t>pplicable</w:t>
            </w:r>
          </w:p>
          <w:p w:rsidR="00DD7564" w:rsidRDefault="00DD7564" w:rsidP="009306C6">
            <w:pPr>
              <w:rPr>
                <w:rFonts w:ascii="Arial" w:hAnsi="Arial" w:cs="Arial"/>
                <w:bCs/>
                <w:sz w:val="22"/>
                <w:szCs w:val="22"/>
              </w:rPr>
            </w:pPr>
          </w:p>
          <w:p w:rsidR="00DD7564" w:rsidRPr="00752FD6" w:rsidRDefault="00DD7564"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585083" w:rsidP="00585083">
            <w:pPr>
              <w:jc w:val="both"/>
              <w:rPr>
                <w:rFonts w:ascii="Arial" w:hAnsi="Arial" w:cs="Arial"/>
                <w:bCs/>
                <w:sz w:val="22"/>
                <w:szCs w:val="22"/>
              </w:rPr>
            </w:pPr>
          </w:p>
          <w:p w:rsidR="00DD7564" w:rsidRDefault="00C16D24" w:rsidP="00585083">
            <w:pPr>
              <w:jc w:val="both"/>
              <w:rPr>
                <w:rFonts w:ascii="Arial" w:hAnsi="Arial" w:cs="Arial"/>
                <w:bCs/>
                <w:sz w:val="22"/>
                <w:szCs w:val="22"/>
              </w:rPr>
            </w:pPr>
            <w:r>
              <w:rPr>
                <w:rFonts w:ascii="Arial" w:hAnsi="Arial" w:cs="Arial"/>
                <w:bCs/>
                <w:sz w:val="22"/>
                <w:szCs w:val="22"/>
              </w:rPr>
              <w:t>Not applicable</w:t>
            </w:r>
          </w:p>
          <w:p w:rsidR="00DD7564" w:rsidRPr="00752FD6" w:rsidRDefault="00DD7564" w:rsidP="00585083">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C16D24" w:rsidP="009306C6">
            <w:pPr>
              <w:rPr>
                <w:rFonts w:ascii="Arial" w:hAnsi="Arial" w:cs="Arial"/>
                <w:bCs/>
                <w:sz w:val="22"/>
                <w:szCs w:val="22"/>
              </w:rPr>
            </w:pPr>
            <w:r>
              <w:rPr>
                <w:rFonts w:ascii="Arial" w:hAnsi="Arial" w:cs="Arial"/>
                <w:bCs/>
                <w:sz w:val="22"/>
                <w:szCs w:val="22"/>
              </w:rPr>
              <w:t>The Board is asked to note the update and progress being made</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roofErr w:type="spellStart"/>
            <w:r w:rsidRPr="00752FD6">
              <w:rPr>
                <w:rFonts w:ascii="Arial" w:hAnsi="Arial" w:cs="Arial"/>
                <w:sz w:val="22"/>
                <w:szCs w:val="22"/>
              </w:rPr>
              <w:t>i</w:t>
            </w:r>
            <w:proofErr w:type="spellEnd"/>
            <w:r w:rsidRPr="00752FD6">
              <w:rPr>
                <w:rFonts w:ascii="Arial" w:hAnsi="Arial" w:cs="Arial"/>
                <w:sz w:val="22"/>
                <w:szCs w:val="22"/>
              </w:rPr>
              <w:t>)</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982582" w:rsidP="00752FD6">
            <w:pPr>
              <w:spacing w:before="80" w:after="80"/>
              <w:rPr>
                <w:rFonts w:ascii="Arial" w:hAnsi="Arial" w:cs="Arial"/>
                <w:sz w:val="22"/>
                <w:szCs w:val="22"/>
              </w:rPr>
            </w:pPr>
            <w:hyperlink r:id="rId9"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DD689C" w:rsidRDefault="00DD689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Default="0084576C" w:rsidP="0077428E">
      <w:pPr>
        <w:rPr>
          <w:rFonts w:ascii="Arial" w:hAnsi="Arial" w:cs="Arial"/>
          <w:b/>
          <w:bCs/>
          <w:sz w:val="22"/>
          <w:szCs w:val="22"/>
        </w:rPr>
      </w:pPr>
    </w:p>
    <w:p w:rsidR="0084576C" w:rsidRPr="00FE57A6" w:rsidRDefault="0084576C" w:rsidP="0084576C">
      <w:pPr>
        <w:rPr>
          <w:rFonts w:asciiTheme="minorHAnsi" w:eastAsiaTheme="minorHAnsi" w:hAnsiTheme="minorHAnsi" w:cstheme="minorBidi"/>
          <w:b/>
          <w:sz w:val="32"/>
          <w:szCs w:val="32"/>
          <w:lang w:eastAsia="en-US"/>
        </w:rPr>
      </w:pPr>
      <w:r w:rsidRPr="00FE57A6">
        <w:rPr>
          <w:rFonts w:asciiTheme="minorHAnsi" w:eastAsiaTheme="minorHAnsi" w:hAnsiTheme="minorHAnsi" w:cstheme="minorBidi"/>
          <w:b/>
          <w:sz w:val="32"/>
          <w:szCs w:val="32"/>
          <w:lang w:eastAsia="en-US"/>
        </w:rPr>
        <w:lastRenderedPageBreak/>
        <w:t>NEL Winter Planning Update</w:t>
      </w: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spacing w:line="276" w:lineRule="auto"/>
        <w:rPr>
          <w:rFonts w:asciiTheme="minorHAnsi" w:eastAsiaTheme="minorHAnsi" w:hAnsiTheme="minorHAnsi" w:cstheme="minorBidi"/>
          <w:lang w:eastAsia="en-US"/>
        </w:rPr>
      </w:pPr>
    </w:p>
    <w:p w:rsidR="0084576C" w:rsidRPr="00FE57A6" w:rsidRDefault="0084576C" w:rsidP="0084576C">
      <w:pPr>
        <w:spacing w:line="276" w:lineRule="auto"/>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We are now more than 4 months into the 5 month “official winter” period covered by the intensive winter monitoring and reporting regime established under the NHS England framework.  Established to support A&amp;E 4 </w:t>
      </w:r>
      <w:proofErr w:type="spellStart"/>
      <w:r w:rsidRPr="00FE57A6">
        <w:rPr>
          <w:rFonts w:asciiTheme="minorHAnsi" w:eastAsiaTheme="minorHAnsi" w:hAnsiTheme="minorHAnsi" w:cstheme="minorBidi"/>
          <w:lang w:eastAsia="en-US"/>
        </w:rPr>
        <w:t>hr</w:t>
      </w:r>
      <w:proofErr w:type="spellEnd"/>
      <w:r w:rsidRPr="00FE57A6">
        <w:rPr>
          <w:rFonts w:asciiTheme="minorHAnsi" w:eastAsiaTheme="minorHAnsi" w:hAnsiTheme="minorHAnsi" w:cstheme="minorBidi"/>
          <w:lang w:eastAsia="en-US"/>
        </w:rPr>
        <w:t xml:space="preserve"> wait performance, this process necessarily takes a whole system view of demand, resources, bed capacity and discharge, i.e. the patient </w:t>
      </w:r>
      <w:r w:rsidRPr="00FE57A6">
        <w:rPr>
          <w:rFonts w:asciiTheme="minorHAnsi" w:eastAsiaTheme="minorHAnsi" w:hAnsiTheme="minorHAnsi" w:cstheme="minorBidi"/>
          <w:i/>
          <w:lang w:eastAsia="en-US"/>
        </w:rPr>
        <w:t xml:space="preserve">flow </w:t>
      </w:r>
      <w:r w:rsidRPr="00FE57A6">
        <w:rPr>
          <w:rFonts w:asciiTheme="minorHAnsi" w:eastAsiaTheme="minorHAnsi" w:hAnsiTheme="minorHAnsi" w:cstheme="minorBidi"/>
          <w:lang w:eastAsia="en-US"/>
        </w:rPr>
        <w:t xml:space="preserve">and establishes a wraparound scheme of risk assessment, monitoring and escalation. </w:t>
      </w:r>
    </w:p>
    <w:p w:rsidR="0084576C" w:rsidRPr="00FE57A6" w:rsidRDefault="0084576C" w:rsidP="0084576C">
      <w:pPr>
        <w:spacing w:line="276" w:lineRule="auto"/>
        <w:rPr>
          <w:rFonts w:asciiTheme="minorHAnsi" w:eastAsiaTheme="minorHAnsi" w:hAnsiTheme="minorHAnsi" w:cstheme="minorBidi"/>
          <w:lang w:eastAsia="en-US"/>
        </w:rPr>
      </w:pPr>
    </w:p>
    <w:p w:rsidR="0084576C" w:rsidRPr="00FE57A6" w:rsidRDefault="0084576C" w:rsidP="0084576C">
      <w:pPr>
        <w:spacing w:line="276" w:lineRule="auto"/>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As February ends we have yet to see any significant ice or snow or some of the usual related winter patterns and consequently it has been a different winter activity pattern with notable activity levels in February continuing into March. This pattern seems common to SGH in North </w:t>
      </w:r>
      <w:proofErr w:type="spellStart"/>
      <w:r w:rsidRPr="00FE57A6">
        <w:rPr>
          <w:rFonts w:asciiTheme="minorHAnsi" w:eastAsiaTheme="minorHAnsi" w:hAnsiTheme="minorHAnsi" w:cstheme="minorBidi"/>
          <w:lang w:eastAsia="en-US"/>
        </w:rPr>
        <w:t>Lincs</w:t>
      </w:r>
      <w:proofErr w:type="spellEnd"/>
      <w:r w:rsidRPr="00FE57A6">
        <w:rPr>
          <w:rFonts w:asciiTheme="minorHAnsi" w:eastAsiaTheme="minorHAnsi" w:hAnsiTheme="minorHAnsi" w:cstheme="minorBidi"/>
          <w:lang w:eastAsia="en-US"/>
        </w:rPr>
        <w:t xml:space="preserve"> but not notably across the wider NY and Humber region which seems to have been more problematic for them compared to NEL/NL in the earlier winter months.</w:t>
      </w:r>
    </w:p>
    <w:p w:rsidR="0084576C" w:rsidRPr="00FE57A6" w:rsidRDefault="0084576C" w:rsidP="0084576C">
      <w:pPr>
        <w:spacing w:line="276" w:lineRule="auto"/>
        <w:rPr>
          <w:rFonts w:asciiTheme="minorHAnsi" w:eastAsiaTheme="minorHAnsi" w:hAnsiTheme="minorHAnsi" w:cstheme="minorBidi"/>
          <w:lang w:eastAsia="en-US"/>
        </w:rPr>
      </w:pPr>
    </w:p>
    <w:p w:rsidR="0084576C" w:rsidRPr="00FE57A6" w:rsidRDefault="0084576C" w:rsidP="0084576C">
      <w:pPr>
        <w:spacing w:line="276" w:lineRule="auto"/>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In the period, the overall system has performed well. A&amp;E 4 </w:t>
      </w:r>
      <w:proofErr w:type="spellStart"/>
      <w:r w:rsidRPr="00FE57A6">
        <w:rPr>
          <w:rFonts w:asciiTheme="minorHAnsi" w:eastAsiaTheme="minorHAnsi" w:hAnsiTheme="minorHAnsi" w:cstheme="minorBidi"/>
          <w:lang w:eastAsia="en-US"/>
        </w:rPr>
        <w:t>hr</w:t>
      </w:r>
      <w:proofErr w:type="spellEnd"/>
      <w:r w:rsidRPr="00FE57A6">
        <w:rPr>
          <w:rFonts w:asciiTheme="minorHAnsi" w:eastAsiaTheme="minorHAnsi" w:hAnsiTheme="minorHAnsi" w:cstheme="minorBidi"/>
          <w:lang w:eastAsia="en-US"/>
        </w:rPr>
        <w:t xml:space="preserve"> wait performance was compliant for Q3 </w:t>
      </w:r>
      <w:proofErr w:type="gramStart"/>
      <w:r w:rsidRPr="00FE57A6">
        <w:rPr>
          <w:rFonts w:asciiTheme="minorHAnsi" w:eastAsiaTheme="minorHAnsi" w:hAnsiTheme="minorHAnsi" w:cstheme="minorBidi"/>
          <w:lang w:eastAsia="en-US"/>
        </w:rPr>
        <w:t>( Oct</w:t>
      </w:r>
      <w:proofErr w:type="gramEnd"/>
      <w:r w:rsidRPr="00FE57A6">
        <w:rPr>
          <w:rFonts w:asciiTheme="minorHAnsi" w:eastAsiaTheme="minorHAnsi" w:hAnsiTheme="minorHAnsi" w:cstheme="minorBidi"/>
          <w:lang w:eastAsia="en-US"/>
        </w:rPr>
        <w:t>, Nov, Dec ) with Q4 to date (Jan and Feb) also currently compliant.</w:t>
      </w:r>
    </w:p>
    <w:p w:rsidR="0084576C" w:rsidRPr="00FE57A6" w:rsidRDefault="0084576C" w:rsidP="0084576C">
      <w:pPr>
        <w:spacing w:line="276" w:lineRule="auto"/>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This is an improvement on last year particularly through the Christmas and January holiday period. To date through this period there has been one </w:t>
      </w:r>
      <w:r w:rsidRPr="00FE57A6">
        <w:rPr>
          <w:rFonts w:asciiTheme="minorHAnsi" w:eastAsiaTheme="minorHAnsi" w:hAnsiTheme="minorHAnsi" w:cstheme="minorBidi"/>
          <w:i/>
          <w:lang w:eastAsia="en-US"/>
        </w:rPr>
        <w:t xml:space="preserve">significant event </w:t>
      </w:r>
      <w:r w:rsidRPr="00FE57A6">
        <w:rPr>
          <w:rFonts w:asciiTheme="minorHAnsi" w:eastAsiaTheme="minorHAnsi" w:hAnsiTheme="minorHAnsi" w:cstheme="minorBidi"/>
          <w:lang w:eastAsia="en-US"/>
        </w:rPr>
        <w:t>and this was a notable period of sustained activity at the end of February into early March where bed capacity became critical with a resultant impact on patient flow and A&amp;E performance. This was not predicable and was marked enough to impact on normal recovery.</w:t>
      </w: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spacing w:line="276" w:lineRule="auto"/>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Some of the planning aspects though to have contributed to performance are </w:t>
      </w:r>
      <w:proofErr w:type="gramStart"/>
      <w:r w:rsidRPr="00FE57A6">
        <w:rPr>
          <w:rFonts w:asciiTheme="minorHAnsi" w:eastAsiaTheme="minorHAnsi" w:hAnsiTheme="minorHAnsi" w:cstheme="minorBidi"/>
          <w:lang w:eastAsia="en-US"/>
        </w:rPr>
        <w:t>( not</w:t>
      </w:r>
      <w:proofErr w:type="gramEnd"/>
      <w:r w:rsidRPr="00FE57A6">
        <w:rPr>
          <w:rFonts w:asciiTheme="minorHAnsi" w:eastAsiaTheme="minorHAnsi" w:hAnsiTheme="minorHAnsi" w:cstheme="minorBidi"/>
          <w:lang w:eastAsia="en-US"/>
        </w:rPr>
        <w:t xml:space="preserve"> exclusively ):-</w:t>
      </w:r>
    </w:p>
    <w:p w:rsidR="0084576C" w:rsidRPr="00FE57A6" w:rsidRDefault="0084576C" w:rsidP="0084576C">
      <w:pPr>
        <w:spacing w:line="276" w:lineRule="auto"/>
        <w:rPr>
          <w:rFonts w:asciiTheme="minorHAnsi" w:eastAsiaTheme="minorHAnsi" w:hAnsiTheme="minorHAnsi" w:cstheme="minorBidi"/>
          <w:lang w:eastAsia="en-US"/>
        </w:rPr>
      </w:pPr>
    </w:p>
    <w:p w:rsidR="0084576C" w:rsidRPr="00FE57A6" w:rsidRDefault="0084576C" w:rsidP="0084576C">
      <w:pPr>
        <w:numPr>
          <w:ilvl w:val="0"/>
          <w:numId w:val="20"/>
        </w:numPr>
        <w:spacing w:line="276" w:lineRule="auto"/>
        <w:contextualSpacing/>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Improved processes at </w:t>
      </w:r>
      <w:proofErr w:type="spellStart"/>
      <w:r w:rsidRPr="00FE57A6">
        <w:rPr>
          <w:rFonts w:asciiTheme="minorHAnsi" w:eastAsiaTheme="minorHAnsi" w:hAnsiTheme="minorHAnsi" w:cstheme="minorBidi"/>
          <w:lang w:eastAsia="en-US"/>
        </w:rPr>
        <w:t>DPoW</w:t>
      </w:r>
      <w:proofErr w:type="spellEnd"/>
      <w:r w:rsidRPr="00FE57A6">
        <w:rPr>
          <w:rFonts w:asciiTheme="minorHAnsi" w:eastAsiaTheme="minorHAnsi" w:hAnsiTheme="minorHAnsi" w:cstheme="minorBidi"/>
          <w:lang w:eastAsia="en-US"/>
        </w:rPr>
        <w:t xml:space="preserve"> to manage infection control outbreaks. Some sporadic closures of community facilities for D&amp;V have not resulted in ward closures to date. This was identified as the highest risk based on the levels of ward closures seen last year and the resultant impact on patient flow and A &amp; E performance.</w:t>
      </w:r>
    </w:p>
    <w:p w:rsidR="0084576C" w:rsidRPr="00FE57A6" w:rsidRDefault="0084576C" w:rsidP="0084576C">
      <w:pPr>
        <w:spacing w:line="276" w:lineRule="auto"/>
        <w:rPr>
          <w:rFonts w:asciiTheme="minorHAnsi" w:eastAsiaTheme="minorHAnsi" w:hAnsiTheme="minorHAnsi" w:cstheme="minorBidi"/>
          <w:lang w:eastAsia="en-US"/>
        </w:rPr>
      </w:pPr>
    </w:p>
    <w:p w:rsidR="0084576C" w:rsidRPr="00FE57A6" w:rsidRDefault="0084576C" w:rsidP="0084576C">
      <w:pPr>
        <w:numPr>
          <w:ilvl w:val="0"/>
          <w:numId w:val="20"/>
        </w:numPr>
        <w:spacing w:line="276" w:lineRule="auto"/>
        <w:contextualSpacing/>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The extension of the GP in A&amp;E service and use of step-up beds community capacity are both regarded as having supported A&amp;E pressures by reducing the activity required to be dealt with by A&amp;E. Both schemes need to continue and be extended and developed to continue to allow A&amp;E to focus on specialist emergency care. The GP in A&amp;E scheme is now well established and is dealing with ~ 20% of attendees during operating hours and supporting A&amp;E performance in this way. The service has recently begun operating at weekends, integrated with the GP </w:t>
      </w:r>
      <w:proofErr w:type="gramStart"/>
      <w:r w:rsidRPr="00FE57A6">
        <w:rPr>
          <w:rFonts w:asciiTheme="minorHAnsi" w:eastAsiaTheme="minorHAnsi" w:hAnsiTheme="minorHAnsi" w:cstheme="minorBidi"/>
          <w:lang w:eastAsia="en-US"/>
        </w:rPr>
        <w:t>Out</w:t>
      </w:r>
      <w:proofErr w:type="gramEnd"/>
      <w:r w:rsidRPr="00FE57A6">
        <w:rPr>
          <w:rFonts w:asciiTheme="minorHAnsi" w:eastAsiaTheme="minorHAnsi" w:hAnsiTheme="minorHAnsi" w:cstheme="minorBidi"/>
          <w:lang w:eastAsia="en-US"/>
        </w:rPr>
        <w:t xml:space="preserve"> of Hours service, as part of the 7 day working devel</w:t>
      </w:r>
      <w:r>
        <w:rPr>
          <w:rFonts w:asciiTheme="minorHAnsi" w:eastAsiaTheme="minorHAnsi" w:hAnsiTheme="minorHAnsi" w:cstheme="minorBidi"/>
          <w:lang w:eastAsia="en-US"/>
        </w:rPr>
        <w:t>o</w:t>
      </w:r>
      <w:r w:rsidRPr="00FE57A6">
        <w:rPr>
          <w:rFonts w:asciiTheme="minorHAnsi" w:eastAsiaTheme="minorHAnsi" w:hAnsiTheme="minorHAnsi" w:cstheme="minorBidi"/>
          <w:lang w:eastAsia="en-US"/>
        </w:rPr>
        <w:t>pments.</w:t>
      </w:r>
    </w:p>
    <w:p w:rsidR="0084576C" w:rsidRPr="00FE57A6" w:rsidRDefault="0084576C" w:rsidP="0084576C">
      <w:pPr>
        <w:ind w:left="720"/>
        <w:contextualSpacing/>
        <w:rPr>
          <w:rFonts w:asciiTheme="minorHAnsi" w:eastAsiaTheme="minorHAnsi" w:hAnsiTheme="minorHAnsi" w:cstheme="minorBidi"/>
          <w:lang w:eastAsia="en-US"/>
        </w:rPr>
      </w:pPr>
    </w:p>
    <w:p w:rsidR="0084576C" w:rsidRPr="00FE57A6" w:rsidRDefault="0084576C" w:rsidP="0084576C">
      <w:pPr>
        <w:numPr>
          <w:ilvl w:val="0"/>
          <w:numId w:val="20"/>
        </w:numPr>
        <w:spacing w:line="276" w:lineRule="auto"/>
        <w:contextualSpacing/>
        <w:rPr>
          <w:rFonts w:asciiTheme="minorHAnsi" w:eastAsiaTheme="minorHAnsi" w:hAnsiTheme="minorHAnsi" w:cstheme="minorBidi"/>
          <w:lang w:eastAsia="en-US"/>
        </w:rPr>
      </w:pPr>
      <w:r w:rsidRPr="00FE57A6">
        <w:rPr>
          <w:rFonts w:asciiTheme="minorHAnsi" w:eastAsiaTheme="minorHAnsi" w:hAnsiTheme="minorHAnsi" w:cstheme="minorBidi"/>
          <w:lang w:eastAsia="en-US"/>
        </w:rPr>
        <w:t>A&amp;E staffing regime was improved with actions taken to ensure additional consultant and nurse cover where demand was predicted or over traditional holiday periods. Staffing remains an issue due to predicted difficulties with sickness, recruitment and bank availability and this will continue to be a focus for winter planning assurance from all providers.</w:t>
      </w:r>
    </w:p>
    <w:p w:rsidR="0084576C" w:rsidRPr="00FE57A6" w:rsidRDefault="0084576C" w:rsidP="0084576C">
      <w:pPr>
        <w:spacing w:line="276" w:lineRule="auto"/>
        <w:rPr>
          <w:rFonts w:asciiTheme="minorHAnsi" w:eastAsiaTheme="minorHAnsi" w:hAnsiTheme="minorHAnsi" w:cstheme="minorBidi"/>
          <w:lang w:eastAsia="en-US"/>
        </w:rPr>
      </w:pPr>
    </w:p>
    <w:p w:rsidR="0084576C" w:rsidRPr="00FE57A6" w:rsidRDefault="0084576C" w:rsidP="0084576C">
      <w:pPr>
        <w:spacing w:line="276" w:lineRule="auto"/>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It is evident that the processes established for monitoring and escalation planning would serve us well (in some form) as a continuous around the year approach to monitoring with the core provider groups that can have an impact on patient flow. </w:t>
      </w:r>
    </w:p>
    <w:p w:rsidR="0084576C" w:rsidRPr="00FE57A6" w:rsidRDefault="0084576C" w:rsidP="0084576C">
      <w:pPr>
        <w:spacing w:line="276" w:lineRule="auto"/>
        <w:rPr>
          <w:rFonts w:asciiTheme="minorHAnsi" w:eastAsiaTheme="minorHAnsi" w:hAnsiTheme="minorHAnsi" w:cstheme="minorBidi"/>
          <w:lang w:eastAsia="en-US"/>
        </w:rPr>
      </w:pPr>
      <w:r w:rsidRPr="00FE57A6">
        <w:rPr>
          <w:rFonts w:asciiTheme="minorHAnsi" w:eastAsiaTheme="minorHAnsi" w:hAnsiTheme="minorHAnsi" w:cstheme="minorBidi"/>
          <w:lang w:eastAsia="en-US"/>
        </w:rPr>
        <w:t xml:space="preserve">The single </w:t>
      </w:r>
      <w:r w:rsidRPr="00FE57A6">
        <w:rPr>
          <w:rFonts w:asciiTheme="minorHAnsi" w:eastAsiaTheme="minorHAnsi" w:hAnsiTheme="minorHAnsi" w:cstheme="minorBidi"/>
          <w:i/>
          <w:lang w:eastAsia="en-US"/>
        </w:rPr>
        <w:t>significant event</w:t>
      </w:r>
      <w:r w:rsidRPr="00FE57A6">
        <w:rPr>
          <w:rFonts w:asciiTheme="minorHAnsi" w:eastAsiaTheme="minorHAnsi" w:hAnsiTheme="minorHAnsi" w:cstheme="minorBidi"/>
          <w:lang w:eastAsia="en-US"/>
        </w:rPr>
        <w:t xml:space="preserve"> so far this year came about, not through the most expected risks but by a sustained period of high attendee activity and within that a high level of admissions. These peaks occur regularly and occasionally, as in this case continue past the point where bed availability can be continually managed to ensure adequate supply. The most important lesson is that all parties need to improve the pro-active escalation of their activity to support the management of the pressure situation and whilst this already happens it is not formalised for community providers and they too act to their own resource capacity.  This year, the development of the basis for a contractual, flexible alliance of providers that take more of the pressure in these circumstances should be a priority, along with the supportive enablers such as the SPA.</w:t>
      </w: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rPr>
          <w:rFonts w:asciiTheme="minorHAnsi" w:eastAsiaTheme="minorHAnsi" w:hAnsiTheme="minorHAnsi" w:cstheme="minorBidi"/>
          <w:b/>
          <w:sz w:val="22"/>
          <w:szCs w:val="22"/>
          <w:lang w:eastAsia="en-US"/>
        </w:rPr>
      </w:pPr>
    </w:p>
    <w:p w:rsidR="0084576C" w:rsidRPr="00FE57A6" w:rsidRDefault="0084576C" w:rsidP="0084576C">
      <w:pPr>
        <w:rPr>
          <w:rFonts w:asciiTheme="minorHAnsi" w:eastAsiaTheme="minorHAnsi" w:hAnsiTheme="minorHAnsi" w:cstheme="minorBidi"/>
          <w:b/>
          <w:sz w:val="22"/>
          <w:szCs w:val="22"/>
          <w:lang w:eastAsia="en-US"/>
        </w:rPr>
      </w:pPr>
    </w:p>
    <w:p w:rsidR="0084576C" w:rsidRPr="00FE57A6" w:rsidRDefault="0084576C" w:rsidP="0084576C">
      <w:pPr>
        <w:rPr>
          <w:rFonts w:asciiTheme="minorHAnsi" w:eastAsiaTheme="minorHAnsi" w:hAnsiTheme="minorHAnsi" w:cstheme="minorBidi"/>
          <w:b/>
          <w:sz w:val="22"/>
          <w:szCs w:val="22"/>
          <w:lang w:eastAsia="en-US"/>
        </w:rPr>
      </w:pPr>
    </w:p>
    <w:p w:rsidR="0084576C" w:rsidRPr="00FE57A6" w:rsidRDefault="0084576C" w:rsidP="0084576C">
      <w:pPr>
        <w:rPr>
          <w:rFonts w:asciiTheme="minorHAnsi" w:eastAsiaTheme="minorHAnsi" w:hAnsiTheme="minorHAnsi" w:cstheme="minorBidi"/>
          <w:b/>
          <w:sz w:val="28"/>
          <w:szCs w:val="28"/>
          <w:lang w:eastAsia="en-US"/>
        </w:rPr>
      </w:pPr>
      <w:r w:rsidRPr="00FE57A6">
        <w:rPr>
          <w:rFonts w:asciiTheme="minorHAnsi" w:eastAsiaTheme="minorHAnsi" w:hAnsiTheme="minorHAnsi" w:cstheme="minorBidi"/>
          <w:b/>
          <w:sz w:val="28"/>
          <w:szCs w:val="28"/>
          <w:lang w:eastAsia="en-US"/>
        </w:rPr>
        <w:t>Year to date - All Emergency Admissions</w:t>
      </w: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rPr>
          <w:rFonts w:asciiTheme="minorHAnsi" w:eastAsiaTheme="minorHAnsi" w:hAnsiTheme="minorHAnsi" w:cstheme="minorBidi"/>
          <w:sz w:val="22"/>
          <w:szCs w:val="22"/>
          <w:lang w:eastAsia="en-US"/>
        </w:rPr>
      </w:pPr>
      <w:r w:rsidRPr="00FE57A6">
        <w:rPr>
          <w:rFonts w:asciiTheme="minorHAnsi" w:eastAsiaTheme="minorHAnsi" w:hAnsiTheme="minorHAnsi" w:cstheme="minorBidi"/>
          <w:noProof/>
          <w:sz w:val="22"/>
          <w:szCs w:val="22"/>
        </w:rPr>
        <w:drawing>
          <wp:inline distT="0" distB="0" distL="0" distR="0" wp14:anchorId="5CC2EC2E" wp14:editId="3CEB7707">
            <wp:extent cx="1777942" cy="1661823"/>
            <wp:effectExtent l="19050" t="19050" r="13335" b="14605"/>
            <wp:docPr id="3" name="Picture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368" cy="1651005"/>
                    </a:xfrm>
                    <a:prstGeom prst="rect">
                      <a:avLst/>
                    </a:prstGeom>
                    <a:noFill/>
                    <a:ln w="0" cmpd="sng">
                      <a:solidFill>
                        <a:srgbClr val="000000"/>
                      </a:solidFill>
                      <a:miter lim="800000"/>
                      <a:headEnd/>
                      <a:tailEnd/>
                    </a:ln>
                    <a:effectLst/>
                  </pic:spPr>
                </pic:pic>
              </a:graphicData>
            </a:graphic>
          </wp:inline>
        </w:drawing>
      </w:r>
      <w:r w:rsidRPr="00FE57A6">
        <w:rPr>
          <w:rFonts w:asciiTheme="minorHAnsi" w:eastAsiaTheme="minorHAnsi" w:hAnsiTheme="minorHAnsi" w:cstheme="minorBidi"/>
          <w:noProof/>
          <w:sz w:val="22"/>
          <w:szCs w:val="22"/>
        </w:rPr>
        <w:drawing>
          <wp:inline distT="0" distB="0" distL="0" distR="0" wp14:anchorId="30422AF9" wp14:editId="75776DB7">
            <wp:extent cx="3275937" cy="1652485"/>
            <wp:effectExtent l="19050" t="19050" r="20320" b="24130"/>
            <wp:docPr id="4" name="Picture 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237" cy="1646079"/>
                    </a:xfrm>
                    <a:prstGeom prst="rect">
                      <a:avLst/>
                    </a:prstGeom>
                    <a:noFill/>
                    <a:ln w="0" cmpd="sng">
                      <a:solidFill>
                        <a:srgbClr val="000000"/>
                      </a:solidFill>
                      <a:miter lim="800000"/>
                      <a:headEnd/>
                      <a:tailEnd/>
                    </a:ln>
                    <a:effectLst/>
                  </pic:spPr>
                </pic:pic>
              </a:graphicData>
            </a:graphic>
          </wp:inline>
        </w:drawing>
      </w: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rPr>
          <w:rFonts w:asciiTheme="minorHAnsi" w:eastAsiaTheme="minorHAnsi" w:hAnsiTheme="minorHAnsi" w:cstheme="minorBidi"/>
          <w:sz w:val="22"/>
          <w:szCs w:val="22"/>
          <w:lang w:eastAsia="en-US"/>
        </w:rPr>
      </w:pPr>
      <w:r w:rsidRPr="00FE57A6">
        <w:rPr>
          <w:rFonts w:asciiTheme="minorHAnsi" w:eastAsiaTheme="minorHAnsi" w:hAnsiTheme="minorHAnsi" w:cstheme="minorBidi"/>
          <w:sz w:val="22"/>
          <w:szCs w:val="22"/>
          <w:lang w:eastAsia="en-US"/>
        </w:rPr>
        <w:t>Overall at month 10, emergency admissions are slightly below where the total was last year.</w:t>
      </w:r>
    </w:p>
    <w:p w:rsidR="0084576C" w:rsidRPr="00FE57A6" w:rsidRDefault="0084576C" w:rsidP="0084576C">
      <w:pPr>
        <w:rPr>
          <w:rFonts w:asciiTheme="minorHAnsi" w:eastAsiaTheme="minorHAnsi" w:hAnsiTheme="minorHAnsi" w:cstheme="minorBidi"/>
          <w:sz w:val="22"/>
          <w:szCs w:val="22"/>
          <w:lang w:eastAsia="en-US"/>
        </w:rPr>
      </w:pPr>
      <w:r w:rsidRPr="00FE57A6">
        <w:rPr>
          <w:rFonts w:asciiTheme="minorHAnsi" w:eastAsiaTheme="minorHAnsi" w:hAnsiTheme="minorHAnsi" w:cstheme="minorBidi"/>
          <w:sz w:val="22"/>
          <w:szCs w:val="22"/>
          <w:lang w:eastAsia="en-US"/>
        </w:rPr>
        <w:t>A different winter pattern is being seen this year with activity higher in the latter months however A&amp;E performance has been maintained.</w:t>
      </w: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rPr>
          <w:rFonts w:asciiTheme="minorHAnsi" w:eastAsiaTheme="minorHAnsi" w:hAnsiTheme="minorHAnsi" w:cstheme="minorBidi"/>
          <w:b/>
          <w:sz w:val="22"/>
          <w:szCs w:val="22"/>
          <w:lang w:eastAsia="en-US"/>
        </w:rPr>
      </w:pPr>
    </w:p>
    <w:p w:rsidR="0084576C" w:rsidRPr="00FE57A6" w:rsidRDefault="0084576C" w:rsidP="0084576C">
      <w:pPr>
        <w:rPr>
          <w:rFonts w:asciiTheme="minorHAnsi" w:eastAsiaTheme="minorHAnsi" w:hAnsiTheme="minorHAnsi" w:cstheme="minorBidi"/>
          <w:b/>
          <w:sz w:val="22"/>
          <w:szCs w:val="22"/>
          <w:lang w:eastAsia="en-US"/>
        </w:rPr>
      </w:pPr>
    </w:p>
    <w:p w:rsidR="0084576C" w:rsidRPr="00FE57A6" w:rsidRDefault="0084576C" w:rsidP="0084576C">
      <w:pPr>
        <w:rPr>
          <w:rFonts w:asciiTheme="minorHAnsi" w:eastAsiaTheme="minorHAnsi" w:hAnsiTheme="minorHAnsi" w:cstheme="minorBidi"/>
          <w:b/>
          <w:sz w:val="28"/>
          <w:szCs w:val="28"/>
          <w:lang w:eastAsia="en-US"/>
        </w:rPr>
      </w:pPr>
      <w:r w:rsidRPr="00FE57A6">
        <w:rPr>
          <w:rFonts w:asciiTheme="minorHAnsi" w:eastAsiaTheme="minorHAnsi" w:hAnsiTheme="minorHAnsi" w:cstheme="minorBidi"/>
          <w:b/>
          <w:sz w:val="28"/>
          <w:szCs w:val="28"/>
          <w:lang w:eastAsia="en-US"/>
        </w:rPr>
        <w:t xml:space="preserve">A&amp;E 4hr </w:t>
      </w:r>
      <w:proofErr w:type="gramStart"/>
      <w:r w:rsidRPr="00FE57A6">
        <w:rPr>
          <w:rFonts w:asciiTheme="minorHAnsi" w:eastAsiaTheme="minorHAnsi" w:hAnsiTheme="minorHAnsi" w:cstheme="minorBidi"/>
          <w:b/>
          <w:sz w:val="28"/>
          <w:szCs w:val="28"/>
          <w:lang w:eastAsia="en-US"/>
        </w:rPr>
        <w:t>wait</w:t>
      </w:r>
      <w:proofErr w:type="gramEnd"/>
      <w:r w:rsidRPr="00FE57A6">
        <w:rPr>
          <w:rFonts w:asciiTheme="minorHAnsi" w:eastAsiaTheme="minorHAnsi" w:hAnsiTheme="minorHAnsi" w:cstheme="minorBidi"/>
          <w:b/>
          <w:sz w:val="28"/>
          <w:szCs w:val="28"/>
          <w:lang w:eastAsia="en-US"/>
        </w:rPr>
        <w:t xml:space="preserve"> performance</w:t>
      </w:r>
    </w:p>
    <w:tbl>
      <w:tblPr>
        <w:tblW w:w="8765" w:type="dxa"/>
        <w:tblInd w:w="93" w:type="dxa"/>
        <w:tblLook w:val="04A0" w:firstRow="1" w:lastRow="0" w:firstColumn="1" w:lastColumn="0" w:noHBand="0" w:noVBand="1"/>
      </w:tblPr>
      <w:tblGrid>
        <w:gridCol w:w="1433"/>
        <w:gridCol w:w="7332"/>
      </w:tblGrid>
      <w:tr w:rsidR="0084576C" w:rsidRPr="00FE57A6" w:rsidTr="00C9529B">
        <w:trPr>
          <w:trHeight w:val="521"/>
        </w:trPr>
        <w:tc>
          <w:tcPr>
            <w:tcW w:w="1433" w:type="dxa"/>
            <w:tcBorders>
              <w:top w:val="nil"/>
              <w:left w:val="nil"/>
              <w:bottom w:val="nil"/>
            </w:tcBorders>
            <w:shd w:val="clear" w:color="000000" w:fill="FFFFFF"/>
            <w:noWrap/>
            <w:vAlign w:val="bottom"/>
            <w:hideMark/>
          </w:tcPr>
          <w:p w:rsidR="0084576C" w:rsidRPr="00FE57A6" w:rsidRDefault="0084576C" w:rsidP="00C9529B">
            <w:pPr>
              <w:rPr>
                <w:rFonts w:ascii="Tahoma" w:hAnsi="Tahoma" w:cs="Tahoma"/>
                <w:b/>
                <w:bCs/>
                <w:sz w:val="20"/>
                <w:szCs w:val="20"/>
              </w:rPr>
            </w:pPr>
            <w:r w:rsidRPr="00FE57A6">
              <w:rPr>
                <w:rFonts w:ascii="Tahoma" w:hAnsi="Tahoma" w:cs="Tahoma"/>
                <w:b/>
                <w:bCs/>
                <w:sz w:val="20"/>
                <w:szCs w:val="20"/>
              </w:rPr>
              <w:t> </w:t>
            </w:r>
          </w:p>
        </w:tc>
        <w:tc>
          <w:tcPr>
            <w:tcW w:w="7332" w:type="dxa"/>
            <w:tcBorders>
              <w:bottom w:val="nil"/>
            </w:tcBorders>
            <w:shd w:val="clear" w:color="000000" w:fill="FFFFFF"/>
            <w:noWrap/>
            <w:vAlign w:val="bottom"/>
            <w:hideMark/>
          </w:tcPr>
          <w:p w:rsidR="0084576C" w:rsidRPr="00FE57A6" w:rsidRDefault="0084576C" w:rsidP="00C9529B">
            <w:pPr>
              <w:rPr>
                <w:rFonts w:ascii="Tahoma" w:hAnsi="Tahoma" w:cs="Tahoma"/>
                <w:b/>
                <w:bCs/>
                <w:sz w:val="18"/>
                <w:szCs w:val="18"/>
              </w:rPr>
            </w:pPr>
            <w:proofErr w:type="spellStart"/>
            <w:r w:rsidRPr="00FE57A6">
              <w:rPr>
                <w:rFonts w:ascii="Tahoma" w:hAnsi="Tahoma" w:cs="Tahoma"/>
                <w:b/>
                <w:bCs/>
                <w:sz w:val="18"/>
                <w:szCs w:val="18"/>
              </w:rPr>
              <w:t>DPoW</w:t>
            </w:r>
            <w:proofErr w:type="spellEnd"/>
            <w:r w:rsidRPr="00FE57A6">
              <w:rPr>
                <w:rFonts w:ascii="Tahoma" w:hAnsi="Tahoma" w:cs="Tahoma"/>
                <w:b/>
                <w:bCs/>
                <w:sz w:val="18"/>
                <w:szCs w:val="18"/>
              </w:rPr>
              <w:t xml:space="preserve"> A&amp;E % discharged or admitted within 4 </w:t>
            </w:r>
            <w:proofErr w:type="spellStart"/>
            <w:r w:rsidRPr="00FE57A6">
              <w:rPr>
                <w:rFonts w:ascii="Tahoma" w:hAnsi="Tahoma" w:cs="Tahoma"/>
                <w:b/>
                <w:bCs/>
                <w:sz w:val="18"/>
                <w:szCs w:val="18"/>
              </w:rPr>
              <w:t>hrs</w:t>
            </w:r>
            <w:proofErr w:type="spellEnd"/>
          </w:p>
        </w:tc>
      </w:tr>
    </w:tbl>
    <w:p w:rsidR="0084576C" w:rsidRPr="00FE57A6" w:rsidRDefault="0084576C" w:rsidP="0084576C">
      <w:pPr>
        <w:rPr>
          <w:rFonts w:asciiTheme="minorHAnsi" w:eastAsiaTheme="minorHAnsi" w:hAnsiTheme="minorHAnsi" w:cstheme="minorBidi"/>
          <w:sz w:val="22"/>
          <w:szCs w:val="22"/>
          <w:lang w:eastAsia="en-US"/>
        </w:rPr>
      </w:pPr>
    </w:p>
    <w:tbl>
      <w:tblPr>
        <w:tblW w:w="6252" w:type="dxa"/>
        <w:tblInd w:w="93" w:type="dxa"/>
        <w:tblLook w:val="04A0" w:firstRow="1" w:lastRow="0" w:firstColumn="1" w:lastColumn="0" w:noHBand="0" w:noVBand="1"/>
      </w:tblPr>
      <w:tblGrid>
        <w:gridCol w:w="1480"/>
        <w:gridCol w:w="1937"/>
        <w:gridCol w:w="1418"/>
        <w:gridCol w:w="1417"/>
      </w:tblGrid>
      <w:tr w:rsidR="0084576C" w:rsidRPr="00FE57A6" w:rsidTr="00C9529B">
        <w:trPr>
          <w:trHeight w:val="510"/>
        </w:trPr>
        <w:tc>
          <w:tcPr>
            <w:tcW w:w="1480" w:type="dxa"/>
            <w:tcBorders>
              <w:top w:val="nil"/>
              <w:left w:val="nil"/>
              <w:bottom w:val="nil"/>
              <w:right w:val="nil"/>
            </w:tcBorders>
            <w:shd w:val="clear" w:color="000000" w:fill="FFFFFF"/>
            <w:vAlign w:val="center"/>
          </w:tcPr>
          <w:p w:rsidR="0084576C" w:rsidRPr="00FE57A6" w:rsidRDefault="0084576C" w:rsidP="00C9529B">
            <w:pPr>
              <w:jc w:val="center"/>
              <w:rPr>
                <w:rFonts w:ascii="Tahoma" w:hAnsi="Tahoma" w:cs="Tahoma"/>
                <w:b/>
                <w:bCs/>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rsidR="0084576C" w:rsidRPr="00FE57A6" w:rsidRDefault="0084576C" w:rsidP="00C9529B">
            <w:pPr>
              <w:jc w:val="center"/>
              <w:rPr>
                <w:rFonts w:ascii="Tahoma" w:hAnsi="Tahoma" w:cs="Tahoma"/>
                <w:b/>
                <w:bCs/>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84576C" w:rsidRPr="00FE57A6" w:rsidRDefault="0084576C" w:rsidP="00C9529B">
            <w:pPr>
              <w:jc w:val="center"/>
              <w:rPr>
                <w:rFonts w:ascii="Tahoma" w:hAnsi="Tahoma" w:cs="Tahoma"/>
                <w:b/>
                <w:bCs/>
                <w:sz w:val="20"/>
                <w:szCs w:val="20"/>
              </w:rPr>
            </w:pPr>
            <w:r w:rsidRPr="00FE57A6">
              <w:rPr>
                <w:rFonts w:ascii="Tahoma" w:hAnsi="Tahoma" w:cs="Tahoma"/>
                <w:b/>
                <w:bCs/>
                <w:sz w:val="20"/>
                <w:szCs w:val="20"/>
              </w:rPr>
              <w:t>12/13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4576C" w:rsidRPr="00FE57A6" w:rsidRDefault="0084576C" w:rsidP="00C9529B">
            <w:pPr>
              <w:jc w:val="center"/>
              <w:rPr>
                <w:rFonts w:ascii="Tahoma" w:hAnsi="Tahoma" w:cs="Tahoma"/>
                <w:b/>
                <w:bCs/>
                <w:sz w:val="20"/>
                <w:szCs w:val="20"/>
              </w:rPr>
            </w:pPr>
            <w:r w:rsidRPr="00FE57A6">
              <w:rPr>
                <w:rFonts w:ascii="Tahoma" w:hAnsi="Tahoma" w:cs="Tahoma"/>
                <w:b/>
                <w:bCs/>
                <w:sz w:val="20"/>
                <w:szCs w:val="20"/>
              </w:rPr>
              <w:t>13/14</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JULY</w:t>
            </w:r>
          </w:p>
        </w:tc>
        <w:tc>
          <w:tcPr>
            <w:tcW w:w="1418" w:type="dxa"/>
            <w:tcBorders>
              <w:top w:val="nil"/>
              <w:left w:val="nil"/>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96.4%</w:t>
            </w:r>
          </w:p>
        </w:tc>
        <w:tc>
          <w:tcPr>
            <w:tcW w:w="1417" w:type="dxa"/>
            <w:tcBorders>
              <w:top w:val="single" w:sz="4" w:space="0" w:color="auto"/>
              <w:left w:val="single" w:sz="4" w:space="0" w:color="auto"/>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97.2%</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AUGUST</w:t>
            </w:r>
          </w:p>
        </w:tc>
        <w:tc>
          <w:tcPr>
            <w:tcW w:w="1418" w:type="dxa"/>
            <w:tcBorders>
              <w:top w:val="nil"/>
              <w:left w:val="nil"/>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96.4%</w:t>
            </w:r>
          </w:p>
        </w:tc>
        <w:tc>
          <w:tcPr>
            <w:tcW w:w="141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96.1%</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SEPTEMBER</w:t>
            </w:r>
          </w:p>
        </w:tc>
        <w:tc>
          <w:tcPr>
            <w:tcW w:w="1418" w:type="dxa"/>
            <w:tcBorders>
              <w:top w:val="nil"/>
              <w:left w:val="nil"/>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96.2%</w:t>
            </w:r>
          </w:p>
        </w:tc>
        <w:tc>
          <w:tcPr>
            <w:tcW w:w="141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96%</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OCTOBER</w:t>
            </w:r>
          </w:p>
        </w:tc>
        <w:tc>
          <w:tcPr>
            <w:tcW w:w="1418" w:type="dxa"/>
            <w:tcBorders>
              <w:top w:val="nil"/>
              <w:left w:val="nil"/>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97.2%</w:t>
            </w:r>
          </w:p>
        </w:tc>
        <w:tc>
          <w:tcPr>
            <w:tcW w:w="141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96.8%</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NOVEMBER</w:t>
            </w:r>
          </w:p>
        </w:tc>
        <w:tc>
          <w:tcPr>
            <w:tcW w:w="1418" w:type="dxa"/>
            <w:tcBorders>
              <w:top w:val="nil"/>
              <w:left w:val="nil"/>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96.5%</w:t>
            </w:r>
          </w:p>
        </w:tc>
        <w:tc>
          <w:tcPr>
            <w:tcW w:w="141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95.7%</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DECEMBER</w:t>
            </w:r>
          </w:p>
        </w:tc>
        <w:tc>
          <w:tcPr>
            <w:tcW w:w="1418" w:type="dxa"/>
            <w:tcBorders>
              <w:top w:val="nil"/>
              <w:left w:val="nil"/>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color w:val="E36C0A" w:themeColor="accent6" w:themeShade="BF"/>
                <w:sz w:val="18"/>
                <w:szCs w:val="18"/>
                <w:highlight w:val="lightGray"/>
              </w:rPr>
            </w:pPr>
            <w:r w:rsidRPr="00FE57A6">
              <w:rPr>
                <w:rFonts w:ascii="Tahoma" w:hAnsi="Tahoma" w:cs="Tahoma"/>
                <w:b/>
                <w:color w:val="E36C0A" w:themeColor="accent6" w:themeShade="BF"/>
                <w:sz w:val="18"/>
                <w:szCs w:val="18"/>
                <w:highlight w:val="lightGray"/>
              </w:rPr>
              <w:t>91.9%</w:t>
            </w:r>
          </w:p>
        </w:tc>
        <w:tc>
          <w:tcPr>
            <w:tcW w:w="141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color w:val="FF0000"/>
                <w:sz w:val="18"/>
                <w:szCs w:val="18"/>
                <w:highlight w:val="lightGray"/>
              </w:rPr>
            </w:pPr>
            <w:r w:rsidRPr="00FE57A6">
              <w:rPr>
                <w:rFonts w:ascii="Tahoma" w:hAnsi="Tahoma" w:cs="Tahoma"/>
                <w:b/>
                <w:color w:val="FF0000"/>
                <w:sz w:val="18"/>
                <w:szCs w:val="18"/>
                <w:highlight w:val="lightGray"/>
              </w:rPr>
              <w:t>94.9%</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JANUARY</w:t>
            </w:r>
          </w:p>
        </w:tc>
        <w:tc>
          <w:tcPr>
            <w:tcW w:w="1418" w:type="dxa"/>
            <w:tcBorders>
              <w:top w:val="nil"/>
              <w:left w:val="nil"/>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color w:val="E36C0A" w:themeColor="accent6" w:themeShade="BF"/>
                <w:sz w:val="18"/>
                <w:szCs w:val="18"/>
                <w:highlight w:val="lightGray"/>
              </w:rPr>
            </w:pPr>
            <w:r w:rsidRPr="00FE57A6">
              <w:rPr>
                <w:rFonts w:ascii="Tahoma" w:hAnsi="Tahoma" w:cs="Tahoma"/>
                <w:b/>
                <w:color w:val="E36C0A" w:themeColor="accent6" w:themeShade="BF"/>
                <w:sz w:val="18"/>
                <w:szCs w:val="18"/>
                <w:highlight w:val="lightGray"/>
              </w:rPr>
              <w:t>92.7%</w:t>
            </w:r>
          </w:p>
        </w:tc>
        <w:tc>
          <w:tcPr>
            <w:tcW w:w="141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highlight w:val="lightGray"/>
              </w:rPr>
            </w:pPr>
            <w:r w:rsidRPr="00FE57A6">
              <w:rPr>
                <w:rFonts w:ascii="Tahoma" w:hAnsi="Tahoma" w:cs="Tahoma"/>
                <w:b/>
                <w:sz w:val="18"/>
                <w:szCs w:val="18"/>
                <w:highlight w:val="lightGray"/>
              </w:rPr>
              <w:t>96.8%</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FEBRUARY</w:t>
            </w:r>
          </w:p>
        </w:tc>
        <w:tc>
          <w:tcPr>
            <w:tcW w:w="1418" w:type="dxa"/>
            <w:tcBorders>
              <w:top w:val="nil"/>
              <w:left w:val="nil"/>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95.6%</w:t>
            </w:r>
          </w:p>
        </w:tc>
        <w:tc>
          <w:tcPr>
            <w:tcW w:w="1417" w:type="dxa"/>
            <w:tcBorders>
              <w:top w:val="nil"/>
              <w:left w:val="single" w:sz="4" w:space="0" w:color="auto"/>
              <w:bottom w:val="nil"/>
              <w:right w:val="single" w:sz="4" w:space="0" w:color="auto"/>
            </w:tcBorders>
            <w:shd w:val="clear" w:color="000000" w:fill="FFFFFF"/>
            <w:noWrap/>
            <w:vAlign w:val="bottom"/>
          </w:tcPr>
          <w:p w:rsidR="0084576C" w:rsidRPr="00FE57A6" w:rsidRDefault="0084576C" w:rsidP="00C9529B">
            <w:pPr>
              <w:jc w:val="center"/>
              <w:rPr>
                <w:rFonts w:ascii="Tahoma" w:hAnsi="Tahoma" w:cs="Tahoma"/>
                <w:b/>
                <w:sz w:val="18"/>
                <w:szCs w:val="18"/>
              </w:rPr>
            </w:pPr>
            <w:r w:rsidRPr="00FE57A6">
              <w:rPr>
                <w:rFonts w:ascii="Tahoma" w:hAnsi="Tahoma" w:cs="Tahoma"/>
                <w:b/>
                <w:sz w:val="18"/>
                <w:szCs w:val="18"/>
              </w:rPr>
              <w:t>95.9%</w:t>
            </w:r>
          </w:p>
        </w:tc>
      </w:tr>
      <w:tr w:rsidR="0084576C" w:rsidRPr="00FE57A6" w:rsidTr="00C9529B">
        <w:trPr>
          <w:trHeight w:val="255"/>
        </w:trPr>
        <w:tc>
          <w:tcPr>
            <w:tcW w:w="1480" w:type="dxa"/>
            <w:tcBorders>
              <w:top w:val="nil"/>
              <w:left w:val="nil"/>
              <w:bottom w:val="nil"/>
              <w:right w:val="nil"/>
            </w:tcBorders>
            <w:shd w:val="clear" w:color="000000" w:fill="FFFFFF"/>
            <w:noWrap/>
            <w:vAlign w:val="bottom"/>
          </w:tcPr>
          <w:p w:rsidR="0084576C" w:rsidRPr="00FE57A6" w:rsidRDefault="0084576C" w:rsidP="00C9529B">
            <w:pPr>
              <w:rPr>
                <w:rFonts w:ascii="Tahoma" w:hAnsi="Tahoma" w:cs="Tahoma"/>
                <w:sz w:val="18"/>
                <w:szCs w:val="18"/>
              </w:rPr>
            </w:pPr>
          </w:p>
        </w:tc>
        <w:tc>
          <w:tcPr>
            <w:tcW w:w="1937" w:type="dxa"/>
            <w:tcBorders>
              <w:top w:val="nil"/>
              <w:left w:val="single" w:sz="4" w:space="0" w:color="auto"/>
              <w:bottom w:val="single" w:sz="4" w:space="0" w:color="auto"/>
              <w:right w:val="single" w:sz="4" w:space="0" w:color="auto"/>
            </w:tcBorders>
            <w:shd w:val="clear" w:color="000000" w:fill="FFFFFF"/>
            <w:noWrap/>
            <w:vAlign w:val="bottom"/>
          </w:tcPr>
          <w:p w:rsidR="0084576C" w:rsidRPr="00FE57A6" w:rsidRDefault="0084576C" w:rsidP="00C9529B">
            <w:pPr>
              <w:rPr>
                <w:rFonts w:ascii="Tahoma" w:hAnsi="Tahoma" w:cs="Tahoma"/>
                <w:sz w:val="18"/>
                <w:szCs w:val="18"/>
              </w:rPr>
            </w:pPr>
            <w:r w:rsidRPr="00FE57A6">
              <w:rPr>
                <w:rFonts w:ascii="Tahoma" w:hAnsi="Tahoma" w:cs="Tahoma"/>
                <w:sz w:val="18"/>
                <w:szCs w:val="18"/>
              </w:rPr>
              <w:t>MARCH</w:t>
            </w:r>
          </w:p>
        </w:tc>
        <w:tc>
          <w:tcPr>
            <w:tcW w:w="1418" w:type="dxa"/>
            <w:tcBorders>
              <w:top w:val="nil"/>
              <w:left w:val="nil"/>
              <w:bottom w:val="single" w:sz="4" w:space="0" w:color="auto"/>
              <w:right w:val="single" w:sz="4" w:space="0" w:color="auto"/>
            </w:tcBorders>
            <w:shd w:val="clear" w:color="000000" w:fill="FFFFFF"/>
            <w:noWrap/>
            <w:vAlign w:val="bottom"/>
          </w:tcPr>
          <w:p w:rsidR="0084576C" w:rsidRPr="00FE57A6" w:rsidRDefault="0084576C" w:rsidP="00C9529B">
            <w:pPr>
              <w:jc w:val="center"/>
              <w:rPr>
                <w:rFonts w:ascii="Tahoma" w:hAnsi="Tahoma" w:cs="Tahoma"/>
                <w:b/>
                <w:color w:val="FF0000"/>
                <w:sz w:val="18"/>
                <w:szCs w:val="18"/>
              </w:rPr>
            </w:pPr>
            <w:r w:rsidRPr="00FE57A6">
              <w:rPr>
                <w:rFonts w:ascii="Tahoma" w:hAnsi="Tahoma" w:cs="Tahoma"/>
                <w:b/>
                <w:color w:val="FF0000"/>
                <w:sz w:val="18"/>
                <w:szCs w:val="18"/>
              </w:rPr>
              <w:t>93.9%</w:t>
            </w:r>
          </w:p>
        </w:tc>
        <w:tc>
          <w:tcPr>
            <w:tcW w:w="1417" w:type="dxa"/>
            <w:tcBorders>
              <w:top w:val="nil"/>
              <w:left w:val="single" w:sz="4" w:space="0" w:color="auto"/>
              <w:bottom w:val="single" w:sz="4" w:space="0" w:color="auto"/>
              <w:right w:val="single" w:sz="4" w:space="0" w:color="auto"/>
            </w:tcBorders>
            <w:shd w:val="clear" w:color="000000" w:fill="FFFFFF"/>
            <w:noWrap/>
            <w:vAlign w:val="bottom"/>
          </w:tcPr>
          <w:p w:rsidR="0084576C" w:rsidRPr="00FE57A6" w:rsidRDefault="0084576C" w:rsidP="00C9529B">
            <w:pPr>
              <w:jc w:val="center"/>
              <w:rPr>
                <w:rFonts w:ascii="Tahoma" w:hAnsi="Tahoma" w:cs="Tahoma"/>
                <w:b/>
                <w:color w:val="FF0000"/>
                <w:sz w:val="18"/>
                <w:szCs w:val="18"/>
              </w:rPr>
            </w:pPr>
            <w:r w:rsidRPr="00FE57A6">
              <w:rPr>
                <w:rFonts w:ascii="Tahoma" w:hAnsi="Tahoma" w:cs="Tahoma"/>
                <w:b/>
                <w:color w:val="FF0000"/>
                <w:sz w:val="18"/>
                <w:szCs w:val="18"/>
              </w:rPr>
              <w:t>-</w:t>
            </w:r>
          </w:p>
        </w:tc>
      </w:tr>
    </w:tbl>
    <w:p w:rsidR="0084576C" w:rsidRPr="00FE57A6" w:rsidRDefault="0084576C" w:rsidP="0084576C">
      <w:pPr>
        <w:rPr>
          <w:rFonts w:asciiTheme="minorHAnsi" w:eastAsiaTheme="minorHAnsi" w:hAnsiTheme="minorHAnsi" w:cstheme="minorBidi"/>
          <w:b/>
          <w:sz w:val="22"/>
          <w:szCs w:val="22"/>
          <w:lang w:eastAsia="en-US"/>
        </w:rPr>
      </w:pP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rPr>
          <w:rFonts w:asciiTheme="minorHAnsi" w:eastAsiaTheme="minorHAnsi" w:hAnsiTheme="minorHAnsi" w:cstheme="minorBidi"/>
          <w:b/>
          <w:sz w:val="28"/>
          <w:szCs w:val="28"/>
          <w:lang w:eastAsia="en-US"/>
        </w:rPr>
      </w:pPr>
    </w:p>
    <w:p w:rsidR="0084576C" w:rsidRPr="00FE57A6" w:rsidRDefault="0084576C" w:rsidP="0084576C">
      <w:pPr>
        <w:rPr>
          <w:rFonts w:asciiTheme="minorHAnsi" w:eastAsiaTheme="minorHAnsi" w:hAnsiTheme="minorHAnsi" w:cstheme="minorBidi"/>
          <w:b/>
          <w:sz w:val="28"/>
          <w:szCs w:val="28"/>
          <w:lang w:eastAsia="en-US"/>
        </w:rPr>
      </w:pPr>
      <w:r w:rsidRPr="00FE57A6">
        <w:rPr>
          <w:rFonts w:asciiTheme="minorHAnsi" w:eastAsiaTheme="minorHAnsi" w:hAnsiTheme="minorHAnsi" w:cstheme="minorBidi"/>
          <w:b/>
          <w:sz w:val="28"/>
          <w:szCs w:val="28"/>
          <w:lang w:eastAsia="en-US"/>
        </w:rPr>
        <w:t>Impact of extending GP in A&amp;E to 7 days</w:t>
      </w: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rPr>
          <w:rFonts w:asciiTheme="minorHAnsi" w:eastAsiaTheme="minorHAnsi" w:hAnsiTheme="minorHAnsi" w:cstheme="minorBidi"/>
          <w:sz w:val="22"/>
          <w:szCs w:val="22"/>
          <w:lang w:eastAsia="en-US"/>
        </w:rPr>
      </w:pPr>
    </w:p>
    <w:p w:rsidR="0084576C" w:rsidRPr="00FE57A6" w:rsidRDefault="0084576C" w:rsidP="0084576C">
      <w:pPr>
        <w:jc w:val="center"/>
        <w:rPr>
          <w:rFonts w:asciiTheme="minorHAnsi" w:eastAsiaTheme="minorHAnsi" w:hAnsiTheme="minorHAnsi" w:cstheme="minorBidi"/>
          <w:sz w:val="22"/>
          <w:szCs w:val="22"/>
          <w:lang w:eastAsia="en-US"/>
        </w:rPr>
      </w:pPr>
      <w:r w:rsidRPr="00FE57A6">
        <w:rPr>
          <w:rFonts w:asciiTheme="minorHAnsi" w:eastAsiaTheme="minorHAnsi" w:hAnsiTheme="minorHAnsi" w:cstheme="minorBidi"/>
          <w:noProof/>
          <w:sz w:val="22"/>
          <w:szCs w:val="22"/>
        </w:rPr>
        <w:drawing>
          <wp:inline distT="0" distB="0" distL="0" distR="0" wp14:anchorId="5964B421" wp14:editId="075F4184">
            <wp:extent cx="4301656" cy="2210463"/>
            <wp:effectExtent l="0" t="0" r="3810" b="0"/>
            <wp:docPr id="5" name="Picture 5" descr="cid:image001.png@01CF37C5.B4DB7540"/>
            <wp:cNvGraphicFramePr/>
            <a:graphic xmlns:a="http://schemas.openxmlformats.org/drawingml/2006/main">
              <a:graphicData uri="http://schemas.openxmlformats.org/drawingml/2006/picture">
                <pic:pic xmlns:pic="http://schemas.openxmlformats.org/drawingml/2006/picture">
                  <pic:nvPicPr>
                    <pic:cNvPr id="5" name="Picture 5" descr="cid:image001.png@01CF37C5.B4DB7540"/>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04948" cy="2212155"/>
                    </a:xfrm>
                    <a:prstGeom prst="rect">
                      <a:avLst/>
                    </a:prstGeom>
                    <a:noFill/>
                    <a:ln>
                      <a:noFill/>
                    </a:ln>
                  </pic:spPr>
                </pic:pic>
              </a:graphicData>
            </a:graphic>
          </wp:inline>
        </w:drawing>
      </w:r>
    </w:p>
    <w:p w:rsidR="0084576C" w:rsidRPr="00FE57A6" w:rsidRDefault="0084576C" w:rsidP="0084576C">
      <w:pPr>
        <w:jc w:val="center"/>
        <w:rPr>
          <w:rFonts w:asciiTheme="minorHAnsi" w:eastAsiaTheme="minorHAnsi" w:hAnsiTheme="minorHAnsi" w:cstheme="minorBidi"/>
          <w:sz w:val="22"/>
          <w:szCs w:val="22"/>
          <w:lang w:eastAsia="en-US"/>
        </w:rPr>
      </w:pPr>
    </w:p>
    <w:p w:rsidR="0084576C" w:rsidRPr="00FE57A6" w:rsidRDefault="0084576C" w:rsidP="0084576C">
      <w:pPr>
        <w:rPr>
          <w:rFonts w:asciiTheme="minorHAnsi" w:eastAsiaTheme="minorHAnsi" w:hAnsiTheme="minorHAnsi" w:cstheme="minorBidi"/>
          <w:sz w:val="22"/>
          <w:szCs w:val="22"/>
          <w:lang w:eastAsia="en-US"/>
        </w:rPr>
      </w:pPr>
      <w:r w:rsidRPr="00FE57A6">
        <w:rPr>
          <w:rFonts w:asciiTheme="minorHAnsi" w:eastAsiaTheme="minorHAnsi" w:hAnsiTheme="minorHAnsi" w:cstheme="minorBidi"/>
          <w:sz w:val="22"/>
          <w:szCs w:val="22"/>
          <w:lang w:eastAsia="en-US"/>
        </w:rPr>
        <w:t xml:space="preserve">Whilst not conclusive, the variation in weekend A&amp;E performance appears to have been improved directly at the point of introduction of weekend operation of the GP in A&amp;E </w:t>
      </w:r>
      <w:proofErr w:type="gramStart"/>
      <w:r w:rsidRPr="00FE57A6">
        <w:rPr>
          <w:rFonts w:asciiTheme="minorHAnsi" w:eastAsiaTheme="minorHAnsi" w:hAnsiTheme="minorHAnsi" w:cstheme="minorBidi"/>
          <w:sz w:val="22"/>
          <w:szCs w:val="22"/>
          <w:lang w:eastAsia="en-US"/>
        </w:rPr>
        <w:t>( Feb</w:t>
      </w:r>
      <w:proofErr w:type="gramEnd"/>
      <w:r w:rsidRPr="00FE57A6">
        <w:rPr>
          <w:rFonts w:asciiTheme="minorHAnsi" w:eastAsiaTheme="minorHAnsi" w:hAnsiTheme="minorHAnsi" w:cstheme="minorBidi"/>
          <w:sz w:val="22"/>
          <w:szCs w:val="22"/>
          <w:lang w:eastAsia="en-US"/>
        </w:rPr>
        <w:t xml:space="preserve"> 2014 )</w:t>
      </w:r>
    </w:p>
    <w:p w:rsidR="0084576C" w:rsidRDefault="0084576C" w:rsidP="0084576C">
      <w:pPr>
        <w:ind w:left="360"/>
        <w:rPr>
          <w:rFonts w:ascii="Arial" w:hAnsi="Arial" w:cs="Arial"/>
          <w:b/>
          <w:bCs/>
          <w:sz w:val="22"/>
          <w:szCs w:val="22"/>
        </w:rPr>
      </w:pPr>
    </w:p>
    <w:p w:rsidR="0084576C" w:rsidRPr="009D14DD" w:rsidRDefault="0084576C" w:rsidP="0084576C">
      <w:pPr>
        <w:rPr>
          <w:rFonts w:ascii="Arial" w:hAnsi="Arial" w:cs="Arial"/>
          <w:b/>
          <w:bCs/>
          <w:sz w:val="22"/>
          <w:szCs w:val="22"/>
        </w:rPr>
      </w:pPr>
    </w:p>
    <w:p w:rsidR="0084576C" w:rsidRPr="009D14DD" w:rsidRDefault="0084576C" w:rsidP="0077428E">
      <w:pPr>
        <w:rPr>
          <w:rFonts w:ascii="Arial" w:hAnsi="Arial" w:cs="Arial"/>
          <w:b/>
          <w:bCs/>
          <w:sz w:val="22"/>
          <w:szCs w:val="22"/>
        </w:rPr>
      </w:pPr>
    </w:p>
    <w:sectPr w:rsidR="0084576C" w:rsidRPr="009D14DD" w:rsidSect="00DD7564">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01" w:rsidRDefault="00DF6E01">
      <w:r>
        <w:separator/>
      </w:r>
    </w:p>
  </w:endnote>
  <w:endnote w:type="continuationSeparator" w:id="0">
    <w:p w:rsidR="00DF6E01" w:rsidRDefault="00DF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01" w:rsidRDefault="00DF6E01">
      <w:r>
        <w:separator/>
      </w:r>
    </w:p>
  </w:footnote>
  <w:footnote w:type="continuationSeparator" w:id="0">
    <w:p w:rsidR="00DF6E01" w:rsidRDefault="00DF6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1">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9F73F4"/>
    <w:multiLevelType w:val="hybridMultilevel"/>
    <w:tmpl w:val="058A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0"/>
  </w:num>
  <w:num w:numId="4">
    <w:abstractNumId w:val="19"/>
  </w:num>
  <w:num w:numId="5">
    <w:abstractNumId w:val="11"/>
  </w:num>
  <w:num w:numId="6">
    <w:abstractNumId w:val="16"/>
  </w:num>
  <w:num w:numId="7">
    <w:abstractNumId w:val="3"/>
  </w:num>
  <w:num w:numId="8">
    <w:abstractNumId w:val="10"/>
  </w:num>
  <w:num w:numId="9">
    <w:abstractNumId w:val="13"/>
  </w:num>
  <w:num w:numId="10">
    <w:abstractNumId w:val="4"/>
  </w:num>
  <w:num w:numId="11">
    <w:abstractNumId w:val="5"/>
  </w:num>
  <w:num w:numId="12">
    <w:abstractNumId w:val="15"/>
  </w:num>
  <w:num w:numId="13">
    <w:abstractNumId w:val="7"/>
  </w:num>
  <w:num w:numId="14">
    <w:abstractNumId w:val="1"/>
  </w:num>
  <w:num w:numId="15">
    <w:abstractNumId w:val="9"/>
  </w:num>
  <w:num w:numId="16">
    <w:abstractNumId w:val="6"/>
  </w:num>
  <w:num w:numId="17">
    <w:abstractNumId w:val="12"/>
  </w:num>
  <w:num w:numId="18">
    <w:abstractNumId w:val="8"/>
  </w:num>
  <w:num w:numId="19">
    <w:abstractNumId w:val="17"/>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D2887"/>
    <w:rsid w:val="003D489F"/>
    <w:rsid w:val="003E4361"/>
    <w:rsid w:val="003F6D7A"/>
    <w:rsid w:val="003F6DF9"/>
    <w:rsid w:val="00406064"/>
    <w:rsid w:val="00420D54"/>
    <w:rsid w:val="00423F06"/>
    <w:rsid w:val="004337A4"/>
    <w:rsid w:val="00434363"/>
    <w:rsid w:val="0043664F"/>
    <w:rsid w:val="00441E7A"/>
    <w:rsid w:val="00447394"/>
    <w:rsid w:val="00450490"/>
    <w:rsid w:val="00450665"/>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8471B"/>
    <w:rsid w:val="0068496F"/>
    <w:rsid w:val="0069645B"/>
    <w:rsid w:val="0069733F"/>
    <w:rsid w:val="006A2E19"/>
    <w:rsid w:val="006A788A"/>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76C"/>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2582"/>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54373"/>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6D24"/>
    <w:rsid w:val="00C20949"/>
    <w:rsid w:val="00C523B4"/>
    <w:rsid w:val="00C52D50"/>
    <w:rsid w:val="00C628C9"/>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6660C"/>
    <w:rsid w:val="00D76A89"/>
    <w:rsid w:val="00D803BA"/>
    <w:rsid w:val="00D91037"/>
    <w:rsid w:val="00D921A3"/>
    <w:rsid w:val="00DA584B"/>
    <w:rsid w:val="00DA6818"/>
    <w:rsid w:val="00DA75DE"/>
    <w:rsid w:val="00DC2203"/>
    <w:rsid w:val="00DC46DB"/>
    <w:rsid w:val="00DD1E33"/>
    <w:rsid w:val="00DD27F1"/>
    <w:rsid w:val="00DD3E42"/>
    <w:rsid w:val="00DD689C"/>
    <w:rsid w:val="00DD7564"/>
    <w:rsid w:val="00DE6E0E"/>
    <w:rsid w:val="00DF00F8"/>
    <w:rsid w:val="00DF3185"/>
    <w:rsid w:val="00DF3E42"/>
    <w:rsid w:val="00DF6E01"/>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CF37C5.B4DB75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929</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6092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subject/>
  <dc:creator>Administrator</dc:creator>
  <cp:keywords/>
  <dc:description/>
  <cp:lastModifiedBy>Jeanette Harris</cp:lastModifiedBy>
  <cp:revision>5</cp:revision>
  <cp:lastPrinted>2011-06-01T15:50:00Z</cp:lastPrinted>
  <dcterms:created xsi:type="dcterms:W3CDTF">2014-03-06T15:55:00Z</dcterms:created>
  <dcterms:modified xsi:type="dcterms:W3CDTF">2014-03-06T16:15:00Z</dcterms:modified>
</cp:coreProperties>
</file>