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9E" w:rsidRDefault="00F22B6B">
      <w:pPr>
        <w:rPr>
          <w:rFonts w:ascii="Arial" w:hAnsi="Arial" w:cs="Arial"/>
        </w:rPr>
      </w:pPr>
      <w:bookmarkStart w:id="0" w:name="_GoBack"/>
      <w:bookmarkEnd w:id="0"/>
      <w:r>
        <w:rPr>
          <w:noProof/>
        </w:rPr>
        <w:drawing>
          <wp:anchor distT="0" distB="0" distL="114300" distR="114300" simplePos="0" relativeHeight="251715584" behindDoc="0" locked="0" layoutInCell="1" allowOverlap="1" wp14:anchorId="1B7ED76F" wp14:editId="6C1B7F1C">
            <wp:simplePos x="0" y="0"/>
            <wp:positionH relativeFrom="column">
              <wp:posOffset>520065</wp:posOffset>
            </wp:positionH>
            <wp:positionV relativeFrom="paragraph">
              <wp:posOffset>-400050</wp:posOffset>
            </wp:positionV>
            <wp:extent cx="5584827" cy="12668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4827" cy="1266825"/>
                    </a:xfrm>
                    <a:prstGeom prst="rect">
                      <a:avLst/>
                    </a:prstGeom>
                  </pic:spPr>
                </pic:pic>
              </a:graphicData>
            </a:graphic>
            <wp14:sizeRelH relativeFrom="page">
              <wp14:pctWidth>0</wp14:pctWidth>
            </wp14:sizeRelH>
            <wp14:sizeRelV relativeFrom="page">
              <wp14:pctHeight>0</wp14:pctHeight>
            </wp14:sizeRelV>
          </wp:anchor>
        </w:drawing>
      </w:r>
    </w:p>
    <w:p w:rsidR="00C51D9E" w:rsidRDefault="00C51D9E">
      <w:pPr>
        <w:rPr>
          <w:rFonts w:ascii="Arial" w:hAnsi="Arial" w:cs="Arial"/>
        </w:rPr>
      </w:pPr>
    </w:p>
    <w:p w:rsidR="00624E1A" w:rsidRDefault="00624E1A" w:rsidP="00624E1A">
      <w:pPr>
        <w:tabs>
          <w:tab w:val="left" w:pos="5006"/>
        </w:tabs>
        <w:rPr>
          <w:rFonts w:ascii="Arial" w:hAnsi="Arial" w:cs="Arial"/>
          <w:sz w:val="52"/>
          <w:szCs w:val="52"/>
        </w:rPr>
      </w:pPr>
    </w:p>
    <w:p w:rsidR="00624E1A" w:rsidRDefault="00624E1A" w:rsidP="00624E1A">
      <w:pPr>
        <w:tabs>
          <w:tab w:val="left" w:pos="5006"/>
        </w:tabs>
        <w:rPr>
          <w:rFonts w:ascii="Arial" w:hAnsi="Arial" w:cs="Arial"/>
          <w:sz w:val="52"/>
          <w:szCs w:val="52"/>
        </w:rPr>
      </w:pPr>
    </w:p>
    <w:p w:rsidR="00EA1F41" w:rsidRDefault="00397574" w:rsidP="00A10B37">
      <w:pPr>
        <w:tabs>
          <w:tab w:val="left" w:pos="5006"/>
        </w:tabs>
        <w:spacing w:before="120" w:after="120" w:line="480" w:lineRule="auto"/>
        <w:rPr>
          <w:rFonts w:ascii="Arial" w:hAnsi="Arial" w:cs="Arial"/>
          <w:b/>
          <w:color w:val="365F91" w:themeColor="accent1" w:themeShade="BF"/>
          <w:sz w:val="52"/>
          <w:szCs w:val="52"/>
        </w:rPr>
      </w:pPr>
      <w:r>
        <w:rPr>
          <w:rFonts w:ascii="Arial" w:hAnsi="Arial" w:cs="Arial"/>
          <w:b/>
          <w:color w:val="365F91" w:themeColor="accent1" w:themeShade="BF"/>
          <w:sz w:val="52"/>
          <w:szCs w:val="52"/>
        </w:rPr>
        <w:t xml:space="preserve">  </w:t>
      </w:r>
    </w:p>
    <w:p w:rsidR="00A10B37" w:rsidRPr="00A10B37" w:rsidRDefault="00EA1F41" w:rsidP="00EA1F41">
      <w:pPr>
        <w:tabs>
          <w:tab w:val="left" w:pos="5006"/>
        </w:tabs>
        <w:spacing w:before="120" w:after="120" w:line="480" w:lineRule="auto"/>
        <w:jc w:val="center"/>
        <w:rPr>
          <w:rFonts w:ascii="Arial" w:hAnsi="Arial" w:cs="Arial"/>
          <w:b/>
          <w:color w:val="365F91" w:themeColor="accent1" w:themeShade="BF"/>
          <w:sz w:val="72"/>
          <w:szCs w:val="72"/>
        </w:rPr>
      </w:pPr>
      <w:r w:rsidRPr="00A10B37">
        <w:rPr>
          <w:rFonts w:ascii="Arial" w:hAnsi="Arial" w:cs="Arial"/>
          <w:b/>
          <w:color w:val="365F91" w:themeColor="accent1" w:themeShade="BF"/>
          <w:sz w:val="72"/>
          <w:szCs w:val="72"/>
        </w:rPr>
        <w:t>Clinical Senate</w:t>
      </w:r>
      <w:r w:rsidR="00A10B37" w:rsidRPr="00A10B37">
        <w:rPr>
          <w:rFonts w:ascii="Arial" w:hAnsi="Arial" w:cs="Arial"/>
          <w:b/>
          <w:color w:val="365F91" w:themeColor="accent1" w:themeShade="BF"/>
          <w:sz w:val="72"/>
          <w:szCs w:val="72"/>
        </w:rPr>
        <w:t xml:space="preserve"> Review </w:t>
      </w:r>
    </w:p>
    <w:p w:rsidR="00EA1F41" w:rsidRPr="00A10B37" w:rsidRDefault="00A10B37" w:rsidP="00EA1F41">
      <w:pPr>
        <w:tabs>
          <w:tab w:val="left" w:pos="5006"/>
        </w:tabs>
        <w:spacing w:before="120" w:after="120" w:line="480" w:lineRule="auto"/>
        <w:jc w:val="center"/>
        <w:rPr>
          <w:rFonts w:ascii="Arial" w:hAnsi="Arial" w:cs="Arial"/>
          <w:b/>
          <w:color w:val="365F91" w:themeColor="accent1" w:themeShade="BF"/>
          <w:sz w:val="72"/>
          <w:szCs w:val="72"/>
        </w:rPr>
      </w:pPr>
      <w:r w:rsidRPr="00A10B37">
        <w:rPr>
          <w:rFonts w:ascii="Arial" w:hAnsi="Arial" w:cs="Arial"/>
          <w:b/>
          <w:color w:val="365F91" w:themeColor="accent1" w:themeShade="BF"/>
          <w:sz w:val="72"/>
          <w:szCs w:val="72"/>
        </w:rPr>
        <w:t xml:space="preserve">for </w:t>
      </w:r>
    </w:p>
    <w:p w:rsidR="00A10B37" w:rsidRPr="00A10B37" w:rsidRDefault="005C7EAC" w:rsidP="00EA1F41">
      <w:pPr>
        <w:tabs>
          <w:tab w:val="left" w:pos="5006"/>
        </w:tabs>
        <w:spacing w:before="120" w:after="120" w:line="480" w:lineRule="auto"/>
        <w:jc w:val="center"/>
        <w:rPr>
          <w:rFonts w:ascii="Arial" w:hAnsi="Arial" w:cs="Arial"/>
          <w:b/>
          <w:color w:val="365F91" w:themeColor="accent1" w:themeShade="BF"/>
          <w:sz w:val="72"/>
          <w:szCs w:val="72"/>
        </w:rPr>
      </w:pPr>
      <w:r>
        <w:rPr>
          <w:rFonts w:ascii="Arial" w:hAnsi="Arial" w:cs="Arial"/>
          <w:b/>
          <w:color w:val="365F91" w:themeColor="accent1" w:themeShade="BF"/>
          <w:sz w:val="72"/>
          <w:szCs w:val="72"/>
        </w:rPr>
        <w:t>Healthy Lives Healthy Futures ENT Proposals</w:t>
      </w:r>
    </w:p>
    <w:p w:rsidR="000D7B37" w:rsidRDefault="000D7B37" w:rsidP="00397574">
      <w:pPr>
        <w:tabs>
          <w:tab w:val="left" w:pos="5006"/>
        </w:tabs>
        <w:rPr>
          <w:rFonts w:ascii="Arial" w:hAnsi="Arial" w:cs="Arial"/>
          <w:b/>
          <w:color w:val="365F91" w:themeColor="accent1" w:themeShade="BF"/>
          <w:sz w:val="52"/>
          <w:szCs w:val="52"/>
        </w:rPr>
      </w:pPr>
    </w:p>
    <w:p w:rsidR="00624E1A" w:rsidRPr="0008449B" w:rsidRDefault="00624E1A" w:rsidP="00624E1A">
      <w:pPr>
        <w:tabs>
          <w:tab w:val="left" w:pos="5006"/>
        </w:tabs>
        <w:rPr>
          <w:rFonts w:ascii="Arial" w:hAnsi="Arial" w:cs="Arial"/>
          <w:color w:val="365F91" w:themeColor="accent1" w:themeShade="BF"/>
        </w:rPr>
      </w:pPr>
    </w:p>
    <w:p w:rsidR="000D7B37" w:rsidRDefault="000D7B37">
      <w:pPr>
        <w:rPr>
          <w:rFonts w:ascii="Arial" w:hAnsi="Arial" w:cs="Arial"/>
          <w:color w:val="365F91" w:themeColor="accent1" w:themeShade="BF"/>
        </w:rPr>
      </w:pPr>
    </w:p>
    <w:p w:rsidR="000D7B37" w:rsidRPr="0008449B" w:rsidRDefault="000D7B37">
      <w:pPr>
        <w:rPr>
          <w:rFonts w:ascii="Arial" w:hAnsi="Arial" w:cs="Arial"/>
          <w:color w:val="365F91" w:themeColor="accent1" w:themeShade="BF"/>
        </w:rPr>
      </w:pPr>
    </w:p>
    <w:p w:rsidR="00A10B37" w:rsidRDefault="00A10B37" w:rsidP="00EA1F41">
      <w:pPr>
        <w:spacing w:after="0" w:line="240" w:lineRule="auto"/>
        <w:rPr>
          <w:rFonts w:ascii="Arial" w:hAnsi="Arial" w:cs="Arial"/>
          <w:color w:val="244061" w:themeColor="accent1" w:themeShade="80"/>
          <w:sz w:val="24"/>
          <w:szCs w:val="24"/>
        </w:rPr>
      </w:pPr>
    </w:p>
    <w:p w:rsidR="00A10B37" w:rsidRDefault="00876791" w:rsidP="00A10B37">
      <w:pPr>
        <w:spacing w:after="0"/>
        <w:rPr>
          <w:rFonts w:ascii="Arial" w:hAnsi="Arial" w:cs="Arial"/>
        </w:rPr>
      </w:pPr>
      <w:r>
        <w:rPr>
          <w:rFonts w:ascii="Arial" w:hAnsi="Arial" w:cs="Arial"/>
        </w:rPr>
        <w:t>Version 3</w:t>
      </w:r>
    </w:p>
    <w:p w:rsidR="00A10B37" w:rsidRDefault="00A10B37" w:rsidP="00A10B37">
      <w:pPr>
        <w:spacing w:after="0"/>
        <w:rPr>
          <w:rFonts w:ascii="Arial" w:hAnsi="Arial" w:cs="Arial"/>
        </w:rPr>
      </w:pPr>
    </w:p>
    <w:p w:rsidR="00A10B37" w:rsidRDefault="00A10B37" w:rsidP="00A10B37">
      <w:pPr>
        <w:spacing w:after="0"/>
        <w:rPr>
          <w:rFonts w:ascii="Arial" w:hAnsi="Arial" w:cs="Arial"/>
        </w:rPr>
      </w:pPr>
      <w:r w:rsidRPr="00A10B37">
        <w:rPr>
          <w:rFonts w:ascii="Arial" w:hAnsi="Arial" w:cs="Arial"/>
        </w:rPr>
        <w:t xml:space="preserve">Clinical Senate Reviews are designed to ensure that proposals for large scale change and reconfiguration are sound and evidence-based, in the best interest of patients and will improve the quality, safety and sustainability of care. </w:t>
      </w:r>
    </w:p>
    <w:p w:rsidR="000E08F0" w:rsidRDefault="000E08F0" w:rsidP="00A10B37">
      <w:pPr>
        <w:spacing w:after="0"/>
        <w:rPr>
          <w:rFonts w:ascii="Arial" w:hAnsi="Arial" w:cs="Arial"/>
        </w:rPr>
      </w:pPr>
    </w:p>
    <w:p w:rsidR="00A10B37" w:rsidRPr="00A10B37" w:rsidRDefault="00A10B37" w:rsidP="00A10B37">
      <w:pPr>
        <w:spacing w:after="0"/>
        <w:rPr>
          <w:rFonts w:ascii="Arial" w:hAnsi="Arial" w:cs="Arial"/>
        </w:rPr>
      </w:pPr>
      <w:r w:rsidRPr="00A10B37">
        <w:rPr>
          <w:rFonts w:ascii="Arial" w:hAnsi="Arial" w:cs="Arial"/>
        </w:rPr>
        <w:t>Clinical Senates are independent non statutory advisory bodies hosted by NHS England. Implementation of the guidance is the responsibility of local commissioners, in their local context, in light of their duties to avoid unlawful discrimination and to have regard to promoting equality of access. Nothing in the review should be interpreted in a way which would be inconsistent with compliance with those duties.</w:t>
      </w:r>
    </w:p>
    <w:p w:rsidR="00A10B37" w:rsidRDefault="00A10B37" w:rsidP="00EA1F41">
      <w:pPr>
        <w:spacing w:after="0" w:line="240" w:lineRule="auto"/>
        <w:rPr>
          <w:rFonts w:ascii="Arial" w:hAnsi="Arial" w:cs="Arial"/>
          <w:color w:val="244061" w:themeColor="accent1" w:themeShade="80"/>
          <w:sz w:val="24"/>
          <w:szCs w:val="24"/>
        </w:rPr>
      </w:pPr>
    </w:p>
    <w:p w:rsidR="00A10B37" w:rsidRDefault="00A10B37" w:rsidP="00EA1F41">
      <w:pPr>
        <w:spacing w:after="0" w:line="240" w:lineRule="auto"/>
        <w:rPr>
          <w:rFonts w:ascii="Arial" w:hAnsi="Arial" w:cs="Arial"/>
          <w:color w:val="244061" w:themeColor="accent1" w:themeShade="80"/>
          <w:sz w:val="24"/>
          <w:szCs w:val="24"/>
        </w:rPr>
      </w:pPr>
    </w:p>
    <w:p w:rsidR="00EA1F41" w:rsidRPr="000E08F0" w:rsidRDefault="000E08F0" w:rsidP="00EA1F41">
      <w:pPr>
        <w:spacing w:after="0" w:line="240" w:lineRule="auto"/>
        <w:rPr>
          <w:rFonts w:ascii="Arial" w:hAnsi="Arial" w:cs="Arial"/>
        </w:rPr>
      </w:pPr>
      <w:r w:rsidRPr="000E08F0">
        <w:rPr>
          <w:rFonts w:ascii="Arial" w:hAnsi="Arial" w:cs="Arial"/>
        </w:rPr>
        <w:t>Yorkshire and the Humber</w:t>
      </w:r>
      <w:r w:rsidR="00A10B37" w:rsidRPr="000E08F0">
        <w:rPr>
          <w:rFonts w:ascii="Arial" w:hAnsi="Arial" w:cs="Arial"/>
        </w:rPr>
        <w:t xml:space="preserve"> Clinical Senate</w:t>
      </w:r>
    </w:p>
    <w:p w:rsidR="00A10B37" w:rsidRPr="000E08F0" w:rsidRDefault="000E08F0" w:rsidP="00EA1F41">
      <w:pPr>
        <w:spacing w:after="0" w:line="240" w:lineRule="auto"/>
        <w:rPr>
          <w:rFonts w:ascii="Arial" w:hAnsi="Arial" w:cs="Arial"/>
        </w:rPr>
      </w:pPr>
      <w:r w:rsidRPr="000E08F0">
        <w:rPr>
          <w:rFonts w:ascii="Arial" w:hAnsi="Arial" w:cs="Arial"/>
        </w:rPr>
        <w:t>Joanne.poole1@nhs.net</w:t>
      </w:r>
    </w:p>
    <w:p w:rsidR="00A10B37" w:rsidRDefault="00A10B37" w:rsidP="00EA1F41">
      <w:pPr>
        <w:spacing w:after="0" w:line="240" w:lineRule="auto"/>
        <w:rPr>
          <w:rFonts w:ascii="Arial" w:hAnsi="Arial" w:cs="Arial"/>
        </w:rPr>
      </w:pPr>
    </w:p>
    <w:p w:rsidR="00A10B37" w:rsidRDefault="00A10B37" w:rsidP="00EA1F41">
      <w:pPr>
        <w:spacing w:after="0" w:line="240" w:lineRule="auto"/>
        <w:rPr>
          <w:rFonts w:ascii="Arial" w:hAnsi="Arial" w:cs="Arial"/>
        </w:rPr>
      </w:pPr>
    </w:p>
    <w:p w:rsidR="00BA0225" w:rsidRPr="00A10B37" w:rsidRDefault="00BA0225" w:rsidP="00EA1F41">
      <w:pPr>
        <w:spacing w:after="0" w:line="240" w:lineRule="auto"/>
        <w:rPr>
          <w:rFonts w:ascii="Arial" w:hAnsi="Arial" w:cs="Arial"/>
        </w:rPr>
      </w:pPr>
    </w:p>
    <w:p w:rsidR="00A10B37" w:rsidRDefault="000E08F0" w:rsidP="00A10B37">
      <w:pPr>
        <w:spacing w:after="0" w:line="240" w:lineRule="auto"/>
        <w:rPr>
          <w:rFonts w:ascii="Arial" w:hAnsi="Arial" w:cs="Arial"/>
        </w:rPr>
      </w:pPr>
      <w:r>
        <w:rPr>
          <w:rFonts w:ascii="Arial" w:hAnsi="Arial" w:cs="Arial"/>
        </w:rPr>
        <w:t>1</w:t>
      </w:r>
      <w:r w:rsidR="00071A0F">
        <w:rPr>
          <w:rFonts w:ascii="Arial" w:hAnsi="Arial" w:cs="Arial"/>
        </w:rPr>
        <w:t>3</w:t>
      </w:r>
      <w:r w:rsidRPr="000E08F0">
        <w:rPr>
          <w:rFonts w:ascii="Arial" w:hAnsi="Arial" w:cs="Arial"/>
          <w:vertAlign w:val="superscript"/>
        </w:rPr>
        <w:t>th</w:t>
      </w:r>
      <w:r>
        <w:rPr>
          <w:rFonts w:ascii="Arial" w:hAnsi="Arial" w:cs="Arial"/>
        </w:rPr>
        <w:t xml:space="preserve"> June 2014</w:t>
      </w:r>
    </w:p>
    <w:p w:rsidR="00A10B37" w:rsidRDefault="00A10B37" w:rsidP="00A10B37">
      <w:pPr>
        <w:spacing w:after="0" w:line="240" w:lineRule="auto"/>
        <w:rPr>
          <w:rFonts w:ascii="Arial" w:hAnsi="Arial" w:cs="Arial"/>
        </w:rPr>
      </w:pPr>
    </w:p>
    <w:p w:rsidR="00A10B37" w:rsidRDefault="00A10B37" w:rsidP="00A10B37">
      <w:pPr>
        <w:spacing w:after="0" w:line="240" w:lineRule="auto"/>
        <w:rPr>
          <w:rFonts w:ascii="Arial" w:hAnsi="Arial" w:cs="Arial"/>
          <w:b/>
          <w:color w:val="365F91" w:themeColor="accent1" w:themeShade="BF"/>
        </w:rPr>
      </w:pPr>
    </w:p>
    <w:p w:rsidR="00BA0225" w:rsidRDefault="00BA0225" w:rsidP="00A10B37">
      <w:pPr>
        <w:spacing w:after="0" w:line="240" w:lineRule="auto"/>
        <w:rPr>
          <w:rFonts w:ascii="Arial" w:hAnsi="Arial" w:cs="Arial"/>
          <w:b/>
          <w:color w:val="365F91" w:themeColor="accent1" w:themeShade="BF"/>
        </w:rPr>
      </w:pPr>
    </w:p>
    <w:p w:rsidR="00BA0225" w:rsidRDefault="00BA0225" w:rsidP="00A10B37">
      <w:pPr>
        <w:spacing w:after="0" w:line="240" w:lineRule="auto"/>
        <w:rPr>
          <w:rFonts w:ascii="Arial" w:hAnsi="Arial" w:cs="Arial"/>
          <w:b/>
          <w:color w:val="365F91" w:themeColor="accent1" w:themeShade="BF"/>
        </w:rPr>
      </w:pPr>
    </w:p>
    <w:p w:rsidR="00BA0225" w:rsidRDefault="00BA0225" w:rsidP="00A10B37">
      <w:pPr>
        <w:spacing w:after="0" w:line="240" w:lineRule="auto"/>
        <w:rPr>
          <w:rFonts w:ascii="Arial" w:hAnsi="Arial" w:cs="Arial"/>
          <w:b/>
          <w:color w:val="365F91" w:themeColor="accent1" w:themeShade="BF"/>
        </w:rPr>
      </w:pPr>
    </w:p>
    <w:p w:rsidR="00BA0225" w:rsidRDefault="00BA0225" w:rsidP="00A10B37">
      <w:pPr>
        <w:spacing w:after="0" w:line="240" w:lineRule="auto"/>
        <w:rPr>
          <w:rFonts w:ascii="Arial" w:hAnsi="Arial" w:cs="Arial"/>
          <w:b/>
          <w:color w:val="365F91" w:themeColor="accent1" w:themeShade="BF"/>
        </w:rPr>
      </w:pPr>
    </w:p>
    <w:p w:rsidR="00BA0225" w:rsidRDefault="00BA0225" w:rsidP="00A10B37">
      <w:pPr>
        <w:spacing w:after="0" w:line="240" w:lineRule="auto"/>
        <w:rPr>
          <w:rFonts w:ascii="Arial" w:hAnsi="Arial" w:cs="Arial"/>
          <w:b/>
          <w:color w:val="365F91" w:themeColor="accent1" w:themeShade="BF"/>
        </w:rPr>
      </w:pPr>
    </w:p>
    <w:p w:rsidR="00BA0225" w:rsidRPr="00BA0225" w:rsidRDefault="00BA0225" w:rsidP="00A10B37">
      <w:pPr>
        <w:spacing w:after="0" w:line="240" w:lineRule="auto"/>
        <w:rPr>
          <w:rFonts w:ascii="Arial" w:hAnsi="Arial" w:cs="Arial"/>
          <w:b/>
          <w:color w:val="365F91" w:themeColor="accent1" w:themeShade="BF"/>
        </w:rPr>
      </w:pPr>
    </w:p>
    <w:p w:rsidR="00A10B37" w:rsidRPr="00BA0225" w:rsidRDefault="00BA0225" w:rsidP="00A10B37">
      <w:pPr>
        <w:spacing w:after="0" w:line="240" w:lineRule="auto"/>
        <w:rPr>
          <w:rFonts w:ascii="Arial" w:hAnsi="Arial" w:cs="Arial"/>
          <w:b/>
          <w:color w:val="365F91" w:themeColor="accent1" w:themeShade="BF"/>
          <w:sz w:val="28"/>
          <w:szCs w:val="28"/>
        </w:rPr>
      </w:pPr>
      <w:r w:rsidRPr="00BA0225">
        <w:rPr>
          <w:rFonts w:ascii="Arial" w:hAnsi="Arial" w:cs="Arial"/>
          <w:b/>
          <w:color w:val="365F91" w:themeColor="accent1" w:themeShade="BF"/>
          <w:sz w:val="28"/>
          <w:szCs w:val="28"/>
        </w:rPr>
        <w:t>Version Control</w:t>
      </w:r>
    </w:p>
    <w:p w:rsidR="00A10B37" w:rsidRDefault="00A10B37" w:rsidP="00A10B37">
      <w:pPr>
        <w:spacing w:after="0" w:line="240" w:lineRule="auto"/>
        <w:rPr>
          <w:rFonts w:ascii="Arial" w:hAnsi="Arial" w:cs="Arial"/>
          <w:color w:val="244061" w:themeColor="accent1" w:themeShade="8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9"/>
        <w:gridCol w:w="2700"/>
        <w:gridCol w:w="2309"/>
        <w:gridCol w:w="1901"/>
      </w:tblGrid>
      <w:tr w:rsidR="00A10B37" w:rsidRPr="009B4B82" w:rsidTr="00EF6000">
        <w:tc>
          <w:tcPr>
            <w:tcW w:w="2269" w:type="dxa"/>
            <w:tcBorders>
              <w:top w:val="single" w:sz="12" w:space="0" w:color="auto"/>
              <w:left w:val="single" w:sz="12" w:space="0" w:color="auto"/>
              <w:bottom w:val="single" w:sz="12" w:space="0" w:color="auto"/>
              <w:right w:val="single" w:sz="6" w:space="0" w:color="auto"/>
            </w:tcBorders>
            <w:shd w:val="clear" w:color="auto" w:fill="C6D9F1" w:themeFill="text2" w:themeFillTint="33"/>
            <w:hideMark/>
          </w:tcPr>
          <w:p w:rsidR="00A10B37" w:rsidRPr="00D13F57" w:rsidRDefault="00A10B37" w:rsidP="00EF6000">
            <w:pPr>
              <w:spacing w:before="120" w:after="120"/>
              <w:rPr>
                <w:rFonts w:ascii="Arial" w:hAnsi="Arial" w:cs="Arial"/>
                <w:b/>
                <w:bCs/>
                <w:lang w:val="fr-FR"/>
              </w:rPr>
            </w:pPr>
            <w:r w:rsidRPr="00D13F57">
              <w:rPr>
                <w:rFonts w:ascii="Arial" w:hAnsi="Arial" w:cs="Arial"/>
                <w:b/>
                <w:bCs/>
                <w:lang w:val="fr-FR"/>
              </w:rPr>
              <w:t>Document Version</w:t>
            </w:r>
          </w:p>
        </w:tc>
        <w:tc>
          <w:tcPr>
            <w:tcW w:w="2700" w:type="dxa"/>
            <w:tcBorders>
              <w:top w:val="single" w:sz="12" w:space="0" w:color="auto"/>
              <w:left w:val="single" w:sz="6" w:space="0" w:color="auto"/>
              <w:bottom w:val="single" w:sz="12" w:space="0" w:color="auto"/>
              <w:right w:val="single" w:sz="6" w:space="0" w:color="auto"/>
            </w:tcBorders>
            <w:shd w:val="clear" w:color="auto" w:fill="C6D9F1" w:themeFill="text2" w:themeFillTint="33"/>
            <w:hideMark/>
          </w:tcPr>
          <w:p w:rsidR="00A10B37" w:rsidRPr="00D13F57" w:rsidRDefault="00A10B37" w:rsidP="00EF6000">
            <w:pPr>
              <w:spacing w:before="120" w:after="120"/>
              <w:rPr>
                <w:rFonts w:ascii="Arial" w:hAnsi="Arial" w:cs="Arial"/>
                <w:b/>
                <w:bCs/>
              </w:rPr>
            </w:pPr>
            <w:r w:rsidRPr="00D13F57">
              <w:rPr>
                <w:rFonts w:ascii="Arial" w:hAnsi="Arial" w:cs="Arial"/>
                <w:b/>
                <w:bCs/>
              </w:rPr>
              <w:t>Date</w:t>
            </w:r>
          </w:p>
        </w:tc>
        <w:tc>
          <w:tcPr>
            <w:tcW w:w="2309" w:type="dxa"/>
            <w:tcBorders>
              <w:top w:val="single" w:sz="12" w:space="0" w:color="auto"/>
              <w:left w:val="single" w:sz="6" w:space="0" w:color="auto"/>
              <w:bottom w:val="single" w:sz="12" w:space="0" w:color="auto"/>
              <w:right w:val="single" w:sz="6" w:space="0" w:color="auto"/>
            </w:tcBorders>
            <w:shd w:val="clear" w:color="auto" w:fill="C6D9F1" w:themeFill="text2" w:themeFillTint="33"/>
            <w:hideMark/>
          </w:tcPr>
          <w:p w:rsidR="00A10B37" w:rsidRPr="00D13F57" w:rsidRDefault="00A10B37" w:rsidP="00EF6000">
            <w:pPr>
              <w:spacing w:before="120" w:after="120"/>
              <w:rPr>
                <w:rFonts w:ascii="Arial" w:hAnsi="Arial" w:cs="Arial"/>
                <w:b/>
                <w:bCs/>
              </w:rPr>
            </w:pPr>
            <w:r w:rsidRPr="00D13F57">
              <w:rPr>
                <w:rFonts w:ascii="Arial" w:hAnsi="Arial" w:cs="Arial"/>
                <w:b/>
                <w:bCs/>
              </w:rPr>
              <w:t>Comments</w:t>
            </w:r>
          </w:p>
        </w:tc>
        <w:tc>
          <w:tcPr>
            <w:tcW w:w="1901" w:type="dxa"/>
            <w:tcBorders>
              <w:top w:val="single" w:sz="12" w:space="0" w:color="auto"/>
              <w:left w:val="single" w:sz="6" w:space="0" w:color="auto"/>
              <w:bottom w:val="single" w:sz="12" w:space="0" w:color="auto"/>
              <w:right w:val="single" w:sz="12" w:space="0" w:color="auto"/>
            </w:tcBorders>
            <w:shd w:val="clear" w:color="auto" w:fill="C6D9F1" w:themeFill="text2" w:themeFillTint="33"/>
            <w:hideMark/>
          </w:tcPr>
          <w:p w:rsidR="00A10B37" w:rsidRPr="00D13F57" w:rsidRDefault="00A10B37" w:rsidP="00EF6000">
            <w:pPr>
              <w:spacing w:before="120" w:after="120"/>
              <w:rPr>
                <w:rFonts w:ascii="Arial" w:hAnsi="Arial" w:cs="Arial"/>
                <w:b/>
                <w:bCs/>
              </w:rPr>
            </w:pPr>
            <w:r w:rsidRPr="00D13F57">
              <w:rPr>
                <w:rFonts w:ascii="Arial" w:hAnsi="Arial" w:cs="Arial"/>
                <w:b/>
                <w:bCs/>
              </w:rPr>
              <w:t>Drafted by</w:t>
            </w:r>
          </w:p>
        </w:tc>
      </w:tr>
      <w:tr w:rsidR="00A10B37" w:rsidRPr="009B4B82" w:rsidTr="00A10B37">
        <w:tc>
          <w:tcPr>
            <w:tcW w:w="2269" w:type="dxa"/>
            <w:tcBorders>
              <w:top w:val="single" w:sz="12" w:space="0" w:color="auto"/>
              <w:left w:val="single" w:sz="12" w:space="0" w:color="auto"/>
              <w:bottom w:val="single" w:sz="12" w:space="0" w:color="auto"/>
              <w:right w:val="single" w:sz="6" w:space="0" w:color="auto"/>
            </w:tcBorders>
          </w:tcPr>
          <w:p w:rsidR="00A10B37" w:rsidRPr="00D13F57" w:rsidRDefault="000E08F0" w:rsidP="00EF6000">
            <w:pPr>
              <w:spacing w:before="120" w:after="120"/>
              <w:rPr>
                <w:rFonts w:ascii="Arial" w:hAnsi="Arial" w:cs="Arial"/>
                <w:bCs/>
              </w:rPr>
            </w:pPr>
            <w:r>
              <w:rPr>
                <w:rFonts w:ascii="Arial" w:hAnsi="Arial" w:cs="Arial"/>
                <w:bCs/>
              </w:rPr>
              <w:t>Version 1</w:t>
            </w:r>
          </w:p>
        </w:tc>
        <w:tc>
          <w:tcPr>
            <w:tcW w:w="2700" w:type="dxa"/>
            <w:tcBorders>
              <w:top w:val="single" w:sz="12" w:space="0" w:color="auto"/>
              <w:left w:val="single" w:sz="6" w:space="0" w:color="auto"/>
              <w:bottom w:val="single" w:sz="12" w:space="0" w:color="auto"/>
              <w:right w:val="single" w:sz="6" w:space="0" w:color="auto"/>
            </w:tcBorders>
          </w:tcPr>
          <w:p w:rsidR="00A10B37" w:rsidRPr="00D13F57" w:rsidRDefault="000E08F0" w:rsidP="00EF6000">
            <w:pPr>
              <w:spacing w:before="120" w:after="120"/>
              <w:rPr>
                <w:rFonts w:ascii="Arial" w:hAnsi="Arial" w:cs="Arial"/>
                <w:bCs/>
              </w:rPr>
            </w:pPr>
            <w:r>
              <w:rPr>
                <w:rFonts w:ascii="Arial" w:hAnsi="Arial" w:cs="Arial"/>
                <w:bCs/>
              </w:rPr>
              <w:t>10</w:t>
            </w:r>
            <w:r w:rsidRPr="000E08F0">
              <w:rPr>
                <w:rFonts w:ascii="Arial" w:hAnsi="Arial" w:cs="Arial"/>
                <w:bCs/>
                <w:vertAlign w:val="superscript"/>
              </w:rPr>
              <w:t>th</w:t>
            </w:r>
            <w:r>
              <w:rPr>
                <w:rFonts w:ascii="Arial" w:hAnsi="Arial" w:cs="Arial"/>
                <w:bCs/>
              </w:rPr>
              <w:t xml:space="preserve"> June</w:t>
            </w:r>
          </w:p>
        </w:tc>
        <w:tc>
          <w:tcPr>
            <w:tcW w:w="2309" w:type="dxa"/>
            <w:tcBorders>
              <w:top w:val="single" w:sz="12" w:space="0" w:color="auto"/>
              <w:left w:val="single" w:sz="6" w:space="0" w:color="auto"/>
              <w:bottom w:val="single" w:sz="12" w:space="0" w:color="auto"/>
              <w:right w:val="single" w:sz="6" w:space="0" w:color="auto"/>
            </w:tcBorders>
          </w:tcPr>
          <w:p w:rsidR="00A10B37" w:rsidRPr="00D13F57" w:rsidRDefault="000E08F0" w:rsidP="00EF6000">
            <w:pPr>
              <w:spacing w:before="120" w:after="120"/>
              <w:rPr>
                <w:rFonts w:ascii="Arial" w:hAnsi="Arial" w:cs="Arial"/>
                <w:bCs/>
              </w:rPr>
            </w:pPr>
            <w:r>
              <w:rPr>
                <w:rFonts w:ascii="Arial" w:hAnsi="Arial" w:cs="Arial"/>
                <w:bCs/>
              </w:rPr>
              <w:t>Based on email comments prior to teleconference</w:t>
            </w:r>
          </w:p>
        </w:tc>
        <w:tc>
          <w:tcPr>
            <w:tcW w:w="1901" w:type="dxa"/>
            <w:tcBorders>
              <w:top w:val="single" w:sz="12" w:space="0" w:color="auto"/>
              <w:left w:val="single" w:sz="6" w:space="0" w:color="auto"/>
              <w:bottom w:val="single" w:sz="12" w:space="0" w:color="auto"/>
              <w:right w:val="single" w:sz="12" w:space="0" w:color="auto"/>
            </w:tcBorders>
          </w:tcPr>
          <w:p w:rsidR="00A10B37" w:rsidRPr="00D13F57" w:rsidRDefault="000E08F0" w:rsidP="00EF6000">
            <w:pPr>
              <w:spacing w:before="120" w:after="120"/>
              <w:rPr>
                <w:rFonts w:ascii="Arial" w:hAnsi="Arial" w:cs="Arial"/>
                <w:bCs/>
              </w:rPr>
            </w:pPr>
            <w:r>
              <w:rPr>
                <w:rFonts w:ascii="Arial" w:hAnsi="Arial" w:cs="Arial"/>
                <w:bCs/>
              </w:rPr>
              <w:t>Joanne Poole</w:t>
            </w:r>
          </w:p>
        </w:tc>
      </w:tr>
      <w:tr w:rsidR="00A10B37" w:rsidRPr="009B4B82" w:rsidTr="00BA0225">
        <w:tc>
          <w:tcPr>
            <w:tcW w:w="2269" w:type="dxa"/>
            <w:tcBorders>
              <w:top w:val="single" w:sz="12" w:space="0" w:color="auto"/>
              <w:left w:val="single" w:sz="12" w:space="0" w:color="auto"/>
              <w:bottom w:val="single" w:sz="12" w:space="0" w:color="auto"/>
              <w:right w:val="single" w:sz="6" w:space="0" w:color="auto"/>
            </w:tcBorders>
          </w:tcPr>
          <w:p w:rsidR="00A10B37" w:rsidRPr="00D13F57" w:rsidRDefault="00736619" w:rsidP="00EF6000">
            <w:pPr>
              <w:spacing w:before="120" w:after="120"/>
              <w:rPr>
                <w:rFonts w:ascii="Arial" w:hAnsi="Arial" w:cs="Arial"/>
                <w:bCs/>
              </w:rPr>
            </w:pPr>
            <w:r>
              <w:rPr>
                <w:rFonts w:ascii="Arial" w:hAnsi="Arial" w:cs="Arial"/>
                <w:bCs/>
              </w:rPr>
              <w:t>Version 2</w:t>
            </w:r>
          </w:p>
        </w:tc>
        <w:tc>
          <w:tcPr>
            <w:tcW w:w="2700" w:type="dxa"/>
            <w:tcBorders>
              <w:top w:val="single" w:sz="12" w:space="0" w:color="auto"/>
              <w:left w:val="single" w:sz="6" w:space="0" w:color="auto"/>
              <w:bottom w:val="single" w:sz="12" w:space="0" w:color="auto"/>
              <w:right w:val="single" w:sz="6" w:space="0" w:color="auto"/>
            </w:tcBorders>
          </w:tcPr>
          <w:p w:rsidR="00A10B37" w:rsidRPr="00D13F57" w:rsidRDefault="00736619" w:rsidP="00EF6000">
            <w:pPr>
              <w:spacing w:before="120" w:after="120"/>
              <w:rPr>
                <w:rFonts w:ascii="Arial" w:hAnsi="Arial" w:cs="Arial"/>
                <w:bCs/>
              </w:rPr>
            </w:pPr>
            <w:r>
              <w:rPr>
                <w:rFonts w:ascii="Arial" w:hAnsi="Arial" w:cs="Arial"/>
                <w:bCs/>
              </w:rPr>
              <w:t>13</w:t>
            </w:r>
            <w:r w:rsidRPr="00736619">
              <w:rPr>
                <w:rFonts w:ascii="Arial" w:hAnsi="Arial" w:cs="Arial"/>
                <w:bCs/>
                <w:vertAlign w:val="superscript"/>
              </w:rPr>
              <w:t>th</w:t>
            </w:r>
            <w:r>
              <w:rPr>
                <w:rFonts w:ascii="Arial" w:hAnsi="Arial" w:cs="Arial"/>
                <w:bCs/>
              </w:rPr>
              <w:t xml:space="preserve"> June</w:t>
            </w:r>
          </w:p>
        </w:tc>
        <w:tc>
          <w:tcPr>
            <w:tcW w:w="2309" w:type="dxa"/>
            <w:tcBorders>
              <w:top w:val="single" w:sz="12" w:space="0" w:color="auto"/>
              <w:left w:val="single" w:sz="6" w:space="0" w:color="auto"/>
              <w:bottom w:val="single" w:sz="12" w:space="0" w:color="auto"/>
              <w:right w:val="single" w:sz="6" w:space="0" w:color="auto"/>
            </w:tcBorders>
          </w:tcPr>
          <w:p w:rsidR="00A10B37" w:rsidRPr="00D13F57" w:rsidRDefault="00736619" w:rsidP="00EF6000">
            <w:pPr>
              <w:spacing w:before="120" w:after="120"/>
              <w:rPr>
                <w:rFonts w:ascii="Arial" w:hAnsi="Arial" w:cs="Arial"/>
                <w:bCs/>
              </w:rPr>
            </w:pPr>
            <w:r>
              <w:rPr>
                <w:rFonts w:ascii="Arial" w:hAnsi="Arial" w:cs="Arial"/>
                <w:bCs/>
              </w:rPr>
              <w:t>Updated following teleconference</w:t>
            </w:r>
          </w:p>
        </w:tc>
        <w:tc>
          <w:tcPr>
            <w:tcW w:w="1901" w:type="dxa"/>
            <w:tcBorders>
              <w:top w:val="single" w:sz="12" w:space="0" w:color="auto"/>
              <w:left w:val="single" w:sz="6" w:space="0" w:color="auto"/>
              <w:bottom w:val="single" w:sz="12" w:space="0" w:color="auto"/>
              <w:right w:val="single" w:sz="12" w:space="0" w:color="auto"/>
            </w:tcBorders>
          </w:tcPr>
          <w:p w:rsidR="00A10B37" w:rsidRPr="00D13F57" w:rsidRDefault="00736619" w:rsidP="00EF6000">
            <w:pPr>
              <w:spacing w:before="120" w:after="120"/>
              <w:rPr>
                <w:rFonts w:ascii="Arial" w:hAnsi="Arial" w:cs="Arial"/>
                <w:bCs/>
              </w:rPr>
            </w:pPr>
            <w:r>
              <w:rPr>
                <w:rFonts w:ascii="Arial" w:hAnsi="Arial" w:cs="Arial"/>
                <w:bCs/>
              </w:rPr>
              <w:t>Joanne Poole</w:t>
            </w:r>
          </w:p>
        </w:tc>
      </w:tr>
      <w:tr w:rsidR="00BA0225" w:rsidRPr="009B4B82" w:rsidTr="00EF6000">
        <w:tc>
          <w:tcPr>
            <w:tcW w:w="2269" w:type="dxa"/>
            <w:tcBorders>
              <w:top w:val="single" w:sz="12" w:space="0" w:color="auto"/>
              <w:left w:val="single" w:sz="12" w:space="0" w:color="auto"/>
              <w:bottom w:val="single" w:sz="6" w:space="0" w:color="auto"/>
              <w:right w:val="single" w:sz="6" w:space="0" w:color="auto"/>
            </w:tcBorders>
          </w:tcPr>
          <w:p w:rsidR="00BA0225" w:rsidRPr="00D13F57" w:rsidRDefault="004107D1" w:rsidP="00EF6000">
            <w:pPr>
              <w:spacing w:before="120" w:after="120"/>
              <w:rPr>
                <w:rFonts w:ascii="Arial" w:hAnsi="Arial" w:cs="Arial"/>
                <w:bCs/>
              </w:rPr>
            </w:pPr>
            <w:r>
              <w:rPr>
                <w:rFonts w:ascii="Arial" w:hAnsi="Arial" w:cs="Arial"/>
                <w:bCs/>
              </w:rPr>
              <w:t>Version 3</w:t>
            </w:r>
          </w:p>
        </w:tc>
        <w:tc>
          <w:tcPr>
            <w:tcW w:w="2700" w:type="dxa"/>
            <w:tcBorders>
              <w:top w:val="single" w:sz="12" w:space="0" w:color="auto"/>
              <w:left w:val="single" w:sz="6" w:space="0" w:color="auto"/>
              <w:bottom w:val="single" w:sz="6" w:space="0" w:color="auto"/>
              <w:right w:val="single" w:sz="6" w:space="0" w:color="auto"/>
            </w:tcBorders>
          </w:tcPr>
          <w:p w:rsidR="00BA0225" w:rsidRPr="00D13F57" w:rsidRDefault="004107D1" w:rsidP="00EF6000">
            <w:pPr>
              <w:spacing w:before="120" w:after="120"/>
              <w:rPr>
                <w:rFonts w:ascii="Arial" w:hAnsi="Arial" w:cs="Arial"/>
                <w:bCs/>
              </w:rPr>
            </w:pPr>
            <w:r>
              <w:rPr>
                <w:rFonts w:ascii="Arial" w:hAnsi="Arial" w:cs="Arial"/>
                <w:bCs/>
              </w:rPr>
              <w:t>1</w:t>
            </w:r>
            <w:r w:rsidRPr="00876791">
              <w:rPr>
                <w:rFonts w:ascii="Arial" w:hAnsi="Arial" w:cs="Arial"/>
                <w:bCs/>
                <w:vertAlign w:val="superscript"/>
              </w:rPr>
              <w:t>st</w:t>
            </w:r>
            <w:r>
              <w:rPr>
                <w:rFonts w:ascii="Arial" w:hAnsi="Arial" w:cs="Arial"/>
                <w:bCs/>
              </w:rPr>
              <w:t xml:space="preserve"> July</w:t>
            </w:r>
          </w:p>
        </w:tc>
        <w:tc>
          <w:tcPr>
            <w:tcW w:w="2309" w:type="dxa"/>
            <w:tcBorders>
              <w:top w:val="single" w:sz="12" w:space="0" w:color="auto"/>
              <w:left w:val="single" w:sz="6" w:space="0" w:color="auto"/>
              <w:bottom w:val="single" w:sz="6" w:space="0" w:color="auto"/>
              <w:right w:val="single" w:sz="6" w:space="0" w:color="auto"/>
            </w:tcBorders>
          </w:tcPr>
          <w:p w:rsidR="00BA0225" w:rsidRPr="00D13F57" w:rsidRDefault="004107D1" w:rsidP="00EF6000">
            <w:pPr>
              <w:spacing w:before="120" w:after="120"/>
              <w:rPr>
                <w:rFonts w:ascii="Arial" w:hAnsi="Arial" w:cs="Arial"/>
                <w:bCs/>
              </w:rPr>
            </w:pPr>
            <w:r>
              <w:rPr>
                <w:rFonts w:ascii="Arial" w:hAnsi="Arial" w:cs="Arial"/>
                <w:bCs/>
              </w:rPr>
              <w:t>Updated following commissioner comments</w:t>
            </w:r>
          </w:p>
        </w:tc>
        <w:tc>
          <w:tcPr>
            <w:tcW w:w="1901" w:type="dxa"/>
            <w:tcBorders>
              <w:top w:val="single" w:sz="12" w:space="0" w:color="auto"/>
              <w:left w:val="single" w:sz="6" w:space="0" w:color="auto"/>
              <w:bottom w:val="single" w:sz="6" w:space="0" w:color="auto"/>
              <w:right w:val="single" w:sz="12" w:space="0" w:color="auto"/>
            </w:tcBorders>
          </w:tcPr>
          <w:p w:rsidR="00BA0225" w:rsidRPr="00D13F57" w:rsidRDefault="004107D1" w:rsidP="00EF6000">
            <w:pPr>
              <w:spacing w:before="120" w:after="120"/>
              <w:rPr>
                <w:rFonts w:ascii="Arial" w:hAnsi="Arial" w:cs="Arial"/>
                <w:bCs/>
              </w:rPr>
            </w:pPr>
            <w:r>
              <w:rPr>
                <w:rFonts w:ascii="Arial" w:hAnsi="Arial" w:cs="Arial"/>
                <w:bCs/>
              </w:rPr>
              <w:t>Joanne Poole</w:t>
            </w:r>
          </w:p>
        </w:tc>
      </w:tr>
    </w:tbl>
    <w:p w:rsidR="00A10B37" w:rsidRPr="00A10B37" w:rsidRDefault="00A10B37" w:rsidP="00A10B37">
      <w:pPr>
        <w:spacing w:after="0" w:line="240" w:lineRule="auto"/>
        <w:rPr>
          <w:rFonts w:ascii="Arial" w:hAnsi="Arial" w:cs="Arial"/>
          <w:color w:val="244061" w:themeColor="accent1" w:themeShade="80"/>
        </w:rPr>
      </w:pPr>
    </w:p>
    <w:p w:rsidR="00A10B37" w:rsidRDefault="00A10B37" w:rsidP="00EA1F41">
      <w:pPr>
        <w:spacing w:after="0" w:line="240" w:lineRule="auto"/>
        <w:rPr>
          <w:rFonts w:ascii="Arial" w:hAnsi="Arial" w:cs="Arial"/>
          <w:color w:val="244061" w:themeColor="accent1" w:themeShade="80"/>
          <w:sz w:val="24"/>
          <w:szCs w:val="24"/>
        </w:rPr>
      </w:pPr>
    </w:p>
    <w:p w:rsidR="00A10B37" w:rsidRDefault="00A10B37" w:rsidP="00EA1F41">
      <w:pPr>
        <w:spacing w:after="0" w:line="240" w:lineRule="auto"/>
        <w:rPr>
          <w:rFonts w:ascii="Arial" w:hAnsi="Arial" w:cs="Arial"/>
          <w:color w:val="244061" w:themeColor="accent1" w:themeShade="80"/>
          <w:sz w:val="24"/>
          <w:szCs w:val="24"/>
        </w:rPr>
      </w:pPr>
    </w:p>
    <w:p w:rsidR="00A10B37" w:rsidRDefault="00A10B37" w:rsidP="00EA1F41">
      <w:pPr>
        <w:spacing w:after="0" w:line="240" w:lineRule="auto"/>
        <w:rPr>
          <w:rFonts w:ascii="Arial" w:hAnsi="Arial" w:cs="Arial"/>
          <w:color w:val="244061" w:themeColor="accent1" w:themeShade="80"/>
          <w:sz w:val="24"/>
          <w:szCs w:val="24"/>
        </w:rPr>
      </w:pPr>
    </w:p>
    <w:p w:rsidR="00BA0225" w:rsidRDefault="00BA0225" w:rsidP="00EA1F41">
      <w:pPr>
        <w:spacing w:after="0" w:line="240" w:lineRule="auto"/>
        <w:rPr>
          <w:rFonts w:ascii="Arial" w:hAnsi="Arial" w:cs="Arial"/>
          <w:color w:val="244061" w:themeColor="accent1" w:themeShade="80"/>
          <w:sz w:val="24"/>
          <w:szCs w:val="24"/>
        </w:rPr>
      </w:pPr>
    </w:p>
    <w:p w:rsidR="00BA0225" w:rsidRDefault="00BA0225" w:rsidP="00EA1F41">
      <w:pPr>
        <w:spacing w:after="0" w:line="240" w:lineRule="auto"/>
        <w:rPr>
          <w:rFonts w:ascii="Arial" w:hAnsi="Arial" w:cs="Arial"/>
          <w:color w:val="244061" w:themeColor="accent1" w:themeShade="80"/>
          <w:sz w:val="24"/>
          <w:szCs w:val="24"/>
        </w:rPr>
      </w:pPr>
    </w:p>
    <w:p w:rsidR="00BA0225" w:rsidRDefault="00BA0225" w:rsidP="00EA1F41">
      <w:pPr>
        <w:spacing w:after="0" w:line="240" w:lineRule="auto"/>
        <w:rPr>
          <w:rFonts w:ascii="Arial" w:hAnsi="Arial" w:cs="Arial"/>
          <w:color w:val="244061" w:themeColor="accent1" w:themeShade="80"/>
          <w:sz w:val="24"/>
          <w:szCs w:val="24"/>
        </w:rPr>
      </w:pPr>
    </w:p>
    <w:p w:rsidR="00BA0225" w:rsidRPr="00F54F76" w:rsidRDefault="00BA0225" w:rsidP="00EA1F41">
      <w:pPr>
        <w:spacing w:after="0" w:line="240" w:lineRule="auto"/>
        <w:rPr>
          <w:rFonts w:ascii="Arial" w:hAnsi="Arial" w:cs="Arial"/>
          <w:color w:val="244061" w:themeColor="accent1" w:themeShade="80"/>
          <w:sz w:val="24"/>
          <w:szCs w:val="24"/>
        </w:rPr>
      </w:pPr>
    </w:p>
    <w:p w:rsidR="00044E0F" w:rsidRDefault="00BA0225" w:rsidP="00963468">
      <w:pPr>
        <w:pStyle w:val="Heading1"/>
        <w:numPr>
          <w:ilvl w:val="0"/>
          <w:numId w:val="45"/>
        </w:numPr>
        <w:rPr>
          <w:rFonts w:ascii="Arial" w:hAnsi="Arial" w:cs="Arial"/>
        </w:rPr>
      </w:pPr>
      <w:r>
        <w:rPr>
          <w:rFonts w:ascii="Arial" w:hAnsi="Arial" w:cs="Arial"/>
        </w:rPr>
        <w:lastRenderedPageBreak/>
        <w:t>Chair’s Foreword</w:t>
      </w:r>
      <w:r w:rsidR="000E3AE6" w:rsidRPr="000E3AE6">
        <w:rPr>
          <w:rFonts w:ascii="Arial" w:hAnsi="Arial" w:cs="Arial"/>
        </w:rPr>
        <w:t xml:space="preserve"> </w:t>
      </w:r>
    </w:p>
    <w:p w:rsidR="00071DD2" w:rsidRDefault="00071DD2" w:rsidP="00854C98">
      <w:pPr>
        <w:ind w:right="-28"/>
        <w:rPr>
          <w:rFonts w:ascii="Arial" w:eastAsia="Times New Roman" w:hAnsi="Arial" w:cs="Arial"/>
          <w:szCs w:val="24"/>
        </w:rPr>
      </w:pPr>
    </w:p>
    <w:p w:rsidR="00854C98" w:rsidRDefault="00963468" w:rsidP="00854C98">
      <w:pPr>
        <w:ind w:right="-28"/>
        <w:rPr>
          <w:rFonts w:ascii="Arial" w:eastAsia="Times New Roman" w:hAnsi="Arial" w:cs="Arial"/>
          <w:szCs w:val="24"/>
        </w:rPr>
      </w:pPr>
      <w:r>
        <w:rPr>
          <w:rFonts w:ascii="Arial" w:eastAsia="Times New Roman" w:hAnsi="Arial" w:cs="Arial"/>
          <w:szCs w:val="24"/>
        </w:rPr>
        <w:t>1.1</w:t>
      </w:r>
      <w:r>
        <w:rPr>
          <w:rFonts w:ascii="Arial" w:eastAsia="Times New Roman" w:hAnsi="Arial" w:cs="Arial"/>
          <w:szCs w:val="24"/>
        </w:rPr>
        <w:tab/>
      </w:r>
      <w:r w:rsidR="00071DD2">
        <w:rPr>
          <w:rFonts w:ascii="Arial" w:eastAsia="Times New Roman" w:hAnsi="Arial" w:cs="Arial"/>
          <w:szCs w:val="24"/>
        </w:rPr>
        <w:t xml:space="preserve">This review has been made more </w:t>
      </w:r>
      <w:r w:rsidR="00094F8A">
        <w:rPr>
          <w:rFonts w:ascii="Arial" w:eastAsia="Times New Roman" w:hAnsi="Arial" w:cs="Arial"/>
          <w:szCs w:val="24"/>
        </w:rPr>
        <w:t xml:space="preserve">complex </w:t>
      </w:r>
      <w:r w:rsidR="00071DD2">
        <w:rPr>
          <w:rFonts w:ascii="Arial" w:eastAsia="Times New Roman" w:hAnsi="Arial" w:cs="Arial"/>
          <w:szCs w:val="24"/>
        </w:rPr>
        <w:t>as the Senate required</w:t>
      </w:r>
      <w:r w:rsidR="00094F8A">
        <w:rPr>
          <w:rFonts w:ascii="Arial" w:eastAsia="Times New Roman" w:hAnsi="Arial" w:cs="Arial"/>
          <w:szCs w:val="24"/>
        </w:rPr>
        <w:t xml:space="preserve"> information </w:t>
      </w:r>
      <w:r w:rsidR="00071DD2">
        <w:rPr>
          <w:rFonts w:ascii="Arial" w:eastAsia="Times New Roman" w:hAnsi="Arial" w:cs="Arial"/>
          <w:szCs w:val="24"/>
        </w:rPr>
        <w:t>in addition to the w</w:t>
      </w:r>
      <w:r w:rsidR="00094F8A">
        <w:rPr>
          <w:rFonts w:ascii="Arial" w:eastAsia="Times New Roman" w:hAnsi="Arial" w:cs="Arial"/>
          <w:szCs w:val="24"/>
        </w:rPr>
        <w:t>ritten evidence provided</w:t>
      </w:r>
      <w:r w:rsidR="00071DD2">
        <w:rPr>
          <w:rFonts w:ascii="Arial" w:eastAsia="Times New Roman" w:hAnsi="Arial" w:cs="Arial"/>
          <w:szCs w:val="24"/>
        </w:rPr>
        <w:t xml:space="preserve">. </w:t>
      </w:r>
      <w:r w:rsidR="008674BD">
        <w:rPr>
          <w:rFonts w:ascii="Arial" w:eastAsia="Times New Roman" w:hAnsi="Arial" w:cs="Arial"/>
          <w:szCs w:val="24"/>
        </w:rPr>
        <w:t>The Senate was unable to endorse the proposed option on the basis of the written evidence but following the clinical discussion the Senate is now able to provide the endorsement of the commissioners preferred option.</w:t>
      </w: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BA0225" w:rsidRDefault="00BA0225" w:rsidP="00854C98">
      <w:pPr>
        <w:ind w:right="-28"/>
        <w:rPr>
          <w:rFonts w:ascii="Arial" w:eastAsia="Times New Roman" w:hAnsi="Arial" w:cs="Arial"/>
          <w:szCs w:val="24"/>
        </w:rPr>
      </w:pPr>
    </w:p>
    <w:p w:rsidR="005B1180" w:rsidRPr="00963468" w:rsidRDefault="005B1180" w:rsidP="00963468">
      <w:pPr>
        <w:pStyle w:val="ListParagraph"/>
        <w:numPr>
          <w:ilvl w:val="0"/>
          <w:numId w:val="45"/>
        </w:numPr>
        <w:spacing w:before="100" w:beforeAutospacing="1" w:after="100" w:afterAutospacing="1"/>
        <w:rPr>
          <w:rFonts w:ascii="Arial" w:eastAsiaTheme="minorHAnsi" w:hAnsi="Arial" w:cs="Arial"/>
          <w:b/>
          <w:color w:val="365F91" w:themeColor="accent1" w:themeShade="BF"/>
          <w:sz w:val="28"/>
          <w:szCs w:val="28"/>
          <w:lang w:eastAsia="en-US"/>
        </w:rPr>
      </w:pPr>
      <w:r w:rsidRPr="00963468">
        <w:rPr>
          <w:rFonts w:ascii="Arial" w:eastAsiaTheme="minorHAnsi" w:hAnsi="Arial" w:cs="Arial"/>
          <w:b/>
          <w:color w:val="365F91" w:themeColor="accent1" w:themeShade="BF"/>
          <w:sz w:val="28"/>
          <w:szCs w:val="28"/>
          <w:lang w:eastAsia="en-US"/>
        </w:rPr>
        <w:t>Su</w:t>
      </w:r>
      <w:r w:rsidR="00BA0225" w:rsidRPr="00963468">
        <w:rPr>
          <w:rFonts w:ascii="Arial" w:eastAsiaTheme="minorHAnsi" w:hAnsi="Arial" w:cs="Arial"/>
          <w:b/>
          <w:color w:val="365F91" w:themeColor="accent1" w:themeShade="BF"/>
          <w:sz w:val="28"/>
          <w:szCs w:val="28"/>
          <w:lang w:eastAsia="en-US"/>
        </w:rPr>
        <w:t>mmary Recommendations</w:t>
      </w:r>
    </w:p>
    <w:p w:rsidR="008674BD" w:rsidRDefault="00963468" w:rsidP="009049CC">
      <w:pPr>
        <w:rPr>
          <w:rFonts w:ascii="Arial" w:hAnsi="Arial" w:cs="Arial"/>
          <w:color w:val="000000" w:themeColor="text1"/>
        </w:rPr>
      </w:pPr>
      <w:r>
        <w:rPr>
          <w:rFonts w:ascii="Arial" w:hAnsi="Arial" w:cs="Arial"/>
          <w:color w:val="000000" w:themeColor="text1"/>
        </w:rPr>
        <w:t>2.1</w:t>
      </w:r>
      <w:r>
        <w:rPr>
          <w:rFonts w:ascii="Arial" w:hAnsi="Arial" w:cs="Arial"/>
          <w:color w:val="000000" w:themeColor="text1"/>
        </w:rPr>
        <w:tab/>
      </w:r>
      <w:r w:rsidR="006B2344" w:rsidRPr="009049CC">
        <w:rPr>
          <w:rFonts w:ascii="Arial" w:hAnsi="Arial" w:cs="Arial"/>
          <w:color w:val="000000" w:themeColor="text1"/>
        </w:rPr>
        <w:t xml:space="preserve">The Senate reviewed the body of </w:t>
      </w:r>
      <w:r w:rsidR="009049CC" w:rsidRPr="009049CC">
        <w:rPr>
          <w:rFonts w:ascii="Arial" w:hAnsi="Arial" w:cs="Arial"/>
          <w:color w:val="000000" w:themeColor="text1"/>
        </w:rPr>
        <w:t xml:space="preserve">written </w:t>
      </w:r>
      <w:r w:rsidR="008674BD">
        <w:rPr>
          <w:rFonts w:ascii="Arial" w:hAnsi="Arial" w:cs="Arial"/>
          <w:color w:val="000000" w:themeColor="text1"/>
        </w:rPr>
        <w:t>evidence provided and recommended</w:t>
      </w:r>
      <w:r w:rsidR="006B2344" w:rsidRPr="009049CC">
        <w:rPr>
          <w:rFonts w:ascii="Arial" w:hAnsi="Arial" w:cs="Arial"/>
          <w:color w:val="000000" w:themeColor="text1"/>
        </w:rPr>
        <w:t xml:space="preserve"> that further information </w:t>
      </w:r>
      <w:r w:rsidR="008674BD">
        <w:rPr>
          <w:rFonts w:ascii="Arial" w:hAnsi="Arial" w:cs="Arial"/>
          <w:color w:val="000000" w:themeColor="text1"/>
        </w:rPr>
        <w:t>was</w:t>
      </w:r>
      <w:r w:rsidR="006B2344" w:rsidRPr="009049CC">
        <w:rPr>
          <w:rFonts w:ascii="Arial" w:hAnsi="Arial" w:cs="Arial"/>
          <w:color w:val="000000" w:themeColor="text1"/>
        </w:rPr>
        <w:t xml:space="preserve"> required to support the preferred option</w:t>
      </w:r>
      <w:r w:rsidR="009049CC" w:rsidRPr="009049CC">
        <w:rPr>
          <w:rFonts w:ascii="Arial" w:hAnsi="Arial" w:cs="Arial"/>
          <w:color w:val="000000" w:themeColor="text1"/>
        </w:rPr>
        <w:t xml:space="preserve"> as the case for consolidating ENT services on one site </w:t>
      </w:r>
      <w:r w:rsidR="008674BD">
        <w:rPr>
          <w:rFonts w:ascii="Arial" w:hAnsi="Arial" w:cs="Arial"/>
          <w:color w:val="000000" w:themeColor="text1"/>
        </w:rPr>
        <w:t>was</w:t>
      </w:r>
      <w:r w:rsidR="009049CC" w:rsidRPr="009049CC">
        <w:rPr>
          <w:rFonts w:ascii="Arial" w:hAnsi="Arial" w:cs="Arial"/>
          <w:color w:val="000000" w:themeColor="text1"/>
        </w:rPr>
        <w:t xml:space="preserve"> not robustly made</w:t>
      </w:r>
      <w:r w:rsidR="008674BD">
        <w:rPr>
          <w:rFonts w:ascii="Arial" w:hAnsi="Arial" w:cs="Arial"/>
          <w:color w:val="000000" w:themeColor="text1"/>
        </w:rPr>
        <w:t xml:space="preserve"> within the documentation</w:t>
      </w:r>
      <w:r w:rsidR="009049CC" w:rsidRPr="009049CC">
        <w:rPr>
          <w:rFonts w:ascii="Arial" w:hAnsi="Arial" w:cs="Arial"/>
          <w:color w:val="000000" w:themeColor="text1"/>
        </w:rPr>
        <w:t xml:space="preserve">.  </w:t>
      </w:r>
      <w:r w:rsidR="008674BD">
        <w:rPr>
          <w:rFonts w:ascii="Arial" w:hAnsi="Arial" w:cs="Arial"/>
          <w:color w:val="000000" w:themeColor="text1"/>
        </w:rPr>
        <w:t>The subsequent clinical discussion was able to provide the additional information to enable the Senate to endorse the preferred option.  The Senate recommends that:</w:t>
      </w:r>
    </w:p>
    <w:p w:rsidR="008674BD" w:rsidRPr="008674BD" w:rsidRDefault="008674BD" w:rsidP="008674BD">
      <w:pPr>
        <w:pStyle w:val="ListParagraph"/>
        <w:numPr>
          <w:ilvl w:val="0"/>
          <w:numId w:val="43"/>
        </w:numPr>
        <w:rPr>
          <w:rFonts w:ascii="Arial" w:eastAsia="Times New Roman" w:hAnsi="Arial" w:cs="Arial"/>
        </w:rPr>
      </w:pPr>
      <w:r w:rsidRPr="008674BD">
        <w:rPr>
          <w:rFonts w:ascii="Arial" w:eastAsia="Times New Roman" w:hAnsi="Arial" w:cs="Arial"/>
        </w:rPr>
        <w:t xml:space="preserve">there such be a protocol/Standard Operating Procedure describing which patients can be done as day surgery in Scunthorpe with the purpose being to keep the risk of unexpected admission due to complications to an absolute minimum </w:t>
      </w:r>
    </w:p>
    <w:p w:rsidR="008674BD" w:rsidRPr="008674BD" w:rsidRDefault="008674BD" w:rsidP="008674BD">
      <w:pPr>
        <w:pStyle w:val="ListParagraph"/>
        <w:numPr>
          <w:ilvl w:val="0"/>
          <w:numId w:val="43"/>
        </w:numPr>
        <w:rPr>
          <w:rFonts w:ascii="Arial" w:eastAsia="Times New Roman" w:hAnsi="Arial" w:cs="Arial"/>
        </w:rPr>
      </w:pPr>
      <w:r w:rsidRPr="008674BD">
        <w:rPr>
          <w:rFonts w:ascii="Arial" w:eastAsia="Times New Roman" w:hAnsi="Arial" w:cs="Arial"/>
        </w:rPr>
        <w:t>there should be a full explanation/plan for accommodating the additional inpatients that would result from centralising the service. The Senate was not assured that this element of the preferred option had been completely planned out but it appears to be achievable. </w:t>
      </w:r>
    </w:p>
    <w:p w:rsidR="00BA0225" w:rsidRDefault="00BA0225" w:rsidP="00C2551D">
      <w:pPr>
        <w:spacing w:before="100" w:beforeAutospacing="1" w:after="100" w:afterAutospacing="1"/>
        <w:rPr>
          <w:rFonts w:ascii="Arial" w:eastAsiaTheme="minorHAnsi" w:hAnsi="Arial" w:cs="Arial"/>
          <w:b/>
          <w:color w:val="365F91" w:themeColor="accent1" w:themeShade="BF"/>
          <w:sz w:val="28"/>
          <w:szCs w:val="28"/>
          <w:lang w:eastAsia="en-US"/>
        </w:rPr>
      </w:pPr>
    </w:p>
    <w:p w:rsidR="00BA0225" w:rsidRPr="00963468" w:rsidRDefault="00BA0225" w:rsidP="00963468">
      <w:pPr>
        <w:pStyle w:val="ListParagraph"/>
        <w:numPr>
          <w:ilvl w:val="0"/>
          <w:numId w:val="45"/>
        </w:numPr>
        <w:spacing w:before="100" w:beforeAutospacing="1" w:after="100" w:afterAutospacing="1"/>
        <w:rPr>
          <w:rFonts w:ascii="Arial" w:eastAsiaTheme="minorHAnsi" w:hAnsi="Arial" w:cs="Arial"/>
          <w:b/>
          <w:color w:val="365F91" w:themeColor="accent1" w:themeShade="BF"/>
          <w:sz w:val="28"/>
          <w:szCs w:val="28"/>
          <w:lang w:eastAsia="en-US"/>
        </w:rPr>
      </w:pPr>
      <w:r w:rsidRPr="00963468">
        <w:rPr>
          <w:rFonts w:ascii="Arial" w:eastAsiaTheme="minorHAnsi" w:hAnsi="Arial" w:cs="Arial"/>
          <w:b/>
          <w:color w:val="365F91" w:themeColor="accent1" w:themeShade="BF"/>
          <w:sz w:val="28"/>
          <w:szCs w:val="28"/>
          <w:lang w:eastAsia="en-US"/>
        </w:rPr>
        <w:t>Background</w:t>
      </w:r>
    </w:p>
    <w:p w:rsidR="008A752D" w:rsidRDefault="00BA0225" w:rsidP="00C2551D">
      <w:pPr>
        <w:spacing w:before="100" w:beforeAutospacing="1" w:after="100" w:afterAutospacing="1"/>
        <w:rPr>
          <w:rFonts w:ascii="Arial" w:eastAsiaTheme="minorHAnsi" w:hAnsi="Arial" w:cs="Arial"/>
          <w:b/>
          <w:lang w:eastAsia="en-US"/>
        </w:rPr>
      </w:pPr>
      <w:r w:rsidRPr="00BA0225">
        <w:rPr>
          <w:rFonts w:ascii="Arial" w:eastAsiaTheme="minorHAnsi" w:hAnsi="Arial" w:cs="Arial"/>
          <w:b/>
          <w:lang w:eastAsia="en-US"/>
        </w:rPr>
        <w:t>Clinical Area</w:t>
      </w:r>
    </w:p>
    <w:p w:rsidR="008A752D" w:rsidRPr="000323DC" w:rsidRDefault="00963468" w:rsidP="008A752D">
      <w:pPr>
        <w:spacing w:before="100" w:beforeAutospacing="1" w:after="100" w:afterAutospacing="1"/>
        <w:rPr>
          <w:rFonts w:ascii="Arial" w:hAnsi="Arial" w:cs="Arial"/>
        </w:rPr>
      </w:pPr>
      <w:r>
        <w:rPr>
          <w:rFonts w:ascii="Arial" w:eastAsiaTheme="minorHAnsi" w:hAnsi="Arial" w:cs="Arial"/>
          <w:lang w:eastAsia="en-US"/>
        </w:rPr>
        <w:t>3.1</w:t>
      </w:r>
      <w:r>
        <w:rPr>
          <w:rFonts w:ascii="Arial" w:eastAsiaTheme="minorHAnsi" w:hAnsi="Arial" w:cs="Arial"/>
          <w:lang w:eastAsia="en-US"/>
        </w:rPr>
        <w:tab/>
      </w:r>
      <w:r w:rsidR="008A752D" w:rsidRPr="000323DC">
        <w:rPr>
          <w:rFonts w:ascii="Arial" w:eastAsiaTheme="minorHAnsi" w:hAnsi="Arial" w:cs="Arial"/>
          <w:lang w:eastAsia="en-US"/>
        </w:rPr>
        <w:t xml:space="preserve">North East Lincolnshire and North Lincolnshire CCGs approached the Clinical Senate to </w:t>
      </w:r>
      <w:r w:rsidR="008A752D" w:rsidRPr="000323DC">
        <w:rPr>
          <w:rFonts w:ascii="Arial" w:hAnsi="Arial" w:cs="Arial"/>
        </w:rPr>
        <w:t>review the options that are being considered for service change, including the preferred option, and contribute with any issues or concerns that may need to be considered before going to consultation.  The three areas referred to the Senate were</w:t>
      </w:r>
      <w:r w:rsidR="000A2BEF" w:rsidRPr="000323DC">
        <w:rPr>
          <w:rFonts w:ascii="Arial" w:hAnsi="Arial" w:cs="Arial"/>
        </w:rPr>
        <w:t xml:space="preserve"> identified as</w:t>
      </w:r>
      <w:r w:rsidR="008A752D" w:rsidRPr="000323DC">
        <w:rPr>
          <w:rFonts w:ascii="Arial" w:hAnsi="Arial" w:cs="Arial"/>
        </w:rPr>
        <w:t>:</w:t>
      </w:r>
    </w:p>
    <w:p w:rsidR="008A752D" w:rsidRPr="000323DC" w:rsidRDefault="008A752D" w:rsidP="008A752D">
      <w:pPr>
        <w:pStyle w:val="ListParagraph"/>
        <w:numPr>
          <w:ilvl w:val="0"/>
          <w:numId w:val="37"/>
        </w:numPr>
        <w:rPr>
          <w:rFonts w:ascii="Arial" w:hAnsi="Arial" w:cs="Arial"/>
        </w:rPr>
      </w:pPr>
      <w:r w:rsidRPr="000323DC">
        <w:rPr>
          <w:rFonts w:ascii="Arial" w:hAnsi="Arial" w:cs="Arial"/>
        </w:rPr>
        <w:t>Hyper acute stroke services</w:t>
      </w:r>
    </w:p>
    <w:p w:rsidR="008A752D" w:rsidRPr="000323DC" w:rsidRDefault="008A752D" w:rsidP="008A752D">
      <w:pPr>
        <w:pStyle w:val="ListParagraph"/>
        <w:numPr>
          <w:ilvl w:val="0"/>
          <w:numId w:val="37"/>
        </w:numPr>
        <w:rPr>
          <w:rFonts w:ascii="Arial" w:hAnsi="Arial" w:cs="Arial"/>
        </w:rPr>
      </w:pPr>
      <w:r w:rsidRPr="000323DC">
        <w:rPr>
          <w:rFonts w:ascii="Arial" w:hAnsi="Arial" w:cs="Arial"/>
        </w:rPr>
        <w:t>ENT surgery</w:t>
      </w:r>
    </w:p>
    <w:p w:rsidR="008A752D" w:rsidRPr="000323DC" w:rsidRDefault="008A752D" w:rsidP="008A752D">
      <w:pPr>
        <w:pStyle w:val="ListParagraph"/>
        <w:numPr>
          <w:ilvl w:val="0"/>
          <w:numId w:val="37"/>
        </w:numPr>
        <w:rPr>
          <w:rFonts w:ascii="Arial" w:hAnsi="Arial" w:cs="Arial"/>
        </w:rPr>
      </w:pPr>
      <w:r w:rsidRPr="000323DC">
        <w:rPr>
          <w:rFonts w:ascii="Arial" w:hAnsi="Arial" w:cs="Arial"/>
        </w:rPr>
        <w:t>Children’s surgery</w:t>
      </w:r>
    </w:p>
    <w:p w:rsidR="008A752D" w:rsidRPr="000323DC" w:rsidRDefault="00963468" w:rsidP="008A752D">
      <w:pPr>
        <w:rPr>
          <w:rFonts w:ascii="Arial" w:hAnsi="Arial" w:cs="Arial"/>
        </w:rPr>
      </w:pPr>
      <w:r>
        <w:rPr>
          <w:rFonts w:ascii="Arial" w:hAnsi="Arial" w:cs="Arial"/>
        </w:rPr>
        <w:t>3.2</w:t>
      </w:r>
      <w:r>
        <w:rPr>
          <w:rFonts w:ascii="Arial" w:hAnsi="Arial" w:cs="Arial"/>
        </w:rPr>
        <w:tab/>
      </w:r>
      <w:r w:rsidR="008A752D" w:rsidRPr="000323DC">
        <w:rPr>
          <w:rFonts w:ascii="Arial" w:hAnsi="Arial" w:cs="Arial"/>
        </w:rPr>
        <w:t>This report focuses on the ENT surgery proposals</w:t>
      </w:r>
    </w:p>
    <w:p w:rsidR="008A752D" w:rsidRPr="000323DC" w:rsidRDefault="00963468" w:rsidP="008A752D">
      <w:pPr>
        <w:ind w:right="-28"/>
        <w:rPr>
          <w:rFonts w:ascii="Arial" w:eastAsia="Times New Roman" w:hAnsi="Arial" w:cs="Arial"/>
          <w:szCs w:val="24"/>
        </w:rPr>
      </w:pPr>
      <w:r>
        <w:rPr>
          <w:rFonts w:ascii="Arial" w:eastAsia="Times New Roman" w:hAnsi="Arial" w:cs="Arial"/>
          <w:szCs w:val="24"/>
        </w:rPr>
        <w:t>3.3</w:t>
      </w:r>
      <w:r>
        <w:rPr>
          <w:rFonts w:ascii="Arial" w:eastAsia="Times New Roman" w:hAnsi="Arial" w:cs="Arial"/>
          <w:szCs w:val="24"/>
        </w:rPr>
        <w:tab/>
      </w:r>
      <w:r w:rsidR="000A2BEF" w:rsidRPr="000323DC">
        <w:rPr>
          <w:rFonts w:ascii="Arial" w:eastAsia="Times New Roman" w:hAnsi="Arial" w:cs="Arial"/>
          <w:szCs w:val="24"/>
        </w:rPr>
        <w:t xml:space="preserve">The proposals consider centralising the service </w:t>
      </w:r>
      <w:r w:rsidR="008A752D" w:rsidRPr="000323DC">
        <w:rPr>
          <w:rFonts w:ascii="Arial" w:eastAsia="Times New Roman" w:hAnsi="Arial" w:cs="Arial"/>
          <w:szCs w:val="24"/>
        </w:rPr>
        <w:t>onto one hospital site, rather than being delivered at both DGH sites.  This recommendation is based on national best practice around volumes, and also local clinical team recommendations around quality and safety improvements that could be facilitated through centralisation.</w:t>
      </w:r>
    </w:p>
    <w:p w:rsidR="00913FC6" w:rsidRPr="000323DC" w:rsidRDefault="00963468" w:rsidP="00913FC6">
      <w:pPr>
        <w:ind w:right="-28"/>
        <w:rPr>
          <w:rFonts w:ascii="Arial" w:eastAsia="Times New Roman" w:hAnsi="Arial" w:cs="Arial"/>
          <w:szCs w:val="24"/>
        </w:rPr>
      </w:pPr>
      <w:r>
        <w:rPr>
          <w:rFonts w:ascii="Arial" w:eastAsia="Times New Roman" w:hAnsi="Arial" w:cs="Arial"/>
          <w:szCs w:val="24"/>
        </w:rPr>
        <w:t>3.4</w:t>
      </w:r>
      <w:r>
        <w:rPr>
          <w:rFonts w:ascii="Arial" w:eastAsia="Times New Roman" w:hAnsi="Arial" w:cs="Arial"/>
          <w:szCs w:val="24"/>
        </w:rPr>
        <w:tab/>
      </w:r>
      <w:r w:rsidR="00913FC6" w:rsidRPr="000323DC">
        <w:rPr>
          <w:rFonts w:ascii="Arial" w:eastAsia="Times New Roman" w:hAnsi="Arial" w:cs="Arial"/>
          <w:szCs w:val="24"/>
        </w:rPr>
        <w:t>The CCGs wish to refer to the clinical senate review in their communications around service change to show that there has been a wider clinical view on these areas, and that the proposals have</w:t>
      </w:r>
      <w:r w:rsidR="000323DC">
        <w:rPr>
          <w:rFonts w:ascii="Arial" w:eastAsia="Times New Roman" w:hAnsi="Arial" w:cs="Arial"/>
          <w:szCs w:val="24"/>
        </w:rPr>
        <w:t xml:space="preserve"> been</w:t>
      </w:r>
      <w:r w:rsidR="00913FC6" w:rsidRPr="000323DC">
        <w:rPr>
          <w:rFonts w:ascii="Arial" w:eastAsia="Times New Roman" w:hAnsi="Arial" w:cs="Arial"/>
          <w:szCs w:val="24"/>
        </w:rPr>
        <w:t xml:space="preserve"> discussed outside of the Northern Lincolnshire area.</w:t>
      </w:r>
    </w:p>
    <w:p w:rsidR="00913FC6" w:rsidRPr="000323DC" w:rsidRDefault="00963468" w:rsidP="00913FC6">
      <w:pPr>
        <w:ind w:right="-28"/>
        <w:rPr>
          <w:rFonts w:ascii="Arial" w:eastAsia="Times New Roman" w:hAnsi="Arial" w:cs="Arial"/>
          <w:szCs w:val="24"/>
        </w:rPr>
      </w:pPr>
      <w:r>
        <w:rPr>
          <w:rFonts w:ascii="Arial" w:eastAsia="Times New Roman" w:hAnsi="Arial" w:cs="Arial"/>
          <w:szCs w:val="24"/>
        </w:rPr>
        <w:t>3.5</w:t>
      </w:r>
      <w:r>
        <w:rPr>
          <w:rFonts w:ascii="Arial" w:eastAsia="Times New Roman" w:hAnsi="Arial" w:cs="Arial"/>
          <w:szCs w:val="24"/>
        </w:rPr>
        <w:tab/>
      </w:r>
      <w:r w:rsidR="00913FC6" w:rsidRPr="000323DC">
        <w:rPr>
          <w:rFonts w:ascii="Arial" w:eastAsia="Times New Roman" w:hAnsi="Arial" w:cs="Arial"/>
          <w:szCs w:val="24"/>
        </w:rPr>
        <w:t>The Senate has been approached in their role in providing independent clinical advice into the assurance process, The assurer is NHS England North Yorkshire and the Humber Area Team</w:t>
      </w:r>
      <w:r w:rsidR="000323DC">
        <w:rPr>
          <w:rFonts w:ascii="Arial" w:eastAsia="Times New Roman" w:hAnsi="Arial" w:cs="Arial"/>
          <w:szCs w:val="24"/>
        </w:rPr>
        <w:t xml:space="preserve"> who requested that the Senate advice was received prior to the proposals going out for public consultation.</w:t>
      </w:r>
    </w:p>
    <w:p w:rsidR="00B05F95" w:rsidRPr="000323DC" w:rsidRDefault="00B05F95" w:rsidP="008A752D">
      <w:pPr>
        <w:ind w:right="-28"/>
        <w:rPr>
          <w:rFonts w:ascii="Arial" w:eastAsia="Times New Roman" w:hAnsi="Arial" w:cs="Arial"/>
          <w:szCs w:val="24"/>
        </w:rPr>
      </w:pPr>
    </w:p>
    <w:p w:rsidR="00680218" w:rsidRDefault="00913FC6" w:rsidP="00680218">
      <w:pPr>
        <w:ind w:right="-28"/>
        <w:rPr>
          <w:rFonts w:ascii="Arial" w:eastAsia="Times New Roman" w:hAnsi="Arial" w:cs="Arial"/>
          <w:b/>
          <w:szCs w:val="24"/>
        </w:rPr>
      </w:pPr>
      <w:r>
        <w:rPr>
          <w:rFonts w:ascii="Arial" w:eastAsia="Times New Roman" w:hAnsi="Arial" w:cs="Arial"/>
          <w:b/>
          <w:szCs w:val="24"/>
        </w:rPr>
        <w:t>Current Position</w:t>
      </w:r>
    </w:p>
    <w:p w:rsidR="00680218" w:rsidRDefault="00963468" w:rsidP="00876791">
      <w:pPr>
        <w:rPr>
          <w:rFonts w:ascii="Arial" w:eastAsia="Times New Roman" w:hAnsi="Arial" w:cs="Arial"/>
          <w:szCs w:val="24"/>
        </w:rPr>
      </w:pPr>
      <w:r>
        <w:rPr>
          <w:rFonts w:ascii="Arial" w:eastAsia="Times New Roman" w:hAnsi="Arial" w:cs="Arial"/>
          <w:szCs w:val="24"/>
        </w:rPr>
        <w:t>3.6</w:t>
      </w:r>
      <w:r>
        <w:rPr>
          <w:rFonts w:ascii="Arial" w:eastAsia="Times New Roman" w:hAnsi="Arial" w:cs="Arial"/>
          <w:szCs w:val="24"/>
        </w:rPr>
        <w:tab/>
      </w:r>
      <w:r w:rsidR="000323DC">
        <w:rPr>
          <w:rFonts w:ascii="Arial" w:eastAsia="Times New Roman" w:hAnsi="Arial" w:cs="Arial"/>
          <w:szCs w:val="24"/>
        </w:rPr>
        <w:t xml:space="preserve">The Senate </w:t>
      </w:r>
      <w:r w:rsidR="00680218" w:rsidRPr="000323DC">
        <w:rPr>
          <w:rFonts w:ascii="Arial" w:eastAsia="Times New Roman" w:hAnsi="Arial" w:cs="Arial"/>
          <w:szCs w:val="24"/>
        </w:rPr>
        <w:t>received the draft documentation for the ENT proposals on 16</w:t>
      </w:r>
      <w:r w:rsidR="00680218" w:rsidRPr="000323DC">
        <w:rPr>
          <w:rFonts w:ascii="Arial" w:eastAsia="Times New Roman" w:hAnsi="Arial" w:cs="Arial"/>
          <w:szCs w:val="24"/>
          <w:vertAlign w:val="superscript"/>
        </w:rPr>
        <w:t>th</w:t>
      </w:r>
      <w:r w:rsidR="00680218" w:rsidRPr="000323DC">
        <w:rPr>
          <w:rFonts w:ascii="Arial" w:eastAsia="Times New Roman" w:hAnsi="Arial" w:cs="Arial"/>
          <w:szCs w:val="24"/>
        </w:rPr>
        <w:t xml:space="preserve"> May with a request to provide our review on the </w:t>
      </w:r>
      <w:r w:rsidR="004107D1">
        <w:rPr>
          <w:rFonts w:ascii="Arial" w:eastAsia="Times New Roman" w:hAnsi="Arial" w:cs="Arial"/>
          <w:szCs w:val="24"/>
        </w:rPr>
        <w:t>13</w:t>
      </w:r>
      <w:r w:rsidR="004107D1" w:rsidRPr="00876791">
        <w:rPr>
          <w:rFonts w:ascii="Arial" w:eastAsia="Times New Roman" w:hAnsi="Arial" w:cs="Arial"/>
          <w:szCs w:val="24"/>
          <w:vertAlign w:val="superscript"/>
        </w:rPr>
        <w:t>th</w:t>
      </w:r>
      <w:r w:rsidR="004107D1">
        <w:rPr>
          <w:rFonts w:ascii="Arial" w:eastAsia="Times New Roman" w:hAnsi="Arial" w:cs="Arial"/>
          <w:szCs w:val="24"/>
        </w:rPr>
        <w:t xml:space="preserve"> June.</w:t>
      </w:r>
      <w:r w:rsidR="00876791">
        <w:rPr>
          <w:rFonts w:ascii="Arial" w:eastAsia="Times New Roman" w:hAnsi="Arial" w:cs="Arial"/>
          <w:szCs w:val="24"/>
        </w:rPr>
        <w:t xml:space="preserve"> </w:t>
      </w:r>
      <w:r w:rsidR="00680218" w:rsidRPr="000323DC">
        <w:rPr>
          <w:rFonts w:ascii="Arial" w:eastAsia="Times New Roman" w:hAnsi="Arial" w:cs="Arial"/>
          <w:szCs w:val="24"/>
        </w:rPr>
        <w:t xml:space="preserve">To </w:t>
      </w:r>
      <w:r w:rsidR="000323DC" w:rsidRPr="000323DC">
        <w:rPr>
          <w:rFonts w:ascii="Arial" w:eastAsia="Times New Roman" w:hAnsi="Arial" w:cs="Arial"/>
          <w:szCs w:val="24"/>
        </w:rPr>
        <w:t>assist</w:t>
      </w:r>
      <w:r w:rsidR="00680218" w:rsidRPr="000323DC">
        <w:rPr>
          <w:rFonts w:ascii="Arial" w:eastAsia="Times New Roman" w:hAnsi="Arial" w:cs="Arial"/>
          <w:szCs w:val="24"/>
        </w:rPr>
        <w:t xml:space="preserve"> with the Senate’s understanding of the documents</w:t>
      </w:r>
      <w:r w:rsidR="000323DC">
        <w:rPr>
          <w:rFonts w:ascii="Arial" w:eastAsia="Times New Roman" w:hAnsi="Arial" w:cs="Arial"/>
          <w:szCs w:val="24"/>
        </w:rPr>
        <w:t xml:space="preserve"> we arranged</w:t>
      </w:r>
      <w:r w:rsidR="00071A0F">
        <w:rPr>
          <w:rFonts w:ascii="Arial" w:eastAsia="Times New Roman" w:hAnsi="Arial" w:cs="Arial"/>
          <w:szCs w:val="24"/>
        </w:rPr>
        <w:t xml:space="preserve"> a teleconference</w:t>
      </w:r>
      <w:r w:rsidR="00680218" w:rsidRPr="000323DC">
        <w:rPr>
          <w:rFonts w:ascii="Arial" w:eastAsia="Times New Roman" w:hAnsi="Arial" w:cs="Arial"/>
          <w:szCs w:val="24"/>
        </w:rPr>
        <w:t xml:space="preserve"> with the </w:t>
      </w:r>
      <w:r w:rsidR="00913FC6" w:rsidRPr="000323DC">
        <w:rPr>
          <w:rFonts w:ascii="Arial" w:eastAsia="Times New Roman" w:hAnsi="Arial" w:cs="Arial"/>
          <w:szCs w:val="24"/>
        </w:rPr>
        <w:t xml:space="preserve">Northern Lincolnshire </w:t>
      </w:r>
      <w:r w:rsidR="00071A0F">
        <w:rPr>
          <w:rFonts w:ascii="Arial" w:eastAsia="Times New Roman" w:hAnsi="Arial" w:cs="Arial"/>
          <w:szCs w:val="24"/>
        </w:rPr>
        <w:t xml:space="preserve">clinician, </w:t>
      </w:r>
      <w:r w:rsidR="00913FC6" w:rsidRPr="000323DC">
        <w:rPr>
          <w:rFonts w:ascii="Arial" w:eastAsia="Times New Roman" w:hAnsi="Arial" w:cs="Arial"/>
          <w:szCs w:val="24"/>
        </w:rPr>
        <w:t>Dr Bellini</w:t>
      </w:r>
      <w:r w:rsidR="000323DC">
        <w:rPr>
          <w:rFonts w:ascii="Arial" w:eastAsia="Times New Roman" w:hAnsi="Arial" w:cs="Arial"/>
          <w:szCs w:val="24"/>
        </w:rPr>
        <w:t>,</w:t>
      </w:r>
      <w:r w:rsidR="00913FC6" w:rsidRPr="000323DC">
        <w:rPr>
          <w:rFonts w:ascii="Arial" w:eastAsia="Times New Roman" w:hAnsi="Arial" w:cs="Arial"/>
          <w:szCs w:val="24"/>
        </w:rPr>
        <w:t xml:space="preserve"> on the 12</w:t>
      </w:r>
      <w:r w:rsidR="00913FC6" w:rsidRPr="000323DC">
        <w:rPr>
          <w:rFonts w:ascii="Arial" w:eastAsia="Times New Roman" w:hAnsi="Arial" w:cs="Arial"/>
          <w:szCs w:val="24"/>
          <w:vertAlign w:val="superscript"/>
        </w:rPr>
        <w:t>th</w:t>
      </w:r>
      <w:r w:rsidR="00913FC6" w:rsidRPr="000323DC">
        <w:rPr>
          <w:rFonts w:ascii="Arial" w:eastAsia="Times New Roman" w:hAnsi="Arial" w:cs="Arial"/>
          <w:szCs w:val="24"/>
        </w:rPr>
        <w:t xml:space="preserve"> June.</w:t>
      </w:r>
      <w:r w:rsidR="00876791">
        <w:rPr>
          <w:rFonts w:ascii="Arial" w:eastAsia="Times New Roman" w:hAnsi="Arial" w:cs="Arial"/>
          <w:szCs w:val="24"/>
        </w:rPr>
        <w:t xml:space="preserve">  </w:t>
      </w:r>
    </w:p>
    <w:p w:rsidR="00913FC6" w:rsidRPr="000323DC" w:rsidRDefault="00963468" w:rsidP="00680218">
      <w:pPr>
        <w:ind w:right="-28"/>
        <w:rPr>
          <w:rFonts w:ascii="Arial" w:eastAsia="Times New Roman" w:hAnsi="Arial" w:cs="Arial"/>
          <w:szCs w:val="24"/>
        </w:rPr>
      </w:pPr>
      <w:r>
        <w:rPr>
          <w:rFonts w:ascii="Arial" w:eastAsia="Times New Roman" w:hAnsi="Arial" w:cs="Arial"/>
          <w:szCs w:val="24"/>
        </w:rPr>
        <w:t>3.</w:t>
      </w:r>
      <w:r w:rsidR="00876791">
        <w:rPr>
          <w:rFonts w:ascii="Arial" w:eastAsia="Times New Roman" w:hAnsi="Arial" w:cs="Arial"/>
          <w:szCs w:val="24"/>
        </w:rPr>
        <w:t>8</w:t>
      </w:r>
      <w:r>
        <w:rPr>
          <w:rFonts w:ascii="Arial" w:eastAsia="Times New Roman" w:hAnsi="Arial" w:cs="Arial"/>
          <w:szCs w:val="24"/>
        </w:rPr>
        <w:tab/>
      </w:r>
      <w:r w:rsidR="006B2344">
        <w:rPr>
          <w:rFonts w:ascii="Arial" w:eastAsia="Times New Roman" w:hAnsi="Arial" w:cs="Arial"/>
          <w:szCs w:val="24"/>
        </w:rPr>
        <w:t>The Senate understands that the commissioners will go out to public consultation on their proposal in July.</w:t>
      </w:r>
      <w:r w:rsidR="00876791">
        <w:rPr>
          <w:rFonts w:ascii="Arial" w:eastAsia="Times New Roman" w:hAnsi="Arial" w:cs="Arial"/>
          <w:szCs w:val="24"/>
        </w:rPr>
        <w:t xml:space="preserve">  </w:t>
      </w:r>
      <w:r w:rsidR="00913FC6" w:rsidRPr="000323DC">
        <w:rPr>
          <w:rFonts w:ascii="Arial" w:eastAsia="Times New Roman" w:hAnsi="Arial" w:cs="Arial"/>
          <w:szCs w:val="24"/>
        </w:rPr>
        <w:t>The short timescales</w:t>
      </w:r>
      <w:r w:rsidR="004107D1">
        <w:rPr>
          <w:rFonts w:ascii="Arial" w:eastAsia="Times New Roman" w:hAnsi="Arial" w:cs="Arial"/>
          <w:szCs w:val="24"/>
        </w:rPr>
        <w:t xml:space="preserve"> have proved challenging for the</w:t>
      </w:r>
      <w:r w:rsidR="00913FC6" w:rsidRPr="000323DC">
        <w:rPr>
          <w:rFonts w:ascii="Arial" w:eastAsia="Times New Roman" w:hAnsi="Arial" w:cs="Arial"/>
          <w:szCs w:val="24"/>
        </w:rPr>
        <w:t xml:space="preserve"> Senate</w:t>
      </w:r>
      <w:r w:rsidR="004107D1">
        <w:rPr>
          <w:rFonts w:ascii="Arial" w:eastAsia="Times New Roman" w:hAnsi="Arial" w:cs="Arial"/>
          <w:szCs w:val="24"/>
        </w:rPr>
        <w:t xml:space="preserve"> and we need to ensure that further review</w:t>
      </w:r>
      <w:r w:rsidR="00105950">
        <w:rPr>
          <w:rFonts w:ascii="Arial" w:eastAsia="Times New Roman" w:hAnsi="Arial" w:cs="Arial"/>
          <w:szCs w:val="24"/>
        </w:rPr>
        <w:t>s</w:t>
      </w:r>
      <w:r w:rsidR="004107D1">
        <w:rPr>
          <w:rFonts w:ascii="Arial" w:eastAsia="Times New Roman" w:hAnsi="Arial" w:cs="Arial"/>
          <w:szCs w:val="24"/>
        </w:rPr>
        <w:t xml:space="preserve"> </w:t>
      </w:r>
      <w:r w:rsidR="00876791">
        <w:rPr>
          <w:rFonts w:ascii="Arial" w:eastAsia="Times New Roman" w:hAnsi="Arial" w:cs="Arial"/>
          <w:szCs w:val="24"/>
        </w:rPr>
        <w:t>provide more</w:t>
      </w:r>
      <w:r w:rsidR="004107D1">
        <w:rPr>
          <w:rFonts w:ascii="Arial" w:eastAsia="Times New Roman" w:hAnsi="Arial" w:cs="Arial"/>
          <w:szCs w:val="24"/>
        </w:rPr>
        <w:t xml:space="preserve"> time for the Senate to reflect on the evidence.</w:t>
      </w:r>
    </w:p>
    <w:p w:rsidR="008674BD" w:rsidRDefault="00963468" w:rsidP="008674BD">
      <w:pPr>
        <w:spacing w:before="100" w:beforeAutospacing="1" w:after="100" w:afterAutospacing="1"/>
        <w:rPr>
          <w:rFonts w:ascii="Arial" w:eastAsiaTheme="minorHAnsi" w:hAnsi="Arial" w:cs="Arial"/>
          <w:b/>
          <w:color w:val="365F91" w:themeColor="accent1" w:themeShade="BF"/>
          <w:sz w:val="28"/>
          <w:szCs w:val="28"/>
          <w:lang w:eastAsia="en-US"/>
        </w:rPr>
      </w:pPr>
      <w:r>
        <w:rPr>
          <w:rFonts w:ascii="Arial" w:eastAsiaTheme="minorHAnsi" w:hAnsi="Arial" w:cs="Arial"/>
          <w:b/>
          <w:color w:val="365F91" w:themeColor="accent1" w:themeShade="BF"/>
          <w:sz w:val="28"/>
          <w:szCs w:val="28"/>
          <w:lang w:eastAsia="en-US"/>
        </w:rPr>
        <w:t>4.</w:t>
      </w:r>
      <w:r>
        <w:rPr>
          <w:rFonts w:ascii="Arial" w:eastAsiaTheme="minorHAnsi" w:hAnsi="Arial" w:cs="Arial"/>
          <w:b/>
          <w:color w:val="365F91" w:themeColor="accent1" w:themeShade="BF"/>
          <w:sz w:val="28"/>
          <w:szCs w:val="28"/>
          <w:lang w:eastAsia="en-US"/>
        </w:rPr>
        <w:tab/>
      </w:r>
      <w:r w:rsidR="00F36267">
        <w:rPr>
          <w:rFonts w:ascii="Arial" w:eastAsiaTheme="minorHAnsi" w:hAnsi="Arial" w:cs="Arial"/>
          <w:b/>
          <w:color w:val="365F91" w:themeColor="accent1" w:themeShade="BF"/>
          <w:sz w:val="28"/>
          <w:szCs w:val="28"/>
          <w:lang w:eastAsia="en-US"/>
        </w:rPr>
        <w:t>Recommendations</w:t>
      </w:r>
      <w:r w:rsidR="00561AB5">
        <w:rPr>
          <w:rFonts w:ascii="Arial" w:eastAsiaTheme="minorHAnsi" w:hAnsi="Arial" w:cs="Arial"/>
          <w:b/>
          <w:color w:val="365F91" w:themeColor="accent1" w:themeShade="BF"/>
          <w:sz w:val="28"/>
          <w:szCs w:val="28"/>
          <w:lang w:eastAsia="en-US"/>
        </w:rPr>
        <w:t xml:space="preserve"> Based on</w:t>
      </w:r>
      <w:r w:rsidR="008674BD">
        <w:rPr>
          <w:rFonts w:ascii="Arial" w:eastAsiaTheme="minorHAnsi" w:hAnsi="Arial" w:cs="Arial"/>
          <w:b/>
          <w:color w:val="365F91" w:themeColor="accent1" w:themeShade="BF"/>
          <w:sz w:val="28"/>
          <w:szCs w:val="28"/>
          <w:lang w:eastAsia="en-US"/>
        </w:rPr>
        <w:t xml:space="preserve"> Written Evidence</w:t>
      </w:r>
    </w:p>
    <w:p w:rsidR="00872BB6" w:rsidRPr="00A12CB1" w:rsidRDefault="00963468" w:rsidP="008674BD">
      <w:pPr>
        <w:spacing w:before="100" w:beforeAutospacing="1" w:after="100" w:afterAutospacing="1"/>
        <w:rPr>
          <w:rFonts w:ascii="Arial" w:hAnsi="Arial" w:cs="Arial"/>
          <w:color w:val="000000" w:themeColor="text1"/>
        </w:rPr>
      </w:pPr>
      <w:r>
        <w:rPr>
          <w:rFonts w:ascii="Arial" w:hAnsi="Arial" w:cs="Arial"/>
          <w:color w:val="000000" w:themeColor="text1"/>
        </w:rPr>
        <w:t>4.1</w:t>
      </w:r>
      <w:r>
        <w:rPr>
          <w:rFonts w:ascii="Arial" w:hAnsi="Arial" w:cs="Arial"/>
          <w:color w:val="000000" w:themeColor="text1"/>
        </w:rPr>
        <w:tab/>
      </w:r>
      <w:r w:rsidR="00872BB6" w:rsidRPr="00A12CB1">
        <w:rPr>
          <w:rFonts w:ascii="Arial" w:hAnsi="Arial" w:cs="Arial"/>
          <w:color w:val="000000" w:themeColor="text1"/>
        </w:rPr>
        <w:t>The Senate clearly understand the argument for the centralisation of services, it is a recurring theme across the NHS.  What is not clear to the Senate is why the on call arrangement is unsustainable going forward.</w:t>
      </w:r>
      <w:r w:rsidR="00765CB4" w:rsidRPr="00A12CB1">
        <w:rPr>
          <w:rFonts w:ascii="Arial" w:hAnsi="Arial" w:cs="Arial"/>
          <w:color w:val="000000" w:themeColor="text1"/>
        </w:rPr>
        <w:t xml:space="preserve"> The clinical case for change has not been made in the options appraisal document. A reference is made to the alternating site on call cover, which is a principle the senate generally does not support, but there is no detail in the paper that allows the senate to comment with confidence upon the unsuitability of this arrangement nor is the senate able to comment on how the on call arrangement would be improved if service were centralised. </w:t>
      </w:r>
      <w:r w:rsidR="00872BB6" w:rsidRPr="00A12CB1">
        <w:rPr>
          <w:rFonts w:ascii="Arial" w:hAnsi="Arial" w:cs="Arial"/>
          <w:color w:val="000000" w:themeColor="text1"/>
        </w:rPr>
        <w:t xml:space="preserve"> The evidence does not mention any significant events because of these arrangements and it appears to affect very few patients. The Senate </w:t>
      </w:r>
      <w:r w:rsidR="00A000B1" w:rsidRPr="00A12CB1">
        <w:rPr>
          <w:rFonts w:ascii="Arial" w:hAnsi="Arial" w:cs="Arial"/>
          <w:color w:val="000000" w:themeColor="text1"/>
        </w:rPr>
        <w:t xml:space="preserve">does not feel a sound argument has been made for the need to change the on call rota and </w:t>
      </w:r>
      <w:r w:rsidR="00872BB6" w:rsidRPr="00A12CB1">
        <w:rPr>
          <w:rFonts w:ascii="Arial" w:hAnsi="Arial" w:cs="Arial"/>
          <w:color w:val="000000" w:themeColor="text1"/>
        </w:rPr>
        <w:t>suggests that more info</w:t>
      </w:r>
      <w:r w:rsidR="006B2344" w:rsidRPr="00A12CB1">
        <w:rPr>
          <w:rFonts w:ascii="Arial" w:hAnsi="Arial" w:cs="Arial"/>
          <w:color w:val="000000" w:themeColor="text1"/>
        </w:rPr>
        <w:t>rmation needs to be provided to make the argument more robust</w:t>
      </w:r>
    </w:p>
    <w:p w:rsidR="006B2344" w:rsidRPr="00A12CB1" w:rsidRDefault="006B2344" w:rsidP="00872BB6">
      <w:pPr>
        <w:spacing w:after="0" w:line="240" w:lineRule="auto"/>
        <w:rPr>
          <w:rFonts w:ascii="Arial" w:hAnsi="Arial" w:cs="Arial"/>
          <w:color w:val="000000" w:themeColor="text1"/>
        </w:rPr>
      </w:pPr>
    </w:p>
    <w:p w:rsidR="00765CB4" w:rsidRDefault="00963468" w:rsidP="00765CB4">
      <w:pPr>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006B2344" w:rsidRPr="00A12CB1">
        <w:rPr>
          <w:rFonts w:ascii="Arial" w:hAnsi="Arial" w:cs="Arial"/>
          <w:color w:val="000000" w:themeColor="text1"/>
        </w:rPr>
        <w:t xml:space="preserve">The Senate is aware of the 2008 document from ENTUK  which does support ENT working on a hub and spoke model where day case procedures are done in the spoke hospitals.  However the evidence </w:t>
      </w:r>
      <w:r w:rsidR="00765CB4" w:rsidRPr="00A12CB1">
        <w:rPr>
          <w:rFonts w:ascii="Arial" w:hAnsi="Arial" w:cs="Arial"/>
          <w:color w:val="000000" w:themeColor="text1"/>
        </w:rPr>
        <w:t xml:space="preserve">submitted to the Senate </w:t>
      </w:r>
      <w:r w:rsidR="006B2344" w:rsidRPr="00A12CB1">
        <w:rPr>
          <w:rFonts w:ascii="Arial" w:hAnsi="Arial" w:cs="Arial"/>
          <w:color w:val="000000" w:themeColor="text1"/>
        </w:rPr>
        <w:t>does not consider the option of centralising the day case service and the Senate recommends that this is explored alongside the centralisation of inpatient ENT.</w:t>
      </w:r>
      <w:r w:rsidR="00765CB4" w:rsidRPr="00A12CB1">
        <w:rPr>
          <w:rFonts w:ascii="Arial" w:hAnsi="Arial" w:cs="Arial"/>
          <w:color w:val="000000" w:themeColor="text1"/>
        </w:rPr>
        <w:t xml:space="preserve"> The Senate recommends that the evidence includes a narrative about the benefits and risks of keeping day case patients on two sites if in-patient services were moved to one site and how the risks would be mitigated. At the very least the facility or arrangements for admitting day case patients if their operation was on a different site to the one hosting inpatient ENT services needs to be explained. For example last year SGH had 147 emergency patients, how will their experience be managed if the service is on one site?</w:t>
      </w:r>
    </w:p>
    <w:p w:rsidR="00872BB6" w:rsidRPr="00A12CB1" w:rsidRDefault="00963468" w:rsidP="00872BB6">
      <w:pPr>
        <w:rPr>
          <w:rFonts w:ascii="Arial" w:hAnsi="Arial" w:cs="Arial"/>
          <w:color w:val="000000" w:themeColor="text1"/>
        </w:rPr>
      </w:pPr>
      <w:r>
        <w:rPr>
          <w:rFonts w:ascii="Arial" w:hAnsi="Arial" w:cs="Arial"/>
          <w:color w:val="000000" w:themeColor="text1"/>
        </w:rPr>
        <w:t>4.3</w:t>
      </w:r>
      <w:r>
        <w:rPr>
          <w:rFonts w:ascii="Arial" w:hAnsi="Arial" w:cs="Arial"/>
          <w:color w:val="000000" w:themeColor="text1"/>
        </w:rPr>
        <w:tab/>
      </w:r>
      <w:r w:rsidR="00A000B1" w:rsidRPr="00A12CB1">
        <w:rPr>
          <w:rFonts w:ascii="Arial" w:hAnsi="Arial" w:cs="Arial"/>
          <w:color w:val="000000" w:themeColor="text1"/>
        </w:rPr>
        <w:t>The Senate were also concerned that Diana Princess of Wales Hospital has</w:t>
      </w:r>
      <w:r w:rsidR="00872BB6" w:rsidRPr="00A12CB1">
        <w:rPr>
          <w:rFonts w:ascii="Arial" w:hAnsi="Arial" w:cs="Arial"/>
          <w:color w:val="000000" w:themeColor="text1"/>
        </w:rPr>
        <w:t xml:space="preserve"> not explained exactly how they will accommodate the additional ward patients and theatre lists, except to say </w:t>
      </w:r>
      <w:r w:rsidR="00A000B1" w:rsidRPr="00A12CB1">
        <w:rPr>
          <w:rFonts w:ascii="Arial" w:hAnsi="Arial" w:cs="Arial"/>
          <w:color w:val="000000" w:themeColor="text1"/>
        </w:rPr>
        <w:t>that this can be done</w:t>
      </w:r>
      <w:r w:rsidR="00872BB6" w:rsidRPr="00A12CB1">
        <w:rPr>
          <w:rFonts w:ascii="Arial" w:hAnsi="Arial" w:cs="Arial"/>
          <w:color w:val="000000" w:themeColor="text1"/>
        </w:rPr>
        <w:t xml:space="preserve">. It is </w:t>
      </w:r>
      <w:r w:rsidR="00A000B1" w:rsidRPr="00A12CB1">
        <w:rPr>
          <w:rFonts w:ascii="Arial" w:hAnsi="Arial" w:cs="Arial"/>
          <w:color w:val="000000" w:themeColor="text1"/>
        </w:rPr>
        <w:t xml:space="preserve">however </w:t>
      </w:r>
      <w:r w:rsidR="00872BB6" w:rsidRPr="00A12CB1">
        <w:rPr>
          <w:rFonts w:ascii="Arial" w:hAnsi="Arial" w:cs="Arial"/>
          <w:color w:val="000000" w:themeColor="text1"/>
        </w:rPr>
        <w:t>almost a doubl</w:t>
      </w:r>
      <w:r w:rsidR="00A000B1" w:rsidRPr="00A12CB1">
        <w:rPr>
          <w:rFonts w:ascii="Arial" w:hAnsi="Arial" w:cs="Arial"/>
          <w:color w:val="000000" w:themeColor="text1"/>
        </w:rPr>
        <w:t>ing of theatre capacity for in</w:t>
      </w:r>
      <w:r w:rsidR="00872BB6" w:rsidRPr="00A12CB1">
        <w:rPr>
          <w:rFonts w:ascii="Arial" w:hAnsi="Arial" w:cs="Arial"/>
          <w:color w:val="000000" w:themeColor="text1"/>
        </w:rPr>
        <w:t xml:space="preserve">patients and </w:t>
      </w:r>
      <w:r w:rsidR="00A000B1" w:rsidRPr="00A12CB1">
        <w:rPr>
          <w:rFonts w:ascii="Arial" w:hAnsi="Arial" w:cs="Arial"/>
          <w:color w:val="000000" w:themeColor="text1"/>
        </w:rPr>
        <w:t>the Senate feels that the evidence base needs to e</w:t>
      </w:r>
      <w:r w:rsidR="00872BB6" w:rsidRPr="00A12CB1">
        <w:rPr>
          <w:rFonts w:ascii="Arial" w:hAnsi="Arial" w:cs="Arial"/>
          <w:color w:val="000000" w:themeColor="text1"/>
        </w:rPr>
        <w:t>xplain how they will accommodate the extra lists</w:t>
      </w:r>
      <w:r w:rsidR="00765CB4" w:rsidRPr="00A12CB1">
        <w:rPr>
          <w:rFonts w:ascii="Arial" w:hAnsi="Arial" w:cs="Arial"/>
          <w:color w:val="000000" w:themeColor="text1"/>
        </w:rPr>
        <w:t xml:space="preserve"> particularly in light of the fact that 18 week performance for inpatients is currently almost 10% less than SGH</w:t>
      </w:r>
      <w:r w:rsidR="00B616F7" w:rsidRPr="00A12CB1">
        <w:rPr>
          <w:rFonts w:ascii="Arial" w:hAnsi="Arial" w:cs="Arial"/>
          <w:color w:val="000000" w:themeColor="text1"/>
        </w:rPr>
        <w:t xml:space="preserve">. </w:t>
      </w:r>
      <w:r w:rsidR="00A12CB1">
        <w:rPr>
          <w:rFonts w:ascii="Arial" w:hAnsi="Arial" w:cs="Arial"/>
          <w:color w:val="000000" w:themeColor="text1"/>
        </w:rPr>
        <w:t>Co</w:t>
      </w:r>
      <w:r w:rsidR="00765CB4" w:rsidRPr="00A12CB1">
        <w:rPr>
          <w:rFonts w:ascii="Arial" w:hAnsi="Arial" w:cs="Arial"/>
          <w:color w:val="000000" w:themeColor="text1"/>
        </w:rPr>
        <w:t>nsequently the Senate feels unable to comment on the suitability of this hospital (on any other hospital)  to take on the additional activity that moving to a single site would create.</w:t>
      </w:r>
    </w:p>
    <w:p w:rsidR="00872BB6" w:rsidRPr="00A12CB1" w:rsidRDefault="00963468" w:rsidP="00872BB6">
      <w:pPr>
        <w:rPr>
          <w:rFonts w:ascii="Arial" w:hAnsi="Arial" w:cs="Arial"/>
          <w:color w:val="000000" w:themeColor="text1"/>
        </w:rPr>
      </w:pPr>
      <w:r>
        <w:rPr>
          <w:rFonts w:ascii="Arial" w:hAnsi="Arial" w:cs="Arial"/>
          <w:color w:val="000000" w:themeColor="text1"/>
        </w:rPr>
        <w:lastRenderedPageBreak/>
        <w:t>4.4</w:t>
      </w:r>
      <w:r>
        <w:rPr>
          <w:rFonts w:ascii="Arial" w:hAnsi="Arial" w:cs="Arial"/>
          <w:color w:val="000000" w:themeColor="text1"/>
        </w:rPr>
        <w:tab/>
      </w:r>
      <w:r w:rsidR="00561AB5">
        <w:rPr>
          <w:rFonts w:ascii="Arial" w:hAnsi="Arial" w:cs="Arial"/>
          <w:color w:val="000000" w:themeColor="text1"/>
        </w:rPr>
        <w:t>The Senate advises that m</w:t>
      </w:r>
      <w:r w:rsidR="00872BB6" w:rsidRPr="00561AB5">
        <w:rPr>
          <w:rFonts w:ascii="Arial" w:hAnsi="Arial" w:cs="Arial"/>
          <w:color w:val="000000" w:themeColor="text1"/>
        </w:rPr>
        <w:t>ore detail is required about the impact centralising services would have on the staff who currently work in the two hospitals. For instance how would the day surgery staff keep up their skills if there were no in-patient ENT facility? How many more staff would be required to work in the centralised hospital and would they come from the other site or not. Would there be any staff who could lose their job as a result of any of the options? Are there any concerns from the medical staff about moving base hospital and are there any implications for training?</w:t>
      </w:r>
    </w:p>
    <w:p w:rsidR="008674BD" w:rsidRDefault="00872BB6" w:rsidP="008674BD">
      <w:pPr>
        <w:spacing w:before="100" w:beforeAutospacing="1" w:after="100" w:afterAutospacing="1"/>
        <w:rPr>
          <w:rFonts w:ascii="Arial" w:eastAsiaTheme="minorHAnsi" w:hAnsi="Arial" w:cs="Arial"/>
          <w:b/>
          <w:color w:val="365F91" w:themeColor="accent1" w:themeShade="BF"/>
          <w:sz w:val="28"/>
          <w:szCs w:val="28"/>
          <w:lang w:eastAsia="en-US"/>
        </w:rPr>
      </w:pPr>
      <w:r>
        <w:rPr>
          <w:color w:val="1F497D"/>
        </w:rPr>
        <w:t> </w:t>
      </w:r>
      <w:r w:rsidR="00963468">
        <w:rPr>
          <w:rFonts w:ascii="Arial" w:eastAsiaTheme="minorHAnsi" w:hAnsi="Arial" w:cs="Arial"/>
          <w:b/>
          <w:color w:val="365F91" w:themeColor="accent1" w:themeShade="BF"/>
          <w:sz w:val="28"/>
          <w:szCs w:val="28"/>
          <w:lang w:eastAsia="en-US"/>
        </w:rPr>
        <w:t>5.</w:t>
      </w:r>
      <w:r w:rsidR="00963468">
        <w:rPr>
          <w:rFonts w:ascii="Arial" w:eastAsiaTheme="minorHAnsi" w:hAnsi="Arial" w:cs="Arial"/>
          <w:b/>
          <w:color w:val="365F91" w:themeColor="accent1" w:themeShade="BF"/>
          <w:sz w:val="28"/>
          <w:szCs w:val="28"/>
          <w:lang w:eastAsia="en-US"/>
        </w:rPr>
        <w:tab/>
        <w:t>R</w:t>
      </w:r>
      <w:r w:rsidR="00561AB5">
        <w:rPr>
          <w:rFonts w:ascii="Arial" w:eastAsiaTheme="minorHAnsi" w:hAnsi="Arial" w:cs="Arial"/>
          <w:b/>
          <w:color w:val="365F91" w:themeColor="accent1" w:themeShade="BF"/>
          <w:sz w:val="28"/>
          <w:szCs w:val="28"/>
          <w:lang w:eastAsia="en-US"/>
        </w:rPr>
        <w:t>evised R</w:t>
      </w:r>
      <w:r w:rsidR="008674BD">
        <w:rPr>
          <w:rFonts w:ascii="Arial" w:eastAsiaTheme="minorHAnsi" w:hAnsi="Arial" w:cs="Arial"/>
          <w:b/>
          <w:color w:val="365F91" w:themeColor="accent1" w:themeShade="BF"/>
          <w:sz w:val="28"/>
          <w:szCs w:val="28"/>
          <w:lang w:eastAsia="en-US"/>
        </w:rPr>
        <w:t xml:space="preserve">ecommendations </w:t>
      </w:r>
      <w:r w:rsidR="00561AB5">
        <w:rPr>
          <w:rFonts w:ascii="Arial" w:eastAsiaTheme="minorHAnsi" w:hAnsi="Arial" w:cs="Arial"/>
          <w:b/>
          <w:color w:val="365F91" w:themeColor="accent1" w:themeShade="BF"/>
          <w:sz w:val="28"/>
          <w:szCs w:val="28"/>
          <w:lang w:eastAsia="en-US"/>
        </w:rPr>
        <w:t xml:space="preserve">based on </w:t>
      </w:r>
      <w:r w:rsidR="008674BD">
        <w:rPr>
          <w:rFonts w:ascii="Arial" w:eastAsiaTheme="minorHAnsi" w:hAnsi="Arial" w:cs="Arial"/>
          <w:b/>
          <w:color w:val="365F91" w:themeColor="accent1" w:themeShade="BF"/>
          <w:sz w:val="28"/>
          <w:szCs w:val="28"/>
          <w:lang w:eastAsia="en-US"/>
        </w:rPr>
        <w:t>Clinical Discussion</w:t>
      </w:r>
    </w:p>
    <w:p w:rsidR="00561AB5" w:rsidRPr="00641833" w:rsidRDefault="00963468" w:rsidP="00561AB5">
      <w:pPr>
        <w:rPr>
          <w:rFonts w:ascii="Arial" w:eastAsia="Times New Roman" w:hAnsi="Arial" w:cs="Arial"/>
        </w:rPr>
      </w:pPr>
      <w:r>
        <w:rPr>
          <w:rFonts w:ascii="Arial" w:eastAsia="Times New Roman" w:hAnsi="Arial" w:cs="Arial"/>
        </w:rPr>
        <w:t>5.1</w:t>
      </w:r>
      <w:r>
        <w:rPr>
          <w:rFonts w:ascii="Arial" w:eastAsia="Times New Roman" w:hAnsi="Arial" w:cs="Arial"/>
        </w:rPr>
        <w:tab/>
      </w:r>
      <w:r w:rsidR="00561AB5" w:rsidRPr="00641833">
        <w:rPr>
          <w:rFonts w:ascii="Arial" w:eastAsia="Times New Roman" w:hAnsi="Arial" w:cs="Arial"/>
        </w:rPr>
        <w:t>Within clinical discussion the Senate agrees that Dr Bellini made a good case for the unsustainability of the on call rota. The discussion described how long term admissions have to swap sites to ensure patients are in the hospital which is on call which clearly provides a poor experience for the patients. It was also acknowledged that annual leave can sometimes leave a consultant on call for 3 weeks depending on when this falls. There was also a discussion on how the reducing hours of middle grades means consultants are more involved in this arrangement and whilst the current consultant base tolerates the current system it would not be attractive to future appointments.</w:t>
      </w:r>
    </w:p>
    <w:p w:rsidR="00561AB5" w:rsidRPr="00641833" w:rsidRDefault="00963468" w:rsidP="00561AB5">
      <w:pPr>
        <w:rPr>
          <w:rFonts w:ascii="Arial" w:eastAsia="Times New Roman" w:hAnsi="Arial" w:cs="Arial"/>
        </w:rPr>
      </w:pPr>
      <w:r>
        <w:rPr>
          <w:rFonts w:ascii="Arial" w:eastAsia="Times New Roman" w:hAnsi="Arial" w:cs="Arial"/>
        </w:rPr>
        <w:t>5.2</w:t>
      </w:r>
      <w:r>
        <w:rPr>
          <w:rFonts w:ascii="Arial" w:eastAsia="Times New Roman" w:hAnsi="Arial" w:cs="Arial"/>
        </w:rPr>
        <w:tab/>
      </w:r>
      <w:r w:rsidR="00561AB5" w:rsidRPr="00641833">
        <w:rPr>
          <w:rFonts w:ascii="Arial" w:eastAsia="Times New Roman" w:hAnsi="Arial" w:cs="Arial"/>
        </w:rPr>
        <w:t xml:space="preserve">With regard to the day cases it is clear that there is not the capacity to centralise the day case on one site due to theatre capacity. It was acknowledged that clinicians are keen to maintain as much service as close to home as possible offering day case in DPOW or SGH which the Senate agreed was a reasonable principle. Following discussion of the types of day cases the Senate suggested that clinicians needed a clear process for discussing potential complication (and overnight stay) with patients when they choose where they have their day case. Patients may wish to choose the hospital where the 24hr cover exists to have their tonsils removed for example. </w:t>
      </w:r>
    </w:p>
    <w:p w:rsidR="00641833" w:rsidRPr="00641833" w:rsidRDefault="00963468" w:rsidP="00641833">
      <w:pPr>
        <w:rPr>
          <w:rFonts w:ascii="Arial" w:eastAsia="Times New Roman" w:hAnsi="Arial" w:cs="Arial"/>
        </w:rPr>
      </w:pPr>
      <w:r>
        <w:rPr>
          <w:rFonts w:ascii="Arial" w:eastAsia="Times New Roman" w:hAnsi="Arial" w:cs="Arial"/>
        </w:rPr>
        <w:t>5.3</w:t>
      </w:r>
      <w:r>
        <w:rPr>
          <w:rFonts w:ascii="Arial" w:eastAsia="Times New Roman" w:hAnsi="Arial" w:cs="Arial"/>
        </w:rPr>
        <w:tab/>
      </w:r>
      <w:r w:rsidR="00641833" w:rsidRPr="00641833">
        <w:rPr>
          <w:rFonts w:ascii="Arial" w:eastAsia="Times New Roman" w:hAnsi="Arial" w:cs="Arial"/>
        </w:rPr>
        <w:t>Regarding the capacity within DPOW, Dr Bellini discussed potentially moving some simple day cases from DPOW to SGH to free up bed space in DPOW for the greater inpatient workload. It was not clear to the Senate that the plan for accommodating the additional inpatients in DPOW following centralisation had been completely worked through.</w:t>
      </w:r>
    </w:p>
    <w:p w:rsidR="00641833" w:rsidRPr="00641833" w:rsidRDefault="00963468" w:rsidP="00641833">
      <w:pPr>
        <w:rPr>
          <w:rFonts w:ascii="Arial" w:eastAsia="Times New Roman" w:hAnsi="Arial" w:cs="Arial"/>
        </w:rPr>
      </w:pPr>
      <w:r>
        <w:rPr>
          <w:rFonts w:ascii="Arial" w:eastAsia="Times New Roman" w:hAnsi="Arial" w:cs="Arial"/>
        </w:rPr>
        <w:t>5.4</w:t>
      </w:r>
      <w:r>
        <w:rPr>
          <w:rFonts w:ascii="Arial" w:eastAsia="Times New Roman" w:hAnsi="Arial" w:cs="Arial"/>
        </w:rPr>
        <w:tab/>
      </w:r>
      <w:r w:rsidR="00641833" w:rsidRPr="00641833">
        <w:rPr>
          <w:rFonts w:ascii="Arial" w:eastAsia="Times New Roman" w:hAnsi="Arial" w:cs="Arial"/>
        </w:rPr>
        <w:t xml:space="preserve">It was acknowledged that although DPOW is the preferred option there will be many patients west of SGH which will have a long journey to DPOW </w:t>
      </w:r>
      <w:r>
        <w:rPr>
          <w:rFonts w:ascii="Arial" w:eastAsia="Times New Roman" w:hAnsi="Arial" w:cs="Arial"/>
        </w:rPr>
        <w:t>and this issue</w:t>
      </w:r>
      <w:r w:rsidR="00641833" w:rsidRPr="00641833">
        <w:rPr>
          <w:rFonts w:ascii="Arial" w:eastAsia="Times New Roman" w:hAnsi="Arial" w:cs="Arial"/>
        </w:rPr>
        <w:t xml:space="preserve"> may receive further focus in the public consultation. Certainly SGH is a more central location although the Senate supports the reasons why DPOW is the preferred location for the service.</w:t>
      </w:r>
    </w:p>
    <w:p w:rsidR="00641833" w:rsidRPr="00641833" w:rsidRDefault="00963468" w:rsidP="00641833">
      <w:pPr>
        <w:rPr>
          <w:rFonts w:ascii="Arial" w:eastAsia="Times New Roman" w:hAnsi="Arial" w:cs="Arial"/>
        </w:rPr>
      </w:pPr>
      <w:r>
        <w:rPr>
          <w:rFonts w:ascii="Arial" w:hAnsi="Arial" w:cs="Arial"/>
          <w:color w:val="000000" w:themeColor="text1"/>
        </w:rPr>
        <w:t>5.5</w:t>
      </w:r>
      <w:r>
        <w:rPr>
          <w:rFonts w:ascii="Arial" w:hAnsi="Arial" w:cs="Arial"/>
          <w:color w:val="000000" w:themeColor="text1"/>
        </w:rPr>
        <w:tab/>
      </w:r>
      <w:r w:rsidR="00641833" w:rsidRPr="00641833">
        <w:rPr>
          <w:rFonts w:ascii="Arial" w:hAnsi="Arial" w:cs="Arial"/>
          <w:color w:val="000000" w:themeColor="text1"/>
        </w:rPr>
        <w:t xml:space="preserve">With regard to the impact of centralising services on the staff </w:t>
      </w:r>
      <w:r w:rsidR="00641833" w:rsidRPr="00641833">
        <w:rPr>
          <w:rFonts w:ascii="Arial" w:eastAsia="Times New Roman" w:hAnsi="Arial" w:cs="Arial"/>
        </w:rPr>
        <w:t>the Senate was reassured that the proposals can accommodate current consultants within the new rota if they centralise at either SGH or DPOW. </w:t>
      </w:r>
    </w:p>
    <w:p w:rsidR="00641833" w:rsidRPr="00641833" w:rsidRDefault="00963468" w:rsidP="00641833">
      <w:pPr>
        <w:rPr>
          <w:rFonts w:ascii="Arial" w:eastAsia="Times New Roman" w:hAnsi="Arial" w:cs="Arial"/>
        </w:rPr>
      </w:pPr>
      <w:r>
        <w:rPr>
          <w:rFonts w:ascii="Arial" w:eastAsia="Times New Roman" w:hAnsi="Arial" w:cs="Arial"/>
        </w:rPr>
        <w:t>5.6</w:t>
      </w:r>
      <w:r>
        <w:rPr>
          <w:rFonts w:ascii="Arial" w:eastAsia="Times New Roman" w:hAnsi="Arial" w:cs="Arial"/>
        </w:rPr>
        <w:tab/>
      </w:r>
      <w:r w:rsidR="00641833" w:rsidRPr="00641833">
        <w:rPr>
          <w:rFonts w:ascii="Arial" w:eastAsia="Times New Roman" w:hAnsi="Arial" w:cs="Arial"/>
        </w:rPr>
        <w:t>On the basis of the clinical discussion the Senate agrees that a good case has been made for the preferred option of centralising the ENT service at DPoW.  The Senate advises however that commissioners need to ensure that:</w:t>
      </w:r>
    </w:p>
    <w:p w:rsidR="00094F8A" w:rsidRPr="00641833" w:rsidRDefault="00641833" w:rsidP="00641833">
      <w:pPr>
        <w:pStyle w:val="ListParagraph"/>
        <w:numPr>
          <w:ilvl w:val="0"/>
          <w:numId w:val="44"/>
        </w:numPr>
        <w:rPr>
          <w:rFonts w:ascii="Arial" w:eastAsia="Times New Roman" w:hAnsi="Arial" w:cs="Arial"/>
        </w:rPr>
      </w:pPr>
      <w:r w:rsidRPr="00641833">
        <w:rPr>
          <w:rFonts w:ascii="Arial" w:eastAsia="Times New Roman" w:hAnsi="Arial" w:cs="Arial"/>
        </w:rPr>
        <w:t>There is a protocol</w:t>
      </w:r>
      <w:r w:rsidR="00094F8A" w:rsidRPr="00641833">
        <w:rPr>
          <w:rFonts w:ascii="Arial" w:eastAsia="Times New Roman" w:hAnsi="Arial" w:cs="Arial"/>
        </w:rPr>
        <w:t xml:space="preserve"> describing which patients can be done as day surgery in Scunthorpe with the purpose being to keep the risk of unexpected admission due to </w:t>
      </w:r>
      <w:r w:rsidR="00094F8A" w:rsidRPr="00641833">
        <w:rPr>
          <w:rFonts w:ascii="Arial" w:eastAsia="Times New Roman" w:hAnsi="Arial" w:cs="Arial"/>
        </w:rPr>
        <w:lastRenderedPageBreak/>
        <w:t>compl</w:t>
      </w:r>
      <w:r w:rsidRPr="00641833">
        <w:rPr>
          <w:rFonts w:ascii="Arial" w:eastAsia="Times New Roman" w:hAnsi="Arial" w:cs="Arial"/>
        </w:rPr>
        <w:t>ications to an absolute minimum.  This requires endorsement from all clinicians.</w:t>
      </w:r>
    </w:p>
    <w:p w:rsidR="00094F8A" w:rsidRPr="00641833" w:rsidRDefault="00641833" w:rsidP="00641833">
      <w:pPr>
        <w:pStyle w:val="ListParagraph"/>
        <w:numPr>
          <w:ilvl w:val="0"/>
          <w:numId w:val="44"/>
        </w:numPr>
        <w:rPr>
          <w:rFonts w:ascii="Arial" w:eastAsia="Times New Roman" w:hAnsi="Arial" w:cs="Arial"/>
        </w:rPr>
      </w:pPr>
      <w:r w:rsidRPr="00641833">
        <w:rPr>
          <w:rFonts w:ascii="Arial" w:eastAsia="Times New Roman" w:hAnsi="Arial" w:cs="Arial"/>
        </w:rPr>
        <w:t>There</w:t>
      </w:r>
      <w:r w:rsidR="00094F8A" w:rsidRPr="00641833">
        <w:rPr>
          <w:rFonts w:ascii="Arial" w:eastAsia="Times New Roman" w:hAnsi="Arial" w:cs="Arial"/>
        </w:rPr>
        <w:t xml:space="preserve"> should be a full plan for accommodating the additional inpatients that would result from centralising the service. </w:t>
      </w:r>
      <w:r w:rsidRPr="00641833">
        <w:rPr>
          <w:rFonts w:ascii="Arial" w:eastAsia="Times New Roman" w:hAnsi="Arial" w:cs="Arial"/>
        </w:rPr>
        <w:t>The Senate was</w:t>
      </w:r>
      <w:r w:rsidR="00094F8A" w:rsidRPr="00641833">
        <w:rPr>
          <w:rFonts w:ascii="Arial" w:eastAsia="Times New Roman" w:hAnsi="Arial" w:cs="Arial"/>
        </w:rPr>
        <w:t xml:space="preserve"> not assured that this element of the preferred option had been completely planned out </w:t>
      </w:r>
      <w:r w:rsidRPr="00641833">
        <w:rPr>
          <w:rFonts w:ascii="Arial" w:eastAsia="Times New Roman" w:hAnsi="Arial" w:cs="Arial"/>
        </w:rPr>
        <w:t xml:space="preserve">although we received verbal assurance that this is </w:t>
      </w:r>
      <w:r w:rsidR="00094F8A" w:rsidRPr="00641833">
        <w:rPr>
          <w:rFonts w:ascii="Arial" w:eastAsia="Times New Roman" w:hAnsi="Arial" w:cs="Arial"/>
        </w:rPr>
        <w:t>achievable. </w:t>
      </w:r>
    </w:p>
    <w:p w:rsidR="00BA0225" w:rsidRDefault="00963468" w:rsidP="00C2551D">
      <w:pPr>
        <w:pStyle w:val="Heading1"/>
        <w:rPr>
          <w:rFonts w:ascii="Arial" w:hAnsi="Arial" w:cs="Arial"/>
        </w:rPr>
      </w:pPr>
      <w:r>
        <w:rPr>
          <w:rFonts w:ascii="Arial" w:hAnsi="Arial" w:cs="Arial"/>
        </w:rPr>
        <w:t>6.</w:t>
      </w:r>
      <w:r>
        <w:rPr>
          <w:rFonts w:ascii="Arial" w:hAnsi="Arial" w:cs="Arial"/>
        </w:rPr>
        <w:tab/>
      </w:r>
      <w:r w:rsidR="00BA0225">
        <w:rPr>
          <w:rFonts w:ascii="Arial" w:hAnsi="Arial" w:cs="Arial"/>
        </w:rPr>
        <w:t xml:space="preserve">Summary and Conclusions  </w:t>
      </w:r>
    </w:p>
    <w:p w:rsidR="00BA0225" w:rsidRDefault="00BA0225" w:rsidP="00BA0225"/>
    <w:p w:rsidR="009049CC" w:rsidRDefault="00963468" w:rsidP="00BA0225">
      <w:pPr>
        <w:rPr>
          <w:rFonts w:ascii="Arial" w:hAnsi="Arial" w:cs="Arial"/>
        </w:rPr>
      </w:pPr>
      <w:r>
        <w:rPr>
          <w:rFonts w:ascii="Arial" w:hAnsi="Arial" w:cs="Arial"/>
        </w:rPr>
        <w:t>6.1</w:t>
      </w:r>
      <w:r>
        <w:rPr>
          <w:rFonts w:ascii="Arial" w:hAnsi="Arial" w:cs="Arial"/>
        </w:rPr>
        <w:tab/>
      </w:r>
      <w:r w:rsidR="009049CC">
        <w:rPr>
          <w:rFonts w:ascii="Arial" w:hAnsi="Arial" w:cs="Arial"/>
        </w:rPr>
        <w:t xml:space="preserve">The Senate has found this to be a difficult piece of work due to the </w:t>
      </w:r>
      <w:r w:rsidR="004107D1">
        <w:rPr>
          <w:rFonts w:ascii="Arial" w:hAnsi="Arial" w:cs="Arial"/>
        </w:rPr>
        <w:t>challenging timescales</w:t>
      </w:r>
      <w:r w:rsidR="009049CC">
        <w:rPr>
          <w:rFonts w:ascii="Arial" w:hAnsi="Arial" w:cs="Arial"/>
        </w:rPr>
        <w:t xml:space="preserve">.  </w:t>
      </w:r>
    </w:p>
    <w:p w:rsidR="009049CC" w:rsidRDefault="00963468" w:rsidP="00C4745A">
      <w:pPr>
        <w:rPr>
          <w:rFonts w:ascii="Arial" w:hAnsi="Arial" w:cs="Arial"/>
        </w:rPr>
      </w:pPr>
      <w:r>
        <w:rPr>
          <w:rFonts w:ascii="Arial" w:hAnsi="Arial" w:cs="Arial"/>
        </w:rPr>
        <w:t>6.2</w:t>
      </w:r>
      <w:r>
        <w:rPr>
          <w:rFonts w:ascii="Arial" w:hAnsi="Arial" w:cs="Arial"/>
        </w:rPr>
        <w:tab/>
      </w:r>
      <w:r w:rsidR="009049CC">
        <w:rPr>
          <w:rFonts w:ascii="Arial" w:hAnsi="Arial" w:cs="Arial"/>
        </w:rPr>
        <w:t>From the written evidence submitted to the Senate we d</w:t>
      </w:r>
      <w:r w:rsidR="00C4745A">
        <w:rPr>
          <w:rFonts w:ascii="Arial" w:hAnsi="Arial" w:cs="Arial"/>
        </w:rPr>
        <w:t>id</w:t>
      </w:r>
      <w:r w:rsidR="009049CC">
        <w:rPr>
          <w:rFonts w:ascii="Arial" w:hAnsi="Arial" w:cs="Arial"/>
        </w:rPr>
        <w:t xml:space="preserve"> not feel that the case for consolidat</w:t>
      </w:r>
      <w:r w:rsidR="00C4745A">
        <w:rPr>
          <w:rFonts w:ascii="Arial" w:hAnsi="Arial" w:cs="Arial"/>
        </w:rPr>
        <w:t>ing ENT services on one site had</w:t>
      </w:r>
      <w:r w:rsidR="009049CC">
        <w:rPr>
          <w:rFonts w:ascii="Arial" w:hAnsi="Arial" w:cs="Arial"/>
        </w:rPr>
        <w:t xml:space="preserve"> been robustly made</w:t>
      </w:r>
      <w:r w:rsidR="00C4745A">
        <w:rPr>
          <w:rFonts w:ascii="Arial" w:hAnsi="Arial" w:cs="Arial"/>
        </w:rPr>
        <w:t xml:space="preserve">.  </w:t>
      </w:r>
      <w:r w:rsidR="009049CC">
        <w:rPr>
          <w:rFonts w:ascii="Arial" w:hAnsi="Arial" w:cs="Arial"/>
        </w:rPr>
        <w:t xml:space="preserve"> </w:t>
      </w:r>
      <w:r w:rsidR="00C4745A">
        <w:rPr>
          <w:rFonts w:ascii="Arial" w:hAnsi="Arial" w:cs="Arial"/>
        </w:rPr>
        <w:t xml:space="preserve">Subsequent clinical discussion has resulted in the Senate agreeing that </w:t>
      </w:r>
      <w:r>
        <w:rPr>
          <w:rFonts w:ascii="Arial" w:hAnsi="Arial" w:cs="Arial"/>
        </w:rPr>
        <w:t>there is a</w:t>
      </w:r>
      <w:r w:rsidR="00C4745A">
        <w:rPr>
          <w:rFonts w:ascii="Arial" w:hAnsi="Arial" w:cs="Arial"/>
        </w:rPr>
        <w:t xml:space="preserve"> good case </w:t>
      </w:r>
      <w:r>
        <w:rPr>
          <w:rFonts w:ascii="Arial" w:hAnsi="Arial" w:cs="Arial"/>
        </w:rPr>
        <w:t>for</w:t>
      </w:r>
      <w:r w:rsidR="00C4745A">
        <w:rPr>
          <w:rFonts w:ascii="Arial" w:hAnsi="Arial" w:cs="Arial"/>
        </w:rPr>
        <w:t xml:space="preserve"> the preferred option of centralising the ENT service at DPoW</w:t>
      </w:r>
      <w:r>
        <w:rPr>
          <w:rFonts w:ascii="Arial" w:hAnsi="Arial" w:cs="Arial"/>
        </w:rPr>
        <w:t>.  The Senate</w:t>
      </w:r>
      <w:r w:rsidR="00C4745A">
        <w:rPr>
          <w:rFonts w:ascii="Arial" w:hAnsi="Arial" w:cs="Arial"/>
        </w:rPr>
        <w:t xml:space="preserve"> advises</w:t>
      </w:r>
      <w:r>
        <w:rPr>
          <w:rFonts w:ascii="Arial" w:hAnsi="Arial" w:cs="Arial"/>
        </w:rPr>
        <w:t xml:space="preserve"> however</w:t>
      </w:r>
      <w:r w:rsidR="00C4745A">
        <w:rPr>
          <w:rFonts w:ascii="Arial" w:hAnsi="Arial" w:cs="Arial"/>
        </w:rPr>
        <w:t xml:space="preserve"> that further work is required on the protocol for choosing the site of day surgery and a plan is developed which clearly sets out how the additional inpatients would be accommodated at DPoW.</w:t>
      </w:r>
    </w:p>
    <w:p w:rsidR="00C4745A" w:rsidRPr="00A12CB1" w:rsidRDefault="00C4745A" w:rsidP="00C4745A">
      <w:pPr>
        <w:rPr>
          <w:rFonts w:ascii="Arial" w:hAnsi="Arial" w:cs="Arial"/>
          <w:color w:val="000000" w:themeColor="text1"/>
        </w:rPr>
      </w:pPr>
    </w:p>
    <w:p w:rsidR="009049CC" w:rsidRDefault="009049CC" w:rsidP="009049CC">
      <w:pPr>
        <w:spacing w:before="100" w:beforeAutospacing="1" w:after="100" w:afterAutospacing="1"/>
        <w:rPr>
          <w:rFonts w:ascii="Arial" w:eastAsiaTheme="minorHAnsi" w:hAnsi="Arial" w:cs="Arial"/>
          <w:b/>
          <w:color w:val="365F91" w:themeColor="accent1" w:themeShade="BF"/>
          <w:sz w:val="28"/>
          <w:szCs w:val="28"/>
          <w:lang w:eastAsia="en-US"/>
        </w:rPr>
      </w:pPr>
    </w:p>
    <w:p w:rsidR="00876791" w:rsidRDefault="00876791">
      <w:pPr>
        <w:rPr>
          <w:rFonts w:ascii="Arial" w:hAnsi="Arial" w:cs="Arial"/>
        </w:rPr>
      </w:pPr>
      <w:r>
        <w:rPr>
          <w:rFonts w:ascii="Arial" w:hAnsi="Arial" w:cs="Arial"/>
        </w:rPr>
        <w:br w:type="page"/>
      </w:r>
    </w:p>
    <w:p w:rsidR="009049CC" w:rsidRPr="009049CC" w:rsidRDefault="009049CC" w:rsidP="00BA0225">
      <w:pPr>
        <w:rPr>
          <w:rFonts w:ascii="Arial" w:hAnsi="Arial" w:cs="Arial"/>
        </w:rPr>
      </w:pPr>
    </w:p>
    <w:p w:rsidR="00BA0225" w:rsidRDefault="00BA0225" w:rsidP="00BA0225"/>
    <w:p w:rsidR="00BA0225" w:rsidRDefault="00BA0225" w:rsidP="00BA0225"/>
    <w:p w:rsidR="00876791" w:rsidRDefault="00876791" w:rsidP="00BA0225"/>
    <w:p w:rsidR="00876791" w:rsidRDefault="00876791" w:rsidP="00BA0225"/>
    <w:p w:rsidR="00876791" w:rsidRDefault="00876791" w:rsidP="00BA0225"/>
    <w:p w:rsidR="00876791" w:rsidRDefault="00876791" w:rsidP="00BA0225"/>
    <w:p w:rsidR="00876791" w:rsidRDefault="00876791" w:rsidP="00BA0225"/>
    <w:p w:rsidR="00BA0225" w:rsidRPr="00BA0225" w:rsidRDefault="00BA0225" w:rsidP="00BA0225">
      <w:pPr>
        <w:jc w:val="center"/>
        <w:rPr>
          <w:rFonts w:ascii="Arial" w:hAnsi="Arial" w:cs="Arial"/>
          <w:b/>
          <w:color w:val="365F91" w:themeColor="accent1" w:themeShade="BF"/>
          <w:sz w:val="72"/>
          <w:szCs w:val="72"/>
        </w:rPr>
      </w:pPr>
      <w:r w:rsidRPr="00BA0225">
        <w:rPr>
          <w:rFonts w:ascii="Arial" w:hAnsi="Arial" w:cs="Arial"/>
          <w:b/>
          <w:color w:val="365F91" w:themeColor="accent1" w:themeShade="BF"/>
          <w:sz w:val="72"/>
          <w:szCs w:val="72"/>
        </w:rPr>
        <w:t>APPENDICES</w:t>
      </w:r>
    </w:p>
    <w:p w:rsidR="00AE7387" w:rsidRPr="000F0228" w:rsidRDefault="00AE7387" w:rsidP="00AE7387">
      <w:pPr>
        <w:spacing w:before="120" w:after="120" w:line="240" w:lineRule="auto"/>
        <w:jc w:val="center"/>
        <w:rPr>
          <w:rFonts w:ascii="Arial" w:eastAsiaTheme="minorHAnsi" w:hAnsi="Arial" w:cs="Arial"/>
          <w:b/>
          <w:color w:val="FFFFFF" w:themeColor="background1"/>
          <w:sz w:val="28"/>
          <w:lang w:eastAsia="en-US"/>
        </w:rPr>
      </w:pPr>
      <w:r w:rsidRPr="000F0228">
        <w:rPr>
          <w:rFonts w:ascii="Arial" w:eastAsiaTheme="minorHAnsi" w:hAnsi="Arial" w:cs="Arial"/>
          <w:b/>
          <w:color w:val="FFFFFF" w:themeColor="background1"/>
          <w:sz w:val="28"/>
          <w:lang w:eastAsia="en-US"/>
        </w:rPr>
        <w:t>inical Senate</w:t>
      </w:r>
    </w:p>
    <w:p w:rsidR="00E12793" w:rsidRPr="00CC2C96" w:rsidRDefault="00E12793" w:rsidP="00CC2C96">
      <w:pPr>
        <w:rPr>
          <w:rFonts w:ascii="Arial" w:hAnsi="Arial" w:cs="Arial"/>
        </w:rPr>
      </w:pPr>
    </w:p>
    <w:p w:rsidR="00E12793" w:rsidRPr="00CC2C96" w:rsidRDefault="00E12793" w:rsidP="00CC2C96">
      <w:pPr>
        <w:rPr>
          <w:rFonts w:ascii="Arial" w:hAnsi="Arial" w:cs="Arial"/>
        </w:rPr>
      </w:pPr>
    </w:p>
    <w:p w:rsidR="00E12793" w:rsidRPr="00CC2C96" w:rsidRDefault="00E12793" w:rsidP="00CC2C96">
      <w:pPr>
        <w:rPr>
          <w:rFonts w:ascii="Arial" w:hAnsi="Arial" w:cs="Arial"/>
        </w:rPr>
      </w:pPr>
    </w:p>
    <w:p w:rsidR="00E12793" w:rsidRDefault="00E12793" w:rsidP="00CC2C96">
      <w:pPr>
        <w:rPr>
          <w:rFonts w:ascii="Arial" w:hAnsi="Arial" w:cs="Arial"/>
        </w:rPr>
      </w:pPr>
    </w:p>
    <w:p w:rsidR="00A12CB1" w:rsidRDefault="00A12CB1" w:rsidP="00CC2C96">
      <w:pPr>
        <w:rPr>
          <w:rFonts w:ascii="Arial" w:hAnsi="Arial" w:cs="Arial"/>
        </w:rPr>
      </w:pPr>
    </w:p>
    <w:p w:rsidR="00A12CB1" w:rsidRDefault="00A12CB1" w:rsidP="00CC2C96">
      <w:pPr>
        <w:rPr>
          <w:rFonts w:ascii="Arial" w:hAnsi="Arial" w:cs="Arial"/>
        </w:rPr>
      </w:pPr>
    </w:p>
    <w:p w:rsidR="00A12CB1" w:rsidRDefault="00A12CB1" w:rsidP="00CC2C96">
      <w:pPr>
        <w:rPr>
          <w:rFonts w:ascii="Arial" w:hAnsi="Arial" w:cs="Arial"/>
        </w:rPr>
      </w:pPr>
    </w:p>
    <w:p w:rsidR="00A12CB1" w:rsidRDefault="00A12CB1" w:rsidP="00CC2C96">
      <w:pPr>
        <w:rPr>
          <w:rFonts w:ascii="Arial" w:hAnsi="Arial" w:cs="Arial"/>
        </w:rPr>
      </w:pPr>
    </w:p>
    <w:p w:rsidR="00A12CB1" w:rsidRDefault="00A12CB1" w:rsidP="00CC2C96">
      <w:pPr>
        <w:rPr>
          <w:rFonts w:ascii="Arial" w:hAnsi="Arial" w:cs="Arial"/>
        </w:rPr>
      </w:pPr>
    </w:p>
    <w:p w:rsidR="00A12CB1" w:rsidRDefault="00A12CB1" w:rsidP="00CC2C96">
      <w:pPr>
        <w:rPr>
          <w:rFonts w:ascii="Arial" w:hAnsi="Arial" w:cs="Arial"/>
        </w:rPr>
      </w:pPr>
    </w:p>
    <w:p w:rsidR="00A12CB1" w:rsidRDefault="00A12CB1">
      <w:pPr>
        <w:rPr>
          <w:rFonts w:ascii="Arial" w:hAnsi="Arial" w:cs="Arial"/>
        </w:rPr>
      </w:pPr>
      <w:r>
        <w:rPr>
          <w:rFonts w:ascii="Arial" w:hAnsi="Arial" w:cs="Arial"/>
        </w:rPr>
        <w:br w:type="page"/>
      </w:r>
    </w:p>
    <w:p w:rsidR="00E12793" w:rsidRDefault="00BD7CA9" w:rsidP="00CC2C96">
      <w:pPr>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Appendix 1</w:t>
      </w:r>
    </w:p>
    <w:p w:rsidR="00913FC6" w:rsidRDefault="00913FC6" w:rsidP="00913FC6">
      <w:pPr>
        <w:rPr>
          <w:rFonts w:ascii="Arial" w:hAnsi="Arial" w:cs="Arial"/>
          <w:b/>
          <w:sz w:val="28"/>
          <w:szCs w:val="28"/>
        </w:rPr>
      </w:pPr>
      <w:r w:rsidRPr="00BD7CA9">
        <w:rPr>
          <w:rFonts w:ascii="Arial" w:hAnsi="Arial" w:cs="Arial"/>
          <w:b/>
          <w:sz w:val="28"/>
          <w:szCs w:val="28"/>
        </w:rPr>
        <w:t xml:space="preserve">LIST OF </w:t>
      </w:r>
      <w:r>
        <w:rPr>
          <w:rFonts w:ascii="Arial" w:hAnsi="Arial" w:cs="Arial"/>
          <w:b/>
          <w:sz w:val="28"/>
          <w:szCs w:val="28"/>
        </w:rPr>
        <w:t>COUNCIL MEMBERS LEADING ON THIS REVIEW</w:t>
      </w:r>
    </w:p>
    <w:p w:rsidR="00913FC6" w:rsidRDefault="00636C92" w:rsidP="00913FC6">
      <w:pPr>
        <w:rPr>
          <w:rFonts w:ascii="Arial" w:hAnsi="Arial" w:cs="Arial"/>
        </w:rPr>
      </w:pPr>
      <w:r>
        <w:rPr>
          <w:rFonts w:ascii="Arial" w:hAnsi="Arial" w:cs="Arial"/>
        </w:rPr>
        <w:t>Caroline Hibbert</w:t>
      </w:r>
    </w:p>
    <w:p w:rsidR="00636C92" w:rsidRDefault="00636C92" w:rsidP="00913FC6">
      <w:pPr>
        <w:rPr>
          <w:rFonts w:ascii="Arial" w:hAnsi="Arial" w:cs="Arial"/>
        </w:rPr>
      </w:pPr>
      <w:r>
        <w:rPr>
          <w:rFonts w:ascii="Arial" w:hAnsi="Arial" w:cs="Arial"/>
        </w:rPr>
        <w:t>Steve Ollerton</w:t>
      </w:r>
    </w:p>
    <w:p w:rsidR="00913FC6" w:rsidRDefault="00636C92" w:rsidP="00913FC6">
      <w:pPr>
        <w:rPr>
          <w:rFonts w:ascii="Arial" w:hAnsi="Arial" w:cs="Arial"/>
        </w:rPr>
      </w:pPr>
      <w:r>
        <w:rPr>
          <w:rFonts w:ascii="Arial" w:hAnsi="Arial" w:cs="Arial"/>
        </w:rPr>
        <w:t>The HLHF proposals for ENT surgery were discussed at the June Council meeting.</w:t>
      </w:r>
    </w:p>
    <w:p w:rsidR="00913FC6" w:rsidRDefault="00913FC6" w:rsidP="00913FC6">
      <w:pPr>
        <w:rPr>
          <w:rFonts w:ascii="Arial" w:hAnsi="Arial" w:cs="Arial"/>
        </w:rPr>
      </w:pPr>
      <w:r>
        <w:rPr>
          <w:rFonts w:ascii="Arial" w:hAnsi="Arial" w:cs="Arial"/>
        </w:rPr>
        <w:t xml:space="preserve">A full list of Council members can be found on our website:  </w:t>
      </w:r>
      <w:hyperlink r:id="rId10" w:history="1">
        <w:r w:rsidR="00876791" w:rsidRPr="0082033D">
          <w:rPr>
            <w:rStyle w:val="Hyperlink"/>
            <w:rFonts w:ascii="Arial" w:hAnsi="Arial" w:cs="Arial"/>
          </w:rPr>
          <w:t>http://yhsenate.wordpress.com</w:t>
        </w:r>
      </w:hyperlink>
    </w:p>
    <w:p w:rsidR="00913FC6" w:rsidRDefault="00913FC6" w:rsidP="00CC2C96">
      <w:pPr>
        <w:rPr>
          <w:rFonts w:ascii="Arial" w:hAnsi="Arial" w:cs="Arial"/>
        </w:rPr>
      </w:pPr>
    </w:p>
    <w:p w:rsidR="00E12793" w:rsidRDefault="00E12793"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rPr>
      </w:pPr>
    </w:p>
    <w:p w:rsidR="00BD7CA9" w:rsidRDefault="00BD7CA9" w:rsidP="00CC2C96">
      <w:pPr>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Appendix 2</w:t>
      </w:r>
    </w:p>
    <w:p w:rsidR="00BD7CA9" w:rsidRPr="00BD7CA9" w:rsidRDefault="00636C92" w:rsidP="00CC2C96">
      <w:pPr>
        <w:rPr>
          <w:rFonts w:ascii="Arial" w:hAnsi="Arial" w:cs="Arial"/>
          <w:b/>
          <w:sz w:val="28"/>
          <w:szCs w:val="28"/>
        </w:rPr>
      </w:pPr>
      <w:r>
        <w:rPr>
          <w:rFonts w:ascii="Arial" w:hAnsi="Arial" w:cs="Arial"/>
          <w:b/>
          <w:sz w:val="28"/>
          <w:szCs w:val="28"/>
        </w:rPr>
        <w:t>COUNCIL</w:t>
      </w:r>
      <w:r w:rsidR="00BD7CA9" w:rsidRPr="00BD7CA9">
        <w:rPr>
          <w:rFonts w:ascii="Arial" w:hAnsi="Arial" w:cs="Arial"/>
          <w:b/>
          <w:sz w:val="28"/>
          <w:szCs w:val="28"/>
        </w:rPr>
        <w:t xml:space="preserve"> MEMBERS’ DECLARATION OF INTERESTS</w:t>
      </w:r>
    </w:p>
    <w:p w:rsidR="00BD7CA9" w:rsidRDefault="00636C92" w:rsidP="00CC2C96">
      <w:pPr>
        <w:rPr>
          <w:rFonts w:ascii="Arial" w:hAnsi="Arial" w:cs="Arial"/>
          <w:b/>
          <w:sz w:val="28"/>
          <w:szCs w:val="28"/>
        </w:rPr>
      </w:pPr>
      <w:r w:rsidRPr="00636C92">
        <w:rPr>
          <w:noProof/>
        </w:rPr>
        <w:drawing>
          <wp:inline distT="0" distB="0" distL="0" distR="0" wp14:anchorId="067381E1" wp14:editId="184A5747">
            <wp:extent cx="5731510" cy="3811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11490"/>
                    </a:xfrm>
                    <a:prstGeom prst="rect">
                      <a:avLst/>
                    </a:prstGeom>
                    <a:noFill/>
                    <a:ln>
                      <a:noFill/>
                    </a:ln>
                  </pic:spPr>
                </pic:pic>
              </a:graphicData>
            </a:graphic>
          </wp:inline>
        </w:drawing>
      </w:r>
    </w:p>
    <w:p w:rsidR="00BD7CA9" w:rsidRDefault="00BD7CA9" w:rsidP="00CC2C96">
      <w:pPr>
        <w:rPr>
          <w:rFonts w:ascii="Arial" w:hAnsi="Arial" w:cs="Arial"/>
          <w:b/>
          <w:sz w:val="28"/>
          <w:szCs w:val="28"/>
        </w:rPr>
      </w:pPr>
    </w:p>
    <w:p w:rsidR="00BD7CA9" w:rsidRDefault="00BD7CA9" w:rsidP="00CC2C96">
      <w:pPr>
        <w:rPr>
          <w:rFonts w:ascii="Arial" w:hAnsi="Arial" w:cs="Arial"/>
          <w:b/>
          <w:sz w:val="28"/>
          <w:szCs w:val="28"/>
        </w:rPr>
      </w:pPr>
    </w:p>
    <w:p w:rsidR="00BD7CA9" w:rsidRDefault="00BD7CA9" w:rsidP="00CC2C96">
      <w:pPr>
        <w:rPr>
          <w:rFonts w:ascii="Arial" w:hAnsi="Arial" w:cs="Arial"/>
          <w:b/>
          <w:sz w:val="28"/>
          <w:szCs w:val="28"/>
        </w:rPr>
      </w:pPr>
    </w:p>
    <w:p w:rsidR="00BD7CA9" w:rsidRDefault="00BD7CA9" w:rsidP="00CC2C96">
      <w:pPr>
        <w:rPr>
          <w:rFonts w:ascii="Arial" w:hAnsi="Arial" w:cs="Arial"/>
          <w:b/>
          <w:sz w:val="28"/>
          <w:szCs w:val="28"/>
        </w:rPr>
      </w:pPr>
    </w:p>
    <w:p w:rsidR="00BD7CA9" w:rsidRDefault="00BD7CA9" w:rsidP="00CC2C96">
      <w:pPr>
        <w:rPr>
          <w:rFonts w:ascii="Arial" w:hAnsi="Arial" w:cs="Arial"/>
          <w:b/>
          <w:sz w:val="28"/>
          <w:szCs w:val="28"/>
        </w:rPr>
      </w:pPr>
    </w:p>
    <w:p w:rsidR="00BD7CA9" w:rsidRDefault="00BD7CA9" w:rsidP="00CC2C96">
      <w:pPr>
        <w:rPr>
          <w:rFonts w:ascii="Arial" w:hAnsi="Arial" w:cs="Arial"/>
          <w:b/>
          <w:sz w:val="28"/>
          <w:szCs w:val="28"/>
        </w:rPr>
      </w:pPr>
    </w:p>
    <w:p w:rsidR="00A12CB1" w:rsidRDefault="00A12CB1">
      <w:pPr>
        <w:rPr>
          <w:rFonts w:ascii="Arial" w:hAnsi="Arial" w:cs="Arial"/>
          <w:b/>
          <w:sz w:val="28"/>
          <w:szCs w:val="28"/>
        </w:rPr>
      </w:pPr>
      <w:r>
        <w:rPr>
          <w:rFonts w:ascii="Arial" w:hAnsi="Arial" w:cs="Arial"/>
          <w:b/>
          <w:sz w:val="28"/>
          <w:szCs w:val="28"/>
        </w:rPr>
        <w:br w:type="page"/>
      </w:r>
    </w:p>
    <w:p w:rsidR="00BD7CA9" w:rsidRDefault="00BD7CA9" w:rsidP="00CC2C96">
      <w:pPr>
        <w:rPr>
          <w:rFonts w:ascii="Arial" w:hAnsi="Arial" w:cs="Arial"/>
          <w:b/>
          <w:sz w:val="28"/>
          <w:szCs w:val="28"/>
        </w:rPr>
      </w:pPr>
    </w:p>
    <w:p w:rsidR="00BD7CA9" w:rsidRDefault="00BD7CA9" w:rsidP="00CC2C96">
      <w:pPr>
        <w:rPr>
          <w:rFonts w:ascii="Arial" w:hAnsi="Arial" w:cs="Arial"/>
          <w:b/>
          <w:sz w:val="28"/>
          <w:szCs w:val="28"/>
        </w:rPr>
      </w:pPr>
    </w:p>
    <w:p w:rsidR="00BD7CA9" w:rsidRDefault="001A6116" w:rsidP="00CC2C96">
      <w:pPr>
        <w:rPr>
          <w:rFonts w:ascii="Arial" w:hAnsi="Arial" w:cs="Arial"/>
          <w:b/>
          <w:color w:val="365F91" w:themeColor="accent1" w:themeShade="BF"/>
          <w:sz w:val="28"/>
          <w:szCs w:val="28"/>
        </w:rPr>
      </w:pPr>
      <w:r>
        <w:rPr>
          <w:rFonts w:ascii="Arial" w:hAnsi="Arial" w:cs="Arial"/>
          <w:b/>
          <w:color w:val="365F91" w:themeColor="accent1" w:themeShade="BF"/>
          <w:sz w:val="28"/>
          <w:szCs w:val="28"/>
        </w:rPr>
        <w:t>Appendix 3</w:t>
      </w:r>
    </w:p>
    <w:p w:rsidR="00636C92" w:rsidRDefault="00636C92" w:rsidP="00AA67A5">
      <w:pPr>
        <w:jc w:val="center"/>
        <w:rPr>
          <w:rFonts w:ascii="Arial" w:eastAsiaTheme="minorHAnsi" w:hAnsi="Arial" w:cs="Arial"/>
          <w:b/>
          <w:sz w:val="28"/>
          <w:lang w:eastAsia="en-US"/>
        </w:rPr>
      </w:pPr>
      <w:r w:rsidRPr="00860E40">
        <w:rPr>
          <w:rFonts w:ascii="Arial" w:eastAsiaTheme="minorHAnsi" w:hAnsi="Arial" w:cs="Arial"/>
          <w:b/>
          <w:sz w:val="28"/>
          <w:lang w:eastAsia="en-US"/>
        </w:rPr>
        <w:t xml:space="preserve">Template to request advice from the </w:t>
      </w:r>
      <w:r>
        <w:rPr>
          <w:rFonts w:ascii="Arial" w:eastAsiaTheme="minorHAnsi" w:hAnsi="Arial" w:cs="Arial"/>
          <w:b/>
          <w:sz w:val="28"/>
          <w:lang w:eastAsia="en-US"/>
        </w:rPr>
        <w:t>Yorkshire and the Humber</w:t>
      </w:r>
      <w:r w:rsidRPr="00860E40">
        <w:rPr>
          <w:rFonts w:ascii="Arial" w:eastAsiaTheme="minorHAnsi" w:hAnsi="Arial" w:cs="Arial"/>
          <w:b/>
          <w:sz w:val="28"/>
          <w:lang w:eastAsia="en-US"/>
        </w:rPr>
        <w:t xml:space="preserve"> </w:t>
      </w:r>
    </w:p>
    <w:p w:rsidR="00636C92" w:rsidRPr="00860E40" w:rsidRDefault="00636C92" w:rsidP="00AA67A5">
      <w:pPr>
        <w:jc w:val="center"/>
        <w:rPr>
          <w:rFonts w:ascii="Arial" w:eastAsiaTheme="minorHAnsi" w:hAnsi="Arial" w:cs="Arial"/>
          <w:b/>
          <w:sz w:val="28"/>
          <w:lang w:eastAsia="en-US"/>
        </w:rPr>
      </w:pPr>
      <w:r w:rsidRPr="00860E40">
        <w:rPr>
          <w:rFonts w:ascii="Arial" w:eastAsiaTheme="minorHAnsi" w:hAnsi="Arial" w:cs="Arial"/>
          <w:b/>
          <w:sz w:val="28"/>
          <w:lang w:eastAsia="en-US"/>
        </w:rPr>
        <w:t>Clinical Senate</w:t>
      </w:r>
    </w:p>
    <w:p w:rsidR="00636C92" w:rsidRPr="002E4507" w:rsidRDefault="00636C92" w:rsidP="002E4507">
      <w:pPr>
        <w:spacing w:after="0" w:line="240" w:lineRule="auto"/>
        <w:rPr>
          <w:rFonts w:eastAsiaTheme="minorHAnsi"/>
          <w:b/>
          <w:lang w:eastAsia="en-US"/>
        </w:rPr>
      </w:pPr>
      <w:r w:rsidRPr="002E4507">
        <w:rPr>
          <w:rFonts w:eastAsiaTheme="minorHAnsi"/>
          <w:noProof/>
        </w:rPr>
        <mc:AlternateContent>
          <mc:Choice Requires="wps">
            <w:drawing>
              <wp:anchor distT="0" distB="0" distL="114300" distR="114300" simplePos="0" relativeHeight="251717632" behindDoc="0" locked="0" layoutInCell="1" allowOverlap="1" wp14:anchorId="7702FDA8" wp14:editId="48C9FF15">
                <wp:simplePos x="0" y="0"/>
                <wp:positionH relativeFrom="column">
                  <wp:posOffset>-85725</wp:posOffset>
                </wp:positionH>
                <wp:positionV relativeFrom="paragraph">
                  <wp:posOffset>105410</wp:posOffset>
                </wp:positionV>
                <wp:extent cx="5724525" cy="1403985"/>
                <wp:effectExtent l="0" t="0" r="28575" b="1714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9525">
                          <a:solidFill>
                            <a:srgbClr val="000000"/>
                          </a:solidFill>
                          <a:miter lim="800000"/>
                          <a:headEnd/>
                          <a:tailEnd/>
                        </a:ln>
                      </wps:spPr>
                      <wps:txbx>
                        <w:txbxContent>
                          <w:p w:rsidR="00636C92" w:rsidRPr="00A85BDE" w:rsidRDefault="00636C92" w:rsidP="002E4507">
                            <w:pPr>
                              <w:rPr>
                                <w:b/>
                              </w:rPr>
                            </w:pPr>
                            <w:r w:rsidRPr="00A85BDE">
                              <w:rPr>
                                <w:b/>
                              </w:rPr>
                              <w:t>Name of the lead (sponsoring) body requesting advice:</w:t>
                            </w:r>
                            <w:r>
                              <w:rPr>
                                <w:b/>
                              </w:rPr>
                              <w:t xml:space="preserve">  NEL CCG and NL CCG</w:t>
                            </w:r>
                          </w:p>
                          <w:p w:rsidR="00636C92" w:rsidRPr="00A85BDE" w:rsidRDefault="00636C92" w:rsidP="002E4507">
                            <w:pPr>
                              <w:rPr>
                                <w:b/>
                              </w:rPr>
                            </w:pPr>
                            <w:r w:rsidRPr="00A85BDE">
                              <w:rPr>
                                <w:b/>
                              </w:rPr>
                              <w:t>Type of organisation:</w:t>
                            </w:r>
                            <w:r>
                              <w:rPr>
                                <w:b/>
                              </w:rPr>
                              <w:t xml:space="preserve"> Clinical Commissioning Groups</w:t>
                            </w:r>
                          </w:p>
                          <w:p w:rsidR="00636C92" w:rsidRPr="00A85BDE" w:rsidRDefault="00636C92" w:rsidP="002E4507">
                            <w:pPr>
                              <w:rPr>
                                <w:b/>
                              </w:rPr>
                            </w:pPr>
                            <w:r>
                              <w:rPr>
                                <w:b/>
                              </w:rPr>
                              <w:t>Name of main contact:  Jenny Briggs</w:t>
                            </w:r>
                          </w:p>
                          <w:p w:rsidR="00636C92" w:rsidRPr="00A85BDE" w:rsidRDefault="00636C92" w:rsidP="002E4507">
                            <w:pPr>
                              <w:rPr>
                                <w:b/>
                              </w:rPr>
                            </w:pPr>
                            <w:r>
                              <w:rPr>
                                <w:b/>
                              </w:rPr>
                              <w:t>Designation:  Strategic Lead, Healthy Lives, Healthy Futures</w:t>
                            </w:r>
                            <w:r w:rsidRPr="00A85BDE">
                              <w:rPr>
                                <w:b/>
                              </w:rPr>
                              <w:tab/>
                            </w:r>
                            <w:r w:rsidRPr="00A85BDE">
                              <w:rPr>
                                <w:b/>
                              </w:rPr>
                              <w:tab/>
                            </w:r>
                            <w:r w:rsidRPr="00A85BDE">
                              <w:rPr>
                                <w:b/>
                              </w:rPr>
                              <w:tab/>
                            </w:r>
                          </w:p>
                          <w:p w:rsidR="00636C92" w:rsidRDefault="00636C92" w:rsidP="002E4507">
                            <w:r w:rsidRPr="00A85BDE">
                              <w:rPr>
                                <w:b/>
                              </w:rPr>
                              <w:t>Email:</w:t>
                            </w:r>
                            <w:r>
                              <w:t xml:space="preserve"> </w:t>
                            </w:r>
                            <w:r>
                              <w:tab/>
                              <w:t>jenny.briggs1@nhs.net</w:t>
                            </w:r>
                            <w:r>
                              <w:tab/>
                              <w:t xml:space="preserve">            </w:t>
                            </w:r>
                            <w:r w:rsidRPr="00A85BDE">
                              <w:rPr>
                                <w:b/>
                              </w:rPr>
                              <w:t>Tel:</w:t>
                            </w:r>
                            <w:r>
                              <w:t xml:space="preserve">  07795 908890</w:t>
                            </w:r>
                            <w:r>
                              <w:tab/>
                              <w:t xml:space="preserve">    </w:t>
                            </w:r>
                            <w:r w:rsidRPr="00A85BDE">
                              <w:rPr>
                                <w:b/>
                              </w:rPr>
                              <w:t>Date of request:</w:t>
                            </w:r>
                            <w:r>
                              <w:rPr>
                                <w:b/>
                              </w:rPr>
                              <w:t xml:space="preserve"> Feb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702FDA8" id="_x0000_t202" coordsize="21600,21600" o:spt="202" path="m,l,21600r21600,l21600,xe">
                <v:stroke joinstyle="miter"/>
                <v:path gradientshapeok="t" o:connecttype="rect"/>
              </v:shapetype>
              <v:shape id="Text Box 2" o:spid="_x0000_s1026" type="#_x0000_t202" style="position:absolute;margin-left:-6.75pt;margin-top:8.3pt;width:450.7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">
                <v:textbox style="mso-fit-shape-to-text:t">
                  <w:txbxContent>
                    <w:p w:rsidR="00636C92" w:rsidRPr="00A85BDE" w:rsidRDefault="00636C92" w:rsidP="002E4507">
                      <w:pPr>
                        <w:rPr>
                          <w:b/>
                        </w:rPr>
                      </w:pPr>
                      <w:r w:rsidRPr="00A85BDE">
                        <w:rPr>
                          <w:b/>
                        </w:rPr>
                        <w:t>Name of the lead (sponsoring) body requesting advice:</w:t>
                      </w:r>
                      <w:r>
                        <w:rPr>
                          <w:b/>
                        </w:rPr>
                        <w:t xml:space="preserve">  NEL CCG and NL CCG</w:t>
                      </w:r>
                    </w:p>
                    <w:p w:rsidR="00636C92" w:rsidRPr="00A85BDE" w:rsidRDefault="00636C92" w:rsidP="002E4507">
                      <w:pPr>
                        <w:rPr>
                          <w:b/>
                        </w:rPr>
                      </w:pPr>
                      <w:r w:rsidRPr="00A85BDE">
                        <w:rPr>
                          <w:b/>
                        </w:rPr>
                        <w:t>Type of organisation:</w:t>
                      </w:r>
                      <w:r>
                        <w:rPr>
                          <w:b/>
                        </w:rPr>
                        <w:t xml:space="preserve"> Clinical Commissioning Groups</w:t>
                      </w:r>
                    </w:p>
                    <w:p w:rsidR="00636C92" w:rsidRPr="00A85BDE" w:rsidRDefault="00636C92" w:rsidP="002E4507">
                      <w:pPr>
                        <w:rPr>
                          <w:b/>
                        </w:rPr>
                      </w:pPr>
                      <w:r>
                        <w:rPr>
                          <w:b/>
                        </w:rPr>
                        <w:t>Name of main contact:  Jenny Briggs</w:t>
                      </w:r>
                    </w:p>
                    <w:p w:rsidR="00636C92" w:rsidRPr="00A85BDE" w:rsidRDefault="00636C92" w:rsidP="002E4507">
                      <w:pPr>
                        <w:rPr>
                          <w:b/>
                        </w:rPr>
                      </w:pPr>
                      <w:r>
                        <w:rPr>
                          <w:b/>
                        </w:rPr>
                        <w:t>Designation:  Strategic Lead, Healthy Lives, Healthy Futures</w:t>
                      </w:r>
                      <w:r w:rsidRPr="00A85BDE">
                        <w:rPr>
                          <w:b/>
                        </w:rPr>
                        <w:tab/>
                      </w:r>
                      <w:r w:rsidRPr="00A85BDE">
                        <w:rPr>
                          <w:b/>
                        </w:rPr>
                        <w:tab/>
                      </w:r>
                      <w:r w:rsidRPr="00A85BDE">
                        <w:rPr>
                          <w:b/>
                        </w:rPr>
                        <w:tab/>
                      </w:r>
                    </w:p>
                    <w:p w:rsidR="00636C92" w:rsidRDefault="00636C92" w:rsidP="002E4507">
                      <w:r w:rsidRPr="00A85BDE">
                        <w:rPr>
                          <w:b/>
                        </w:rPr>
                        <w:t>Email:</w:t>
                      </w:r>
                      <w:r>
                        <w:t xml:space="preserve"> </w:t>
                      </w:r>
                      <w:r>
                        <w:tab/>
                        <w:t>jenny.briggs1@nhs.net</w:t>
                      </w:r>
                      <w:r>
                        <w:tab/>
                        <w:t xml:space="preserve">            </w:t>
                      </w:r>
                      <w:r w:rsidRPr="00A85BDE">
                        <w:rPr>
                          <w:b/>
                        </w:rPr>
                        <w:t>Tel:</w:t>
                      </w:r>
                      <w:r>
                        <w:t xml:space="preserve">  07795 908890</w:t>
                      </w:r>
                      <w:r>
                        <w:tab/>
                        <w:t xml:space="preserve">    </w:t>
                      </w:r>
                      <w:r w:rsidRPr="00A85BDE">
                        <w:rPr>
                          <w:b/>
                        </w:rPr>
                        <w:t>Date of request:</w:t>
                      </w:r>
                      <w:r>
                        <w:rPr>
                          <w:b/>
                        </w:rPr>
                        <w:t xml:space="preserve"> Feb 2014</w:t>
                      </w:r>
                    </w:p>
                  </w:txbxContent>
                </v:textbox>
              </v:shape>
            </w:pict>
          </mc:Fallback>
        </mc:AlternateContent>
      </w:r>
    </w:p>
    <w:p w:rsidR="00636C92" w:rsidRPr="002E4507" w:rsidRDefault="00636C92" w:rsidP="002E4507">
      <w:pPr>
        <w:rPr>
          <w:rFonts w:eastAsiaTheme="minorHAnsi"/>
          <w:lang w:eastAsia="en-US"/>
        </w:rPr>
      </w:pPr>
    </w:p>
    <w:p w:rsidR="00636C92" w:rsidRPr="00165073" w:rsidRDefault="00636C92" w:rsidP="00165073">
      <w:pPr>
        <w:jc w:val="center"/>
        <w:rPr>
          <w:rFonts w:eastAsiaTheme="minorHAnsi"/>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E4507">
        <w:rPr>
          <w:rFonts w:eastAsiaTheme="minorHAnsi"/>
          <w:b/>
          <w:noProof/>
        </w:rPr>
        <mc:AlternateContent>
          <mc:Choice Requires="wps">
            <w:drawing>
              <wp:anchor distT="0" distB="0" distL="114300" distR="114300" simplePos="0" relativeHeight="251728896" behindDoc="0" locked="0" layoutInCell="1" allowOverlap="1" wp14:anchorId="084B9596" wp14:editId="56B63D82">
                <wp:simplePos x="0" y="0"/>
                <wp:positionH relativeFrom="column">
                  <wp:posOffset>-85725</wp:posOffset>
                </wp:positionH>
                <wp:positionV relativeFrom="paragraph">
                  <wp:posOffset>5347335</wp:posOffset>
                </wp:positionV>
                <wp:extent cx="5724525" cy="17716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71650"/>
                        </a:xfrm>
                        <a:prstGeom prst="rect">
                          <a:avLst/>
                        </a:prstGeom>
                        <a:solidFill>
                          <a:srgbClr val="FFFFFF"/>
                        </a:solidFill>
                        <a:ln w="9525">
                          <a:solidFill>
                            <a:srgbClr val="000000"/>
                          </a:solidFill>
                          <a:miter lim="800000"/>
                          <a:headEnd/>
                          <a:tailEnd/>
                        </a:ln>
                      </wps:spPr>
                      <wps:txbx>
                        <w:txbxContent>
                          <w:p w:rsidR="00636C92" w:rsidRPr="00A85BDE" w:rsidRDefault="00636C92" w:rsidP="008D1D4E">
                            <w:pPr>
                              <w:rPr>
                                <w:b/>
                                <w:sz w:val="20"/>
                              </w:rPr>
                            </w:pPr>
                            <w:r w:rsidRPr="00A85BDE">
                              <w:rPr>
                                <w:b/>
                              </w:rPr>
                              <w:t xml:space="preserve">Please state your rationale for requesting the advice? </w:t>
                            </w:r>
                            <w:r w:rsidRPr="00A85BDE">
                              <w:rPr>
                                <w:b/>
                                <w:sz w:val="20"/>
                              </w:rPr>
                              <w:t>(What is the issue, what is its scope, what will it address, how important is it, what is the breadth of interest in it?).</w:t>
                            </w:r>
                          </w:p>
                          <w:p w:rsidR="00636C92" w:rsidRDefault="00636C92" w:rsidP="00270C75">
                            <w:r>
                              <w:t>Each of the three areas is being considered for centralisation onto one hospital site, rather than being delivered at both DGH sites.  This recommendation is based on national best practice around volumes, and also local clinical team recommendations around quality and safety improvements that could be facilitated through centralisation.</w:t>
                            </w:r>
                          </w:p>
                          <w:p w:rsidR="00636C92" w:rsidRDefault="00636C92" w:rsidP="00270C75">
                            <w:r>
                              <w:t>This is not expected to save money or contribute to the overall financial “gap”</w:t>
                            </w:r>
                          </w:p>
                          <w:p w:rsidR="00636C92" w:rsidRDefault="00636C92" w:rsidP="008D1D4E"/>
                          <w:p w:rsidR="00636C92" w:rsidRDefault="00636C92" w:rsidP="008D1D4E"/>
                          <w:p w:rsidR="00636C92" w:rsidRDefault="00636C92" w:rsidP="008D1D4E"/>
                          <w:p w:rsidR="00636C92" w:rsidRDefault="00636C92" w:rsidP="008D1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4B9596" id="_x0000_s1027" type="#_x0000_t202" style="position:absolute;left:0;text-align:left;margin-left:-6.75pt;margin-top:421.05pt;width:450.75pt;height:1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">
                <v:textbox>
                  <w:txbxContent>
                    <w:p w:rsidR="00636C92" w:rsidRPr="00A85BDE" w:rsidRDefault="00636C92" w:rsidP="008D1D4E">
                      <w:pPr>
                        <w:rPr>
                          <w:b/>
                          <w:sz w:val="20"/>
                        </w:rPr>
                      </w:pPr>
                      <w:r w:rsidRPr="00A85BDE">
                        <w:rPr>
                          <w:b/>
                        </w:rPr>
                        <w:t xml:space="preserve">Please state your rationale for requesting the advice? </w:t>
                      </w:r>
                      <w:r w:rsidRPr="00A85BDE">
                        <w:rPr>
                          <w:b/>
                          <w:sz w:val="20"/>
                        </w:rPr>
                        <w:t>(What is the issue, what is its scope, what will it address, how important is it, what is the breadth of interest in it?).</w:t>
                      </w:r>
                    </w:p>
                    <w:p w:rsidR="00636C92" w:rsidRDefault="00636C92" w:rsidP="00270C75">
                      <w:r>
                        <w:t>Each of the three areas is being considered for centralisation onto one hospital site, rather than being delivered at both DGH sites.  This recommendation is based on national best practice around volumes, and also local clinical team recommendations around quality and safety improvements that could be facilitated through centralisation.</w:t>
                      </w:r>
                    </w:p>
                    <w:p w:rsidR="00636C92" w:rsidRDefault="00636C92" w:rsidP="00270C75">
                      <w:r>
                        <w:t>This is not expected to save money or contribute to the overall financial “gap”</w:t>
                      </w:r>
                    </w:p>
                    <w:p w:rsidR="00636C92" w:rsidRDefault="00636C92" w:rsidP="008D1D4E"/>
                    <w:p w:rsidR="00636C92" w:rsidRDefault="00636C92" w:rsidP="008D1D4E"/>
                    <w:p w:rsidR="00636C92" w:rsidRDefault="00636C92" w:rsidP="008D1D4E"/>
                    <w:p w:rsidR="00636C92" w:rsidRDefault="00636C92" w:rsidP="008D1D4E"/>
                  </w:txbxContent>
                </v:textbox>
              </v:shape>
            </w:pict>
          </mc:Fallback>
        </mc:AlternateContent>
      </w:r>
      <w:r w:rsidRPr="002E4507">
        <w:rPr>
          <w:rFonts w:eastAsiaTheme="minorHAnsi"/>
          <w:b/>
          <w:noProof/>
        </w:rPr>
        <mc:AlternateContent>
          <mc:Choice Requires="wps">
            <w:drawing>
              <wp:anchor distT="0" distB="0" distL="114300" distR="114300" simplePos="0" relativeHeight="251718656" behindDoc="0" locked="0" layoutInCell="1" allowOverlap="1" wp14:anchorId="28628FE6" wp14:editId="68374511">
                <wp:simplePos x="0" y="0"/>
                <wp:positionH relativeFrom="column">
                  <wp:posOffset>-85725</wp:posOffset>
                </wp:positionH>
                <wp:positionV relativeFrom="paragraph">
                  <wp:posOffset>3451860</wp:posOffset>
                </wp:positionV>
                <wp:extent cx="5695950" cy="1752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52600"/>
                        </a:xfrm>
                        <a:prstGeom prst="rect">
                          <a:avLst/>
                        </a:prstGeom>
                        <a:solidFill>
                          <a:srgbClr val="FFFFFF"/>
                        </a:solidFill>
                        <a:ln w="9525">
                          <a:solidFill>
                            <a:srgbClr val="000000"/>
                          </a:solidFill>
                          <a:miter lim="800000"/>
                          <a:headEnd/>
                          <a:tailEnd/>
                        </a:ln>
                      </wps:spPr>
                      <wps:txbx>
                        <w:txbxContent>
                          <w:p w:rsidR="00636C92" w:rsidRDefault="00636C92" w:rsidP="002E4507">
                            <w:r w:rsidRPr="00A85BDE">
                              <w:rPr>
                                <w:b/>
                              </w:rPr>
                              <w:t>Please state as clearly as possible what advice you are requesting from the Clinical Senate.</w:t>
                            </w:r>
                            <w:r>
                              <w:rPr>
                                <w:b/>
                              </w:rPr>
                              <w:t xml:space="preserve"> </w:t>
                            </w:r>
                          </w:p>
                          <w:p w:rsidR="00636C92" w:rsidRDefault="00636C92" w:rsidP="002E4507">
                            <w:r>
                              <w:t>We would like the clinical senate to review the options that we are considering for service change, including our preferred option, and contribute with any issues or concerns that we may need to consider before going to consultation.  The three areas are expected to be:</w:t>
                            </w:r>
                          </w:p>
                          <w:p w:rsidR="00636C92" w:rsidRDefault="00636C92" w:rsidP="00636C92">
                            <w:pPr>
                              <w:pStyle w:val="ListParagraph"/>
                              <w:numPr>
                                <w:ilvl w:val="0"/>
                                <w:numId w:val="37"/>
                              </w:numPr>
                            </w:pPr>
                            <w:r>
                              <w:t>Hyper acute stroke services</w:t>
                            </w:r>
                          </w:p>
                          <w:p w:rsidR="00636C92" w:rsidRDefault="00636C92" w:rsidP="00636C92">
                            <w:pPr>
                              <w:pStyle w:val="ListParagraph"/>
                              <w:numPr>
                                <w:ilvl w:val="0"/>
                                <w:numId w:val="37"/>
                              </w:numPr>
                            </w:pPr>
                            <w:r>
                              <w:t>ENT surgery</w:t>
                            </w:r>
                          </w:p>
                          <w:p w:rsidR="00636C92" w:rsidRDefault="00636C92" w:rsidP="00636C92">
                            <w:pPr>
                              <w:pStyle w:val="ListParagraph"/>
                              <w:numPr>
                                <w:ilvl w:val="0"/>
                                <w:numId w:val="37"/>
                              </w:numPr>
                            </w:pPr>
                            <w:r>
                              <w:t>Children’s surgery</w:t>
                            </w:r>
                          </w:p>
                          <w:p w:rsidR="00636C92" w:rsidRDefault="00636C92" w:rsidP="002E4507"/>
                          <w:p w:rsidR="00636C92" w:rsidRDefault="00636C92" w:rsidP="002E4507"/>
                          <w:p w:rsidR="00636C92" w:rsidRDefault="00636C92" w:rsidP="002E4507"/>
                          <w:p w:rsidR="00636C92" w:rsidRDefault="00636C92" w:rsidP="002E4507"/>
                          <w:p w:rsidR="00636C92" w:rsidRDefault="00636C92" w:rsidP="002E4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628FE6" id="_x0000_s1028" type="#_x0000_t202" style="position:absolute;left:0;text-align:left;margin-left:-6.75pt;margin-top:271.8pt;width:448.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">
                <v:textbox>
                  <w:txbxContent>
                    <w:p w:rsidR="00636C92" w:rsidRDefault="00636C92" w:rsidP="002E4507">
                      <w:r w:rsidRPr="00A85BDE">
                        <w:rPr>
                          <w:b/>
                        </w:rPr>
                        <w:t>Please state as clearly as possible what advice you are requesting from the Clinical Senate.</w:t>
                      </w:r>
                      <w:r>
                        <w:rPr>
                          <w:b/>
                        </w:rPr>
                        <w:t xml:space="preserve"> </w:t>
                      </w:r>
                    </w:p>
                    <w:p w:rsidR="00636C92" w:rsidRDefault="00636C92" w:rsidP="002E4507">
                      <w:r>
                        <w:t>We would like the clinical senate to review the options that we are considering for service change, including our preferred option, and contribute with any issues or concerns that we may need to consider before going to consultation.  The three areas are expected to be:</w:t>
                      </w:r>
                    </w:p>
                    <w:p w:rsidR="00636C92" w:rsidRDefault="00636C92" w:rsidP="00636C92">
                      <w:pPr>
                        <w:pStyle w:val="ListParagraph"/>
                        <w:numPr>
                          <w:ilvl w:val="0"/>
                          <w:numId w:val="37"/>
                        </w:numPr>
                      </w:pPr>
                      <w:r>
                        <w:t>Hyper acute stroke services</w:t>
                      </w:r>
                    </w:p>
                    <w:p w:rsidR="00636C92" w:rsidRDefault="00636C92" w:rsidP="00636C92">
                      <w:pPr>
                        <w:pStyle w:val="ListParagraph"/>
                        <w:numPr>
                          <w:ilvl w:val="0"/>
                          <w:numId w:val="37"/>
                        </w:numPr>
                      </w:pPr>
                      <w:r>
                        <w:t>ENT surgery</w:t>
                      </w:r>
                    </w:p>
                    <w:p w:rsidR="00636C92" w:rsidRDefault="00636C92" w:rsidP="00636C92">
                      <w:pPr>
                        <w:pStyle w:val="ListParagraph"/>
                        <w:numPr>
                          <w:ilvl w:val="0"/>
                          <w:numId w:val="37"/>
                        </w:numPr>
                      </w:pPr>
                      <w:r>
                        <w:t>Children’s surgery</w:t>
                      </w:r>
                    </w:p>
                    <w:p w:rsidR="00636C92" w:rsidRDefault="00636C92" w:rsidP="002E4507"/>
                    <w:p w:rsidR="00636C92" w:rsidRDefault="00636C92" w:rsidP="002E4507"/>
                    <w:p w:rsidR="00636C92" w:rsidRDefault="00636C92" w:rsidP="002E4507"/>
                    <w:p w:rsidR="00636C92" w:rsidRDefault="00636C92" w:rsidP="002E4507"/>
                    <w:p w:rsidR="00636C92" w:rsidRDefault="00636C92" w:rsidP="002E4507"/>
                  </w:txbxContent>
                </v:textbox>
              </v:shape>
            </w:pict>
          </mc:Fallback>
        </mc:AlternateContent>
      </w:r>
      <w:r w:rsidRPr="002E4507">
        <w:rPr>
          <w:rFonts w:eastAsiaTheme="minorHAnsi"/>
          <w:noProof/>
        </w:rPr>
        <mc:AlternateContent>
          <mc:Choice Requires="wps">
            <w:drawing>
              <wp:anchor distT="0" distB="0" distL="114300" distR="114300" simplePos="0" relativeHeight="251727872" behindDoc="0" locked="0" layoutInCell="1" allowOverlap="1" wp14:anchorId="2B618733" wp14:editId="578C8A31">
                <wp:simplePos x="0" y="0"/>
                <wp:positionH relativeFrom="column">
                  <wp:posOffset>-85725</wp:posOffset>
                </wp:positionH>
                <wp:positionV relativeFrom="paragraph">
                  <wp:posOffset>2299335</wp:posOffset>
                </wp:positionV>
                <wp:extent cx="569595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38225"/>
                        </a:xfrm>
                        <a:prstGeom prst="rect">
                          <a:avLst/>
                        </a:prstGeom>
                        <a:solidFill>
                          <a:srgbClr val="FFFFFF"/>
                        </a:solidFill>
                        <a:ln w="9525">
                          <a:solidFill>
                            <a:srgbClr val="000000"/>
                          </a:solidFill>
                          <a:miter lim="800000"/>
                          <a:headEnd/>
                          <a:tailEnd/>
                        </a:ln>
                      </wps:spPr>
                      <wps:txbx>
                        <w:txbxContent>
                          <w:p w:rsidR="00636C92" w:rsidRPr="00A85BDE" w:rsidRDefault="00636C92" w:rsidP="008D1D4E">
                            <w:pPr>
                              <w:rPr>
                                <w:b/>
                                <w:sz w:val="20"/>
                              </w:rPr>
                            </w:pPr>
                            <w:r>
                              <w:rPr>
                                <w:b/>
                              </w:rPr>
                              <w:t>Is the Senate being consulted for advice or as part of the formal assurance process?</w:t>
                            </w:r>
                          </w:p>
                          <w:p w:rsidR="00636C92" w:rsidRDefault="00636C92" w:rsidP="008D1D4E">
                            <w:r>
                              <w:t xml:space="preserve">This is for advice and feedback to form a clinical assurance element of the programme, which will feed into the work taken to public consultation.  </w:t>
                            </w:r>
                          </w:p>
                          <w:p w:rsidR="00636C92" w:rsidRDefault="00636C92" w:rsidP="008D1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618733" id="Text Box 3" o:spid="_x0000_s1029" type="#_x0000_t202" style="position:absolute;left:0;text-align:left;margin-left:-6.75pt;margin-top:181.05pt;width:448.5pt;height:8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CJAIAAEw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">
                <v:textbox>
                  <w:txbxContent>
                    <w:p w:rsidR="00636C92" w:rsidRPr="00A85BDE" w:rsidRDefault="00636C92" w:rsidP="008D1D4E">
                      <w:pPr>
                        <w:rPr>
                          <w:b/>
                          <w:sz w:val="20"/>
                        </w:rPr>
                      </w:pPr>
                      <w:r>
                        <w:rPr>
                          <w:b/>
                        </w:rPr>
                        <w:t>Is the Senate being consulted for advice or as part of the formal assurance process?</w:t>
                      </w:r>
                    </w:p>
                    <w:p w:rsidR="00636C92" w:rsidRDefault="00636C92" w:rsidP="008D1D4E">
                      <w:r>
                        <w:t xml:space="preserve">This is for advice and feedback to form a clinical assurance element of the programme, which will feed into the work taken to public consultation.  </w:t>
                      </w:r>
                    </w:p>
                    <w:p w:rsidR="00636C92" w:rsidRDefault="00636C92" w:rsidP="008D1D4E"/>
                  </w:txbxContent>
                </v:textbox>
              </v:shape>
            </w:pict>
          </mc:Fallback>
        </mc:AlternateContent>
      </w:r>
      <w:r w:rsidRPr="002E4507">
        <w:rPr>
          <w:rFonts w:eastAsiaTheme="minorHAnsi"/>
          <w:noProof/>
        </w:rPr>
        <mc:AlternateContent>
          <mc:Choice Requires="wps">
            <w:drawing>
              <wp:anchor distT="0" distB="0" distL="114300" distR="114300" simplePos="0" relativeHeight="251720704" behindDoc="0" locked="0" layoutInCell="1" allowOverlap="1" wp14:anchorId="459E4B66" wp14:editId="64BF5A79">
                <wp:simplePos x="0" y="0"/>
                <wp:positionH relativeFrom="column">
                  <wp:posOffset>-85725</wp:posOffset>
                </wp:positionH>
                <wp:positionV relativeFrom="paragraph">
                  <wp:posOffset>1431290</wp:posOffset>
                </wp:positionV>
                <wp:extent cx="5695950" cy="1403985"/>
                <wp:effectExtent l="0" t="0" r="19050" b="158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rsidR="00636C92" w:rsidRPr="00A85BDE" w:rsidRDefault="00636C92" w:rsidP="002E4507">
                            <w:pPr>
                              <w:rPr>
                                <w:b/>
                                <w:sz w:val="20"/>
                              </w:rPr>
                            </w:pPr>
                            <w:r w:rsidRPr="00A85BDE">
                              <w:rPr>
                                <w:b/>
                              </w:rPr>
                              <w:t xml:space="preserve">Please note other organisations requesting this advice </w:t>
                            </w:r>
                            <w:r w:rsidRPr="00A85BDE">
                              <w:rPr>
                                <w:b/>
                                <w:sz w:val="20"/>
                              </w:rPr>
                              <w:t>(if more than the lead body noted above):</w:t>
                            </w:r>
                          </w:p>
                          <w:p w:rsidR="00636C92" w:rsidRDefault="00636C92" w:rsidP="002E4507">
                            <w:r>
                              <w:t>The CSU is programme managing the work on behalf of 2 CCGs.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9E4B66" id="_x0000_s1030" type="#_x0000_t202" style="position:absolute;left:0;text-align:left;margin-left:-6.75pt;margin-top:112.7pt;width:448.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">
                <v:textbox style="mso-fit-shape-to-text:t">
                  <w:txbxContent>
                    <w:p w:rsidR="00636C92" w:rsidRPr="00A85BDE" w:rsidRDefault="00636C92" w:rsidP="002E4507">
                      <w:pPr>
                        <w:rPr>
                          <w:b/>
                          <w:sz w:val="20"/>
                        </w:rPr>
                      </w:pPr>
                      <w:r w:rsidRPr="00A85BDE">
                        <w:rPr>
                          <w:b/>
                        </w:rPr>
                        <w:t xml:space="preserve">Please note other organisations requesting this advice </w:t>
                      </w:r>
                      <w:r w:rsidRPr="00A85BDE">
                        <w:rPr>
                          <w:b/>
                          <w:sz w:val="20"/>
                        </w:rPr>
                        <w:t>(if more than the lead body noted above):</w:t>
                      </w:r>
                    </w:p>
                    <w:p w:rsidR="00636C92" w:rsidRDefault="00636C92" w:rsidP="002E4507">
                      <w:r>
                        <w:t>The CSU is programme managing the work on behalf of 2 CCGs.</w:t>
                      </w:r>
                    </w:p>
                  </w:txbxContent>
                </v:textbox>
              </v:shape>
            </w:pict>
          </mc:Fallback>
        </mc:AlternateContent>
      </w:r>
      <w:r w:rsidRPr="002E4507">
        <w:rPr>
          <w:rFonts w:eastAsiaTheme="minorHAnsi"/>
          <w:lang w:eastAsia="en-US"/>
        </w:rPr>
        <w:br w:type="page"/>
      </w:r>
    </w:p>
    <w:p w:rsidR="00636C92" w:rsidRDefault="00636C92" w:rsidP="002E4507">
      <w:pPr>
        <w:rPr>
          <w:rFonts w:eastAsiaTheme="minorHAnsi"/>
          <w:lang w:eastAsia="en-US"/>
        </w:rPr>
      </w:pPr>
      <w:r w:rsidRPr="002E4507">
        <w:rPr>
          <w:rFonts w:eastAsiaTheme="minorHAnsi"/>
          <w:b/>
          <w:noProof/>
        </w:rPr>
        <w:lastRenderedPageBreak/>
        <mc:AlternateContent>
          <mc:Choice Requires="wps">
            <w:drawing>
              <wp:anchor distT="0" distB="0" distL="114300" distR="114300" simplePos="0" relativeHeight="251719680" behindDoc="0" locked="0" layoutInCell="1" allowOverlap="1" wp14:anchorId="1BFECCAB" wp14:editId="18FE8780">
                <wp:simplePos x="0" y="0"/>
                <wp:positionH relativeFrom="column">
                  <wp:posOffset>0</wp:posOffset>
                </wp:positionH>
                <wp:positionV relativeFrom="paragraph">
                  <wp:posOffset>-47625</wp:posOffset>
                </wp:positionV>
                <wp:extent cx="5657850" cy="1724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724025"/>
                        </a:xfrm>
                        <a:prstGeom prst="rect">
                          <a:avLst/>
                        </a:prstGeom>
                        <a:solidFill>
                          <a:srgbClr val="FFFFFF"/>
                        </a:solidFill>
                        <a:ln w="9525">
                          <a:solidFill>
                            <a:srgbClr val="000000"/>
                          </a:solidFill>
                          <a:miter lim="800000"/>
                          <a:headEnd/>
                          <a:tailEnd/>
                        </a:ln>
                      </wps:spPr>
                      <wps:txbx>
                        <w:txbxContent>
                          <w:p w:rsidR="00636C92" w:rsidRPr="00A85BDE" w:rsidRDefault="00636C92" w:rsidP="002E4507">
                            <w:pPr>
                              <w:rPr>
                                <w:b/>
                                <w:sz w:val="20"/>
                              </w:rPr>
                            </w:pPr>
                            <w:r w:rsidRPr="00A85BDE">
                              <w:rPr>
                                <w:b/>
                              </w:rPr>
                              <w:t>What is the purpose of the advice? (</w:t>
                            </w:r>
                            <w:r w:rsidRPr="00A85BDE">
                              <w:rPr>
                                <w:b/>
                                <w:sz w:val="20"/>
                              </w:rPr>
                              <w:t>How will the advice be used and by whom, how may it impact on individuals, NHS/other bodies etc.?).</w:t>
                            </w:r>
                          </w:p>
                          <w:p w:rsidR="00636C92" w:rsidRDefault="00636C92" w:rsidP="002E4507">
                            <w:r>
                              <w:t>We would like to be able to refer to the clinical senate review in our communications around service change to show that there has been a wider clinical view on these areas, and that we have discussed it outside of the Northern Lincolnshire area.</w:t>
                            </w:r>
                          </w:p>
                          <w:p w:rsidR="00636C92" w:rsidRDefault="00636C92" w:rsidP="002E4507">
                            <w:r>
                              <w:t>We are conscious that only involving local clinicians could be criticised by the public if they don’t like the preferred options we are suggesting.</w:t>
                            </w:r>
                          </w:p>
                          <w:p w:rsidR="00636C92" w:rsidRDefault="00636C92" w:rsidP="002E4507"/>
                          <w:p w:rsidR="00636C92" w:rsidRDefault="00636C92" w:rsidP="002E4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FECCAB" id="_x0000_s1031" type="#_x0000_t202" style="position:absolute;margin-left:0;margin-top:-3.75pt;width:445.5pt;height:13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">
                <v:textbox>
                  <w:txbxContent>
                    <w:p w:rsidR="00636C92" w:rsidRPr="00A85BDE" w:rsidRDefault="00636C92" w:rsidP="002E4507">
                      <w:pPr>
                        <w:rPr>
                          <w:b/>
                          <w:sz w:val="20"/>
                        </w:rPr>
                      </w:pPr>
                      <w:r w:rsidRPr="00A85BDE">
                        <w:rPr>
                          <w:b/>
                        </w:rPr>
                        <w:t>What is the purpose of the advice? (</w:t>
                      </w:r>
                      <w:r w:rsidRPr="00A85BDE">
                        <w:rPr>
                          <w:b/>
                          <w:sz w:val="20"/>
                        </w:rPr>
                        <w:t>How will the advice be used and by whom, how may it impact on individuals, NHS/other bodies etc.?).</w:t>
                      </w:r>
                    </w:p>
                    <w:p w:rsidR="00636C92" w:rsidRDefault="00636C92" w:rsidP="002E4507">
                      <w:r>
                        <w:t>We would like to be able to refer to the clinical senate review in our communications around service change to show that there has been a wider clinical view on these areas, and that we have discussed it outside of the Northern Lincolnshire area.</w:t>
                      </w:r>
                    </w:p>
                    <w:p w:rsidR="00636C92" w:rsidRDefault="00636C92" w:rsidP="002E4507">
                      <w:r>
                        <w:t>We are conscious that only involving local clinicians could be criticised by the public if they don’t like the preferred options we are suggesting.</w:t>
                      </w:r>
                    </w:p>
                    <w:p w:rsidR="00636C92" w:rsidRDefault="00636C92" w:rsidP="002E4507"/>
                    <w:p w:rsidR="00636C92" w:rsidRDefault="00636C92" w:rsidP="002E4507"/>
                  </w:txbxContent>
                </v:textbox>
              </v:shape>
            </w:pict>
          </mc:Fallback>
        </mc:AlternateContent>
      </w:r>
    </w:p>
    <w:p w:rsidR="00636C92" w:rsidRPr="002E4507" w:rsidRDefault="00636C92" w:rsidP="002E4507">
      <w:pPr>
        <w:rPr>
          <w:rFonts w:eastAsiaTheme="minorHAnsi"/>
          <w:lang w:eastAsia="en-US"/>
        </w:rPr>
      </w:pPr>
    </w:p>
    <w:p w:rsidR="00636C92" w:rsidRPr="002C60CE" w:rsidRDefault="00636C92" w:rsidP="002C60CE">
      <w:pPr>
        <w:rPr>
          <w:rFonts w:eastAsiaTheme="minorHAnsi"/>
          <w:lang w:eastAsia="en-US"/>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r w:rsidRPr="002C60CE">
        <w:rPr>
          <w:rFonts w:eastAsiaTheme="minorHAnsi"/>
          <w:noProof/>
        </w:rPr>
        <mc:AlternateContent>
          <mc:Choice Requires="wps">
            <w:drawing>
              <wp:anchor distT="0" distB="0" distL="114300" distR="114300" simplePos="0" relativeHeight="251721728" behindDoc="0" locked="0" layoutInCell="1" allowOverlap="1" wp14:anchorId="77A108FF" wp14:editId="77E3141F">
                <wp:simplePos x="0" y="0"/>
                <wp:positionH relativeFrom="column">
                  <wp:posOffset>0</wp:posOffset>
                </wp:positionH>
                <wp:positionV relativeFrom="paragraph">
                  <wp:posOffset>245746</wp:posOffset>
                </wp:positionV>
                <wp:extent cx="5657850" cy="1524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24000"/>
                        </a:xfrm>
                        <a:prstGeom prst="rect">
                          <a:avLst/>
                        </a:prstGeom>
                        <a:solidFill>
                          <a:srgbClr val="FFFFFF"/>
                        </a:solidFill>
                        <a:ln w="9525">
                          <a:solidFill>
                            <a:srgbClr val="000000"/>
                          </a:solidFill>
                          <a:miter lim="800000"/>
                          <a:headEnd/>
                          <a:tailEnd/>
                        </a:ln>
                      </wps:spPr>
                      <wps:txbx>
                        <w:txbxContent>
                          <w:p w:rsidR="00636C92" w:rsidRPr="00A85BDE" w:rsidRDefault="00636C92" w:rsidP="002C60CE">
                            <w:pPr>
                              <w:rPr>
                                <w:b/>
                                <w:sz w:val="20"/>
                              </w:rPr>
                            </w:pPr>
                            <w:r w:rsidRPr="00A85BDE">
                              <w:rPr>
                                <w:b/>
                              </w:rPr>
                              <w:t xml:space="preserve">Please provide a brief explanation of the current position in respect of this issue(s) </w:t>
                            </w:r>
                            <w:r w:rsidRPr="00A85BDE">
                              <w:rPr>
                                <w:b/>
                                <w:sz w:val="20"/>
                              </w:rPr>
                              <w:t xml:space="preserve">(include background, key people already involved). </w:t>
                            </w:r>
                          </w:p>
                          <w:p w:rsidR="00636C92" w:rsidRDefault="00636C92" w:rsidP="002C60CE">
                            <w:r>
                              <w:t>A range of provider and commissioner clinicians, (not just medical staff), have been involved in the work so far and we are working through the location discussions with our clinical working groups.  This will be taken through our Clinical Advisory Group which is a formal sub group of the programme board and chaired by Hugo Mascie-Taylor.</w:t>
                            </w:r>
                          </w:p>
                          <w:p w:rsidR="00636C92" w:rsidRDefault="00636C92" w:rsidP="002C60CE"/>
                          <w:p w:rsidR="00636C92" w:rsidRDefault="00636C92" w:rsidP="002C60CE"/>
                          <w:p w:rsidR="00636C92" w:rsidRDefault="00636C92" w:rsidP="002C60CE"/>
                          <w:p w:rsidR="00636C92" w:rsidRDefault="00636C92" w:rsidP="002C60CE"/>
                          <w:p w:rsidR="00636C92" w:rsidRDefault="00636C92" w:rsidP="002C60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A108FF" id="_x0000_s1032" type="#_x0000_t202" style="position:absolute;margin-left:0;margin-top:19.35pt;width:445.5pt;height:1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">
                <v:textbox>
                  <w:txbxContent>
                    <w:p w:rsidR="00636C92" w:rsidRPr="00A85BDE" w:rsidRDefault="00636C92" w:rsidP="002C60CE">
                      <w:pPr>
                        <w:rPr>
                          <w:b/>
                          <w:sz w:val="20"/>
                        </w:rPr>
                      </w:pPr>
                      <w:r w:rsidRPr="00A85BDE">
                        <w:rPr>
                          <w:b/>
                        </w:rPr>
                        <w:t xml:space="preserve">Please provide a brief explanation of the current position in respect of this issue(s) </w:t>
                      </w:r>
                      <w:r w:rsidRPr="00A85BDE">
                        <w:rPr>
                          <w:b/>
                          <w:sz w:val="20"/>
                        </w:rPr>
                        <w:t xml:space="preserve">(include background, key people already involved). </w:t>
                      </w:r>
                    </w:p>
                    <w:p w:rsidR="00636C92" w:rsidRDefault="00636C92" w:rsidP="002C60CE">
                      <w:r>
                        <w:t>A range of provider and commissioner clinicians, (not just medical staff), have been involved in the work so far and we are working through the location discussions with our clinical working groups.  This will be taken through our Clinical Advisory Group which is a formal sub group of the programme board and chaired by Hugo Mascie-Taylor.</w:t>
                      </w:r>
                    </w:p>
                    <w:p w:rsidR="00636C92" w:rsidRDefault="00636C92" w:rsidP="002C60CE"/>
                    <w:p w:rsidR="00636C92" w:rsidRDefault="00636C92" w:rsidP="002C60CE"/>
                    <w:p w:rsidR="00636C92" w:rsidRDefault="00636C92" w:rsidP="002C60CE"/>
                    <w:p w:rsidR="00636C92" w:rsidRDefault="00636C92" w:rsidP="002C60CE"/>
                    <w:p w:rsidR="00636C92" w:rsidRDefault="00636C92" w:rsidP="002C60CE"/>
                  </w:txbxContent>
                </v:textbox>
              </v:shape>
            </w:pict>
          </mc:Fallback>
        </mc:AlternateContent>
      </w: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r w:rsidRPr="002C60CE">
        <w:rPr>
          <w:rFonts w:eastAsiaTheme="minorHAnsi"/>
          <w:noProof/>
        </w:rPr>
        <mc:AlternateContent>
          <mc:Choice Requires="wps">
            <w:drawing>
              <wp:anchor distT="0" distB="0" distL="114300" distR="114300" simplePos="0" relativeHeight="251722752" behindDoc="0" locked="0" layoutInCell="1" allowOverlap="1" wp14:anchorId="5D87E245" wp14:editId="41005865">
                <wp:simplePos x="0" y="0"/>
                <wp:positionH relativeFrom="column">
                  <wp:posOffset>-9525</wp:posOffset>
                </wp:positionH>
                <wp:positionV relativeFrom="paragraph">
                  <wp:posOffset>99695</wp:posOffset>
                </wp:positionV>
                <wp:extent cx="5667375" cy="13049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04925"/>
                        </a:xfrm>
                        <a:prstGeom prst="rect">
                          <a:avLst/>
                        </a:prstGeom>
                        <a:solidFill>
                          <a:srgbClr val="FFFFFF"/>
                        </a:solidFill>
                        <a:ln w="9525">
                          <a:solidFill>
                            <a:srgbClr val="000000"/>
                          </a:solidFill>
                          <a:miter lim="800000"/>
                          <a:headEnd/>
                          <a:tailEnd/>
                        </a:ln>
                      </wps:spPr>
                      <wps:txbx>
                        <w:txbxContent>
                          <w:p w:rsidR="00636C92" w:rsidRPr="00A85BDE" w:rsidRDefault="00636C92" w:rsidP="002C60CE">
                            <w:pPr>
                              <w:rPr>
                                <w:b/>
                              </w:rPr>
                            </w:pPr>
                            <w:r w:rsidRPr="00A85BDE">
                              <w:rPr>
                                <w:b/>
                              </w:rPr>
                              <w:t xml:space="preserve">When is the advice required by? Please note any critical dates. </w:t>
                            </w:r>
                          </w:p>
                          <w:p w:rsidR="00636C92" w:rsidRDefault="00636C92" w:rsidP="002C60CE">
                            <w:r>
                              <w:t>We would like the senate workshop to take place on 10</w:t>
                            </w:r>
                            <w:r w:rsidRPr="00270C75">
                              <w:rPr>
                                <w:vertAlign w:val="superscript"/>
                              </w:rPr>
                              <w:t>th</w:t>
                            </w:r>
                            <w:r>
                              <w:t xml:space="preserve"> April if possible.</w:t>
                            </w:r>
                          </w:p>
                          <w:p w:rsidR="00636C92" w:rsidRDefault="00636C92" w:rsidP="002C60CE">
                            <w:r>
                              <w:t>Our decision making programme board meeting will take place on 17</w:t>
                            </w:r>
                            <w:r w:rsidRPr="00270C75">
                              <w:rPr>
                                <w:vertAlign w:val="superscript"/>
                              </w:rPr>
                              <w:t>th</w:t>
                            </w:r>
                            <w:r>
                              <w:t xml:space="preserve"> April.</w:t>
                            </w:r>
                          </w:p>
                          <w:p w:rsidR="00636C92" w:rsidRDefault="00636C92" w:rsidP="002C60CE">
                            <w:r>
                              <w:t>The COM and Governing Body decisions will take place early May.</w:t>
                            </w:r>
                          </w:p>
                          <w:p w:rsidR="00636C92" w:rsidRDefault="00636C92" w:rsidP="002C60CE"/>
                          <w:p w:rsidR="00636C92" w:rsidRDefault="00636C92" w:rsidP="002C60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7E245" id="_x0000_s1033" type="#_x0000_t202" style="position:absolute;margin-left:-.75pt;margin-top:7.85pt;width:446.25pt;height:10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">
                <v:textbox>
                  <w:txbxContent>
                    <w:p w:rsidR="00636C92" w:rsidRPr="00A85BDE" w:rsidRDefault="00636C92" w:rsidP="002C60CE">
                      <w:pPr>
                        <w:rPr>
                          <w:b/>
                        </w:rPr>
                      </w:pPr>
                      <w:r w:rsidRPr="00A85BDE">
                        <w:rPr>
                          <w:b/>
                        </w:rPr>
                        <w:t xml:space="preserve">When is the advice required by? Please note any critical dates. </w:t>
                      </w:r>
                    </w:p>
                    <w:p w:rsidR="00636C92" w:rsidRDefault="00636C92" w:rsidP="002C60CE">
                      <w:r>
                        <w:t>We would like the senate workshop to take place on 10</w:t>
                      </w:r>
                      <w:r w:rsidRPr="00270C75">
                        <w:rPr>
                          <w:vertAlign w:val="superscript"/>
                        </w:rPr>
                        <w:t>th</w:t>
                      </w:r>
                      <w:r>
                        <w:t xml:space="preserve"> April if possible.</w:t>
                      </w:r>
                    </w:p>
                    <w:p w:rsidR="00636C92" w:rsidRDefault="00636C92" w:rsidP="002C60CE">
                      <w:r>
                        <w:t>Our decision making programme board meeting will take place on 17</w:t>
                      </w:r>
                      <w:r w:rsidRPr="00270C75">
                        <w:rPr>
                          <w:vertAlign w:val="superscript"/>
                        </w:rPr>
                        <w:t>th</w:t>
                      </w:r>
                      <w:r>
                        <w:t xml:space="preserve"> April.</w:t>
                      </w:r>
                    </w:p>
                    <w:p w:rsidR="00636C92" w:rsidRDefault="00636C92" w:rsidP="002C60CE">
                      <w:r>
                        <w:t>The COM and Governing Body decisions will take place early May.</w:t>
                      </w:r>
                    </w:p>
                    <w:p w:rsidR="00636C92" w:rsidRDefault="00636C92" w:rsidP="002C60CE"/>
                    <w:p w:rsidR="00636C92" w:rsidRDefault="00636C92" w:rsidP="002C60CE"/>
                  </w:txbxContent>
                </v:textbox>
              </v:shape>
            </w:pict>
          </mc:Fallback>
        </mc:AlternateContent>
      </w: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Default="00636C92" w:rsidP="00CC2C96">
      <w:pPr>
        <w:rPr>
          <w:rFonts w:ascii="Arial" w:hAnsi="Arial" w:cs="Arial"/>
        </w:rPr>
      </w:pPr>
      <w:r w:rsidRPr="002C60CE">
        <w:rPr>
          <w:rFonts w:eastAsiaTheme="minorHAnsi"/>
          <w:noProof/>
        </w:rPr>
        <mc:AlternateContent>
          <mc:Choice Requires="wps">
            <w:drawing>
              <wp:anchor distT="0" distB="0" distL="114300" distR="114300" simplePos="0" relativeHeight="251724800" behindDoc="0" locked="0" layoutInCell="1" allowOverlap="1" wp14:anchorId="454BE0AD" wp14:editId="0AF7195A">
                <wp:simplePos x="0" y="0"/>
                <wp:positionH relativeFrom="column">
                  <wp:posOffset>0</wp:posOffset>
                </wp:positionH>
                <wp:positionV relativeFrom="paragraph">
                  <wp:posOffset>300355</wp:posOffset>
                </wp:positionV>
                <wp:extent cx="5648325" cy="12477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47775"/>
                        </a:xfrm>
                        <a:prstGeom prst="rect">
                          <a:avLst/>
                        </a:prstGeom>
                        <a:solidFill>
                          <a:srgbClr val="FFFFFF"/>
                        </a:solidFill>
                        <a:ln w="9525">
                          <a:solidFill>
                            <a:srgbClr val="000000"/>
                          </a:solidFill>
                          <a:miter lim="800000"/>
                          <a:headEnd/>
                          <a:tailEnd/>
                        </a:ln>
                      </wps:spPr>
                      <wps:txbx>
                        <w:txbxContent>
                          <w:p w:rsidR="00636C92" w:rsidRPr="00A85BDE" w:rsidRDefault="00636C92" w:rsidP="009D5430">
                            <w:pPr>
                              <w:rPr>
                                <w:b/>
                              </w:rPr>
                            </w:pPr>
                            <w:r w:rsidRPr="00A85BDE">
                              <w:rPr>
                                <w:b/>
                              </w:rPr>
                              <w:t xml:space="preserve">Has any advice already been given about this issue? If so please state the advice received, from whom, what happened as a consequence and why further advice is being sought? </w:t>
                            </w:r>
                          </w:p>
                          <w:p w:rsidR="00636C92" w:rsidRDefault="00636C92" w:rsidP="009D5430">
                            <w:r>
                              <w:t>We have had advice from local clinicians and also Hugo Mascie-Taylor, and also drawn on national best practice and evidence.  We had always planned to drawn on the Senate’s expertise to support a clinical assurance process.</w:t>
                            </w:r>
                          </w:p>
                          <w:p w:rsidR="00636C92" w:rsidRDefault="00636C92" w:rsidP="009D5430"/>
                          <w:p w:rsidR="00636C92" w:rsidRDefault="00636C92" w:rsidP="009D5430"/>
                          <w:p w:rsidR="00636C92" w:rsidRDefault="00636C92" w:rsidP="009D5430"/>
                          <w:p w:rsidR="00636C92" w:rsidRDefault="00636C92" w:rsidP="009D54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4BE0AD" id="_x0000_s1034" type="#_x0000_t202" style="position:absolute;margin-left:0;margin-top:23.65pt;width:444.75pt;height:9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">
                <v:textbox>
                  <w:txbxContent>
                    <w:p w:rsidR="00636C92" w:rsidRPr="00A85BDE" w:rsidRDefault="00636C92" w:rsidP="009D5430">
                      <w:pPr>
                        <w:rPr>
                          <w:b/>
                        </w:rPr>
                      </w:pPr>
                      <w:r w:rsidRPr="00A85BDE">
                        <w:rPr>
                          <w:b/>
                        </w:rPr>
                        <w:t xml:space="preserve">Has any advice already been given about this issue? If so please state the advice received, from whom, what happened as a consequence and why further advice is being sought? </w:t>
                      </w:r>
                    </w:p>
                    <w:p w:rsidR="00636C92" w:rsidRDefault="00636C92" w:rsidP="009D5430">
                      <w:r>
                        <w:t>We have had advice from local clinicians and also Hugo Mascie-Taylor, and also drawn on national best practice and evidence.  We had always planned to drawn on the Senate’s expertise to support a clinical assurance process.</w:t>
                      </w:r>
                    </w:p>
                    <w:p w:rsidR="00636C92" w:rsidRDefault="00636C92" w:rsidP="009D5430"/>
                    <w:p w:rsidR="00636C92" w:rsidRDefault="00636C92" w:rsidP="009D5430"/>
                    <w:p w:rsidR="00636C92" w:rsidRDefault="00636C92" w:rsidP="009D5430"/>
                    <w:p w:rsidR="00636C92" w:rsidRDefault="00636C92" w:rsidP="009D5430"/>
                  </w:txbxContent>
                </v:textbox>
              </v:shape>
            </w:pict>
          </mc:Fallback>
        </mc:AlternateContent>
      </w:r>
    </w:p>
    <w:p w:rsidR="00636C92"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p>
    <w:p w:rsidR="00636C92" w:rsidRPr="00CC2C96" w:rsidRDefault="00636C92" w:rsidP="00CC2C96">
      <w:pPr>
        <w:rPr>
          <w:rFonts w:ascii="Arial" w:hAnsi="Arial" w:cs="Arial"/>
        </w:rPr>
      </w:pPr>
      <w:r w:rsidRPr="002C60CE">
        <w:rPr>
          <w:rFonts w:eastAsiaTheme="minorHAnsi"/>
          <w:noProof/>
        </w:rPr>
        <mc:AlternateContent>
          <mc:Choice Requires="wps">
            <w:drawing>
              <wp:anchor distT="0" distB="0" distL="114300" distR="114300" simplePos="0" relativeHeight="251726848" behindDoc="0" locked="0" layoutInCell="1" allowOverlap="1" wp14:anchorId="449456A1" wp14:editId="09CC3C87">
                <wp:simplePos x="0" y="0"/>
                <wp:positionH relativeFrom="column">
                  <wp:posOffset>-9525</wp:posOffset>
                </wp:positionH>
                <wp:positionV relativeFrom="paragraph">
                  <wp:posOffset>141605</wp:posOffset>
                </wp:positionV>
                <wp:extent cx="5648325" cy="1403985"/>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solidFill>
                            <a:srgbClr val="000000"/>
                          </a:solidFill>
                          <a:miter lim="800000"/>
                          <a:headEnd/>
                          <a:tailEnd/>
                        </a:ln>
                      </wps:spPr>
                      <wps:txbx>
                        <w:txbxContent>
                          <w:p w:rsidR="00636C92" w:rsidRDefault="00636C92" w:rsidP="00A85BDE">
                            <w:pPr>
                              <w:rPr>
                                <w:b/>
                              </w:rPr>
                            </w:pPr>
                            <w:r w:rsidRPr="00A85BDE">
                              <w:rPr>
                                <w:b/>
                              </w:rPr>
                              <w:t>Is the issue on which you are seeking advice subject to any other advisory or scrutiny processes? If yes please outline what this involves and where this request for advice from the Clinical Senate fits into that process (</w:t>
                            </w:r>
                            <w:r w:rsidRPr="00A85BDE">
                              <w:rPr>
                                <w:b/>
                                <w:i/>
                              </w:rPr>
                              <w:t>state N/A if not applicable</w:t>
                            </w:r>
                            <w:r w:rsidRPr="00A85BDE">
                              <w:rPr>
                                <w:b/>
                              </w:rPr>
                              <w:t>)</w:t>
                            </w:r>
                          </w:p>
                          <w:p w:rsidR="00636C92" w:rsidRDefault="00636C92" w:rsidP="00A85BDE">
                            <w:r>
                              <w:t>We are also working with the Gateway team to provide programme assurance on the non-clinical elements.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49456A1" id="_x0000_s1035" type="#_x0000_t202" style="position:absolute;margin-left:-.75pt;margin-top:11.15pt;width:444.7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">
                <v:textbox style="mso-fit-shape-to-text:t">
                  <w:txbxContent>
                    <w:p w:rsidR="00636C92" w:rsidRDefault="00636C92" w:rsidP="00A85BDE">
                      <w:pPr>
                        <w:rPr>
                          <w:b/>
                        </w:rPr>
                      </w:pPr>
                      <w:r w:rsidRPr="00A85BDE">
                        <w:rPr>
                          <w:b/>
                        </w:rPr>
                        <w:t>Is the issue on which you are seeking advice subject to any other advisory or scrutiny processes? If yes please outline what this involves and where this request for advice from the Clinical Senate fits into that process (</w:t>
                      </w:r>
                      <w:r w:rsidRPr="00A85BDE">
                        <w:rPr>
                          <w:b/>
                          <w:i/>
                        </w:rPr>
                        <w:t>state N/A if not applicable</w:t>
                      </w:r>
                      <w:r w:rsidRPr="00A85BDE">
                        <w:rPr>
                          <w:b/>
                        </w:rPr>
                        <w:t>)</w:t>
                      </w:r>
                    </w:p>
                    <w:p w:rsidR="00636C92" w:rsidRDefault="00636C92" w:rsidP="00A85BDE">
                      <w:r>
                        <w:t>We are also working with the Gateway team to provide programme assurance on the non-clinical elements.</w:t>
                      </w:r>
                    </w:p>
                  </w:txbxContent>
                </v:textbox>
              </v:shape>
            </w:pict>
          </mc:Fallback>
        </mc:AlternateContent>
      </w:r>
    </w:p>
    <w:p w:rsidR="00636C92" w:rsidRDefault="00636C92" w:rsidP="00CC2C96">
      <w:pPr>
        <w:rPr>
          <w:rFonts w:ascii="Arial" w:hAnsi="Arial" w:cs="Arial"/>
        </w:rPr>
      </w:pPr>
    </w:p>
    <w:p w:rsidR="00636C92" w:rsidRDefault="00636C92" w:rsidP="00CC2C96">
      <w:pPr>
        <w:rPr>
          <w:rFonts w:ascii="Arial" w:hAnsi="Arial" w:cs="Arial"/>
        </w:rPr>
      </w:pPr>
    </w:p>
    <w:p w:rsidR="00636C92" w:rsidRDefault="00636C92" w:rsidP="00CC2C96">
      <w:pPr>
        <w:rPr>
          <w:rFonts w:ascii="Arial" w:hAnsi="Arial" w:cs="Arial"/>
        </w:rPr>
      </w:pPr>
    </w:p>
    <w:p w:rsidR="00636C92" w:rsidRDefault="00636C92" w:rsidP="00CC2C96">
      <w:pPr>
        <w:rPr>
          <w:rFonts w:ascii="Arial" w:hAnsi="Arial" w:cs="Arial"/>
        </w:rPr>
      </w:pPr>
    </w:p>
    <w:p w:rsidR="00636C92" w:rsidRDefault="00636C92" w:rsidP="00CC2C96">
      <w:pPr>
        <w:rPr>
          <w:rFonts w:ascii="Arial" w:hAnsi="Arial" w:cs="Arial"/>
        </w:rPr>
      </w:pPr>
      <w:r w:rsidRPr="002C60CE">
        <w:rPr>
          <w:rFonts w:eastAsiaTheme="minorHAnsi"/>
          <w:noProof/>
        </w:rPr>
        <mc:AlternateContent>
          <mc:Choice Requires="wps">
            <w:drawing>
              <wp:anchor distT="0" distB="0" distL="114300" distR="114300" simplePos="0" relativeHeight="251725824" behindDoc="0" locked="0" layoutInCell="1" allowOverlap="1" wp14:anchorId="7B3AB8F1" wp14:editId="16D5F4B5">
                <wp:simplePos x="0" y="0"/>
                <wp:positionH relativeFrom="column">
                  <wp:posOffset>-9525</wp:posOffset>
                </wp:positionH>
                <wp:positionV relativeFrom="paragraph">
                  <wp:posOffset>50165</wp:posOffset>
                </wp:positionV>
                <wp:extent cx="5657850" cy="619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19125"/>
                        </a:xfrm>
                        <a:prstGeom prst="rect">
                          <a:avLst/>
                        </a:prstGeom>
                        <a:solidFill>
                          <a:srgbClr val="FFFFFF"/>
                        </a:solidFill>
                        <a:ln w="9525">
                          <a:solidFill>
                            <a:srgbClr val="000000"/>
                          </a:solidFill>
                          <a:miter lim="800000"/>
                          <a:headEnd/>
                          <a:tailEnd/>
                        </a:ln>
                      </wps:spPr>
                      <wps:txbx>
                        <w:txbxContent>
                          <w:p w:rsidR="00636C92" w:rsidRPr="00A85BDE" w:rsidRDefault="00636C92" w:rsidP="00031E7A">
                            <w:pPr>
                              <w:rPr>
                                <w:b/>
                              </w:rPr>
                            </w:pPr>
                            <w:r w:rsidRPr="00A85BDE">
                              <w:rPr>
                                <w:b/>
                              </w:rPr>
                              <w:t xml:space="preserve">Please note any other information that you feel would be helpful to the Clinical Senate in considering this request. </w:t>
                            </w:r>
                          </w:p>
                          <w:p w:rsidR="00636C92" w:rsidRDefault="00636C92" w:rsidP="00337161"/>
                          <w:p w:rsidR="00636C92" w:rsidRDefault="00636C92" w:rsidP="003371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3AB8F1" id="_x0000_s1036" type="#_x0000_t202" style="position:absolute;margin-left:-.75pt;margin-top:3.95pt;width:445.5pt;height:4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">
                <v:textbox>
                  <w:txbxContent>
                    <w:p w:rsidR="00636C92" w:rsidRPr="00A85BDE" w:rsidRDefault="00636C92" w:rsidP="00031E7A">
                      <w:pPr>
                        <w:rPr>
                          <w:b/>
                        </w:rPr>
                      </w:pPr>
                      <w:r w:rsidRPr="00A85BDE">
                        <w:rPr>
                          <w:b/>
                        </w:rPr>
                        <w:t xml:space="preserve">Please note any other information that you feel would be helpful to the Clinical Senate in considering this request. </w:t>
                      </w:r>
                    </w:p>
                    <w:p w:rsidR="00636C92" w:rsidRDefault="00636C92" w:rsidP="00337161"/>
                    <w:p w:rsidR="00636C92" w:rsidRDefault="00636C92" w:rsidP="00337161"/>
                  </w:txbxContent>
                </v:textbox>
              </v:shape>
            </w:pict>
          </mc:Fallback>
        </mc:AlternateContent>
      </w:r>
    </w:p>
    <w:p w:rsidR="00636C92" w:rsidRDefault="00636C92" w:rsidP="00CC2C96">
      <w:pPr>
        <w:rPr>
          <w:rFonts w:ascii="Arial" w:hAnsi="Arial" w:cs="Arial"/>
        </w:rPr>
      </w:pPr>
    </w:p>
    <w:p w:rsidR="00636C92" w:rsidRPr="00CC2C96" w:rsidRDefault="00636C92" w:rsidP="00CC2C96">
      <w:pPr>
        <w:rPr>
          <w:rFonts w:ascii="Arial" w:hAnsi="Arial" w:cs="Arial"/>
        </w:rPr>
      </w:pPr>
      <w:r>
        <w:rPr>
          <w:rFonts w:eastAsiaTheme="minorHAnsi"/>
          <w:noProof/>
        </w:rPr>
        <mc:AlternateContent>
          <mc:Choice Requires="wps">
            <w:drawing>
              <wp:anchor distT="0" distB="0" distL="114300" distR="114300" simplePos="0" relativeHeight="251723776" behindDoc="0" locked="0" layoutInCell="1" allowOverlap="1" wp14:anchorId="291980AC" wp14:editId="526A13CF">
                <wp:simplePos x="0" y="0"/>
                <wp:positionH relativeFrom="column">
                  <wp:posOffset>-171450</wp:posOffset>
                </wp:positionH>
                <wp:positionV relativeFrom="paragraph">
                  <wp:posOffset>167640</wp:posOffset>
                </wp:positionV>
                <wp:extent cx="6172200" cy="723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172200" cy="723900"/>
                        </a:xfrm>
                        <a:prstGeom prst="rect">
                          <a:avLst/>
                        </a:prstGeom>
                        <a:solidFill>
                          <a:sysClr val="window" lastClr="FFFFFF"/>
                        </a:solidFill>
                        <a:ln w="6350">
                          <a:noFill/>
                        </a:ln>
                        <a:effectLst/>
                      </wps:spPr>
                      <wps:txbx>
                        <w:txbxContent>
                          <w:p w:rsidR="00636C92" w:rsidRDefault="00636C92" w:rsidP="00861EB0">
                            <w:pPr>
                              <w:pStyle w:val="Footer"/>
                              <w:rPr>
                                <w:rFonts w:ascii="Arial" w:hAnsi="Arial" w:cs="Arial"/>
                                <w:i/>
                                <w:color w:val="808080" w:themeColor="background1" w:themeShade="80"/>
                                <w:sz w:val="20"/>
                                <w:szCs w:val="20"/>
                              </w:rPr>
                            </w:pPr>
                            <w:r w:rsidRPr="001B7D7A">
                              <w:rPr>
                                <w:rFonts w:ascii="Arial" w:hAnsi="Arial" w:cs="Arial"/>
                                <w:i/>
                                <w:color w:val="808080" w:themeColor="background1" w:themeShade="80"/>
                                <w:sz w:val="20"/>
                                <w:szCs w:val="20"/>
                              </w:rPr>
                              <w:t xml:space="preserve">Please send </w:t>
                            </w:r>
                            <w:r>
                              <w:rPr>
                                <w:rFonts w:ascii="Arial" w:hAnsi="Arial" w:cs="Arial"/>
                                <w:i/>
                                <w:color w:val="808080" w:themeColor="background1" w:themeShade="80"/>
                                <w:sz w:val="20"/>
                                <w:szCs w:val="20"/>
                              </w:rPr>
                              <w:t xml:space="preserve">the </w:t>
                            </w:r>
                            <w:r w:rsidRPr="001B7D7A">
                              <w:rPr>
                                <w:rFonts w:ascii="Arial" w:hAnsi="Arial" w:cs="Arial"/>
                                <w:i/>
                                <w:color w:val="808080" w:themeColor="background1" w:themeShade="80"/>
                                <w:sz w:val="20"/>
                                <w:szCs w:val="20"/>
                              </w:rPr>
                              <w:t>completed template to:</w:t>
                            </w:r>
                            <w:r w:rsidRPr="001B7D7A">
                              <w:rPr>
                                <w:rFonts w:ascii="Arial" w:hAnsi="Arial" w:cs="Arial"/>
                                <w:color w:val="808080" w:themeColor="background1" w:themeShade="80"/>
                                <w:sz w:val="20"/>
                                <w:szCs w:val="20"/>
                              </w:rPr>
                              <w:t xml:space="preserve"> </w:t>
                            </w:r>
                            <w:hyperlink r:id="rId12" w:history="1">
                              <w:r w:rsidRPr="000E474A">
                                <w:rPr>
                                  <w:rStyle w:val="Hyperlink"/>
                                  <w:rFonts w:ascii="Arial" w:hAnsi="Arial" w:cs="Arial"/>
                                  <w:sz w:val="20"/>
                                  <w:szCs w:val="20"/>
                                </w:rPr>
                                <w:t>joanne.poole1@nhs.net</w:t>
                              </w:r>
                            </w:hyperlink>
                            <w:r w:rsidRPr="00337161">
                              <w:rPr>
                                <w:rStyle w:val="Hyperlink"/>
                                <w:rFonts w:ascii="Arial" w:hAnsi="Arial" w:cs="Arial"/>
                                <w:sz w:val="20"/>
                                <w:szCs w:val="20"/>
                                <w:u w:val="none"/>
                              </w:rPr>
                              <w:t xml:space="preserve">. </w:t>
                            </w:r>
                            <w:r w:rsidRPr="00861EB0">
                              <w:rPr>
                                <w:rFonts w:ascii="Arial" w:hAnsi="Arial" w:cs="Arial"/>
                                <w:i/>
                                <w:color w:val="808080" w:themeColor="background1" w:themeShade="80"/>
                                <w:sz w:val="20"/>
                                <w:szCs w:val="20"/>
                              </w:rPr>
                              <w:t>For</w:t>
                            </w:r>
                            <w:r>
                              <w:rPr>
                                <w:i/>
                                <w:color w:val="808080" w:themeColor="background1" w:themeShade="80"/>
                              </w:rPr>
                              <w:t xml:space="preserve"> e</w:t>
                            </w:r>
                            <w:r w:rsidRPr="00861EB0">
                              <w:rPr>
                                <w:i/>
                                <w:color w:val="808080" w:themeColor="background1" w:themeShade="80"/>
                              </w:rPr>
                              <w:t>nquiries</w:t>
                            </w:r>
                            <w:r>
                              <w:rPr>
                                <w:i/>
                                <w:color w:val="808080" w:themeColor="background1" w:themeShade="80"/>
                              </w:rPr>
                              <w:t xml:space="preserve"> c</w:t>
                            </w:r>
                            <w:r>
                              <w:rPr>
                                <w:rFonts w:ascii="Arial" w:hAnsi="Arial" w:cs="Arial"/>
                                <w:i/>
                                <w:color w:val="808080" w:themeColor="background1" w:themeShade="80"/>
                                <w:sz w:val="20"/>
                                <w:szCs w:val="20"/>
                              </w:rPr>
                              <w:t>ontact Joanne Poole</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Yorkshire and the Humber</w:t>
                            </w:r>
                            <w:r w:rsidRPr="001B7D7A">
                              <w:rPr>
                                <w:rFonts w:ascii="Arial" w:hAnsi="Arial" w:cs="Arial"/>
                                <w:i/>
                                <w:color w:val="808080" w:themeColor="background1" w:themeShade="80"/>
                                <w:sz w:val="20"/>
                                <w:szCs w:val="20"/>
                              </w:rPr>
                              <w:t xml:space="preserve"> Clinical Senate </w:t>
                            </w:r>
                            <w:r>
                              <w:rPr>
                                <w:rFonts w:ascii="Arial" w:hAnsi="Arial" w:cs="Arial"/>
                                <w:i/>
                                <w:color w:val="808080" w:themeColor="background1" w:themeShade="80"/>
                                <w:sz w:val="20"/>
                                <w:szCs w:val="20"/>
                              </w:rPr>
                              <w:t>Manager</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at the above email or 01138253397 or 07900715369</w:t>
                            </w:r>
                          </w:p>
                          <w:p w:rsidR="00636C92" w:rsidRDefault="00636C92" w:rsidP="00861EB0">
                            <w:pPr>
                              <w:pStyle w:val="Footer"/>
                              <w:rPr>
                                <w:rFonts w:ascii="Arial" w:hAnsi="Arial" w:cs="Arial"/>
                                <w:i/>
                                <w:color w:val="808080" w:themeColor="background1" w:themeShade="80"/>
                                <w:sz w:val="20"/>
                                <w:szCs w:val="20"/>
                              </w:rPr>
                            </w:pPr>
                          </w:p>
                          <w:p w:rsidR="00636C92" w:rsidRDefault="00636C92" w:rsidP="00861EB0">
                            <w:pPr>
                              <w:pStyle w:val="Footer"/>
                            </w:pPr>
                            <w:r>
                              <w:rPr>
                                <w:rFonts w:ascii="Arial" w:hAnsi="Arial" w:cs="Arial"/>
                                <w:sz w:val="20"/>
                                <w:szCs w:val="20"/>
                              </w:rPr>
                              <w:t xml:space="preserve">V1.0 November </w:t>
                            </w:r>
                            <w:r w:rsidRPr="00B90021">
                              <w:rPr>
                                <w:rFonts w:ascii="Arial" w:hAnsi="Arial" w:cs="Arial"/>
                                <w:sz w:val="20"/>
                                <w:szCs w:val="20"/>
                              </w:rPr>
                              <w:t>2013</w:t>
                            </w:r>
                            <w:r>
                              <w:rPr>
                                <w:rFonts w:ascii="Arial" w:hAnsi="Arial" w:cs="Arial"/>
                                <w:b/>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1980AC" id="Text Box 18" o:spid="_x0000_s1037" type="#_x0000_t202" style="position:absolute;margin-left:-13.5pt;margin-top:13.2pt;width:486pt;height: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" fillcolor="window" stroked="f" strokeweight=".5pt">
                <v:textbox>
                  <w:txbxContent>
                    <w:p w:rsidR="00636C92" w:rsidRDefault="00636C92" w:rsidP="00861EB0">
                      <w:pPr>
                        <w:pStyle w:val="Footer"/>
                        <w:rPr>
                          <w:rFonts w:ascii="Arial" w:hAnsi="Arial" w:cs="Arial"/>
                          <w:i/>
                          <w:color w:val="808080" w:themeColor="background1" w:themeShade="80"/>
                          <w:sz w:val="20"/>
                          <w:szCs w:val="20"/>
                        </w:rPr>
                      </w:pPr>
                      <w:r w:rsidRPr="001B7D7A">
                        <w:rPr>
                          <w:rFonts w:ascii="Arial" w:hAnsi="Arial" w:cs="Arial"/>
                          <w:i/>
                          <w:color w:val="808080" w:themeColor="background1" w:themeShade="80"/>
                          <w:sz w:val="20"/>
                          <w:szCs w:val="20"/>
                        </w:rPr>
                        <w:t xml:space="preserve">Please send </w:t>
                      </w:r>
                      <w:r>
                        <w:rPr>
                          <w:rFonts w:ascii="Arial" w:hAnsi="Arial" w:cs="Arial"/>
                          <w:i/>
                          <w:color w:val="808080" w:themeColor="background1" w:themeShade="80"/>
                          <w:sz w:val="20"/>
                          <w:szCs w:val="20"/>
                        </w:rPr>
                        <w:t xml:space="preserve">the </w:t>
                      </w:r>
                      <w:r w:rsidRPr="001B7D7A">
                        <w:rPr>
                          <w:rFonts w:ascii="Arial" w:hAnsi="Arial" w:cs="Arial"/>
                          <w:i/>
                          <w:color w:val="808080" w:themeColor="background1" w:themeShade="80"/>
                          <w:sz w:val="20"/>
                          <w:szCs w:val="20"/>
                        </w:rPr>
                        <w:t>completed template to:</w:t>
                      </w:r>
                      <w:r w:rsidRPr="001B7D7A">
                        <w:rPr>
                          <w:rFonts w:ascii="Arial" w:hAnsi="Arial" w:cs="Arial"/>
                          <w:color w:val="808080" w:themeColor="background1" w:themeShade="80"/>
                          <w:sz w:val="20"/>
                          <w:szCs w:val="20"/>
                        </w:rPr>
                        <w:t xml:space="preserve"> </w:t>
                      </w:r>
                      <w:hyperlink r:id="rId13" w:history="1">
                        <w:r w:rsidRPr="000E474A">
                          <w:rPr>
                            <w:rStyle w:val="Hyperlink"/>
                            <w:rFonts w:ascii="Arial" w:hAnsi="Arial" w:cs="Arial"/>
                            <w:sz w:val="20"/>
                            <w:szCs w:val="20"/>
                          </w:rPr>
                          <w:t>joanne.poole1@nhs.net</w:t>
                        </w:r>
                      </w:hyperlink>
                      <w:r w:rsidRPr="00337161">
                        <w:rPr>
                          <w:rStyle w:val="Hyperlink"/>
                          <w:rFonts w:ascii="Arial" w:hAnsi="Arial" w:cs="Arial"/>
                          <w:sz w:val="20"/>
                          <w:szCs w:val="20"/>
                          <w:u w:val="none"/>
                        </w:rPr>
                        <w:t xml:space="preserve">. </w:t>
                      </w:r>
                      <w:r w:rsidRPr="00861EB0">
                        <w:rPr>
                          <w:rFonts w:ascii="Arial" w:hAnsi="Arial" w:cs="Arial"/>
                          <w:i/>
                          <w:color w:val="808080" w:themeColor="background1" w:themeShade="80"/>
                          <w:sz w:val="20"/>
                          <w:szCs w:val="20"/>
                        </w:rPr>
                        <w:t>For</w:t>
                      </w:r>
                      <w:r>
                        <w:rPr>
                          <w:i/>
                          <w:color w:val="808080" w:themeColor="background1" w:themeShade="80"/>
                        </w:rPr>
                        <w:t xml:space="preserve"> e</w:t>
                      </w:r>
                      <w:r w:rsidRPr="00861EB0">
                        <w:rPr>
                          <w:i/>
                          <w:color w:val="808080" w:themeColor="background1" w:themeShade="80"/>
                        </w:rPr>
                        <w:t>nquiries</w:t>
                      </w:r>
                      <w:r>
                        <w:rPr>
                          <w:i/>
                          <w:color w:val="808080" w:themeColor="background1" w:themeShade="80"/>
                        </w:rPr>
                        <w:t xml:space="preserve"> c</w:t>
                      </w:r>
                      <w:r>
                        <w:rPr>
                          <w:rFonts w:ascii="Arial" w:hAnsi="Arial" w:cs="Arial"/>
                          <w:i/>
                          <w:color w:val="808080" w:themeColor="background1" w:themeShade="80"/>
                          <w:sz w:val="20"/>
                          <w:szCs w:val="20"/>
                        </w:rPr>
                        <w:t>ontact Joanne Poole</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Yorkshire and the Humber</w:t>
                      </w:r>
                      <w:r w:rsidRPr="001B7D7A">
                        <w:rPr>
                          <w:rFonts w:ascii="Arial" w:hAnsi="Arial" w:cs="Arial"/>
                          <w:i/>
                          <w:color w:val="808080" w:themeColor="background1" w:themeShade="80"/>
                          <w:sz w:val="20"/>
                          <w:szCs w:val="20"/>
                        </w:rPr>
                        <w:t xml:space="preserve"> Clinical Senate </w:t>
                      </w:r>
                      <w:r>
                        <w:rPr>
                          <w:rFonts w:ascii="Arial" w:hAnsi="Arial" w:cs="Arial"/>
                          <w:i/>
                          <w:color w:val="808080" w:themeColor="background1" w:themeShade="80"/>
                          <w:sz w:val="20"/>
                          <w:szCs w:val="20"/>
                        </w:rPr>
                        <w:t>Manager</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at the above email or 01138253397 or 07900715369</w:t>
                      </w:r>
                    </w:p>
                    <w:p w:rsidR="00636C92" w:rsidRDefault="00636C92" w:rsidP="00861EB0">
                      <w:pPr>
                        <w:pStyle w:val="Footer"/>
                        <w:rPr>
                          <w:rFonts w:ascii="Arial" w:hAnsi="Arial" w:cs="Arial"/>
                          <w:i/>
                          <w:color w:val="808080" w:themeColor="background1" w:themeShade="80"/>
                          <w:sz w:val="20"/>
                          <w:szCs w:val="20"/>
                        </w:rPr>
                      </w:pPr>
                    </w:p>
                    <w:p w:rsidR="00636C92" w:rsidRDefault="00636C92" w:rsidP="00861EB0">
                      <w:pPr>
                        <w:pStyle w:val="Footer"/>
                      </w:pPr>
                      <w:r>
                        <w:rPr>
                          <w:rFonts w:ascii="Arial" w:hAnsi="Arial" w:cs="Arial"/>
                          <w:sz w:val="20"/>
                          <w:szCs w:val="20"/>
                        </w:rPr>
                        <w:t xml:space="preserve">V1.0 November </w:t>
                      </w:r>
                      <w:r w:rsidRPr="00B90021">
                        <w:rPr>
                          <w:rFonts w:ascii="Arial" w:hAnsi="Arial" w:cs="Arial"/>
                          <w:sz w:val="20"/>
                          <w:szCs w:val="20"/>
                        </w:rPr>
                        <w:t>2013</w:t>
                      </w:r>
                      <w:r>
                        <w:rPr>
                          <w:rFonts w:ascii="Arial" w:hAnsi="Arial" w:cs="Arial"/>
                          <w:b/>
                          <w:szCs w:val="20"/>
                        </w:rPr>
                        <w:t xml:space="preserve"> </w:t>
                      </w:r>
                    </w:p>
                  </w:txbxContent>
                </v:textbox>
              </v:shape>
            </w:pict>
          </mc:Fallback>
        </mc:AlternateContent>
      </w:r>
    </w:p>
    <w:p w:rsidR="001A6116" w:rsidRDefault="001A6116" w:rsidP="00CC2C96">
      <w:pPr>
        <w:rPr>
          <w:rFonts w:ascii="Arial" w:hAnsi="Arial" w:cs="Arial"/>
          <w:b/>
          <w:sz w:val="28"/>
          <w:szCs w:val="28"/>
        </w:rPr>
      </w:pPr>
    </w:p>
    <w:p w:rsidR="001A6116" w:rsidRDefault="001A6116" w:rsidP="00CC2C96">
      <w:pPr>
        <w:rPr>
          <w:rFonts w:ascii="Arial" w:hAnsi="Arial" w:cs="Arial"/>
          <w:b/>
          <w:color w:val="365F91" w:themeColor="accent1" w:themeShade="BF"/>
          <w:sz w:val="28"/>
          <w:szCs w:val="28"/>
        </w:rPr>
      </w:pPr>
      <w:r>
        <w:rPr>
          <w:rFonts w:ascii="Arial" w:hAnsi="Arial" w:cs="Arial"/>
          <w:b/>
          <w:color w:val="365F91" w:themeColor="accent1" w:themeShade="BF"/>
          <w:sz w:val="28"/>
          <w:szCs w:val="28"/>
        </w:rPr>
        <w:t>Appendix 4</w:t>
      </w:r>
    </w:p>
    <w:p w:rsidR="001A6116" w:rsidRDefault="001A6116" w:rsidP="00CC2C96">
      <w:pPr>
        <w:rPr>
          <w:rFonts w:ascii="Arial" w:hAnsi="Arial" w:cs="Arial"/>
          <w:b/>
          <w:color w:val="365F91" w:themeColor="accent1" w:themeShade="BF"/>
          <w:sz w:val="28"/>
          <w:szCs w:val="28"/>
        </w:rPr>
      </w:pPr>
    </w:p>
    <w:p w:rsidR="001A6116" w:rsidRDefault="001A6116" w:rsidP="00CC2C96">
      <w:pPr>
        <w:rPr>
          <w:rFonts w:ascii="Arial" w:hAnsi="Arial" w:cs="Arial"/>
          <w:b/>
          <w:sz w:val="28"/>
          <w:szCs w:val="28"/>
        </w:rPr>
      </w:pPr>
      <w:r>
        <w:rPr>
          <w:rFonts w:ascii="Arial" w:hAnsi="Arial" w:cs="Arial"/>
          <w:b/>
          <w:sz w:val="28"/>
          <w:szCs w:val="28"/>
        </w:rPr>
        <w:t>BACKGROUND INFORMATION</w:t>
      </w:r>
    </w:p>
    <w:p w:rsidR="001A6116" w:rsidRDefault="001A6116" w:rsidP="00CC2C96">
      <w:pPr>
        <w:rPr>
          <w:rFonts w:ascii="Arial" w:hAnsi="Arial" w:cs="Arial"/>
          <w:b/>
          <w:sz w:val="28"/>
          <w:szCs w:val="28"/>
        </w:rPr>
      </w:pPr>
    </w:p>
    <w:p w:rsidR="001A6116" w:rsidRDefault="00913FC6" w:rsidP="00CC2C96">
      <w:pPr>
        <w:rPr>
          <w:rFonts w:ascii="Arial" w:hAnsi="Arial" w:cs="Arial"/>
        </w:rPr>
      </w:pPr>
      <w:r w:rsidRPr="00636C92">
        <w:rPr>
          <w:rFonts w:ascii="Arial" w:hAnsi="Arial" w:cs="Arial"/>
        </w:rPr>
        <w:t>There follows a list of documentation provided to the Senate:</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Options Appraisal ENT v8</w:t>
      </w:r>
    </w:p>
    <w:p w:rsidR="00913FC6" w:rsidRPr="000323DC" w:rsidRDefault="000323DC" w:rsidP="000323DC">
      <w:pPr>
        <w:pStyle w:val="ListParagraph"/>
        <w:numPr>
          <w:ilvl w:val="0"/>
          <w:numId w:val="38"/>
        </w:numPr>
        <w:rPr>
          <w:rFonts w:ascii="Arial" w:hAnsi="Arial" w:cs="Arial"/>
        </w:rPr>
      </w:pPr>
      <w:r w:rsidRPr="000323DC">
        <w:rPr>
          <w:rFonts w:ascii="Arial" w:hAnsi="Arial" w:cs="Arial"/>
        </w:rPr>
        <w:t>Appendix 1 NLaG ENT Business Case May 2014</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2 Health Needs Assessment for Hyper Acute Stroke and ENT May 2014 v3</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3 Pre Summit Stakeholder Engagement August 2013</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4 HLHF Case for Change July 2013</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5 Promoting the Case for Change Engagement Report Oct 2013</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6 Moving the Conversation on Engagement Report July 2014</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7 Transport Analysys Hyper Acute Stroke and ENT May 2014 v3</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8 Equality Impact Assessment May 2014</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9 Evaluation Criteria Assessment ENT May 2014 v3</w:t>
      </w:r>
    </w:p>
    <w:p w:rsidR="000323DC" w:rsidRPr="000323DC" w:rsidRDefault="000323DC" w:rsidP="000323DC">
      <w:pPr>
        <w:pStyle w:val="ListParagraph"/>
        <w:numPr>
          <w:ilvl w:val="0"/>
          <w:numId w:val="38"/>
        </w:numPr>
        <w:rPr>
          <w:rFonts w:ascii="Arial" w:hAnsi="Arial" w:cs="Arial"/>
        </w:rPr>
      </w:pPr>
      <w:r w:rsidRPr="000323DC">
        <w:rPr>
          <w:rFonts w:ascii="Arial" w:hAnsi="Arial" w:cs="Arial"/>
        </w:rPr>
        <w:t>Appendix 10 Evaluation Criteria Process May 2014</w:t>
      </w:r>
    </w:p>
    <w:p w:rsidR="001A6116" w:rsidRPr="000323DC" w:rsidRDefault="001A6116" w:rsidP="00CC2C96">
      <w:pPr>
        <w:rPr>
          <w:rFonts w:ascii="Arial" w:hAnsi="Arial" w:cs="Arial"/>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p w:rsidR="001A6116" w:rsidRDefault="001A6116" w:rsidP="00CC2C96">
      <w:pPr>
        <w:rPr>
          <w:rFonts w:ascii="Arial" w:hAnsi="Arial" w:cs="Arial"/>
          <w:b/>
          <w:sz w:val="28"/>
          <w:szCs w:val="28"/>
        </w:rPr>
      </w:pPr>
    </w:p>
    <w:sectPr w:rsidR="001A6116" w:rsidSect="00BD7CA9">
      <w:headerReference w:type="default" r:id="rId14"/>
      <w:footerReference w:type="default" r:id="rId15"/>
      <w:headerReference w:type="first" r:id="rId16"/>
      <w:pgSz w:w="11906" w:h="16838" w:code="9"/>
      <w:pgMar w:top="1440" w:right="1440" w:bottom="1440" w:left="1440" w:header="709" w:footer="454" w:gutter="0"/>
      <w:pgBorders w:display="firstPage"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90" w:rsidRDefault="00054090" w:rsidP="008403A7">
      <w:pPr>
        <w:spacing w:after="0" w:line="240" w:lineRule="auto"/>
      </w:pPr>
      <w:r>
        <w:separator/>
      </w:r>
    </w:p>
  </w:endnote>
  <w:endnote w:type="continuationSeparator" w:id="0">
    <w:p w:rsidR="00054090" w:rsidRDefault="00054090" w:rsidP="0084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AD195E" w:rsidTr="00AD195E">
      <w:trPr>
        <w:trHeight w:val="360"/>
      </w:trPr>
      <w:tc>
        <w:tcPr>
          <w:tcW w:w="3500" w:type="pct"/>
          <w:tcBorders>
            <w:right w:val="single" w:sz="6" w:space="0" w:color="244061" w:themeColor="accent1" w:themeShade="80"/>
          </w:tcBorders>
        </w:tcPr>
        <w:p w:rsidR="00AD195E" w:rsidRDefault="00AD195E">
          <w:pPr>
            <w:pStyle w:val="Footer"/>
            <w:jc w:val="right"/>
          </w:pPr>
        </w:p>
      </w:tc>
      <w:tc>
        <w:tcPr>
          <w:tcW w:w="1500" w:type="pct"/>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shd w:val="clear" w:color="auto" w:fill="E36C0A" w:themeFill="accent6" w:themeFillShade="BF"/>
        </w:tcPr>
        <w:p w:rsidR="00AD195E" w:rsidRPr="00AD195E" w:rsidRDefault="00AD195E">
          <w:pPr>
            <w:pStyle w:val="Footer"/>
            <w:jc w:val="right"/>
            <w:rPr>
              <w:rFonts w:ascii="Arial" w:hAnsi="Arial" w:cs="Arial"/>
              <w:color w:val="FFFFFF" w:themeColor="background1"/>
            </w:rPr>
          </w:pPr>
          <w:r w:rsidRPr="00AD195E">
            <w:rPr>
              <w:rFonts w:ascii="Arial" w:hAnsi="Arial" w:cs="Arial"/>
            </w:rPr>
            <w:fldChar w:fldCharType="begin"/>
          </w:r>
          <w:r w:rsidRPr="00AD195E">
            <w:rPr>
              <w:rFonts w:ascii="Arial" w:hAnsi="Arial" w:cs="Arial"/>
            </w:rPr>
            <w:instrText xml:space="preserve"> PAGE    \* MERGEFORMAT </w:instrText>
          </w:r>
          <w:r w:rsidRPr="00AD195E">
            <w:rPr>
              <w:rFonts w:ascii="Arial" w:hAnsi="Arial" w:cs="Arial"/>
            </w:rPr>
            <w:fldChar w:fldCharType="separate"/>
          </w:r>
          <w:r w:rsidR="00B23560" w:rsidRPr="00B23560">
            <w:rPr>
              <w:rFonts w:ascii="Arial" w:hAnsi="Arial" w:cs="Arial"/>
              <w:noProof/>
              <w:color w:val="FFFFFF" w:themeColor="background1"/>
            </w:rPr>
            <w:t>13</w:t>
          </w:r>
          <w:r w:rsidRPr="00AD195E">
            <w:rPr>
              <w:rFonts w:ascii="Arial" w:hAnsi="Arial" w:cs="Arial"/>
              <w:noProof/>
              <w:color w:val="FFFFFF" w:themeColor="background1"/>
            </w:rPr>
            <w:fldChar w:fldCharType="end"/>
          </w:r>
        </w:p>
      </w:tc>
    </w:tr>
  </w:tbl>
  <w:p w:rsidR="003C3BE3" w:rsidRDefault="003C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90" w:rsidRDefault="00054090" w:rsidP="008403A7">
      <w:pPr>
        <w:spacing w:after="0" w:line="240" w:lineRule="auto"/>
      </w:pPr>
      <w:r>
        <w:separator/>
      </w:r>
    </w:p>
  </w:footnote>
  <w:footnote w:type="continuationSeparator" w:id="0">
    <w:p w:rsidR="00054090" w:rsidRDefault="00054090" w:rsidP="0084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8E" w:rsidRDefault="0041328E">
    <w:pPr>
      <w:pStyle w:val="Header"/>
    </w:pPr>
    <w:r>
      <w:rPr>
        <w:noProof/>
      </w:rPr>
      <w:drawing>
        <wp:anchor distT="0" distB="0" distL="114300" distR="114300" simplePos="0" relativeHeight="251657728" behindDoc="0" locked="0" layoutInCell="1" allowOverlap="1" wp14:anchorId="0D6BE14D" wp14:editId="7EAF0A08">
          <wp:simplePos x="0" y="0"/>
          <wp:positionH relativeFrom="column">
            <wp:posOffset>4771390</wp:posOffset>
          </wp:positionH>
          <wp:positionV relativeFrom="paragraph">
            <wp:posOffset>-231140</wp:posOffset>
          </wp:positionV>
          <wp:extent cx="1285875" cy="50437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emf"/>
                  <pic:cNvPicPr/>
                </pic:nvPicPr>
                <pic:blipFill rotWithShape="1">
                  <a:blip r:embed="rId1">
                    <a:extLst>
                      <a:ext uri="{28A0092B-C50C-407E-A947-70E740481C1C}">
                        <a14:useLocalDpi xmlns:a14="http://schemas.microsoft.com/office/drawing/2010/main" val="0"/>
                      </a:ext>
                    </a:extLst>
                  </a:blip>
                  <a:srcRect l="61462" b="33379"/>
                  <a:stretch/>
                </pic:blipFill>
                <pic:spPr bwMode="auto">
                  <a:xfrm>
                    <a:off x="0" y="0"/>
                    <a:ext cx="1285875" cy="50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E3" w:rsidRDefault="003C3BE3" w:rsidP="003C3BE3">
    <w:pPr>
      <w:pStyle w:val="Header"/>
      <w:tabs>
        <w:tab w:val="center" w:pos="4737"/>
        <w:tab w:val="right" w:pos="9475"/>
      </w:tabs>
    </w:pPr>
    <w:r>
      <w:tab/>
    </w:r>
    <w:r>
      <w:tab/>
    </w:r>
    <w:r w:rsidRPr="004626C0">
      <w:rPr>
        <w:rFonts w:ascii="Arial" w:hAnsi="Arial" w:cs="Arial"/>
        <w:b/>
        <w:noProof/>
      </w:rPr>
      <mc:AlternateContent>
        <mc:Choice Requires="wps">
          <w:drawing>
            <wp:anchor distT="0" distB="0" distL="114300" distR="114300" simplePos="0" relativeHeight="251656704" behindDoc="0" locked="0" layoutInCell="1" allowOverlap="1" wp14:anchorId="1C20C48D" wp14:editId="30212193">
              <wp:simplePos x="0" y="0"/>
              <wp:positionH relativeFrom="column">
                <wp:posOffset>2943225</wp:posOffset>
              </wp:positionH>
              <wp:positionV relativeFrom="paragraph">
                <wp:posOffset>10379710</wp:posOffset>
              </wp:positionV>
              <wp:extent cx="23742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3BE3" w:rsidRPr="004626C0" w:rsidRDefault="003C3BE3" w:rsidP="00FB3CAC">
                          <w:pPr>
                            <w:jc w:val="right"/>
                            <w:rPr>
                              <w:rFonts w:ascii="Arial" w:hAnsi="Arial" w:cs="Arial"/>
                              <w:b/>
                              <w:color w:val="808080" w:themeColor="background1" w:themeShade="80"/>
                              <w:sz w:val="28"/>
                              <w:szCs w:val="24"/>
                            </w:rPr>
                          </w:pPr>
                          <w:r w:rsidRPr="004626C0">
                            <w:rPr>
                              <w:rFonts w:ascii="Arial" w:hAnsi="Arial" w:cs="Arial"/>
                              <w:b/>
                              <w:color w:val="808080" w:themeColor="background1" w:themeShade="80"/>
                              <w:sz w:val="28"/>
                              <w:szCs w:val="24"/>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1C20C48D" id="_x0000_t202" coordsize="21600,21600" o:spt="202" path="m,l,21600r21600,l21600,xe">
              <v:stroke joinstyle="miter"/>
              <v:path gradientshapeok="t" o:connecttype="rect"/>
            </v:shapetype>
            <v:shape id="_x0000_s1038" type="#_x0000_t202" style="position:absolute;margin-left:231.75pt;margin-top:817.3pt;width:186.95pt;height:110.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" stroked="f">
              <v:textbox style="mso-fit-shape-to-text:t">
                <w:txbxContent>
                  <w:p w:rsidR="003C3BE3" w:rsidRPr="004626C0" w:rsidRDefault="003C3BE3" w:rsidP="00FB3CAC">
                    <w:pPr>
                      <w:jc w:val="right"/>
                      <w:rPr>
                        <w:rFonts w:ascii="Arial" w:hAnsi="Arial" w:cs="Arial"/>
                        <w:b/>
                        <w:color w:val="808080" w:themeColor="background1" w:themeShade="80"/>
                        <w:sz w:val="28"/>
                        <w:szCs w:val="24"/>
                      </w:rPr>
                    </w:pPr>
                    <w:r w:rsidRPr="004626C0">
                      <w:rPr>
                        <w:rFonts w:ascii="Arial" w:hAnsi="Arial" w:cs="Arial"/>
                        <w:b/>
                        <w:color w:val="808080" w:themeColor="background1" w:themeShade="80"/>
                        <w:sz w:val="28"/>
                        <w:szCs w:val="24"/>
                      </w:rPr>
                      <w:t>Appendix 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3F3"/>
    <w:multiLevelType w:val="hybridMultilevel"/>
    <w:tmpl w:val="524E0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F5C4A"/>
    <w:multiLevelType w:val="hybridMultilevel"/>
    <w:tmpl w:val="AB2640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6B7FDD"/>
    <w:multiLevelType w:val="hybridMultilevel"/>
    <w:tmpl w:val="433C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B52FF"/>
    <w:multiLevelType w:val="hybridMultilevel"/>
    <w:tmpl w:val="995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972DE"/>
    <w:multiLevelType w:val="hybridMultilevel"/>
    <w:tmpl w:val="1B22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8E1"/>
    <w:multiLevelType w:val="hybridMultilevel"/>
    <w:tmpl w:val="B5A6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1408E"/>
    <w:multiLevelType w:val="hybridMultilevel"/>
    <w:tmpl w:val="B5E6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61E0A"/>
    <w:multiLevelType w:val="hybridMultilevel"/>
    <w:tmpl w:val="4378B7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B26DE1"/>
    <w:multiLevelType w:val="hybridMultilevel"/>
    <w:tmpl w:val="293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215A8"/>
    <w:multiLevelType w:val="hybridMultilevel"/>
    <w:tmpl w:val="F5D2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9633D"/>
    <w:multiLevelType w:val="hybridMultilevel"/>
    <w:tmpl w:val="B7E2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B6F5C"/>
    <w:multiLevelType w:val="hybridMultilevel"/>
    <w:tmpl w:val="031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D7CA8"/>
    <w:multiLevelType w:val="hybridMultilevel"/>
    <w:tmpl w:val="DEF0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D21A2"/>
    <w:multiLevelType w:val="hybridMultilevel"/>
    <w:tmpl w:val="D9B4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9308A"/>
    <w:multiLevelType w:val="hybridMultilevel"/>
    <w:tmpl w:val="CE648ECA"/>
    <w:lvl w:ilvl="0" w:tplc="3EDC048C">
      <w:start w:val="1"/>
      <w:numFmt w:val="bullet"/>
      <w:lvlText w:val="•"/>
      <w:lvlJc w:val="left"/>
      <w:pPr>
        <w:tabs>
          <w:tab w:val="num" w:pos="720"/>
        </w:tabs>
        <w:ind w:left="720" w:hanging="360"/>
      </w:pPr>
      <w:rPr>
        <w:rFonts w:ascii="Arial" w:hAnsi="Arial" w:hint="default"/>
      </w:rPr>
    </w:lvl>
    <w:lvl w:ilvl="1" w:tplc="C910E180" w:tentative="1">
      <w:start w:val="1"/>
      <w:numFmt w:val="bullet"/>
      <w:lvlText w:val="•"/>
      <w:lvlJc w:val="left"/>
      <w:pPr>
        <w:tabs>
          <w:tab w:val="num" w:pos="1440"/>
        </w:tabs>
        <w:ind w:left="1440" w:hanging="360"/>
      </w:pPr>
      <w:rPr>
        <w:rFonts w:ascii="Arial" w:hAnsi="Arial" w:hint="default"/>
      </w:rPr>
    </w:lvl>
    <w:lvl w:ilvl="2" w:tplc="880E14C2" w:tentative="1">
      <w:start w:val="1"/>
      <w:numFmt w:val="bullet"/>
      <w:lvlText w:val="•"/>
      <w:lvlJc w:val="left"/>
      <w:pPr>
        <w:tabs>
          <w:tab w:val="num" w:pos="2160"/>
        </w:tabs>
        <w:ind w:left="2160" w:hanging="360"/>
      </w:pPr>
      <w:rPr>
        <w:rFonts w:ascii="Arial" w:hAnsi="Arial" w:hint="default"/>
      </w:rPr>
    </w:lvl>
    <w:lvl w:ilvl="3" w:tplc="9A68353C" w:tentative="1">
      <w:start w:val="1"/>
      <w:numFmt w:val="bullet"/>
      <w:lvlText w:val="•"/>
      <w:lvlJc w:val="left"/>
      <w:pPr>
        <w:tabs>
          <w:tab w:val="num" w:pos="2880"/>
        </w:tabs>
        <w:ind w:left="2880" w:hanging="360"/>
      </w:pPr>
      <w:rPr>
        <w:rFonts w:ascii="Arial" w:hAnsi="Arial" w:hint="default"/>
      </w:rPr>
    </w:lvl>
    <w:lvl w:ilvl="4" w:tplc="C4C66578" w:tentative="1">
      <w:start w:val="1"/>
      <w:numFmt w:val="bullet"/>
      <w:lvlText w:val="•"/>
      <w:lvlJc w:val="left"/>
      <w:pPr>
        <w:tabs>
          <w:tab w:val="num" w:pos="3600"/>
        </w:tabs>
        <w:ind w:left="3600" w:hanging="360"/>
      </w:pPr>
      <w:rPr>
        <w:rFonts w:ascii="Arial" w:hAnsi="Arial" w:hint="default"/>
      </w:rPr>
    </w:lvl>
    <w:lvl w:ilvl="5" w:tplc="38FA3E92" w:tentative="1">
      <w:start w:val="1"/>
      <w:numFmt w:val="bullet"/>
      <w:lvlText w:val="•"/>
      <w:lvlJc w:val="left"/>
      <w:pPr>
        <w:tabs>
          <w:tab w:val="num" w:pos="4320"/>
        </w:tabs>
        <w:ind w:left="4320" w:hanging="360"/>
      </w:pPr>
      <w:rPr>
        <w:rFonts w:ascii="Arial" w:hAnsi="Arial" w:hint="default"/>
      </w:rPr>
    </w:lvl>
    <w:lvl w:ilvl="6" w:tplc="ED963794" w:tentative="1">
      <w:start w:val="1"/>
      <w:numFmt w:val="bullet"/>
      <w:lvlText w:val="•"/>
      <w:lvlJc w:val="left"/>
      <w:pPr>
        <w:tabs>
          <w:tab w:val="num" w:pos="5040"/>
        </w:tabs>
        <w:ind w:left="5040" w:hanging="360"/>
      </w:pPr>
      <w:rPr>
        <w:rFonts w:ascii="Arial" w:hAnsi="Arial" w:hint="default"/>
      </w:rPr>
    </w:lvl>
    <w:lvl w:ilvl="7" w:tplc="A6F8F576" w:tentative="1">
      <w:start w:val="1"/>
      <w:numFmt w:val="bullet"/>
      <w:lvlText w:val="•"/>
      <w:lvlJc w:val="left"/>
      <w:pPr>
        <w:tabs>
          <w:tab w:val="num" w:pos="5760"/>
        </w:tabs>
        <w:ind w:left="5760" w:hanging="360"/>
      </w:pPr>
      <w:rPr>
        <w:rFonts w:ascii="Arial" w:hAnsi="Arial" w:hint="default"/>
      </w:rPr>
    </w:lvl>
    <w:lvl w:ilvl="8" w:tplc="6FF8E18A" w:tentative="1">
      <w:start w:val="1"/>
      <w:numFmt w:val="bullet"/>
      <w:lvlText w:val="•"/>
      <w:lvlJc w:val="left"/>
      <w:pPr>
        <w:tabs>
          <w:tab w:val="num" w:pos="6480"/>
        </w:tabs>
        <w:ind w:left="6480" w:hanging="360"/>
      </w:pPr>
      <w:rPr>
        <w:rFonts w:ascii="Arial" w:hAnsi="Arial" w:hint="default"/>
      </w:rPr>
    </w:lvl>
  </w:abstractNum>
  <w:abstractNum w:abstractNumId="15">
    <w:nsid w:val="379466E8"/>
    <w:multiLevelType w:val="hybridMultilevel"/>
    <w:tmpl w:val="627827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A8F4FEE"/>
    <w:multiLevelType w:val="hybridMultilevel"/>
    <w:tmpl w:val="5FFA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404D33"/>
    <w:multiLevelType w:val="hybridMultilevel"/>
    <w:tmpl w:val="15F6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164E4F"/>
    <w:multiLevelType w:val="hybridMultilevel"/>
    <w:tmpl w:val="0AC2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36A8F"/>
    <w:multiLevelType w:val="hybridMultilevel"/>
    <w:tmpl w:val="27040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DC4FA3"/>
    <w:multiLevelType w:val="hybridMultilevel"/>
    <w:tmpl w:val="EEA6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F386E"/>
    <w:multiLevelType w:val="hybridMultilevel"/>
    <w:tmpl w:val="4A02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A2100"/>
    <w:multiLevelType w:val="hybridMultilevel"/>
    <w:tmpl w:val="2F38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D32808"/>
    <w:multiLevelType w:val="hybridMultilevel"/>
    <w:tmpl w:val="DD48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E30AFE"/>
    <w:multiLevelType w:val="hybridMultilevel"/>
    <w:tmpl w:val="D0725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6A3A58"/>
    <w:multiLevelType w:val="hybridMultilevel"/>
    <w:tmpl w:val="F83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B1780"/>
    <w:multiLevelType w:val="hybridMultilevel"/>
    <w:tmpl w:val="146279E2"/>
    <w:lvl w:ilvl="0" w:tplc="E326A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37067"/>
    <w:multiLevelType w:val="hybridMultilevel"/>
    <w:tmpl w:val="F6DA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4767A8"/>
    <w:multiLevelType w:val="hybridMultilevel"/>
    <w:tmpl w:val="DB3C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F50F9"/>
    <w:multiLevelType w:val="hybridMultilevel"/>
    <w:tmpl w:val="1CCC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6D496B"/>
    <w:multiLevelType w:val="hybridMultilevel"/>
    <w:tmpl w:val="BF8CD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9F12E54"/>
    <w:multiLevelType w:val="hybridMultilevel"/>
    <w:tmpl w:val="206C2D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B251E1"/>
    <w:multiLevelType w:val="hybridMultilevel"/>
    <w:tmpl w:val="D444C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000FAB"/>
    <w:multiLevelType w:val="hybridMultilevel"/>
    <w:tmpl w:val="0F9E8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6767FF"/>
    <w:multiLevelType w:val="hybridMultilevel"/>
    <w:tmpl w:val="EB18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F400C5"/>
    <w:multiLevelType w:val="hybridMultilevel"/>
    <w:tmpl w:val="8D4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5B28DD"/>
    <w:multiLevelType w:val="hybridMultilevel"/>
    <w:tmpl w:val="A4863ABC"/>
    <w:lvl w:ilvl="0" w:tplc="8A008248">
      <w:start w:val="5"/>
      <w:numFmt w:val="bullet"/>
      <w:lvlText w:val="-"/>
      <w:lvlJc w:val="left"/>
      <w:pPr>
        <w:ind w:left="720" w:hanging="360"/>
      </w:pPr>
      <w:rPr>
        <w:rFonts w:ascii="Arial" w:eastAsiaTheme="minorEastAsia" w:hAnsi="Arial" w:cs="Arial" w:hint="default"/>
        <w:color w:val="FFFFFF" w:themeColor="background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D5714A"/>
    <w:multiLevelType w:val="hybridMultilevel"/>
    <w:tmpl w:val="0106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765871"/>
    <w:multiLevelType w:val="hybridMultilevel"/>
    <w:tmpl w:val="05144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BB3840"/>
    <w:multiLevelType w:val="hybridMultilevel"/>
    <w:tmpl w:val="5B821B2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0">
    <w:nsid w:val="73E03425"/>
    <w:multiLevelType w:val="hybridMultilevel"/>
    <w:tmpl w:val="755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7D0C2E"/>
    <w:multiLevelType w:val="hybridMultilevel"/>
    <w:tmpl w:val="DF5A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562D15"/>
    <w:multiLevelType w:val="hybridMultilevel"/>
    <w:tmpl w:val="BE4E53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D9F099E"/>
    <w:multiLevelType w:val="hybridMultilevel"/>
    <w:tmpl w:val="41D6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9"/>
  </w:num>
  <w:num w:numId="4">
    <w:abstractNumId w:val="9"/>
  </w:num>
  <w:num w:numId="5">
    <w:abstractNumId w:val="21"/>
  </w:num>
  <w:num w:numId="6">
    <w:abstractNumId w:val="0"/>
  </w:num>
  <w:num w:numId="7">
    <w:abstractNumId w:val="27"/>
  </w:num>
  <w:num w:numId="8">
    <w:abstractNumId w:val="35"/>
  </w:num>
  <w:num w:numId="9">
    <w:abstractNumId w:val="23"/>
  </w:num>
  <w:num w:numId="10">
    <w:abstractNumId w:val="28"/>
  </w:num>
  <w:num w:numId="11">
    <w:abstractNumId w:val="22"/>
  </w:num>
  <w:num w:numId="12">
    <w:abstractNumId w:val="16"/>
  </w:num>
  <w:num w:numId="13">
    <w:abstractNumId w:val="41"/>
  </w:num>
  <w:num w:numId="14">
    <w:abstractNumId w:val="42"/>
  </w:num>
  <w:num w:numId="15">
    <w:abstractNumId w:val="4"/>
  </w:num>
  <w:num w:numId="16">
    <w:abstractNumId w:val="39"/>
  </w:num>
  <w:num w:numId="17">
    <w:abstractNumId w:val="3"/>
  </w:num>
  <w:num w:numId="18">
    <w:abstractNumId w:val="34"/>
  </w:num>
  <w:num w:numId="19">
    <w:abstractNumId w:val="18"/>
  </w:num>
  <w:num w:numId="20">
    <w:abstractNumId w:val="40"/>
  </w:num>
  <w:num w:numId="21">
    <w:abstractNumId w:val="29"/>
  </w:num>
  <w:num w:numId="22">
    <w:abstractNumId w:val="6"/>
  </w:num>
  <w:num w:numId="23">
    <w:abstractNumId w:val="5"/>
  </w:num>
  <w:num w:numId="24">
    <w:abstractNumId w:val="11"/>
  </w:num>
  <w:num w:numId="25">
    <w:abstractNumId w:val="12"/>
  </w:num>
  <w:num w:numId="26">
    <w:abstractNumId w:val="14"/>
  </w:num>
  <w:num w:numId="27">
    <w:abstractNumId w:val="24"/>
  </w:num>
  <w:num w:numId="28">
    <w:abstractNumId w:val="32"/>
  </w:num>
  <w:num w:numId="29">
    <w:abstractNumId w:val="10"/>
  </w:num>
  <w:num w:numId="30">
    <w:abstractNumId w:val="37"/>
  </w:num>
  <w:num w:numId="31">
    <w:abstractNumId w:val="2"/>
  </w:num>
  <w:num w:numId="32">
    <w:abstractNumId w:val="20"/>
  </w:num>
  <w:num w:numId="33">
    <w:abstractNumId w:val="15"/>
  </w:num>
  <w:num w:numId="34">
    <w:abstractNumId w:val="36"/>
  </w:num>
  <w:num w:numId="35">
    <w:abstractNumId w:val="33"/>
  </w:num>
  <w:num w:numId="36">
    <w:abstractNumId w:val="38"/>
  </w:num>
  <w:num w:numId="37">
    <w:abstractNumId w:val="25"/>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8"/>
  </w:num>
  <w:num w:numId="42">
    <w:abstractNumId w:val="43"/>
  </w:num>
  <w:num w:numId="43">
    <w:abstractNumId w:val="7"/>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E6"/>
    <w:rsid w:val="00000009"/>
    <w:rsid w:val="00022246"/>
    <w:rsid w:val="0002491E"/>
    <w:rsid w:val="0002511D"/>
    <w:rsid w:val="000323DC"/>
    <w:rsid w:val="00040FA9"/>
    <w:rsid w:val="000446B6"/>
    <w:rsid w:val="00044E0F"/>
    <w:rsid w:val="00046498"/>
    <w:rsid w:val="0004679F"/>
    <w:rsid w:val="00047511"/>
    <w:rsid w:val="000500E1"/>
    <w:rsid w:val="00050E2E"/>
    <w:rsid w:val="00054090"/>
    <w:rsid w:val="00056828"/>
    <w:rsid w:val="00071A0F"/>
    <w:rsid w:val="00071DD2"/>
    <w:rsid w:val="00073209"/>
    <w:rsid w:val="00076FFA"/>
    <w:rsid w:val="0008449B"/>
    <w:rsid w:val="00093DC9"/>
    <w:rsid w:val="00094F8A"/>
    <w:rsid w:val="000A2BEF"/>
    <w:rsid w:val="000C3355"/>
    <w:rsid w:val="000C552F"/>
    <w:rsid w:val="000D344A"/>
    <w:rsid w:val="000D7B37"/>
    <w:rsid w:val="000E054A"/>
    <w:rsid w:val="000E08F0"/>
    <w:rsid w:val="000E37A0"/>
    <w:rsid w:val="000E3AE6"/>
    <w:rsid w:val="0010075F"/>
    <w:rsid w:val="00102753"/>
    <w:rsid w:val="00102A2D"/>
    <w:rsid w:val="00105950"/>
    <w:rsid w:val="001276C2"/>
    <w:rsid w:val="00127BD5"/>
    <w:rsid w:val="00133C5D"/>
    <w:rsid w:val="00141134"/>
    <w:rsid w:val="00152574"/>
    <w:rsid w:val="001538EC"/>
    <w:rsid w:val="00167111"/>
    <w:rsid w:val="00167744"/>
    <w:rsid w:val="00172F78"/>
    <w:rsid w:val="00174166"/>
    <w:rsid w:val="00183E01"/>
    <w:rsid w:val="00185393"/>
    <w:rsid w:val="001859A0"/>
    <w:rsid w:val="001A5FF2"/>
    <w:rsid w:val="001A6116"/>
    <w:rsid w:val="001B3B70"/>
    <w:rsid w:val="001B7D7A"/>
    <w:rsid w:val="001D538F"/>
    <w:rsid w:val="001D695B"/>
    <w:rsid w:val="001E712D"/>
    <w:rsid w:val="002028BD"/>
    <w:rsid w:val="0020650A"/>
    <w:rsid w:val="0021117A"/>
    <w:rsid w:val="002124D0"/>
    <w:rsid w:val="002177C4"/>
    <w:rsid w:val="00240F15"/>
    <w:rsid w:val="00252391"/>
    <w:rsid w:val="00253753"/>
    <w:rsid w:val="00275952"/>
    <w:rsid w:val="00292524"/>
    <w:rsid w:val="002A3FA7"/>
    <w:rsid w:val="002B0EE0"/>
    <w:rsid w:val="002C0594"/>
    <w:rsid w:val="002C13EF"/>
    <w:rsid w:val="002C30C0"/>
    <w:rsid w:val="002C60CE"/>
    <w:rsid w:val="002D2D6D"/>
    <w:rsid w:val="002E4507"/>
    <w:rsid w:val="002E605E"/>
    <w:rsid w:val="002F3BD2"/>
    <w:rsid w:val="00301252"/>
    <w:rsid w:val="00310633"/>
    <w:rsid w:val="00333E5A"/>
    <w:rsid w:val="003500D9"/>
    <w:rsid w:val="00365381"/>
    <w:rsid w:val="00366593"/>
    <w:rsid w:val="003875CC"/>
    <w:rsid w:val="00391F60"/>
    <w:rsid w:val="00397574"/>
    <w:rsid w:val="003A08B1"/>
    <w:rsid w:val="003B122E"/>
    <w:rsid w:val="003B52B9"/>
    <w:rsid w:val="003B60BA"/>
    <w:rsid w:val="003C37F0"/>
    <w:rsid w:val="003C3BE3"/>
    <w:rsid w:val="003D01F4"/>
    <w:rsid w:val="003D0380"/>
    <w:rsid w:val="003D1039"/>
    <w:rsid w:val="003D3F81"/>
    <w:rsid w:val="00401FE8"/>
    <w:rsid w:val="004107D1"/>
    <w:rsid w:val="00412FD9"/>
    <w:rsid w:val="0041328E"/>
    <w:rsid w:val="00424078"/>
    <w:rsid w:val="0042631D"/>
    <w:rsid w:val="004361A0"/>
    <w:rsid w:val="004577AC"/>
    <w:rsid w:val="004626C0"/>
    <w:rsid w:val="00462E44"/>
    <w:rsid w:val="00465613"/>
    <w:rsid w:val="00472545"/>
    <w:rsid w:val="0048041E"/>
    <w:rsid w:val="00480F4B"/>
    <w:rsid w:val="004863FD"/>
    <w:rsid w:val="004873E6"/>
    <w:rsid w:val="0049163F"/>
    <w:rsid w:val="004A5C49"/>
    <w:rsid w:val="004B2583"/>
    <w:rsid w:val="004B4DA5"/>
    <w:rsid w:val="004B62BC"/>
    <w:rsid w:val="004C7B0E"/>
    <w:rsid w:val="004D2F35"/>
    <w:rsid w:val="004E37A0"/>
    <w:rsid w:val="00507959"/>
    <w:rsid w:val="00517ACA"/>
    <w:rsid w:val="00526ABA"/>
    <w:rsid w:val="0053046E"/>
    <w:rsid w:val="00540EC9"/>
    <w:rsid w:val="005418EB"/>
    <w:rsid w:val="00544391"/>
    <w:rsid w:val="00545884"/>
    <w:rsid w:val="0055502F"/>
    <w:rsid w:val="00557303"/>
    <w:rsid w:val="00561AB5"/>
    <w:rsid w:val="00571BC4"/>
    <w:rsid w:val="005A00F0"/>
    <w:rsid w:val="005A40B7"/>
    <w:rsid w:val="005B1180"/>
    <w:rsid w:val="005B1727"/>
    <w:rsid w:val="005B67FB"/>
    <w:rsid w:val="005C4E33"/>
    <w:rsid w:val="005C7EAC"/>
    <w:rsid w:val="005D4CFF"/>
    <w:rsid w:val="005D4E9A"/>
    <w:rsid w:val="005E4851"/>
    <w:rsid w:val="00601854"/>
    <w:rsid w:val="0061319B"/>
    <w:rsid w:val="00615506"/>
    <w:rsid w:val="00623548"/>
    <w:rsid w:val="00624E1A"/>
    <w:rsid w:val="00631A20"/>
    <w:rsid w:val="00636C92"/>
    <w:rsid w:val="00641833"/>
    <w:rsid w:val="006475E4"/>
    <w:rsid w:val="00650246"/>
    <w:rsid w:val="006711E1"/>
    <w:rsid w:val="006778E4"/>
    <w:rsid w:val="00680218"/>
    <w:rsid w:val="00682376"/>
    <w:rsid w:val="006B2344"/>
    <w:rsid w:val="006D3A8E"/>
    <w:rsid w:val="00704C67"/>
    <w:rsid w:val="00715A8C"/>
    <w:rsid w:val="00736619"/>
    <w:rsid w:val="00737A6E"/>
    <w:rsid w:val="007622CE"/>
    <w:rsid w:val="00765BF6"/>
    <w:rsid w:val="00765CB4"/>
    <w:rsid w:val="00770E69"/>
    <w:rsid w:val="00771F73"/>
    <w:rsid w:val="00776D76"/>
    <w:rsid w:val="00785ECC"/>
    <w:rsid w:val="007878D8"/>
    <w:rsid w:val="007B6A90"/>
    <w:rsid w:val="007C5C23"/>
    <w:rsid w:val="007D1116"/>
    <w:rsid w:val="007D2534"/>
    <w:rsid w:val="007E76E6"/>
    <w:rsid w:val="00802D02"/>
    <w:rsid w:val="008072DA"/>
    <w:rsid w:val="00814445"/>
    <w:rsid w:val="00831B3C"/>
    <w:rsid w:val="00833397"/>
    <w:rsid w:val="008403A7"/>
    <w:rsid w:val="00854C98"/>
    <w:rsid w:val="008611D7"/>
    <w:rsid w:val="00866A37"/>
    <w:rsid w:val="008674BD"/>
    <w:rsid w:val="0087050D"/>
    <w:rsid w:val="00872BB6"/>
    <w:rsid w:val="00875855"/>
    <w:rsid w:val="00876791"/>
    <w:rsid w:val="00882AA8"/>
    <w:rsid w:val="0089021A"/>
    <w:rsid w:val="008916A6"/>
    <w:rsid w:val="008A1DD5"/>
    <w:rsid w:val="008A25F6"/>
    <w:rsid w:val="008A569E"/>
    <w:rsid w:val="008A752D"/>
    <w:rsid w:val="008C297D"/>
    <w:rsid w:val="008C5AEF"/>
    <w:rsid w:val="008D24C3"/>
    <w:rsid w:val="008D3EB5"/>
    <w:rsid w:val="008E23B7"/>
    <w:rsid w:val="009049CC"/>
    <w:rsid w:val="0090724F"/>
    <w:rsid w:val="00912067"/>
    <w:rsid w:val="00913FC6"/>
    <w:rsid w:val="00922600"/>
    <w:rsid w:val="00925AEB"/>
    <w:rsid w:val="00950C27"/>
    <w:rsid w:val="00963468"/>
    <w:rsid w:val="00964CA8"/>
    <w:rsid w:val="00965F0C"/>
    <w:rsid w:val="00975527"/>
    <w:rsid w:val="00982BE9"/>
    <w:rsid w:val="009867E8"/>
    <w:rsid w:val="00996D07"/>
    <w:rsid w:val="009A3657"/>
    <w:rsid w:val="009A6991"/>
    <w:rsid w:val="009C06C2"/>
    <w:rsid w:val="009F4348"/>
    <w:rsid w:val="00A000B1"/>
    <w:rsid w:val="00A00F6E"/>
    <w:rsid w:val="00A10B37"/>
    <w:rsid w:val="00A110A7"/>
    <w:rsid w:val="00A12CB1"/>
    <w:rsid w:val="00A61ACE"/>
    <w:rsid w:val="00A83061"/>
    <w:rsid w:val="00A876C3"/>
    <w:rsid w:val="00A87AD3"/>
    <w:rsid w:val="00AA5607"/>
    <w:rsid w:val="00AA71F4"/>
    <w:rsid w:val="00AD195E"/>
    <w:rsid w:val="00AD1E2E"/>
    <w:rsid w:val="00AD29C5"/>
    <w:rsid w:val="00AE5EB9"/>
    <w:rsid w:val="00AE5F5D"/>
    <w:rsid w:val="00AE7387"/>
    <w:rsid w:val="00B03BD9"/>
    <w:rsid w:val="00B05F95"/>
    <w:rsid w:val="00B23560"/>
    <w:rsid w:val="00B2425C"/>
    <w:rsid w:val="00B359DA"/>
    <w:rsid w:val="00B55395"/>
    <w:rsid w:val="00B616F7"/>
    <w:rsid w:val="00B670DD"/>
    <w:rsid w:val="00B964EE"/>
    <w:rsid w:val="00BA0225"/>
    <w:rsid w:val="00BA70D8"/>
    <w:rsid w:val="00BB0C3D"/>
    <w:rsid w:val="00BC610D"/>
    <w:rsid w:val="00BD0CDB"/>
    <w:rsid w:val="00BD5EC6"/>
    <w:rsid w:val="00BD66F9"/>
    <w:rsid w:val="00BD7CA9"/>
    <w:rsid w:val="00BE7707"/>
    <w:rsid w:val="00C0061D"/>
    <w:rsid w:val="00C0080A"/>
    <w:rsid w:val="00C16827"/>
    <w:rsid w:val="00C2551D"/>
    <w:rsid w:val="00C25562"/>
    <w:rsid w:val="00C25587"/>
    <w:rsid w:val="00C30B87"/>
    <w:rsid w:val="00C4745A"/>
    <w:rsid w:val="00C474E2"/>
    <w:rsid w:val="00C51D9E"/>
    <w:rsid w:val="00C627E8"/>
    <w:rsid w:val="00C628C6"/>
    <w:rsid w:val="00C66598"/>
    <w:rsid w:val="00C67A6F"/>
    <w:rsid w:val="00C72E29"/>
    <w:rsid w:val="00C87ED7"/>
    <w:rsid w:val="00CA21DF"/>
    <w:rsid w:val="00CA3B1E"/>
    <w:rsid w:val="00CC011A"/>
    <w:rsid w:val="00CE3577"/>
    <w:rsid w:val="00CF2B69"/>
    <w:rsid w:val="00CF7513"/>
    <w:rsid w:val="00D00313"/>
    <w:rsid w:val="00D0328D"/>
    <w:rsid w:val="00D04CFD"/>
    <w:rsid w:val="00D119FE"/>
    <w:rsid w:val="00D2135F"/>
    <w:rsid w:val="00D23F26"/>
    <w:rsid w:val="00D24428"/>
    <w:rsid w:val="00D857F5"/>
    <w:rsid w:val="00D900C9"/>
    <w:rsid w:val="00DB2C4A"/>
    <w:rsid w:val="00DC314A"/>
    <w:rsid w:val="00DC3283"/>
    <w:rsid w:val="00DC54D6"/>
    <w:rsid w:val="00DC7DB7"/>
    <w:rsid w:val="00DD13BF"/>
    <w:rsid w:val="00DE729C"/>
    <w:rsid w:val="00DF520B"/>
    <w:rsid w:val="00E12793"/>
    <w:rsid w:val="00E1283C"/>
    <w:rsid w:val="00E141BF"/>
    <w:rsid w:val="00E33A0B"/>
    <w:rsid w:val="00E36C53"/>
    <w:rsid w:val="00E718D7"/>
    <w:rsid w:val="00E76814"/>
    <w:rsid w:val="00E82BB1"/>
    <w:rsid w:val="00E83B3D"/>
    <w:rsid w:val="00E84B9B"/>
    <w:rsid w:val="00E868F3"/>
    <w:rsid w:val="00E95BC8"/>
    <w:rsid w:val="00E96560"/>
    <w:rsid w:val="00EA1F41"/>
    <w:rsid w:val="00EA54E5"/>
    <w:rsid w:val="00EA6BE8"/>
    <w:rsid w:val="00EC0447"/>
    <w:rsid w:val="00EC07C3"/>
    <w:rsid w:val="00EC57BE"/>
    <w:rsid w:val="00ED5332"/>
    <w:rsid w:val="00F01B5A"/>
    <w:rsid w:val="00F22B6B"/>
    <w:rsid w:val="00F22D8B"/>
    <w:rsid w:val="00F30D3A"/>
    <w:rsid w:val="00F36267"/>
    <w:rsid w:val="00F42BF7"/>
    <w:rsid w:val="00F46748"/>
    <w:rsid w:val="00F54F76"/>
    <w:rsid w:val="00F612D0"/>
    <w:rsid w:val="00F642B0"/>
    <w:rsid w:val="00F74F43"/>
    <w:rsid w:val="00FA2EAA"/>
    <w:rsid w:val="00FA3E01"/>
    <w:rsid w:val="00FB3CAC"/>
    <w:rsid w:val="00FC10A1"/>
    <w:rsid w:val="00FC41B2"/>
    <w:rsid w:val="00FC6063"/>
    <w:rsid w:val="00FD184F"/>
    <w:rsid w:val="00FF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E6"/>
    <w:pPr>
      <w:ind w:left="720"/>
      <w:contextualSpacing/>
    </w:pPr>
  </w:style>
  <w:style w:type="paragraph" w:styleId="Header">
    <w:name w:val="header"/>
    <w:basedOn w:val="Normal"/>
    <w:link w:val="HeaderChar"/>
    <w:uiPriority w:val="99"/>
    <w:unhideWhenUsed/>
    <w:rsid w:val="00840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3A7"/>
  </w:style>
  <w:style w:type="paragraph" w:styleId="Footer">
    <w:name w:val="footer"/>
    <w:basedOn w:val="Normal"/>
    <w:link w:val="FooterChar"/>
    <w:uiPriority w:val="99"/>
    <w:unhideWhenUsed/>
    <w:rsid w:val="00840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A7"/>
  </w:style>
  <w:style w:type="paragraph" w:styleId="BalloonText">
    <w:name w:val="Balloon Text"/>
    <w:basedOn w:val="Normal"/>
    <w:link w:val="BalloonTextChar"/>
    <w:uiPriority w:val="99"/>
    <w:semiHidden/>
    <w:unhideWhenUsed/>
    <w:rsid w:val="00C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9E"/>
    <w:rPr>
      <w:rFonts w:ascii="Tahoma" w:hAnsi="Tahoma" w:cs="Tahoma"/>
      <w:sz w:val="16"/>
      <w:szCs w:val="16"/>
    </w:rPr>
  </w:style>
  <w:style w:type="character" w:customStyle="1" w:styleId="Heading1Char">
    <w:name w:val="Heading 1 Char"/>
    <w:basedOn w:val="DefaultParagraphFont"/>
    <w:link w:val="Heading1"/>
    <w:uiPriority w:val="9"/>
    <w:rsid w:val="00624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4E1A"/>
    <w:pPr>
      <w:outlineLvl w:val="9"/>
    </w:pPr>
    <w:rPr>
      <w:lang w:val="en-US" w:eastAsia="ja-JP"/>
    </w:rPr>
  </w:style>
  <w:style w:type="character" w:customStyle="1" w:styleId="Heading2Char">
    <w:name w:val="Heading 2 Char"/>
    <w:basedOn w:val="DefaultParagraphFont"/>
    <w:link w:val="Heading2"/>
    <w:uiPriority w:val="9"/>
    <w:rsid w:val="00624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4E1A"/>
    <w:pPr>
      <w:spacing w:after="100"/>
    </w:pPr>
  </w:style>
  <w:style w:type="paragraph" w:styleId="TOC2">
    <w:name w:val="toc 2"/>
    <w:basedOn w:val="Normal"/>
    <w:next w:val="Normal"/>
    <w:autoRedefine/>
    <w:uiPriority w:val="39"/>
    <w:unhideWhenUsed/>
    <w:rsid w:val="00624E1A"/>
    <w:pPr>
      <w:spacing w:after="100"/>
      <w:ind w:left="220"/>
    </w:pPr>
  </w:style>
  <w:style w:type="paragraph" w:styleId="TOC3">
    <w:name w:val="toc 3"/>
    <w:basedOn w:val="Normal"/>
    <w:next w:val="Normal"/>
    <w:autoRedefine/>
    <w:uiPriority w:val="39"/>
    <w:unhideWhenUsed/>
    <w:rsid w:val="00624E1A"/>
    <w:pPr>
      <w:spacing w:after="100"/>
      <w:ind w:left="440"/>
    </w:pPr>
  </w:style>
  <w:style w:type="character" w:styleId="Hyperlink">
    <w:name w:val="Hyperlink"/>
    <w:basedOn w:val="DefaultParagraphFont"/>
    <w:uiPriority w:val="99"/>
    <w:unhideWhenUsed/>
    <w:rsid w:val="00624E1A"/>
    <w:rPr>
      <w:color w:val="0000FF" w:themeColor="hyperlink"/>
      <w:u w:val="single"/>
    </w:rPr>
  </w:style>
  <w:style w:type="table" w:styleId="TableGrid">
    <w:name w:val="Table Grid"/>
    <w:basedOn w:val="TableNormal"/>
    <w:uiPriority w:val="59"/>
    <w:rsid w:val="004D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C4A"/>
    <w:rPr>
      <w:sz w:val="20"/>
      <w:szCs w:val="20"/>
    </w:rPr>
  </w:style>
  <w:style w:type="character" w:styleId="FootnoteReference">
    <w:name w:val="footnote reference"/>
    <w:basedOn w:val="DefaultParagraphFont"/>
    <w:uiPriority w:val="99"/>
    <w:semiHidden/>
    <w:unhideWhenUsed/>
    <w:rsid w:val="00DB2C4A"/>
    <w:rPr>
      <w:vertAlign w:val="superscript"/>
    </w:rPr>
  </w:style>
  <w:style w:type="paragraph" w:styleId="NormalWeb">
    <w:name w:val="Normal (Web)"/>
    <w:basedOn w:val="Normal"/>
    <w:uiPriority w:val="99"/>
    <w:semiHidden/>
    <w:unhideWhenUsed/>
    <w:rsid w:val="00854C98"/>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682376"/>
    <w:pPr>
      <w:spacing w:line="240" w:lineRule="auto"/>
    </w:pPr>
    <w:rPr>
      <w:sz w:val="20"/>
      <w:szCs w:val="20"/>
    </w:rPr>
  </w:style>
  <w:style w:type="character" w:customStyle="1" w:styleId="CommentTextChar">
    <w:name w:val="Comment Text Char"/>
    <w:basedOn w:val="DefaultParagraphFont"/>
    <w:link w:val="CommentText"/>
    <w:uiPriority w:val="99"/>
    <w:rsid w:val="00682376"/>
    <w:rPr>
      <w:sz w:val="20"/>
      <w:szCs w:val="20"/>
    </w:rPr>
  </w:style>
  <w:style w:type="character" w:styleId="CommentReference">
    <w:name w:val="annotation reference"/>
    <w:basedOn w:val="DefaultParagraphFont"/>
    <w:uiPriority w:val="99"/>
    <w:semiHidden/>
    <w:unhideWhenUsed/>
    <w:rsid w:val="00682376"/>
    <w:rPr>
      <w:sz w:val="16"/>
      <w:szCs w:val="16"/>
    </w:rPr>
  </w:style>
  <w:style w:type="paragraph" w:styleId="CommentSubject">
    <w:name w:val="annotation subject"/>
    <w:basedOn w:val="CommentText"/>
    <w:next w:val="CommentText"/>
    <w:link w:val="CommentSubjectChar"/>
    <w:uiPriority w:val="99"/>
    <w:semiHidden/>
    <w:unhideWhenUsed/>
    <w:rsid w:val="001538EC"/>
    <w:rPr>
      <w:b/>
      <w:bCs/>
    </w:rPr>
  </w:style>
  <w:style w:type="character" w:customStyle="1" w:styleId="CommentSubjectChar">
    <w:name w:val="Comment Subject Char"/>
    <w:basedOn w:val="CommentTextChar"/>
    <w:link w:val="CommentSubject"/>
    <w:uiPriority w:val="99"/>
    <w:semiHidden/>
    <w:rsid w:val="001538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E6"/>
    <w:pPr>
      <w:ind w:left="720"/>
      <w:contextualSpacing/>
    </w:pPr>
  </w:style>
  <w:style w:type="paragraph" w:styleId="Header">
    <w:name w:val="header"/>
    <w:basedOn w:val="Normal"/>
    <w:link w:val="HeaderChar"/>
    <w:uiPriority w:val="99"/>
    <w:unhideWhenUsed/>
    <w:rsid w:val="00840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3A7"/>
  </w:style>
  <w:style w:type="paragraph" w:styleId="Footer">
    <w:name w:val="footer"/>
    <w:basedOn w:val="Normal"/>
    <w:link w:val="FooterChar"/>
    <w:uiPriority w:val="99"/>
    <w:unhideWhenUsed/>
    <w:rsid w:val="00840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A7"/>
  </w:style>
  <w:style w:type="paragraph" w:styleId="BalloonText">
    <w:name w:val="Balloon Text"/>
    <w:basedOn w:val="Normal"/>
    <w:link w:val="BalloonTextChar"/>
    <w:uiPriority w:val="99"/>
    <w:semiHidden/>
    <w:unhideWhenUsed/>
    <w:rsid w:val="00C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9E"/>
    <w:rPr>
      <w:rFonts w:ascii="Tahoma" w:hAnsi="Tahoma" w:cs="Tahoma"/>
      <w:sz w:val="16"/>
      <w:szCs w:val="16"/>
    </w:rPr>
  </w:style>
  <w:style w:type="character" w:customStyle="1" w:styleId="Heading1Char">
    <w:name w:val="Heading 1 Char"/>
    <w:basedOn w:val="DefaultParagraphFont"/>
    <w:link w:val="Heading1"/>
    <w:uiPriority w:val="9"/>
    <w:rsid w:val="00624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4E1A"/>
    <w:pPr>
      <w:outlineLvl w:val="9"/>
    </w:pPr>
    <w:rPr>
      <w:lang w:val="en-US" w:eastAsia="ja-JP"/>
    </w:rPr>
  </w:style>
  <w:style w:type="character" w:customStyle="1" w:styleId="Heading2Char">
    <w:name w:val="Heading 2 Char"/>
    <w:basedOn w:val="DefaultParagraphFont"/>
    <w:link w:val="Heading2"/>
    <w:uiPriority w:val="9"/>
    <w:rsid w:val="00624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4E1A"/>
    <w:pPr>
      <w:spacing w:after="100"/>
    </w:pPr>
  </w:style>
  <w:style w:type="paragraph" w:styleId="TOC2">
    <w:name w:val="toc 2"/>
    <w:basedOn w:val="Normal"/>
    <w:next w:val="Normal"/>
    <w:autoRedefine/>
    <w:uiPriority w:val="39"/>
    <w:unhideWhenUsed/>
    <w:rsid w:val="00624E1A"/>
    <w:pPr>
      <w:spacing w:after="100"/>
      <w:ind w:left="220"/>
    </w:pPr>
  </w:style>
  <w:style w:type="paragraph" w:styleId="TOC3">
    <w:name w:val="toc 3"/>
    <w:basedOn w:val="Normal"/>
    <w:next w:val="Normal"/>
    <w:autoRedefine/>
    <w:uiPriority w:val="39"/>
    <w:unhideWhenUsed/>
    <w:rsid w:val="00624E1A"/>
    <w:pPr>
      <w:spacing w:after="100"/>
      <w:ind w:left="440"/>
    </w:pPr>
  </w:style>
  <w:style w:type="character" w:styleId="Hyperlink">
    <w:name w:val="Hyperlink"/>
    <w:basedOn w:val="DefaultParagraphFont"/>
    <w:uiPriority w:val="99"/>
    <w:unhideWhenUsed/>
    <w:rsid w:val="00624E1A"/>
    <w:rPr>
      <w:color w:val="0000FF" w:themeColor="hyperlink"/>
      <w:u w:val="single"/>
    </w:rPr>
  </w:style>
  <w:style w:type="table" w:styleId="TableGrid">
    <w:name w:val="Table Grid"/>
    <w:basedOn w:val="TableNormal"/>
    <w:uiPriority w:val="59"/>
    <w:rsid w:val="004D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C4A"/>
    <w:rPr>
      <w:sz w:val="20"/>
      <w:szCs w:val="20"/>
    </w:rPr>
  </w:style>
  <w:style w:type="character" w:styleId="FootnoteReference">
    <w:name w:val="footnote reference"/>
    <w:basedOn w:val="DefaultParagraphFont"/>
    <w:uiPriority w:val="99"/>
    <w:semiHidden/>
    <w:unhideWhenUsed/>
    <w:rsid w:val="00DB2C4A"/>
    <w:rPr>
      <w:vertAlign w:val="superscript"/>
    </w:rPr>
  </w:style>
  <w:style w:type="paragraph" w:styleId="NormalWeb">
    <w:name w:val="Normal (Web)"/>
    <w:basedOn w:val="Normal"/>
    <w:uiPriority w:val="99"/>
    <w:semiHidden/>
    <w:unhideWhenUsed/>
    <w:rsid w:val="00854C98"/>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682376"/>
    <w:pPr>
      <w:spacing w:line="240" w:lineRule="auto"/>
    </w:pPr>
    <w:rPr>
      <w:sz w:val="20"/>
      <w:szCs w:val="20"/>
    </w:rPr>
  </w:style>
  <w:style w:type="character" w:customStyle="1" w:styleId="CommentTextChar">
    <w:name w:val="Comment Text Char"/>
    <w:basedOn w:val="DefaultParagraphFont"/>
    <w:link w:val="CommentText"/>
    <w:uiPriority w:val="99"/>
    <w:rsid w:val="00682376"/>
    <w:rPr>
      <w:sz w:val="20"/>
      <w:szCs w:val="20"/>
    </w:rPr>
  </w:style>
  <w:style w:type="character" w:styleId="CommentReference">
    <w:name w:val="annotation reference"/>
    <w:basedOn w:val="DefaultParagraphFont"/>
    <w:uiPriority w:val="99"/>
    <w:semiHidden/>
    <w:unhideWhenUsed/>
    <w:rsid w:val="00682376"/>
    <w:rPr>
      <w:sz w:val="16"/>
      <w:szCs w:val="16"/>
    </w:rPr>
  </w:style>
  <w:style w:type="paragraph" w:styleId="CommentSubject">
    <w:name w:val="annotation subject"/>
    <w:basedOn w:val="CommentText"/>
    <w:next w:val="CommentText"/>
    <w:link w:val="CommentSubjectChar"/>
    <w:uiPriority w:val="99"/>
    <w:semiHidden/>
    <w:unhideWhenUsed/>
    <w:rsid w:val="001538EC"/>
    <w:rPr>
      <w:b/>
      <w:bCs/>
    </w:rPr>
  </w:style>
  <w:style w:type="character" w:customStyle="1" w:styleId="CommentSubjectChar">
    <w:name w:val="Comment Subject Char"/>
    <w:basedOn w:val="CommentTextChar"/>
    <w:link w:val="CommentSubject"/>
    <w:uiPriority w:val="99"/>
    <w:semiHidden/>
    <w:rsid w:val="001538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494">
      <w:bodyDiv w:val="1"/>
      <w:marLeft w:val="0"/>
      <w:marRight w:val="0"/>
      <w:marTop w:val="0"/>
      <w:marBottom w:val="0"/>
      <w:divBdr>
        <w:top w:val="none" w:sz="0" w:space="0" w:color="auto"/>
        <w:left w:val="none" w:sz="0" w:space="0" w:color="auto"/>
        <w:bottom w:val="none" w:sz="0" w:space="0" w:color="auto"/>
        <w:right w:val="none" w:sz="0" w:space="0" w:color="auto"/>
      </w:divBdr>
    </w:div>
    <w:div w:id="162940586">
      <w:bodyDiv w:val="1"/>
      <w:marLeft w:val="0"/>
      <w:marRight w:val="0"/>
      <w:marTop w:val="0"/>
      <w:marBottom w:val="0"/>
      <w:divBdr>
        <w:top w:val="none" w:sz="0" w:space="0" w:color="auto"/>
        <w:left w:val="none" w:sz="0" w:space="0" w:color="auto"/>
        <w:bottom w:val="none" w:sz="0" w:space="0" w:color="auto"/>
        <w:right w:val="none" w:sz="0" w:space="0" w:color="auto"/>
      </w:divBdr>
    </w:div>
    <w:div w:id="185752754">
      <w:bodyDiv w:val="1"/>
      <w:marLeft w:val="0"/>
      <w:marRight w:val="0"/>
      <w:marTop w:val="0"/>
      <w:marBottom w:val="0"/>
      <w:divBdr>
        <w:top w:val="none" w:sz="0" w:space="0" w:color="auto"/>
        <w:left w:val="none" w:sz="0" w:space="0" w:color="auto"/>
        <w:bottom w:val="none" w:sz="0" w:space="0" w:color="auto"/>
        <w:right w:val="none" w:sz="0" w:space="0" w:color="auto"/>
      </w:divBdr>
    </w:div>
    <w:div w:id="423653628">
      <w:bodyDiv w:val="1"/>
      <w:marLeft w:val="0"/>
      <w:marRight w:val="0"/>
      <w:marTop w:val="0"/>
      <w:marBottom w:val="0"/>
      <w:divBdr>
        <w:top w:val="none" w:sz="0" w:space="0" w:color="auto"/>
        <w:left w:val="none" w:sz="0" w:space="0" w:color="auto"/>
        <w:bottom w:val="none" w:sz="0" w:space="0" w:color="auto"/>
        <w:right w:val="none" w:sz="0" w:space="0" w:color="auto"/>
      </w:divBdr>
    </w:div>
    <w:div w:id="45025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0549">
          <w:marLeft w:val="274"/>
          <w:marRight w:val="0"/>
          <w:marTop w:val="0"/>
          <w:marBottom w:val="0"/>
          <w:divBdr>
            <w:top w:val="none" w:sz="0" w:space="0" w:color="auto"/>
            <w:left w:val="none" w:sz="0" w:space="0" w:color="auto"/>
            <w:bottom w:val="none" w:sz="0" w:space="0" w:color="auto"/>
            <w:right w:val="none" w:sz="0" w:space="0" w:color="auto"/>
          </w:divBdr>
        </w:div>
        <w:div w:id="2008052399">
          <w:marLeft w:val="274"/>
          <w:marRight w:val="0"/>
          <w:marTop w:val="0"/>
          <w:marBottom w:val="0"/>
          <w:divBdr>
            <w:top w:val="none" w:sz="0" w:space="0" w:color="auto"/>
            <w:left w:val="none" w:sz="0" w:space="0" w:color="auto"/>
            <w:bottom w:val="none" w:sz="0" w:space="0" w:color="auto"/>
            <w:right w:val="none" w:sz="0" w:space="0" w:color="auto"/>
          </w:divBdr>
        </w:div>
        <w:div w:id="443422862">
          <w:marLeft w:val="274"/>
          <w:marRight w:val="0"/>
          <w:marTop w:val="0"/>
          <w:marBottom w:val="0"/>
          <w:divBdr>
            <w:top w:val="none" w:sz="0" w:space="0" w:color="auto"/>
            <w:left w:val="none" w:sz="0" w:space="0" w:color="auto"/>
            <w:bottom w:val="none" w:sz="0" w:space="0" w:color="auto"/>
            <w:right w:val="none" w:sz="0" w:space="0" w:color="auto"/>
          </w:divBdr>
        </w:div>
        <w:div w:id="1105929369">
          <w:marLeft w:val="274"/>
          <w:marRight w:val="0"/>
          <w:marTop w:val="0"/>
          <w:marBottom w:val="0"/>
          <w:divBdr>
            <w:top w:val="none" w:sz="0" w:space="0" w:color="auto"/>
            <w:left w:val="none" w:sz="0" w:space="0" w:color="auto"/>
            <w:bottom w:val="none" w:sz="0" w:space="0" w:color="auto"/>
            <w:right w:val="none" w:sz="0" w:space="0" w:color="auto"/>
          </w:divBdr>
        </w:div>
        <w:div w:id="168255461">
          <w:marLeft w:val="274"/>
          <w:marRight w:val="0"/>
          <w:marTop w:val="0"/>
          <w:marBottom w:val="0"/>
          <w:divBdr>
            <w:top w:val="none" w:sz="0" w:space="0" w:color="auto"/>
            <w:left w:val="none" w:sz="0" w:space="0" w:color="auto"/>
            <w:bottom w:val="none" w:sz="0" w:space="0" w:color="auto"/>
            <w:right w:val="none" w:sz="0" w:space="0" w:color="auto"/>
          </w:divBdr>
        </w:div>
        <w:div w:id="646740626">
          <w:marLeft w:val="274"/>
          <w:marRight w:val="0"/>
          <w:marTop w:val="0"/>
          <w:marBottom w:val="0"/>
          <w:divBdr>
            <w:top w:val="none" w:sz="0" w:space="0" w:color="auto"/>
            <w:left w:val="none" w:sz="0" w:space="0" w:color="auto"/>
            <w:bottom w:val="none" w:sz="0" w:space="0" w:color="auto"/>
            <w:right w:val="none" w:sz="0" w:space="0" w:color="auto"/>
          </w:divBdr>
        </w:div>
        <w:div w:id="1542589369">
          <w:marLeft w:val="274"/>
          <w:marRight w:val="0"/>
          <w:marTop w:val="0"/>
          <w:marBottom w:val="0"/>
          <w:divBdr>
            <w:top w:val="none" w:sz="0" w:space="0" w:color="auto"/>
            <w:left w:val="none" w:sz="0" w:space="0" w:color="auto"/>
            <w:bottom w:val="none" w:sz="0" w:space="0" w:color="auto"/>
            <w:right w:val="none" w:sz="0" w:space="0" w:color="auto"/>
          </w:divBdr>
        </w:div>
        <w:div w:id="259920410">
          <w:marLeft w:val="274"/>
          <w:marRight w:val="0"/>
          <w:marTop w:val="0"/>
          <w:marBottom w:val="0"/>
          <w:divBdr>
            <w:top w:val="none" w:sz="0" w:space="0" w:color="auto"/>
            <w:left w:val="none" w:sz="0" w:space="0" w:color="auto"/>
            <w:bottom w:val="none" w:sz="0" w:space="0" w:color="auto"/>
            <w:right w:val="none" w:sz="0" w:space="0" w:color="auto"/>
          </w:divBdr>
        </w:div>
        <w:div w:id="1406143626">
          <w:marLeft w:val="274"/>
          <w:marRight w:val="0"/>
          <w:marTop w:val="0"/>
          <w:marBottom w:val="0"/>
          <w:divBdr>
            <w:top w:val="none" w:sz="0" w:space="0" w:color="auto"/>
            <w:left w:val="none" w:sz="0" w:space="0" w:color="auto"/>
            <w:bottom w:val="none" w:sz="0" w:space="0" w:color="auto"/>
            <w:right w:val="none" w:sz="0" w:space="0" w:color="auto"/>
          </w:divBdr>
        </w:div>
        <w:div w:id="996954344">
          <w:marLeft w:val="274"/>
          <w:marRight w:val="0"/>
          <w:marTop w:val="0"/>
          <w:marBottom w:val="0"/>
          <w:divBdr>
            <w:top w:val="none" w:sz="0" w:space="0" w:color="auto"/>
            <w:left w:val="none" w:sz="0" w:space="0" w:color="auto"/>
            <w:bottom w:val="none" w:sz="0" w:space="0" w:color="auto"/>
            <w:right w:val="none" w:sz="0" w:space="0" w:color="auto"/>
          </w:divBdr>
        </w:div>
        <w:div w:id="845437550">
          <w:marLeft w:val="274"/>
          <w:marRight w:val="0"/>
          <w:marTop w:val="0"/>
          <w:marBottom w:val="0"/>
          <w:divBdr>
            <w:top w:val="none" w:sz="0" w:space="0" w:color="auto"/>
            <w:left w:val="none" w:sz="0" w:space="0" w:color="auto"/>
            <w:bottom w:val="none" w:sz="0" w:space="0" w:color="auto"/>
            <w:right w:val="none" w:sz="0" w:space="0" w:color="auto"/>
          </w:divBdr>
        </w:div>
        <w:div w:id="770735019">
          <w:marLeft w:val="274"/>
          <w:marRight w:val="0"/>
          <w:marTop w:val="0"/>
          <w:marBottom w:val="0"/>
          <w:divBdr>
            <w:top w:val="none" w:sz="0" w:space="0" w:color="auto"/>
            <w:left w:val="none" w:sz="0" w:space="0" w:color="auto"/>
            <w:bottom w:val="none" w:sz="0" w:space="0" w:color="auto"/>
            <w:right w:val="none" w:sz="0" w:space="0" w:color="auto"/>
          </w:divBdr>
        </w:div>
        <w:div w:id="677773512">
          <w:marLeft w:val="274"/>
          <w:marRight w:val="0"/>
          <w:marTop w:val="0"/>
          <w:marBottom w:val="0"/>
          <w:divBdr>
            <w:top w:val="none" w:sz="0" w:space="0" w:color="auto"/>
            <w:left w:val="none" w:sz="0" w:space="0" w:color="auto"/>
            <w:bottom w:val="none" w:sz="0" w:space="0" w:color="auto"/>
            <w:right w:val="none" w:sz="0" w:space="0" w:color="auto"/>
          </w:divBdr>
        </w:div>
        <w:div w:id="1194422511">
          <w:marLeft w:val="274"/>
          <w:marRight w:val="0"/>
          <w:marTop w:val="0"/>
          <w:marBottom w:val="0"/>
          <w:divBdr>
            <w:top w:val="none" w:sz="0" w:space="0" w:color="auto"/>
            <w:left w:val="none" w:sz="0" w:space="0" w:color="auto"/>
            <w:bottom w:val="none" w:sz="0" w:space="0" w:color="auto"/>
            <w:right w:val="none" w:sz="0" w:space="0" w:color="auto"/>
          </w:divBdr>
        </w:div>
        <w:div w:id="361711939">
          <w:marLeft w:val="274"/>
          <w:marRight w:val="0"/>
          <w:marTop w:val="0"/>
          <w:marBottom w:val="0"/>
          <w:divBdr>
            <w:top w:val="none" w:sz="0" w:space="0" w:color="auto"/>
            <w:left w:val="none" w:sz="0" w:space="0" w:color="auto"/>
            <w:bottom w:val="none" w:sz="0" w:space="0" w:color="auto"/>
            <w:right w:val="none" w:sz="0" w:space="0" w:color="auto"/>
          </w:divBdr>
        </w:div>
      </w:divsChild>
    </w:div>
    <w:div w:id="798449860">
      <w:bodyDiv w:val="1"/>
      <w:marLeft w:val="0"/>
      <w:marRight w:val="0"/>
      <w:marTop w:val="0"/>
      <w:marBottom w:val="0"/>
      <w:divBdr>
        <w:top w:val="none" w:sz="0" w:space="0" w:color="auto"/>
        <w:left w:val="none" w:sz="0" w:space="0" w:color="auto"/>
        <w:bottom w:val="none" w:sz="0" w:space="0" w:color="auto"/>
        <w:right w:val="none" w:sz="0" w:space="0" w:color="auto"/>
      </w:divBdr>
    </w:div>
    <w:div w:id="2007782320">
      <w:bodyDiv w:val="1"/>
      <w:marLeft w:val="0"/>
      <w:marRight w:val="0"/>
      <w:marTop w:val="0"/>
      <w:marBottom w:val="0"/>
      <w:divBdr>
        <w:top w:val="none" w:sz="0" w:space="0" w:color="auto"/>
        <w:left w:val="none" w:sz="0" w:space="0" w:color="auto"/>
        <w:bottom w:val="none" w:sz="0" w:space="0" w:color="auto"/>
        <w:right w:val="none" w:sz="0" w:space="0" w:color="auto"/>
      </w:divBdr>
    </w:div>
    <w:div w:id="20372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e.poole1@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anne.poole1@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yhsenate.wordpress.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D2BB-F28F-458D-AE3F-55AD9ECC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London</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Sheena.McCabe</dc:creator>
  <cp:lastModifiedBy>Windows User</cp:lastModifiedBy>
  <cp:revision>2</cp:revision>
  <cp:lastPrinted>2014-04-02T13:12:00Z</cp:lastPrinted>
  <dcterms:created xsi:type="dcterms:W3CDTF">2014-10-27T13:23:00Z</dcterms:created>
  <dcterms:modified xsi:type="dcterms:W3CDTF">2014-10-27T13:23:00Z</dcterms:modified>
</cp:coreProperties>
</file>