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F8" w:rsidRPr="001B54F8" w:rsidRDefault="0087751B" w:rsidP="003F46FF">
      <w:pPr>
        <w:spacing w:before="120" w:after="120" w:line="360" w:lineRule="auto"/>
        <w:jc w:val="center"/>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t>HEALTHY LIVES,</w:t>
      </w:r>
      <w:r w:rsidR="001B54F8">
        <w:rPr>
          <w:rFonts w:asciiTheme="minorHAnsi" w:hAnsiTheme="minorHAnsi" w:cstheme="minorHAnsi"/>
          <w:b/>
          <w:color w:val="548DD4" w:themeColor="text2" w:themeTint="99"/>
          <w:sz w:val="28"/>
          <w:szCs w:val="28"/>
        </w:rPr>
        <w:t xml:space="preserve"> HEALTHY FUTURES</w:t>
      </w:r>
    </w:p>
    <w:p w:rsidR="00C376B7" w:rsidRPr="00794072" w:rsidRDefault="005C7C61" w:rsidP="00794072">
      <w:pPr>
        <w:spacing w:before="120" w:after="120" w:line="360" w:lineRule="auto"/>
        <w:jc w:val="center"/>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rPr>
        <w:t xml:space="preserve">Consultation on Hyper-Acute </w:t>
      </w:r>
      <w:r w:rsidR="00467BA3">
        <w:rPr>
          <w:rFonts w:asciiTheme="minorHAnsi" w:hAnsiTheme="minorHAnsi" w:cstheme="minorHAnsi"/>
          <w:b/>
          <w:color w:val="548DD4" w:themeColor="text2" w:themeTint="99"/>
          <w:sz w:val="28"/>
          <w:szCs w:val="28"/>
        </w:rPr>
        <w:t>S</w:t>
      </w:r>
      <w:r>
        <w:rPr>
          <w:rFonts w:asciiTheme="minorHAnsi" w:hAnsiTheme="minorHAnsi" w:cstheme="minorHAnsi"/>
          <w:b/>
          <w:color w:val="548DD4" w:themeColor="text2" w:themeTint="99"/>
          <w:sz w:val="28"/>
          <w:szCs w:val="28"/>
        </w:rPr>
        <w:t>tr</w:t>
      </w:r>
      <w:r w:rsidR="001F2046">
        <w:rPr>
          <w:rFonts w:asciiTheme="minorHAnsi" w:hAnsiTheme="minorHAnsi" w:cstheme="minorHAnsi"/>
          <w:b/>
          <w:color w:val="548DD4" w:themeColor="text2" w:themeTint="99"/>
          <w:sz w:val="28"/>
          <w:szCs w:val="28"/>
        </w:rPr>
        <w:t>oke Services and ENT Inpatient S</w:t>
      </w:r>
      <w:r>
        <w:rPr>
          <w:rFonts w:asciiTheme="minorHAnsi" w:hAnsiTheme="minorHAnsi" w:cstheme="minorHAnsi"/>
          <w:b/>
          <w:color w:val="548DD4" w:themeColor="text2" w:themeTint="99"/>
          <w:sz w:val="28"/>
          <w:szCs w:val="28"/>
        </w:rPr>
        <w:t xml:space="preserve">urgery </w:t>
      </w:r>
      <w:r w:rsidR="00C376B7">
        <w:rPr>
          <w:rFonts w:asciiTheme="minorHAnsi" w:hAnsiTheme="minorHAnsi" w:cstheme="minorHAnsi"/>
          <w:b/>
          <w:color w:val="548DD4" w:themeColor="text2" w:themeTint="99"/>
          <w:sz w:val="28"/>
          <w:szCs w:val="28"/>
        </w:rPr>
        <w:t>–</w:t>
      </w:r>
      <w:r w:rsidR="005604DE">
        <w:rPr>
          <w:rFonts w:asciiTheme="minorHAnsi" w:hAnsiTheme="minorHAnsi" w:cstheme="minorHAnsi"/>
          <w:b/>
          <w:color w:val="548DD4" w:themeColor="text2" w:themeTint="99"/>
          <w:sz w:val="28"/>
          <w:szCs w:val="28"/>
        </w:rPr>
        <w:t xml:space="preserve"> Feedback Summary Paper</w:t>
      </w:r>
    </w:p>
    <w:p w:rsidR="00153512" w:rsidRDefault="001E602C" w:rsidP="00006CE2">
      <w:pPr>
        <w:pStyle w:val="ListParagraph"/>
        <w:numPr>
          <w:ilvl w:val="0"/>
          <w:numId w:val="1"/>
        </w:numPr>
        <w:spacing w:line="360" w:lineRule="auto"/>
        <w:jc w:val="both"/>
        <w:rPr>
          <w:rFonts w:asciiTheme="minorHAnsi" w:hAnsiTheme="minorHAnsi"/>
          <w:b/>
        </w:rPr>
      </w:pPr>
      <w:r>
        <w:rPr>
          <w:rFonts w:asciiTheme="minorHAnsi" w:hAnsiTheme="minorHAnsi"/>
          <w:b/>
        </w:rPr>
        <w:t xml:space="preserve"> </w:t>
      </w:r>
      <w:r w:rsidR="00153512" w:rsidRPr="00C90EC3">
        <w:rPr>
          <w:rFonts w:asciiTheme="minorHAnsi" w:hAnsiTheme="minorHAnsi"/>
          <w:b/>
        </w:rPr>
        <w:t>Purpose</w:t>
      </w:r>
    </w:p>
    <w:p w:rsidR="003F46FF" w:rsidRDefault="008B3CD5" w:rsidP="00794072">
      <w:pPr>
        <w:spacing w:line="360" w:lineRule="auto"/>
        <w:jc w:val="both"/>
        <w:rPr>
          <w:rFonts w:asciiTheme="minorHAnsi" w:hAnsiTheme="minorHAnsi"/>
        </w:rPr>
      </w:pPr>
      <w:r w:rsidRPr="00794072">
        <w:rPr>
          <w:rFonts w:asciiTheme="minorHAnsi" w:hAnsiTheme="minorHAnsi"/>
        </w:rPr>
        <w:t xml:space="preserve">The purpose of this paper is to inform the programme board of the key feedback received from the </w:t>
      </w:r>
      <w:r w:rsidR="003D013C" w:rsidRPr="00794072">
        <w:rPr>
          <w:rFonts w:asciiTheme="minorHAnsi" w:hAnsiTheme="minorHAnsi"/>
        </w:rPr>
        <w:t>public consultation on Hyper-A</w:t>
      </w:r>
      <w:r w:rsidR="005C7C61" w:rsidRPr="00794072">
        <w:rPr>
          <w:rFonts w:asciiTheme="minorHAnsi" w:hAnsiTheme="minorHAnsi"/>
        </w:rPr>
        <w:t>cute Stroke services and ENT Inpatient surgery</w:t>
      </w:r>
      <w:r w:rsidRPr="00794072">
        <w:rPr>
          <w:rFonts w:asciiTheme="minorHAnsi" w:hAnsiTheme="minorHAnsi"/>
        </w:rPr>
        <w:t xml:space="preserve"> and to outline the requirement for the appropriate consideration of these issues as the programme moves </w:t>
      </w:r>
      <w:r w:rsidR="00467BA3" w:rsidRPr="00794072">
        <w:rPr>
          <w:rFonts w:asciiTheme="minorHAnsi" w:hAnsiTheme="minorHAnsi"/>
        </w:rPr>
        <w:t>forward.</w:t>
      </w:r>
    </w:p>
    <w:p w:rsidR="00794072" w:rsidRPr="00794072" w:rsidRDefault="00794072" w:rsidP="00794072">
      <w:pPr>
        <w:spacing w:line="360" w:lineRule="auto"/>
        <w:jc w:val="both"/>
        <w:rPr>
          <w:rFonts w:asciiTheme="minorHAnsi" w:hAnsiTheme="minorHAnsi"/>
          <w:b/>
          <w:color w:val="FF0000"/>
        </w:rPr>
      </w:pPr>
    </w:p>
    <w:p w:rsidR="007E2D89" w:rsidRDefault="00467BA3" w:rsidP="00006CE2">
      <w:pPr>
        <w:pStyle w:val="Default"/>
        <w:numPr>
          <w:ilvl w:val="0"/>
          <w:numId w:val="1"/>
        </w:numPr>
        <w:spacing w:line="480" w:lineRule="auto"/>
        <w:ind w:right="-1"/>
        <w:jc w:val="both"/>
        <w:rPr>
          <w:rFonts w:asciiTheme="minorHAnsi" w:hAnsiTheme="minorHAnsi"/>
          <w:b/>
          <w:bCs/>
          <w:sz w:val="22"/>
          <w:szCs w:val="22"/>
        </w:rPr>
      </w:pPr>
      <w:r>
        <w:rPr>
          <w:rFonts w:asciiTheme="minorHAnsi" w:hAnsiTheme="minorHAnsi"/>
          <w:b/>
          <w:bCs/>
          <w:sz w:val="22"/>
          <w:szCs w:val="22"/>
        </w:rPr>
        <w:t>Consultation period - overview</w:t>
      </w:r>
    </w:p>
    <w:p w:rsidR="00467BA3" w:rsidRDefault="008B3CD5" w:rsidP="00794072">
      <w:pPr>
        <w:pStyle w:val="Default"/>
        <w:spacing w:line="360" w:lineRule="auto"/>
        <w:jc w:val="both"/>
        <w:rPr>
          <w:rFonts w:asciiTheme="minorHAnsi" w:hAnsiTheme="minorHAnsi"/>
          <w:bCs/>
          <w:sz w:val="22"/>
          <w:szCs w:val="22"/>
        </w:rPr>
      </w:pPr>
      <w:r w:rsidRPr="008B3CD5">
        <w:rPr>
          <w:rFonts w:asciiTheme="minorHAnsi" w:hAnsiTheme="minorHAnsi"/>
          <w:bCs/>
          <w:sz w:val="22"/>
          <w:szCs w:val="22"/>
        </w:rPr>
        <w:t xml:space="preserve">This </w:t>
      </w:r>
      <w:r w:rsidR="005C7C61">
        <w:rPr>
          <w:rFonts w:asciiTheme="minorHAnsi" w:hAnsiTheme="minorHAnsi"/>
          <w:bCs/>
          <w:sz w:val="22"/>
          <w:szCs w:val="22"/>
        </w:rPr>
        <w:t>public consultation ran from</w:t>
      </w:r>
      <w:r w:rsidRPr="008B3CD5">
        <w:rPr>
          <w:rFonts w:asciiTheme="minorHAnsi" w:hAnsiTheme="minorHAnsi"/>
          <w:bCs/>
          <w:sz w:val="22"/>
          <w:szCs w:val="22"/>
        </w:rPr>
        <w:t xml:space="preserve"> </w:t>
      </w:r>
      <w:r w:rsidR="005C7C61">
        <w:rPr>
          <w:rFonts w:asciiTheme="minorHAnsi" w:hAnsiTheme="minorHAnsi"/>
          <w:bCs/>
          <w:sz w:val="22"/>
          <w:szCs w:val="22"/>
        </w:rPr>
        <w:t>30 June to 26 September</w:t>
      </w:r>
      <w:r w:rsidRPr="008B3CD5">
        <w:rPr>
          <w:rFonts w:asciiTheme="minorHAnsi" w:hAnsiTheme="minorHAnsi"/>
          <w:bCs/>
          <w:sz w:val="22"/>
          <w:szCs w:val="22"/>
        </w:rPr>
        <w:t xml:space="preserve"> 2014. </w:t>
      </w:r>
      <w:r w:rsidR="002D02A2">
        <w:rPr>
          <w:rFonts w:asciiTheme="minorHAnsi" w:hAnsiTheme="minorHAnsi"/>
          <w:bCs/>
          <w:sz w:val="22"/>
          <w:szCs w:val="22"/>
        </w:rPr>
        <w:t>Four</w:t>
      </w:r>
      <w:r w:rsidR="005C7C61">
        <w:rPr>
          <w:rFonts w:asciiTheme="minorHAnsi" w:hAnsiTheme="minorHAnsi"/>
          <w:bCs/>
          <w:sz w:val="22"/>
          <w:szCs w:val="22"/>
        </w:rPr>
        <w:t xml:space="preserve"> p</w:t>
      </w:r>
      <w:r w:rsidRPr="008B3CD5">
        <w:rPr>
          <w:rFonts w:asciiTheme="minorHAnsi" w:hAnsiTheme="minorHAnsi"/>
          <w:bCs/>
          <w:sz w:val="22"/>
          <w:szCs w:val="22"/>
        </w:rPr>
        <w:t xml:space="preserve">ublic events </w:t>
      </w:r>
      <w:r w:rsidR="005C7C61">
        <w:rPr>
          <w:rFonts w:asciiTheme="minorHAnsi" w:hAnsiTheme="minorHAnsi"/>
          <w:bCs/>
          <w:sz w:val="22"/>
          <w:szCs w:val="22"/>
        </w:rPr>
        <w:t xml:space="preserve">and 14 </w:t>
      </w:r>
      <w:proofErr w:type="spellStart"/>
      <w:r w:rsidR="005C7C61">
        <w:rPr>
          <w:rFonts w:asciiTheme="minorHAnsi" w:hAnsiTheme="minorHAnsi"/>
          <w:bCs/>
          <w:sz w:val="22"/>
          <w:szCs w:val="22"/>
        </w:rPr>
        <w:t>roadshow</w:t>
      </w:r>
      <w:proofErr w:type="spellEnd"/>
      <w:r w:rsidR="005C7C61">
        <w:rPr>
          <w:rFonts w:asciiTheme="minorHAnsi" w:hAnsiTheme="minorHAnsi"/>
          <w:bCs/>
          <w:sz w:val="22"/>
          <w:szCs w:val="22"/>
        </w:rPr>
        <w:t xml:space="preserve"> events </w:t>
      </w:r>
      <w:r w:rsidRPr="008B3CD5">
        <w:rPr>
          <w:rFonts w:asciiTheme="minorHAnsi" w:hAnsiTheme="minorHAnsi"/>
          <w:bCs/>
          <w:sz w:val="22"/>
          <w:szCs w:val="22"/>
        </w:rPr>
        <w:t xml:space="preserve">were held across North Lincolnshire and North East Lincolnshire, with </w:t>
      </w:r>
      <w:r w:rsidR="002D02A2">
        <w:rPr>
          <w:rFonts w:asciiTheme="minorHAnsi" w:hAnsiTheme="minorHAnsi"/>
          <w:bCs/>
          <w:sz w:val="22"/>
          <w:szCs w:val="22"/>
        </w:rPr>
        <w:t>one</w:t>
      </w:r>
      <w:r w:rsidR="005C7C61">
        <w:rPr>
          <w:rFonts w:asciiTheme="minorHAnsi" w:hAnsiTheme="minorHAnsi"/>
          <w:bCs/>
          <w:sz w:val="22"/>
          <w:szCs w:val="22"/>
        </w:rPr>
        <w:t xml:space="preserve"> </w:t>
      </w:r>
      <w:proofErr w:type="spellStart"/>
      <w:r w:rsidR="005C7C61">
        <w:rPr>
          <w:rFonts w:asciiTheme="minorHAnsi" w:hAnsiTheme="minorHAnsi"/>
          <w:bCs/>
          <w:sz w:val="22"/>
          <w:szCs w:val="22"/>
        </w:rPr>
        <w:t>roadshow</w:t>
      </w:r>
      <w:proofErr w:type="spellEnd"/>
      <w:r w:rsidR="005C7C61">
        <w:rPr>
          <w:rFonts w:asciiTheme="minorHAnsi" w:hAnsiTheme="minorHAnsi"/>
          <w:bCs/>
          <w:sz w:val="22"/>
          <w:szCs w:val="22"/>
        </w:rPr>
        <w:t xml:space="preserve"> event being held in</w:t>
      </w:r>
      <w:r w:rsidR="001C6D68">
        <w:rPr>
          <w:rFonts w:asciiTheme="minorHAnsi" w:hAnsiTheme="minorHAnsi"/>
          <w:bCs/>
          <w:sz w:val="22"/>
          <w:szCs w:val="22"/>
        </w:rPr>
        <w:t xml:space="preserve"> Louth and </w:t>
      </w:r>
      <w:r w:rsidR="002D02A2">
        <w:rPr>
          <w:rFonts w:asciiTheme="minorHAnsi" w:hAnsiTheme="minorHAnsi"/>
          <w:bCs/>
          <w:sz w:val="22"/>
          <w:szCs w:val="22"/>
        </w:rPr>
        <w:t xml:space="preserve">one in </w:t>
      </w:r>
      <w:r w:rsidR="005C7C61">
        <w:rPr>
          <w:rFonts w:asciiTheme="minorHAnsi" w:hAnsiTheme="minorHAnsi"/>
          <w:bCs/>
          <w:sz w:val="22"/>
          <w:szCs w:val="22"/>
        </w:rPr>
        <w:t>Goole, East Riding</w:t>
      </w:r>
      <w:r w:rsidRPr="008B3CD5">
        <w:rPr>
          <w:rFonts w:asciiTheme="minorHAnsi" w:hAnsiTheme="minorHAnsi"/>
          <w:bCs/>
          <w:sz w:val="22"/>
          <w:szCs w:val="22"/>
        </w:rPr>
        <w:t xml:space="preserve">. </w:t>
      </w:r>
      <w:r w:rsidR="005C7C61">
        <w:rPr>
          <w:rFonts w:asciiTheme="minorHAnsi" w:hAnsiTheme="minorHAnsi"/>
          <w:bCs/>
          <w:sz w:val="22"/>
          <w:szCs w:val="22"/>
        </w:rPr>
        <w:t xml:space="preserve"> </w:t>
      </w:r>
      <w:r w:rsidR="002D02A2">
        <w:rPr>
          <w:rFonts w:asciiTheme="minorHAnsi" w:hAnsiTheme="minorHAnsi"/>
          <w:bCs/>
          <w:sz w:val="22"/>
          <w:szCs w:val="22"/>
        </w:rPr>
        <w:t>Two staff</w:t>
      </w:r>
      <w:r w:rsidRPr="008B3CD5">
        <w:rPr>
          <w:rFonts w:asciiTheme="minorHAnsi" w:hAnsiTheme="minorHAnsi"/>
          <w:bCs/>
          <w:sz w:val="22"/>
          <w:szCs w:val="22"/>
        </w:rPr>
        <w:t xml:space="preserve"> events were held at Scunthorpe General Hospital and Diana Princess of Wales Hospital, Grimsby respectively.  </w:t>
      </w:r>
    </w:p>
    <w:p w:rsidR="00467BA3" w:rsidRDefault="00467BA3" w:rsidP="00467BA3">
      <w:pPr>
        <w:pStyle w:val="Default"/>
        <w:spacing w:line="360" w:lineRule="auto"/>
        <w:ind w:left="360"/>
        <w:jc w:val="both"/>
        <w:rPr>
          <w:rFonts w:asciiTheme="minorHAnsi" w:hAnsiTheme="minorHAnsi"/>
          <w:bCs/>
          <w:sz w:val="22"/>
          <w:szCs w:val="22"/>
        </w:rPr>
      </w:pPr>
    </w:p>
    <w:p w:rsidR="00597992" w:rsidRPr="00D15C5B" w:rsidRDefault="00D15C5B" w:rsidP="00D15C5B">
      <w:pPr>
        <w:pStyle w:val="Default"/>
        <w:numPr>
          <w:ilvl w:val="0"/>
          <w:numId w:val="14"/>
        </w:numPr>
        <w:spacing w:line="360" w:lineRule="auto"/>
        <w:ind w:left="1077" w:hanging="357"/>
        <w:jc w:val="both"/>
        <w:rPr>
          <w:rFonts w:asciiTheme="minorHAnsi" w:hAnsiTheme="minorHAnsi"/>
          <w:bCs/>
          <w:color w:val="auto"/>
          <w:sz w:val="22"/>
          <w:szCs w:val="22"/>
        </w:rPr>
      </w:pPr>
      <w:r w:rsidRPr="00D15C5B">
        <w:rPr>
          <w:rFonts w:asciiTheme="minorHAnsi" w:hAnsiTheme="minorHAnsi"/>
          <w:color w:val="auto"/>
          <w:sz w:val="22"/>
          <w:szCs w:val="22"/>
        </w:rPr>
        <w:t>Over 10,000 consultatio</w:t>
      </w:r>
      <w:r>
        <w:rPr>
          <w:rFonts w:asciiTheme="minorHAnsi" w:hAnsiTheme="minorHAnsi"/>
          <w:color w:val="auto"/>
          <w:sz w:val="22"/>
          <w:szCs w:val="22"/>
        </w:rPr>
        <w:t>n booklets were distributed to </w:t>
      </w:r>
      <w:r w:rsidRPr="00D15C5B">
        <w:rPr>
          <w:rFonts w:asciiTheme="minorHAnsi" w:hAnsiTheme="minorHAnsi"/>
          <w:color w:val="auto"/>
          <w:sz w:val="22"/>
          <w:szCs w:val="22"/>
        </w:rPr>
        <w:t>key stakeholder groups, including GP Practices, libraries, residential homes and community and voluntary groups</w:t>
      </w:r>
      <w:r w:rsidR="008B3CD5" w:rsidRPr="00D15C5B">
        <w:rPr>
          <w:rFonts w:asciiTheme="minorHAnsi" w:hAnsiTheme="minorHAnsi"/>
          <w:bCs/>
          <w:color w:val="auto"/>
          <w:sz w:val="22"/>
          <w:szCs w:val="22"/>
        </w:rPr>
        <w:t xml:space="preserve">. </w:t>
      </w:r>
    </w:p>
    <w:p w:rsidR="00D15C5B" w:rsidRPr="00D15C5B" w:rsidRDefault="00D15C5B" w:rsidP="00D15C5B">
      <w:pPr>
        <w:numPr>
          <w:ilvl w:val="0"/>
          <w:numId w:val="14"/>
        </w:numPr>
        <w:spacing w:line="360" w:lineRule="auto"/>
        <w:ind w:left="1077" w:hanging="357"/>
        <w:rPr>
          <w:rFonts w:asciiTheme="minorHAnsi" w:hAnsiTheme="minorHAnsi"/>
          <w:sz w:val="22"/>
          <w:szCs w:val="22"/>
        </w:rPr>
      </w:pPr>
      <w:r w:rsidRPr="00D15C5B">
        <w:rPr>
          <w:rFonts w:asciiTheme="minorHAnsi" w:hAnsiTheme="minorHAnsi"/>
          <w:b/>
          <w:bCs/>
          <w:sz w:val="22"/>
          <w:szCs w:val="22"/>
        </w:rPr>
        <w:t>298 formal responses</w:t>
      </w:r>
      <w:r w:rsidRPr="00D15C5B">
        <w:rPr>
          <w:rFonts w:asciiTheme="minorHAnsi" w:hAnsiTheme="minorHAnsi"/>
          <w:sz w:val="22"/>
          <w:szCs w:val="22"/>
        </w:rPr>
        <w:t xml:space="preserve"> to the consultation, comprising </w:t>
      </w:r>
      <w:r w:rsidRPr="00D15C5B">
        <w:rPr>
          <w:rFonts w:asciiTheme="minorHAnsi" w:hAnsiTheme="minorHAnsi"/>
          <w:b/>
          <w:bCs/>
          <w:sz w:val="22"/>
          <w:szCs w:val="22"/>
        </w:rPr>
        <w:t xml:space="preserve">257 questionnaires </w:t>
      </w:r>
      <w:r w:rsidRPr="00D15C5B">
        <w:rPr>
          <w:rFonts w:asciiTheme="minorHAnsi" w:hAnsiTheme="minorHAnsi"/>
          <w:sz w:val="22"/>
          <w:szCs w:val="22"/>
        </w:rPr>
        <w:t>(26 of wh</w:t>
      </w:r>
      <w:r>
        <w:rPr>
          <w:rFonts w:asciiTheme="minorHAnsi" w:hAnsiTheme="minorHAnsi"/>
          <w:sz w:val="22"/>
          <w:szCs w:val="22"/>
        </w:rPr>
        <w:t xml:space="preserve">ich were Easy Read), 6 emails, </w:t>
      </w:r>
      <w:r w:rsidRPr="00D15C5B">
        <w:rPr>
          <w:rFonts w:asciiTheme="minorHAnsi" w:hAnsiTheme="minorHAnsi"/>
          <w:sz w:val="22"/>
          <w:szCs w:val="22"/>
        </w:rPr>
        <w:t>5 Stakeholder</w:t>
      </w:r>
      <w:r>
        <w:rPr>
          <w:rFonts w:asciiTheme="minorHAnsi" w:hAnsiTheme="minorHAnsi"/>
          <w:sz w:val="22"/>
          <w:szCs w:val="22"/>
        </w:rPr>
        <w:t xml:space="preserve"> letters, 29 Comment cards and </w:t>
      </w:r>
      <w:r w:rsidRPr="00D15C5B">
        <w:rPr>
          <w:rFonts w:asciiTheme="minorHAnsi" w:hAnsiTheme="minorHAnsi"/>
          <w:sz w:val="22"/>
          <w:szCs w:val="22"/>
        </w:rPr>
        <w:t xml:space="preserve">1 Facebook query. </w:t>
      </w:r>
    </w:p>
    <w:p w:rsidR="00C70BBD" w:rsidRPr="00C70BBD" w:rsidRDefault="00C70BBD" w:rsidP="00467BA3">
      <w:pPr>
        <w:pStyle w:val="Default"/>
        <w:numPr>
          <w:ilvl w:val="0"/>
          <w:numId w:val="14"/>
        </w:numPr>
        <w:spacing w:line="360" w:lineRule="auto"/>
        <w:jc w:val="both"/>
        <w:rPr>
          <w:rFonts w:asciiTheme="minorHAnsi" w:hAnsiTheme="minorHAnsi"/>
          <w:bCs/>
          <w:sz w:val="22"/>
          <w:szCs w:val="22"/>
        </w:rPr>
      </w:pPr>
      <w:r>
        <w:rPr>
          <w:rFonts w:asciiTheme="minorHAnsi" w:hAnsiTheme="minorHAnsi"/>
          <w:bCs/>
          <w:sz w:val="22"/>
          <w:szCs w:val="22"/>
        </w:rPr>
        <w:t>Over 350 individuals were consulted at various stakeholder and community groups</w:t>
      </w:r>
      <w:r w:rsidR="001F6D43">
        <w:rPr>
          <w:rFonts w:asciiTheme="minorHAnsi" w:hAnsiTheme="minorHAnsi"/>
          <w:bCs/>
          <w:sz w:val="22"/>
          <w:szCs w:val="22"/>
        </w:rPr>
        <w:t xml:space="preserve"> </w:t>
      </w:r>
      <w:r w:rsidR="001F6D43">
        <w:rPr>
          <w:rFonts w:asciiTheme="minorHAnsi" w:hAnsiTheme="minorHAnsi"/>
          <w:bCs/>
          <w:color w:val="auto"/>
          <w:sz w:val="22"/>
          <w:szCs w:val="22"/>
        </w:rPr>
        <w:t>(including some with protected characteristics)</w:t>
      </w:r>
      <w:r>
        <w:rPr>
          <w:rFonts w:asciiTheme="minorHAnsi" w:hAnsiTheme="minorHAnsi"/>
          <w:bCs/>
          <w:sz w:val="22"/>
          <w:szCs w:val="22"/>
        </w:rPr>
        <w:t xml:space="preserve">, </w:t>
      </w:r>
      <w:r w:rsidR="001F6D43">
        <w:rPr>
          <w:rFonts w:asciiTheme="minorHAnsi" w:hAnsiTheme="minorHAnsi"/>
          <w:bCs/>
          <w:sz w:val="22"/>
          <w:szCs w:val="22"/>
        </w:rPr>
        <w:t xml:space="preserve">e.g. </w:t>
      </w:r>
      <w:r>
        <w:rPr>
          <w:rFonts w:asciiTheme="minorHAnsi" w:hAnsiTheme="minorHAnsi"/>
          <w:bCs/>
          <w:sz w:val="22"/>
          <w:szCs w:val="22"/>
        </w:rPr>
        <w:t xml:space="preserve">NL &amp; NEL </w:t>
      </w:r>
      <w:proofErr w:type="spellStart"/>
      <w:r>
        <w:rPr>
          <w:rFonts w:asciiTheme="minorHAnsi" w:hAnsiTheme="minorHAnsi"/>
          <w:bCs/>
          <w:sz w:val="22"/>
          <w:szCs w:val="22"/>
        </w:rPr>
        <w:t>Healthwatch</w:t>
      </w:r>
      <w:proofErr w:type="spellEnd"/>
      <w:r>
        <w:rPr>
          <w:rFonts w:asciiTheme="minorHAnsi" w:hAnsiTheme="minorHAnsi"/>
          <w:bCs/>
          <w:sz w:val="22"/>
          <w:szCs w:val="22"/>
        </w:rPr>
        <w:t xml:space="preserve">, Stroke Association, </w:t>
      </w:r>
      <w:r w:rsidR="001F6D43">
        <w:rPr>
          <w:rFonts w:asciiTheme="minorHAnsi" w:hAnsiTheme="minorHAnsi"/>
          <w:bCs/>
          <w:sz w:val="22"/>
          <w:szCs w:val="22"/>
        </w:rPr>
        <w:t xml:space="preserve">NL &amp; NEL OSC and </w:t>
      </w:r>
      <w:proofErr w:type="spellStart"/>
      <w:r w:rsidR="001F6D43">
        <w:rPr>
          <w:rFonts w:asciiTheme="minorHAnsi" w:hAnsiTheme="minorHAnsi"/>
          <w:bCs/>
          <w:sz w:val="22"/>
          <w:szCs w:val="22"/>
        </w:rPr>
        <w:t>NLaG</w:t>
      </w:r>
      <w:proofErr w:type="spellEnd"/>
      <w:r w:rsidR="001F6D43">
        <w:rPr>
          <w:rFonts w:asciiTheme="minorHAnsi" w:hAnsiTheme="minorHAnsi"/>
          <w:bCs/>
          <w:sz w:val="22"/>
          <w:szCs w:val="22"/>
        </w:rPr>
        <w:t xml:space="preserve"> staff engagement events at both SGH and DPOW</w:t>
      </w:r>
    </w:p>
    <w:p w:rsidR="00467BA3" w:rsidRDefault="00467BA3" w:rsidP="00467BA3">
      <w:pPr>
        <w:pStyle w:val="Default"/>
        <w:spacing w:line="360" w:lineRule="auto"/>
        <w:ind w:right="-1"/>
        <w:jc w:val="both"/>
        <w:rPr>
          <w:rFonts w:asciiTheme="minorHAnsi" w:hAnsiTheme="minorHAnsi"/>
          <w:bCs/>
          <w:sz w:val="22"/>
          <w:szCs w:val="22"/>
        </w:rPr>
      </w:pPr>
    </w:p>
    <w:p w:rsidR="00467BA3" w:rsidRDefault="00467BA3" w:rsidP="00467BA3">
      <w:pPr>
        <w:pStyle w:val="Default"/>
        <w:numPr>
          <w:ilvl w:val="0"/>
          <w:numId w:val="1"/>
        </w:numPr>
        <w:spacing w:line="360" w:lineRule="auto"/>
        <w:ind w:right="-1"/>
        <w:jc w:val="both"/>
        <w:rPr>
          <w:rFonts w:asciiTheme="minorHAnsi" w:hAnsiTheme="minorHAnsi"/>
          <w:b/>
          <w:bCs/>
          <w:color w:val="auto"/>
          <w:sz w:val="22"/>
          <w:szCs w:val="22"/>
        </w:rPr>
      </w:pPr>
      <w:r w:rsidRPr="00467BA3">
        <w:rPr>
          <w:rFonts w:asciiTheme="minorHAnsi" w:hAnsiTheme="minorHAnsi"/>
          <w:b/>
          <w:bCs/>
          <w:color w:val="auto"/>
          <w:sz w:val="22"/>
          <w:szCs w:val="22"/>
        </w:rPr>
        <w:t>Key Feedback</w:t>
      </w:r>
    </w:p>
    <w:p w:rsidR="00794072" w:rsidRDefault="00794072" w:rsidP="00794072">
      <w:pPr>
        <w:pStyle w:val="Default"/>
        <w:ind w:left="357"/>
        <w:jc w:val="both"/>
        <w:rPr>
          <w:rFonts w:asciiTheme="minorHAnsi" w:hAnsiTheme="minorHAnsi"/>
          <w:b/>
          <w:bCs/>
          <w:color w:val="auto"/>
          <w:sz w:val="22"/>
          <w:szCs w:val="22"/>
        </w:rPr>
      </w:pPr>
    </w:p>
    <w:p w:rsidR="00C376B7" w:rsidRPr="00B9382B" w:rsidRDefault="00C376B7" w:rsidP="00794072">
      <w:pPr>
        <w:pStyle w:val="Default"/>
        <w:spacing w:line="360" w:lineRule="auto"/>
        <w:ind w:right="-1"/>
        <w:jc w:val="both"/>
        <w:rPr>
          <w:rFonts w:asciiTheme="minorHAnsi" w:hAnsiTheme="minorHAnsi"/>
          <w:bCs/>
          <w:color w:val="auto"/>
          <w:sz w:val="22"/>
          <w:szCs w:val="22"/>
        </w:rPr>
      </w:pPr>
      <w:r w:rsidRPr="00B9382B">
        <w:rPr>
          <w:rFonts w:asciiTheme="minorHAnsi" w:hAnsiTheme="minorHAnsi"/>
          <w:bCs/>
          <w:color w:val="auto"/>
          <w:sz w:val="22"/>
          <w:szCs w:val="22"/>
        </w:rPr>
        <w:t xml:space="preserve">A detailed analysis of the feedback can be found in the full feedback report for the Consultation </w:t>
      </w:r>
      <w:proofErr w:type="gramStart"/>
      <w:r w:rsidRPr="00B9382B">
        <w:rPr>
          <w:rFonts w:asciiTheme="minorHAnsi" w:hAnsiTheme="minorHAnsi"/>
          <w:bCs/>
          <w:color w:val="auto"/>
          <w:sz w:val="22"/>
          <w:szCs w:val="22"/>
        </w:rPr>
        <w:t>phase</w:t>
      </w:r>
      <w:r>
        <w:rPr>
          <w:rFonts w:asciiTheme="minorHAnsi" w:hAnsiTheme="minorHAnsi"/>
          <w:bCs/>
          <w:color w:val="auto"/>
          <w:sz w:val="22"/>
          <w:szCs w:val="22"/>
        </w:rPr>
        <w:t>,</w:t>
      </w:r>
      <w:proofErr w:type="gramEnd"/>
      <w:r>
        <w:rPr>
          <w:rFonts w:asciiTheme="minorHAnsi" w:hAnsiTheme="minorHAnsi"/>
          <w:bCs/>
          <w:color w:val="auto"/>
          <w:sz w:val="22"/>
          <w:szCs w:val="22"/>
        </w:rPr>
        <w:t xml:space="preserve"> however the k</w:t>
      </w:r>
      <w:r w:rsidRPr="00B9382B">
        <w:rPr>
          <w:rFonts w:asciiTheme="minorHAnsi" w:hAnsiTheme="minorHAnsi"/>
          <w:bCs/>
          <w:color w:val="auto"/>
          <w:sz w:val="22"/>
          <w:szCs w:val="22"/>
        </w:rPr>
        <w:t xml:space="preserve">ey feedback received </w:t>
      </w:r>
      <w:r>
        <w:rPr>
          <w:rFonts w:asciiTheme="minorHAnsi" w:hAnsiTheme="minorHAnsi"/>
          <w:bCs/>
          <w:color w:val="auto"/>
          <w:sz w:val="22"/>
          <w:szCs w:val="22"/>
        </w:rPr>
        <w:t>is summarised</w:t>
      </w:r>
      <w:r w:rsidR="002D02A2">
        <w:rPr>
          <w:rFonts w:asciiTheme="minorHAnsi" w:hAnsiTheme="minorHAnsi"/>
          <w:bCs/>
          <w:color w:val="auto"/>
          <w:sz w:val="22"/>
          <w:szCs w:val="22"/>
        </w:rPr>
        <w:t xml:space="preserve"> on the next page</w:t>
      </w:r>
      <w:r w:rsidRPr="00B9382B">
        <w:rPr>
          <w:rFonts w:asciiTheme="minorHAnsi" w:hAnsiTheme="minorHAnsi"/>
          <w:bCs/>
          <w:color w:val="auto"/>
          <w:sz w:val="22"/>
          <w:szCs w:val="22"/>
        </w:rPr>
        <w:t xml:space="preserve">: </w:t>
      </w:r>
    </w:p>
    <w:p w:rsidR="002D02A2" w:rsidRDefault="002D02A2" w:rsidP="00467BA3">
      <w:pPr>
        <w:pStyle w:val="Default"/>
        <w:spacing w:line="360" w:lineRule="auto"/>
        <w:ind w:right="-1"/>
        <w:jc w:val="both"/>
        <w:rPr>
          <w:rFonts w:asciiTheme="minorHAnsi" w:hAnsiTheme="minorHAnsi"/>
          <w:bCs/>
          <w:color w:val="auto"/>
          <w:sz w:val="22"/>
          <w:szCs w:val="22"/>
          <w:u w:val="single"/>
        </w:rPr>
      </w:pPr>
    </w:p>
    <w:p w:rsidR="002D02A2" w:rsidRDefault="002D02A2" w:rsidP="00467BA3">
      <w:pPr>
        <w:pStyle w:val="Default"/>
        <w:spacing w:line="360" w:lineRule="auto"/>
        <w:ind w:right="-1"/>
        <w:jc w:val="both"/>
        <w:rPr>
          <w:rFonts w:asciiTheme="minorHAnsi" w:hAnsiTheme="minorHAnsi"/>
          <w:bCs/>
          <w:color w:val="auto"/>
          <w:sz w:val="22"/>
          <w:szCs w:val="22"/>
          <w:u w:val="single"/>
        </w:rPr>
      </w:pPr>
    </w:p>
    <w:p w:rsidR="00467BA3" w:rsidRDefault="00467BA3" w:rsidP="00467BA3">
      <w:pPr>
        <w:pStyle w:val="Default"/>
        <w:spacing w:line="360" w:lineRule="auto"/>
        <w:ind w:right="-1"/>
        <w:jc w:val="both"/>
        <w:rPr>
          <w:rFonts w:asciiTheme="minorHAnsi" w:hAnsiTheme="minorHAnsi"/>
          <w:bCs/>
          <w:color w:val="auto"/>
          <w:sz w:val="22"/>
          <w:szCs w:val="22"/>
          <w:u w:val="single"/>
        </w:rPr>
      </w:pPr>
      <w:bookmarkStart w:id="0" w:name="_GoBack"/>
      <w:bookmarkEnd w:id="0"/>
      <w:r w:rsidRPr="00467BA3">
        <w:rPr>
          <w:rFonts w:asciiTheme="minorHAnsi" w:hAnsiTheme="minorHAnsi"/>
          <w:bCs/>
          <w:color w:val="auto"/>
          <w:sz w:val="22"/>
          <w:szCs w:val="22"/>
          <w:u w:val="single"/>
        </w:rPr>
        <w:t>Feedback from stakeholders</w:t>
      </w:r>
    </w:p>
    <w:p w:rsidR="00467BA3" w:rsidRPr="00467BA3" w:rsidRDefault="00467BA3" w:rsidP="00467BA3">
      <w:pPr>
        <w:pStyle w:val="Default"/>
        <w:spacing w:line="360" w:lineRule="auto"/>
        <w:ind w:right="-1"/>
        <w:jc w:val="both"/>
        <w:rPr>
          <w:rFonts w:asciiTheme="minorHAnsi" w:hAnsiTheme="minorHAnsi"/>
          <w:bCs/>
          <w:sz w:val="22"/>
          <w:szCs w:val="22"/>
          <w:u w:val="single"/>
        </w:rPr>
      </w:pPr>
    </w:p>
    <w:p w:rsidR="00030E70" w:rsidRDefault="006960CC" w:rsidP="00EE08C0">
      <w:pPr>
        <w:pStyle w:val="Default"/>
        <w:spacing w:line="360" w:lineRule="auto"/>
        <w:ind w:right="-1"/>
        <w:jc w:val="both"/>
        <w:rPr>
          <w:rFonts w:asciiTheme="minorHAnsi" w:hAnsiTheme="minorHAnsi"/>
          <w:bCs/>
          <w:color w:val="auto"/>
          <w:sz w:val="22"/>
          <w:szCs w:val="22"/>
        </w:rPr>
      </w:pPr>
      <w:r w:rsidRPr="006960CC">
        <w:rPr>
          <w:rFonts w:asciiTheme="minorHAnsi" w:hAnsiTheme="minorHAnsi"/>
          <w:bCs/>
          <w:color w:val="auto"/>
          <w:sz w:val="22"/>
          <w:szCs w:val="22"/>
        </w:rPr>
        <w:t>Formal r</w:t>
      </w:r>
      <w:r w:rsidR="00E760AC" w:rsidRPr="006960CC">
        <w:rPr>
          <w:rFonts w:asciiTheme="minorHAnsi" w:hAnsiTheme="minorHAnsi"/>
          <w:bCs/>
          <w:color w:val="auto"/>
          <w:sz w:val="22"/>
          <w:szCs w:val="22"/>
        </w:rPr>
        <w:t>esponses</w:t>
      </w:r>
      <w:r w:rsidRPr="006960CC">
        <w:rPr>
          <w:rFonts w:asciiTheme="minorHAnsi" w:hAnsiTheme="minorHAnsi"/>
          <w:bCs/>
          <w:color w:val="auto"/>
          <w:sz w:val="22"/>
          <w:szCs w:val="22"/>
        </w:rPr>
        <w:t xml:space="preserve"> to the consultation </w:t>
      </w:r>
      <w:r w:rsidR="00E760AC" w:rsidRPr="006960CC">
        <w:rPr>
          <w:rFonts w:asciiTheme="minorHAnsi" w:hAnsiTheme="minorHAnsi"/>
          <w:bCs/>
          <w:color w:val="auto"/>
          <w:sz w:val="22"/>
          <w:szCs w:val="22"/>
        </w:rPr>
        <w:t xml:space="preserve">received from </w:t>
      </w:r>
      <w:r w:rsidRPr="006960CC">
        <w:rPr>
          <w:rFonts w:asciiTheme="minorHAnsi" w:hAnsiTheme="minorHAnsi"/>
          <w:bCs/>
          <w:color w:val="auto"/>
          <w:sz w:val="22"/>
          <w:szCs w:val="22"/>
        </w:rPr>
        <w:t xml:space="preserve">East Lindsey District Council, Health Scrutiny Committee for Lincolnshire, Lincolnshire East CCG, North East Lincolnshire Council Scrutiny Panel and North Lincolnshire Council Health Scrutiny Panel. These were broadly supportive of preferred options.  </w:t>
      </w:r>
    </w:p>
    <w:p w:rsidR="00EE08C0" w:rsidRDefault="00EE08C0" w:rsidP="00030E70">
      <w:pPr>
        <w:pStyle w:val="Default"/>
        <w:numPr>
          <w:ilvl w:val="0"/>
          <w:numId w:val="3"/>
        </w:numPr>
        <w:spacing w:line="360" w:lineRule="auto"/>
        <w:ind w:right="-1"/>
        <w:jc w:val="both"/>
        <w:rPr>
          <w:rFonts w:asciiTheme="minorHAnsi" w:hAnsiTheme="minorHAnsi"/>
          <w:bCs/>
          <w:color w:val="auto"/>
          <w:sz w:val="22"/>
          <w:szCs w:val="22"/>
        </w:rPr>
      </w:pPr>
      <w:r>
        <w:rPr>
          <w:rFonts w:asciiTheme="minorHAnsi" w:hAnsiTheme="minorHAnsi"/>
          <w:bCs/>
          <w:color w:val="auto"/>
          <w:sz w:val="22"/>
          <w:szCs w:val="22"/>
        </w:rPr>
        <w:t>NL  OSC support the preferred options, and would like the CCG’s to affirm commitment to provide day-case ENT surgery at both SGH and DPOW.</w:t>
      </w:r>
    </w:p>
    <w:p w:rsidR="0027496C" w:rsidRPr="00EE08C0" w:rsidRDefault="0027496C" w:rsidP="00EE08C0">
      <w:pPr>
        <w:pStyle w:val="Default"/>
        <w:numPr>
          <w:ilvl w:val="0"/>
          <w:numId w:val="3"/>
        </w:numPr>
        <w:spacing w:line="360" w:lineRule="auto"/>
        <w:ind w:right="-1"/>
        <w:jc w:val="both"/>
        <w:rPr>
          <w:rFonts w:asciiTheme="minorHAnsi" w:hAnsiTheme="minorHAnsi"/>
          <w:bCs/>
          <w:color w:val="auto"/>
          <w:sz w:val="22"/>
          <w:szCs w:val="22"/>
        </w:rPr>
      </w:pPr>
      <w:r>
        <w:rPr>
          <w:rFonts w:asciiTheme="minorHAnsi" w:hAnsiTheme="minorHAnsi"/>
          <w:bCs/>
          <w:color w:val="auto"/>
          <w:sz w:val="22"/>
          <w:szCs w:val="22"/>
        </w:rPr>
        <w:t xml:space="preserve">Lincolnshire Council Health Scrutiny Panel would like the </w:t>
      </w:r>
      <w:r w:rsidR="00EE08C0">
        <w:rPr>
          <w:rFonts w:asciiTheme="minorHAnsi" w:hAnsiTheme="minorHAnsi"/>
          <w:bCs/>
          <w:color w:val="auto"/>
          <w:sz w:val="22"/>
          <w:szCs w:val="22"/>
        </w:rPr>
        <w:t>ENT Inpatient Surgery outcomes to be continually monitored for the next 2 years, and they welcomed the establishment of the Transport Group in recognition of their residents’ longer journey times</w:t>
      </w:r>
    </w:p>
    <w:p w:rsidR="00E760AC" w:rsidRDefault="006960CC" w:rsidP="008B3CD5">
      <w:pPr>
        <w:pStyle w:val="Default"/>
        <w:numPr>
          <w:ilvl w:val="0"/>
          <w:numId w:val="3"/>
        </w:numPr>
        <w:spacing w:line="360" w:lineRule="auto"/>
        <w:ind w:right="-1"/>
        <w:jc w:val="both"/>
        <w:rPr>
          <w:rFonts w:asciiTheme="minorHAnsi" w:hAnsiTheme="minorHAnsi"/>
          <w:bCs/>
          <w:color w:val="auto"/>
          <w:sz w:val="22"/>
          <w:szCs w:val="22"/>
        </w:rPr>
      </w:pPr>
      <w:r w:rsidRPr="00467BA3">
        <w:rPr>
          <w:rFonts w:asciiTheme="minorHAnsi" w:hAnsiTheme="minorHAnsi"/>
          <w:bCs/>
          <w:color w:val="auto"/>
          <w:sz w:val="22"/>
          <w:szCs w:val="22"/>
        </w:rPr>
        <w:t xml:space="preserve">NEL OSC </w:t>
      </w:r>
      <w:r w:rsidR="00C376B7">
        <w:rPr>
          <w:rFonts w:asciiTheme="minorHAnsi" w:hAnsiTheme="minorHAnsi"/>
          <w:bCs/>
          <w:color w:val="auto"/>
          <w:sz w:val="22"/>
          <w:szCs w:val="22"/>
        </w:rPr>
        <w:t xml:space="preserve">supports </w:t>
      </w:r>
      <w:r w:rsidR="00EE08C0">
        <w:rPr>
          <w:rFonts w:asciiTheme="minorHAnsi" w:hAnsiTheme="minorHAnsi"/>
          <w:bCs/>
          <w:color w:val="auto"/>
          <w:sz w:val="22"/>
          <w:szCs w:val="22"/>
        </w:rPr>
        <w:t xml:space="preserve">the </w:t>
      </w:r>
      <w:r w:rsidR="00C376B7">
        <w:rPr>
          <w:rFonts w:asciiTheme="minorHAnsi" w:hAnsiTheme="minorHAnsi"/>
          <w:bCs/>
          <w:color w:val="auto"/>
          <w:sz w:val="22"/>
          <w:szCs w:val="22"/>
        </w:rPr>
        <w:t xml:space="preserve">preferred option for ENT Inpatient Surgery, but </w:t>
      </w:r>
      <w:r w:rsidRPr="00467BA3">
        <w:rPr>
          <w:rFonts w:asciiTheme="minorHAnsi" w:hAnsiTheme="minorHAnsi"/>
          <w:bCs/>
          <w:color w:val="auto"/>
          <w:sz w:val="22"/>
          <w:szCs w:val="22"/>
        </w:rPr>
        <w:t>had concerns regarding the preferred option for Hyper-Acute Stroke services</w:t>
      </w:r>
      <w:r w:rsidR="00C376B7">
        <w:rPr>
          <w:rFonts w:asciiTheme="minorHAnsi" w:hAnsiTheme="minorHAnsi"/>
          <w:bCs/>
          <w:color w:val="auto"/>
          <w:sz w:val="22"/>
          <w:szCs w:val="22"/>
        </w:rPr>
        <w:t>,</w:t>
      </w:r>
      <w:r w:rsidR="00EE08C0">
        <w:rPr>
          <w:rFonts w:asciiTheme="minorHAnsi" w:hAnsiTheme="minorHAnsi"/>
          <w:bCs/>
          <w:color w:val="auto"/>
          <w:sz w:val="22"/>
          <w:szCs w:val="22"/>
        </w:rPr>
        <w:t xml:space="preserve"> as below</w:t>
      </w:r>
      <w:r w:rsidR="00C376B7">
        <w:rPr>
          <w:rFonts w:asciiTheme="minorHAnsi" w:hAnsiTheme="minorHAnsi"/>
          <w:bCs/>
          <w:color w:val="auto"/>
          <w:sz w:val="22"/>
          <w:szCs w:val="22"/>
        </w:rPr>
        <w:t>:</w:t>
      </w:r>
    </w:p>
    <w:p w:rsidR="00C376B7" w:rsidRPr="00C376B7" w:rsidRDefault="00EE08C0" w:rsidP="002D02A2">
      <w:pPr>
        <w:numPr>
          <w:ilvl w:val="1"/>
          <w:numId w:val="17"/>
        </w:numPr>
        <w:spacing w:after="200" w:line="360" w:lineRule="auto"/>
        <w:contextualSpacing/>
        <w:jc w:val="both"/>
        <w:rPr>
          <w:rFonts w:asciiTheme="minorHAnsi" w:eastAsia="Calibri" w:hAnsiTheme="minorHAnsi" w:cs="Calibri"/>
          <w:sz w:val="22"/>
          <w:szCs w:val="22"/>
        </w:rPr>
      </w:pPr>
      <w:r>
        <w:rPr>
          <w:rFonts w:asciiTheme="minorHAnsi" w:eastAsia="Calibri" w:hAnsiTheme="minorHAnsi" w:cs="Calibri"/>
          <w:sz w:val="22"/>
          <w:szCs w:val="22"/>
        </w:rPr>
        <w:t>Suggest</w:t>
      </w:r>
      <w:r w:rsidR="00C376B7" w:rsidRPr="00C376B7">
        <w:rPr>
          <w:rFonts w:asciiTheme="minorHAnsi" w:eastAsia="Calibri" w:hAnsiTheme="minorHAnsi" w:cs="Calibri"/>
          <w:sz w:val="22"/>
          <w:szCs w:val="22"/>
        </w:rPr>
        <w:t xml:space="preserve"> that funding should be found for a CT scanner at Diana Princess of Wales Hospital, Grimsby, regardless of the outcome of this consultation. </w:t>
      </w:r>
    </w:p>
    <w:p w:rsidR="00C376B7" w:rsidRPr="00C376B7" w:rsidRDefault="00EE08C0" w:rsidP="002D02A2">
      <w:pPr>
        <w:numPr>
          <w:ilvl w:val="1"/>
          <w:numId w:val="17"/>
        </w:numPr>
        <w:spacing w:after="200" w:line="360" w:lineRule="auto"/>
        <w:contextualSpacing/>
        <w:jc w:val="both"/>
        <w:rPr>
          <w:rFonts w:asciiTheme="minorHAnsi" w:eastAsia="Calibri" w:hAnsiTheme="minorHAnsi" w:cs="Calibri"/>
          <w:sz w:val="22"/>
          <w:szCs w:val="22"/>
        </w:rPr>
      </w:pPr>
      <w:r>
        <w:rPr>
          <w:rFonts w:asciiTheme="minorHAnsi" w:eastAsia="Calibri" w:hAnsiTheme="minorHAnsi" w:cs="Calibri"/>
          <w:sz w:val="22"/>
          <w:szCs w:val="22"/>
        </w:rPr>
        <w:t>F</w:t>
      </w:r>
      <w:r w:rsidR="00C376B7">
        <w:rPr>
          <w:rFonts w:asciiTheme="minorHAnsi" w:eastAsia="Calibri" w:hAnsiTheme="minorHAnsi" w:cs="Calibri"/>
          <w:sz w:val="22"/>
          <w:szCs w:val="22"/>
        </w:rPr>
        <w:t>eel</w:t>
      </w:r>
      <w:r w:rsidR="00C376B7" w:rsidRPr="00C376B7">
        <w:rPr>
          <w:rFonts w:asciiTheme="minorHAnsi" w:eastAsia="Calibri" w:hAnsiTheme="minorHAnsi" w:cs="Calibri"/>
          <w:sz w:val="22"/>
          <w:szCs w:val="22"/>
        </w:rPr>
        <w:t xml:space="preserve"> that DPOW is there preferred option for the Hyper-Acute Stroke unit due to the higher stroke prevalence rate in NEL, higher gap in life expectancy, and feel that additional travel time puts patients at risk.</w:t>
      </w:r>
    </w:p>
    <w:p w:rsidR="00C376B7" w:rsidRPr="00C376B7" w:rsidRDefault="00C376B7" w:rsidP="002D02A2">
      <w:pPr>
        <w:numPr>
          <w:ilvl w:val="1"/>
          <w:numId w:val="17"/>
        </w:numPr>
        <w:spacing w:after="200" w:line="360" w:lineRule="auto"/>
        <w:contextualSpacing/>
        <w:jc w:val="both"/>
        <w:rPr>
          <w:rFonts w:asciiTheme="minorHAnsi" w:eastAsia="Calibri" w:hAnsiTheme="minorHAnsi" w:cs="Calibri"/>
          <w:sz w:val="22"/>
          <w:szCs w:val="22"/>
        </w:rPr>
      </w:pPr>
      <w:r>
        <w:rPr>
          <w:rFonts w:asciiTheme="minorHAnsi" w:eastAsia="Calibri" w:hAnsiTheme="minorHAnsi" w:cs="Calibri"/>
          <w:sz w:val="22"/>
          <w:szCs w:val="22"/>
        </w:rPr>
        <w:t>Would</w:t>
      </w:r>
      <w:r w:rsidRPr="00C376B7">
        <w:rPr>
          <w:rFonts w:asciiTheme="minorHAnsi" w:eastAsia="Calibri" w:hAnsiTheme="minorHAnsi" w:cs="Calibri"/>
          <w:sz w:val="22"/>
          <w:szCs w:val="22"/>
        </w:rPr>
        <w:t xml:space="preserve"> like more information about patient outcomes for Hyper-Acute Stroke </w:t>
      </w:r>
      <w:proofErr w:type="gramStart"/>
      <w:r w:rsidRPr="00C376B7">
        <w:rPr>
          <w:rFonts w:asciiTheme="minorHAnsi" w:eastAsia="Calibri" w:hAnsiTheme="minorHAnsi" w:cs="Calibri"/>
          <w:sz w:val="22"/>
          <w:szCs w:val="22"/>
        </w:rPr>
        <w:t>services</w:t>
      </w:r>
      <w:proofErr w:type="gramEnd"/>
      <w:r w:rsidRPr="00C376B7">
        <w:rPr>
          <w:rFonts w:asciiTheme="minorHAnsi" w:eastAsia="Calibri" w:hAnsiTheme="minorHAnsi" w:cs="Calibri"/>
          <w:sz w:val="22"/>
          <w:szCs w:val="22"/>
        </w:rPr>
        <w:t xml:space="preserve"> (how many people survive and quality of life post stroke now compared to before centralisation).</w:t>
      </w:r>
    </w:p>
    <w:p w:rsidR="00C376B7" w:rsidRPr="00C376B7" w:rsidRDefault="00C376B7" w:rsidP="002D02A2">
      <w:pPr>
        <w:numPr>
          <w:ilvl w:val="1"/>
          <w:numId w:val="17"/>
        </w:numPr>
        <w:spacing w:after="200" w:line="360" w:lineRule="auto"/>
        <w:contextualSpacing/>
        <w:jc w:val="both"/>
        <w:rPr>
          <w:rFonts w:asciiTheme="minorHAnsi" w:eastAsia="Calibri" w:hAnsiTheme="minorHAnsi" w:cs="Calibri"/>
          <w:sz w:val="22"/>
          <w:szCs w:val="22"/>
        </w:rPr>
      </w:pPr>
      <w:r>
        <w:rPr>
          <w:rFonts w:asciiTheme="minorHAnsi" w:eastAsia="Calibri" w:hAnsiTheme="minorHAnsi" w:cs="Calibri"/>
          <w:sz w:val="22"/>
          <w:szCs w:val="22"/>
        </w:rPr>
        <w:t>Would</w:t>
      </w:r>
      <w:r w:rsidRPr="00C376B7">
        <w:rPr>
          <w:rFonts w:asciiTheme="minorHAnsi" w:eastAsia="Calibri" w:hAnsiTheme="minorHAnsi" w:cs="Calibri"/>
          <w:sz w:val="22"/>
          <w:szCs w:val="22"/>
        </w:rPr>
        <w:t xml:space="preserve"> like to see more information about EMAS capacity.</w:t>
      </w:r>
    </w:p>
    <w:p w:rsidR="00C376B7" w:rsidRPr="00C376B7" w:rsidRDefault="00C376B7" w:rsidP="002D02A2">
      <w:pPr>
        <w:numPr>
          <w:ilvl w:val="1"/>
          <w:numId w:val="17"/>
        </w:numPr>
        <w:spacing w:after="200" w:line="360" w:lineRule="auto"/>
        <w:contextualSpacing/>
        <w:jc w:val="both"/>
        <w:rPr>
          <w:rFonts w:asciiTheme="minorHAnsi" w:eastAsia="Calibri" w:hAnsiTheme="minorHAnsi" w:cs="Calibri"/>
          <w:sz w:val="22"/>
          <w:szCs w:val="22"/>
        </w:rPr>
      </w:pPr>
      <w:r>
        <w:rPr>
          <w:rFonts w:asciiTheme="minorHAnsi" w:eastAsia="Calibri" w:hAnsiTheme="minorHAnsi" w:cs="Calibri"/>
          <w:sz w:val="22"/>
          <w:szCs w:val="22"/>
        </w:rPr>
        <w:t>Feel</w:t>
      </w:r>
      <w:r w:rsidRPr="00C376B7">
        <w:rPr>
          <w:rFonts w:asciiTheme="minorHAnsi" w:eastAsia="Calibri" w:hAnsiTheme="minorHAnsi" w:cs="Calibri"/>
          <w:sz w:val="22"/>
          <w:szCs w:val="22"/>
        </w:rPr>
        <w:t xml:space="preserve"> the high numbers of older people, low income levels, low car ownership, lack of public transport means that NEL residents are impacted more adversely than NL residents would be if it was at DPOW.</w:t>
      </w:r>
    </w:p>
    <w:p w:rsidR="00C376B7" w:rsidRDefault="00C376B7" w:rsidP="00D476D8">
      <w:pPr>
        <w:numPr>
          <w:ilvl w:val="1"/>
          <w:numId w:val="17"/>
        </w:numPr>
        <w:spacing w:line="360" w:lineRule="auto"/>
        <w:contextualSpacing/>
        <w:jc w:val="both"/>
        <w:rPr>
          <w:rFonts w:asciiTheme="minorHAnsi" w:eastAsia="Calibri" w:hAnsiTheme="minorHAnsi" w:cs="Calibri"/>
          <w:sz w:val="22"/>
          <w:szCs w:val="22"/>
        </w:rPr>
      </w:pPr>
      <w:r>
        <w:rPr>
          <w:rFonts w:asciiTheme="minorHAnsi" w:eastAsia="Calibri" w:hAnsiTheme="minorHAnsi" w:cs="Calibri"/>
          <w:sz w:val="22"/>
          <w:szCs w:val="22"/>
        </w:rPr>
        <w:t>Are</w:t>
      </w:r>
      <w:r w:rsidRPr="00C376B7">
        <w:rPr>
          <w:rFonts w:asciiTheme="minorHAnsi" w:eastAsia="Calibri" w:hAnsiTheme="minorHAnsi" w:cs="Calibri"/>
          <w:sz w:val="22"/>
          <w:szCs w:val="22"/>
        </w:rPr>
        <w:t xml:space="preserve"> concerned about what they feel is a low response rate for the consultation.</w:t>
      </w:r>
    </w:p>
    <w:p w:rsidR="0027496C" w:rsidRPr="008A58AF" w:rsidRDefault="0027496C" w:rsidP="00D476D8">
      <w:pPr>
        <w:pStyle w:val="ListParagraph"/>
        <w:numPr>
          <w:ilvl w:val="0"/>
          <w:numId w:val="17"/>
        </w:numPr>
        <w:spacing w:after="0" w:line="360" w:lineRule="auto"/>
        <w:ind w:left="714" w:hanging="357"/>
        <w:rPr>
          <w:rFonts w:asciiTheme="minorHAnsi" w:hAnsiTheme="minorHAnsi"/>
        </w:rPr>
      </w:pPr>
      <w:r w:rsidRPr="0027496C">
        <w:rPr>
          <w:rFonts w:asciiTheme="minorHAnsi" w:hAnsiTheme="minorHAnsi" w:cs="Calibri"/>
        </w:rPr>
        <w:t xml:space="preserve">NL </w:t>
      </w:r>
      <w:proofErr w:type="spellStart"/>
      <w:r w:rsidRPr="0027496C">
        <w:rPr>
          <w:rFonts w:asciiTheme="minorHAnsi" w:hAnsiTheme="minorHAnsi" w:cs="Calibri"/>
        </w:rPr>
        <w:t>Healthwatch</w:t>
      </w:r>
      <w:proofErr w:type="spellEnd"/>
      <w:r w:rsidRPr="0027496C">
        <w:rPr>
          <w:rFonts w:asciiTheme="minorHAnsi" w:hAnsiTheme="minorHAnsi" w:cs="Calibri"/>
        </w:rPr>
        <w:t xml:space="preserve"> was in full support of the preferred options, </w:t>
      </w:r>
      <w:r w:rsidRPr="0027496C">
        <w:rPr>
          <w:rFonts w:asciiTheme="minorHAnsi" w:hAnsiTheme="minorHAnsi"/>
        </w:rPr>
        <w:t xml:space="preserve">as long as day case and outpatient services remain at both Scunthorpe and Grimsby. </w:t>
      </w:r>
    </w:p>
    <w:p w:rsidR="008A58AF" w:rsidRPr="0027496C" w:rsidRDefault="008A58AF" w:rsidP="00D476D8">
      <w:pPr>
        <w:pStyle w:val="ListParagraph"/>
        <w:numPr>
          <w:ilvl w:val="0"/>
          <w:numId w:val="17"/>
        </w:numPr>
        <w:spacing w:after="0" w:line="360" w:lineRule="auto"/>
        <w:ind w:left="714" w:hanging="357"/>
        <w:rPr>
          <w:rFonts w:asciiTheme="minorHAnsi" w:hAnsiTheme="minorHAnsi"/>
        </w:rPr>
      </w:pPr>
      <w:r>
        <w:rPr>
          <w:rFonts w:asciiTheme="minorHAnsi" w:hAnsiTheme="minorHAnsi" w:cs="Calibri"/>
        </w:rPr>
        <w:t xml:space="preserve">NEL </w:t>
      </w:r>
      <w:proofErr w:type="spellStart"/>
      <w:r>
        <w:rPr>
          <w:rFonts w:asciiTheme="minorHAnsi" w:hAnsiTheme="minorHAnsi" w:cs="Calibri"/>
        </w:rPr>
        <w:t>Healthwatch</w:t>
      </w:r>
      <w:proofErr w:type="spellEnd"/>
      <w:r>
        <w:rPr>
          <w:rFonts w:asciiTheme="minorHAnsi" w:hAnsiTheme="minorHAnsi" w:cs="Calibri"/>
        </w:rPr>
        <w:t xml:space="preserve"> </w:t>
      </w:r>
      <w:r w:rsidR="00C74371">
        <w:rPr>
          <w:rFonts w:asciiTheme="minorHAnsi" w:hAnsiTheme="minorHAnsi" w:cs="Calibri"/>
        </w:rPr>
        <w:t xml:space="preserve">members could see and understand the rationale for the preferred options but had concerns over transport issues and access for families and carers. </w:t>
      </w:r>
      <w:r>
        <w:rPr>
          <w:rFonts w:asciiTheme="minorHAnsi" w:hAnsiTheme="minorHAnsi" w:cs="Calibri"/>
        </w:rPr>
        <w:t xml:space="preserve"> </w:t>
      </w:r>
    </w:p>
    <w:p w:rsidR="002D02A2" w:rsidRDefault="002D02A2" w:rsidP="002D02A2">
      <w:pPr>
        <w:spacing w:line="360" w:lineRule="auto"/>
        <w:ind w:left="357"/>
        <w:rPr>
          <w:rFonts w:asciiTheme="minorHAnsi" w:eastAsia="Calibri" w:hAnsiTheme="minorHAnsi" w:cs="Calibri"/>
          <w:sz w:val="22"/>
          <w:szCs w:val="22"/>
        </w:rPr>
      </w:pPr>
    </w:p>
    <w:p w:rsidR="002D02A2" w:rsidRDefault="002D02A2" w:rsidP="002D02A2">
      <w:pPr>
        <w:spacing w:line="360" w:lineRule="auto"/>
        <w:ind w:left="357"/>
        <w:rPr>
          <w:rFonts w:asciiTheme="minorHAnsi" w:eastAsia="Calibri" w:hAnsiTheme="minorHAnsi" w:cs="Calibri"/>
          <w:sz w:val="22"/>
          <w:szCs w:val="22"/>
        </w:rPr>
      </w:pPr>
      <w:r w:rsidRPr="002D02A2">
        <w:rPr>
          <w:rFonts w:asciiTheme="minorHAnsi" w:eastAsia="Calibri" w:hAnsiTheme="minorHAnsi" w:cs="Calibri"/>
          <w:sz w:val="22"/>
          <w:szCs w:val="22"/>
        </w:rPr>
        <w:lastRenderedPageBreak/>
        <w:t xml:space="preserve">A formal written response will be provided to each Scrutiny Committee and conversations with local OSC’s will continue to address the points raised, as part of the on-going engagement for the Healthy Lives, Healthy Futures programme. </w:t>
      </w:r>
    </w:p>
    <w:p w:rsidR="00794072" w:rsidRPr="002D02A2" w:rsidRDefault="00794072" w:rsidP="002D02A2">
      <w:pPr>
        <w:spacing w:line="360" w:lineRule="auto"/>
        <w:ind w:left="357"/>
        <w:rPr>
          <w:rFonts w:asciiTheme="minorHAnsi" w:eastAsia="Calibri" w:hAnsiTheme="minorHAnsi" w:cs="Calibri"/>
          <w:sz w:val="22"/>
          <w:szCs w:val="22"/>
        </w:rPr>
      </w:pPr>
    </w:p>
    <w:p w:rsidR="00597992" w:rsidRDefault="00597992" w:rsidP="006654FF">
      <w:pPr>
        <w:pStyle w:val="Default"/>
        <w:spacing w:line="360" w:lineRule="auto"/>
        <w:ind w:left="357" w:right="-1"/>
        <w:jc w:val="both"/>
        <w:rPr>
          <w:rFonts w:asciiTheme="minorHAnsi" w:hAnsiTheme="minorHAnsi"/>
          <w:bCs/>
          <w:color w:val="auto"/>
          <w:sz w:val="22"/>
          <w:szCs w:val="22"/>
          <w:u w:val="single"/>
        </w:rPr>
      </w:pPr>
      <w:r w:rsidRPr="00597992">
        <w:rPr>
          <w:rFonts w:asciiTheme="minorHAnsi" w:hAnsiTheme="minorHAnsi"/>
          <w:bCs/>
          <w:color w:val="auto"/>
          <w:sz w:val="22"/>
          <w:szCs w:val="22"/>
          <w:u w:val="single"/>
        </w:rPr>
        <w:t>Feedback from the Questionnaire</w:t>
      </w:r>
    </w:p>
    <w:p w:rsidR="00597992" w:rsidRPr="00597992" w:rsidRDefault="00597992" w:rsidP="00597992">
      <w:pPr>
        <w:pStyle w:val="Default"/>
        <w:spacing w:line="360" w:lineRule="auto"/>
        <w:ind w:right="-1"/>
        <w:jc w:val="both"/>
        <w:rPr>
          <w:rFonts w:asciiTheme="minorHAnsi" w:hAnsiTheme="minorHAnsi"/>
          <w:bCs/>
          <w:color w:val="auto"/>
          <w:sz w:val="22"/>
          <w:szCs w:val="22"/>
          <w:u w:val="single"/>
        </w:rPr>
      </w:pPr>
    </w:p>
    <w:p w:rsidR="008B3CD5" w:rsidRDefault="0080476E" w:rsidP="008B3CD5">
      <w:pPr>
        <w:pStyle w:val="Default"/>
        <w:numPr>
          <w:ilvl w:val="0"/>
          <w:numId w:val="4"/>
        </w:numPr>
        <w:spacing w:line="360" w:lineRule="auto"/>
        <w:ind w:right="-1"/>
        <w:jc w:val="both"/>
        <w:rPr>
          <w:rFonts w:asciiTheme="minorHAnsi" w:hAnsiTheme="minorHAnsi"/>
          <w:bCs/>
          <w:color w:val="auto"/>
          <w:sz w:val="22"/>
          <w:szCs w:val="22"/>
        </w:rPr>
      </w:pPr>
      <w:r w:rsidRPr="00D476D8">
        <w:rPr>
          <w:rFonts w:asciiTheme="minorHAnsi" w:hAnsiTheme="minorHAnsi"/>
          <w:bCs/>
          <w:color w:val="auto"/>
          <w:sz w:val="22"/>
          <w:szCs w:val="22"/>
        </w:rPr>
        <w:t xml:space="preserve">69% of </w:t>
      </w:r>
      <w:r w:rsidRPr="00597992">
        <w:rPr>
          <w:rFonts w:asciiTheme="minorHAnsi" w:hAnsiTheme="minorHAnsi"/>
          <w:bCs/>
          <w:color w:val="auto"/>
          <w:sz w:val="22"/>
          <w:szCs w:val="22"/>
        </w:rPr>
        <w:t>respondents agreed with preferred option</w:t>
      </w:r>
      <w:r w:rsidR="00901539">
        <w:rPr>
          <w:rFonts w:asciiTheme="minorHAnsi" w:hAnsiTheme="minorHAnsi"/>
          <w:bCs/>
          <w:color w:val="auto"/>
          <w:sz w:val="22"/>
          <w:szCs w:val="22"/>
        </w:rPr>
        <w:t>s</w:t>
      </w:r>
      <w:r w:rsidRPr="00597992">
        <w:rPr>
          <w:rFonts w:asciiTheme="minorHAnsi" w:hAnsiTheme="minorHAnsi"/>
          <w:bCs/>
          <w:color w:val="auto"/>
          <w:sz w:val="22"/>
          <w:szCs w:val="22"/>
        </w:rPr>
        <w:t xml:space="preserve"> for </w:t>
      </w:r>
      <w:r w:rsidR="00901539">
        <w:rPr>
          <w:rFonts w:asciiTheme="minorHAnsi" w:hAnsiTheme="minorHAnsi"/>
          <w:bCs/>
          <w:color w:val="auto"/>
          <w:sz w:val="22"/>
          <w:szCs w:val="22"/>
        </w:rPr>
        <w:t xml:space="preserve">both </w:t>
      </w:r>
      <w:r w:rsidRPr="00597992">
        <w:rPr>
          <w:rFonts w:asciiTheme="minorHAnsi" w:hAnsiTheme="minorHAnsi"/>
          <w:bCs/>
          <w:color w:val="auto"/>
          <w:sz w:val="22"/>
          <w:szCs w:val="22"/>
        </w:rPr>
        <w:t>Hyper-acute stroke</w:t>
      </w:r>
      <w:r w:rsidR="00901539">
        <w:rPr>
          <w:rFonts w:asciiTheme="minorHAnsi" w:hAnsiTheme="minorHAnsi"/>
          <w:bCs/>
          <w:color w:val="auto"/>
          <w:sz w:val="22"/>
          <w:szCs w:val="22"/>
        </w:rPr>
        <w:t xml:space="preserve"> and ENT inpatient surgery</w:t>
      </w:r>
    </w:p>
    <w:p w:rsidR="002E23EA" w:rsidRPr="00D476D8" w:rsidRDefault="002E23EA" w:rsidP="00D476D8">
      <w:pPr>
        <w:pStyle w:val="ListParagraph"/>
        <w:numPr>
          <w:ilvl w:val="0"/>
          <w:numId w:val="4"/>
        </w:numPr>
        <w:rPr>
          <w:rFonts w:cs="Calibri"/>
        </w:rPr>
      </w:pPr>
      <w:r w:rsidRPr="00D476D8">
        <w:rPr>
          <w:rFonts w:cs="Calibri"/>
        </w:rPr>
        <w:t>61% (82)</w:t>
      </w:r>
      <w:r w:rsidRPr="00D476D8">
        <w:rPr>
          <w:noProof/>
        </w:rPr>
        <w:t xml:space="preserve"> </w:t>
      </w:r>
      <w:r w:rsidRPr="00D476D8">
        <w:rPr>
          <w:rFonts w:cs="Calibri"/>
        </w:rPr>
        <w:t xml:space="preserve">of respondents who live in North East Lincolnshire agreed </w:t>
      </w:r>
      <w:r w:rsidR="00D476D8" w:rsidRPr="00D476D8">
        <w:rPr>
          <w:rFonts w:cs="Calibri"/>
        </w:rPr>
        <w:t>with the preferred option</w:t>
      </w:r>
      <w:r w:rsidRPr="00D476D8">
        <w:rPr>
          <w:rFonts w:cs="Calibri"/>
        </w:rPr>
        <w:t xml:space="preserve">. </w:t>
      </w:r>
    </w:p>
    <w:p w:rsidR="002E23EA" w:rsidRPr="00D476D8" w:rsidRDefault="002E23EA" w:rsidP="00D476D8">
      <w:pPr>
        <w:pStyle w:val="Default"/>
        <w:numPr>
          <w:ilvl w:val="0"/>
          <w:numId w:val="4"/>
        </w:numPr>
        <w:spacing w:line="360" w:lineRule="auto"/>
        <w:ind w:right="-1"/>
        <w:jc w:val="both"/>
        <w:rPr>
          <w:rFonts w:asciiTheme="minorHAnsi" w:hAnsiTheme="minorHAnsi"/>
          <w:bCs/>
          <w:color w:val="auto"/>
          <w:sz w:val="22"/>
          <w:szCs w:val="22"/>
        </w:rPr>
      </w:pPr>
      <w:r w:rsidRPr="00D476D8">
        <w:rPr>
          <w:rFonts w:ascii="Calibri" w:eastAsia="Calibri" w:hAnsi="Calibri" w:cs="Calibri"/>
          <w:color w:val="auto"/>
          <w:sz w:val="22"/>
          <w:szCs w:val="22"/>
        </w:rPr>
        <w:t>80% (52)</w:t>
      </w:r>
      <w:r w:rsidRPr="00D476D8">
        <w:rPr>
          <w:rFonts w:ascii="Calibri" w:eastAsia="Calibri" w:hAnsi="Calibri"/>
          <w:noProof/>
          <w:color w:val="auto"/>
          <w:sz w:val="22"/>
          <w:szCs w:val="22"/>
        </w:rPr>
        <w:t xml:space="preserve"> </w:t>
      </w:r>
      <w:r w:rsidRPr="00D476D8">
        <w:rPr>
          <w:rFonts w:ascii="Calibri" w:eastAsia="Calibri" w:hAnsi="Calibri" w:cs="Calibri"/>
          <w:sz w:val="22"/>
          <w:szCs w:val="22"/>
        </w:rPr>
        <w:t>of respondents who live in North Lincolnshire agreed</w:t>
      </w:r>
      <w:r w:rsidR="00D476D8">
        <w:rPr>
          <w:rFonts w:ascii="Calibri" w:eastAsia="Calibri" w:hAnsi="Calibri" w:cs="Calibri"/>
          <w:sz w:val="22"/>
          <w:szCs w:val="22"/>
        </w:rPr>
        <w:t xml:space="preserve"> with the preferred option.</w:t>
      </w:r>
    </w:p>
    <w:p w:rsidR="008B3CD5" w:rsidRDefault="008B3CD5" w:rsidP="008B3CD5">
      <w:pPr>
        <w:pStyle w:val="Default"/>
        <w:spacing w:line="360" w:lineRule="auto"/>
        <w:ind w:left="360" w:right="-1"/>
        <w:jc w:val="both"/>
        <w:rPr>
          <w:rFonts w:asciiTheme="minorHAnsi" w:hAnsiTheme="minorHAnsi"/>
          <w:bCs/>
          <w:sz w:val="22"/>
          <w:szCs w:val="22"/>
          <w:u w:val="single"/>
        </w:rPr>
      </w:pPr>
    </w:p>
    <w:p w:rsidR="00597992" w:rsidRDefault="008B3CD5" w:rsidP="00D476D8">
      <w:pPr>
        <w:pStyle w:val="Default"/>
        <w:spacing w:line="360" w:lineRule="auto"/>
        <w:ind w:left="360" w:right="-1"/>
        <w:jc w:val="both"/>
        <w:rPr>
          <w:rFonts w:asciiTheme="minorHAnsi" w:hAnsiTheme="minorHAnsi"/>
          <w:bCs/>
          <w:sz w:val="22"/>
          <w:szCs w:val="22"/>
        </w:rPr>
      </w:pPr>
      <w:r w:rsidRPr="006654FF">
        <w:rPr>
          <w:rFonts w:asciiTheme="minorHAnsi" w:hAnsiTheme="minorHAnsi"/>
          <w:bCs/>
          <w:color w:val="000000" w:themeColor="text1"/>
          <w:sz w:val="22"/>
          <w:szCs w:val="22"/>
          <w:u w:val="single"/>
        </w:rPr>
        <w:t xml:space="preserve">Open ended responses </w:t>
      </w:r>
      <w:r w:rsidRPr="008B3CD5">
        <w:rPr>
          <w:rFonts w:asciiTheme="minorHAnsi" w:hAnsiTheme="minorHAnsi"/>
          <w:bCs/>
          <w:sz w:val="22"/>
          <w:szCs w:val="22"/>
          <w:u w:val="single"/>
        </w:rPr>
        <w:t>and comments received</w:t>
      </w:r>
      <w:r w:rsidRPr="008B3CD5">
        <w:rPr>
          <w:rFonts w:asciiTheme="minorHAnsi" w:hAnsiTheme="minorHAnsi"/>
          <w:bCs/>
          <w:sz w:val="22"/>
          <w:szCs w:val="22"/>
        </w:rPr>
        <w:t xml:space="preserve"> </w:t>
      </w:r>
    </w:p>
    <w:p w:rsidR="00D4542D" w:rsidRDefault="00D4542D" w:rsidP="008B3CD5">
      <w:pPr>
        <w:pStyle w:val="Default"/>
        <w:spacing w:line="360" w:lineRule="auto"/>
        <w:ind w:left="360" w:right="-1"/>
        <w:jc w:val="both"/>
        <w:rPr>
          <w:rFonts w:asciiTheme="minorHAnsi" w:hAnsiTheme="minorHAnsi"/>
          <w:bCs/>
          <w:sz w:val="22"/>
          <w:szCs w:val="22"/>
        </w:rPr>
      </w:pPr>
    </w:p>
    <w:p w:rsidR="00D4542D" w:rsidRDefault="00C74371" w:rsidP="00D4542D">
      <w:pPr>
        <w:pStyle w:val="Default"/>
        <w:spacing w:line="360" w:lineRule="auto"/>
        <w:ind w:left="360" w:right="-1"/>
        <w:jc w:val="both"/>
        <w:rPr>
          <w:rFonts w:asciiTheme="minorHAnsi" w:hAnsiTheme="minorHAnsi"/>
          <w:bCs/>
          <w:sz w:val="22"/>
          <w:szCs w:val="22"/>
        </w:rPr>
      </w:pPr>
      <w:r>
        <w:rPr>
          <w:rFonts w:asciiTheme="minorHAnsi" w:hAnsiTheme="minorHAnsi"/>
          <w:bCs/>
          <w:sz w:val="22"/>
          <w:szCs w:val="22"/>
        </w:rPr>
        <w:t>Feedback on</w:t>
      </w:r>
      <w:r w:rsidR="00D4542D">
        <w:rPr>
          <w:rFonts w:asciiTheme="minorHAnsi" w:hAnsiTheme="minorHAnsi"/>
          <w:bCs/>
          <w:sz w:val="22"/>
          <w:szCs w:val="22"/>
        </w:rPr>
        <w:t xml:space="preserve"> Localised Care:</w:t>
      </w:r>
    </w:p>
    <w:p w:rsidR="00D476D8" w:rsidRDefault="00D476D8" w:rsidP="00D476D8">
      <w:pPr>
        <w:pStyle w:val="Default"/>
        <w:numPr>
          <w:ilvl w:val="0"/>
          <w:numId w:val="18"/>
        </w:numPr>
        <w:spacing w:line="360" w:lineRule="auto"/>
        <w:ind w:right="-1"/>
        <w:jc w:val="both"/>
        <w:rPr>
          <w:rFonts w:asciiTheme="minorHAnsi" w:hAnsiTheme="minorHAnsi"/>
          <w:bCs/>
          <w:sz w:val="22"/>
          <w:szCs w:val="22"/>
        </w:rPr>
      </w:pPr>
      <w:r>
        <w:rPr>
          <w:rFonts w:asciiTheme="minorHAnsi" w:hAnsiTheme="minorHAnsi"/>
          <w:bCs/>
          <w:sz w:val="22"/>
          <w:szCs w:val="22"/>
        </w:rPr>
        <w:t>Preference for both Grimsby and Scunthorpe residents to equality of access to both services and expertise in their local area</w:t>
      </w:r>
    </w:p>
    <w:p w:rsidR="00D476D8" w:rsidRDefault="00D476D8" w:rsidP="00D476D8">
      <w:pPr>
        <w:pStyle w:val="Default"/>
        <w:numPr>
          <w:ilvl w:val="0"/>
          <w:numId w:val="18"/>
        </w:numPr>
        <w:spacing w:line="360" w:lineRule="auto"/>
        <w:ind w:right="-1"/>
        <w:jc w:val="both"/>
        <w:rPr>
          <w:rFonts w:asciiTheme="minorHAnsi" w:hAnsiTheme="minorHAnsi"/>
          <w:bCs/>
          <w:sz w:val="22"/>
          <w:szCs w:val="22"/>
        </w:rPr>
      </w:pPr>
      <w:r>
        <w:rPr>
          <w:rFonts w:asciiTheme="minorHAnsi" w:hAnsiTheme="minorHAnsi"/>
          <w:bCs/>
          <w:sz w:val="22"/>
          <w:szCs w:val="22"/>
        </w:rPr>
        <w:t>Concerns that the Stroke unit being based at SGH would mean longer ambulance response times for those out of the area</w:t>
      </w:r>
    </w:p>
    <w:p w:rsidR="00D476D8" w:rsidRDefault="00D476D8" w:rsidP="00D4542D">
      <w:pPr>
        <w:pStyle w:val="Default"/>
        <w:numPr>
          <w:ilvl w:val="0"/>
          <w:numId w:val="18"/>
        </w:numPr>
        <w:spacing w:line="360" w:lineRule="auto"/>
        <w:ind w:right="-1"/>
        <w:jc w:val="both"/>
        <w:rPr>
          <w:rFonts w:asciiTheme="minorHAnsi" w:hAnsiTheme="minorHAnsi"/>
          <w:bCs/>
          <w:sz w:val="22"/>
          <w:szCs w:val="22"/>
        </w:rPr>
      </w:pPr>
      <w:r w:rsidRPr="00D4542D">
        <w:rPr>
          <w:rFonts w:asciiTheme="minorHAnsi" w:hAnsiTheme="minorHAnsi"/>
          <w:bCs/>
          <w:sz w:val="22"/>
          <w:szCs w:val="22"/>
        </w:rPr>
        <w:t>Transport concerns raised</w:t>
      </w:r>
      <w:r w:rsidR="00D4542D" w:rsidRPr="00D4542D">
        <w:rPr>
          <w:rFonts w:asciiTheme="minorHAnsi" w:hAnsiTheme="minorHAnsi"/>
          <w:bCs/>
          <w:sz w:val="22"/>
          <w:szCs w:val="22"/>
        </w:rPr>
        <w:t xml:space="preserve"> such as</w:t>
      </w:r>
      <w:r w:rsidR="00D4542D">
        <w:rPr>
          <w:rFonts w:asciiTheme="minorHAnsi" w:hAnsiTheme="minorHAnsi"/>
          <w:bCs/>
          <w:sz w:val="22"/>
          <w:szCs w:val="22"/>
        </w:rPr>
        <w:t xml:space="preserve"> </w:t>
      </w:r>
      <w:r w:rsidR="00D4542D" w:rsidRPr="00D4542D">
        <w:rPr>
          <w:rFonts w:asciiTheme="minorHAnsi" w:hAnsiTheme="minorHAnsi"/>
          <w:bCs/>
          <w:sz w:val="22"/>
          <w:szCs w:val="22"/>
        </w:rPr>
        <w:t>availability</w:t>
      </w:r>
      <w:r w:rsidR="00D4542D">
        <w:rPr>
          <w:rFonts w:asciiTheme="minorHAnsi" w:hAnsiTheme="minorHAnsi"/>
          <w:bCs/>
          <w:sz w:val="22"/>
          <w:szCs w:val="22"/>
        </w:rPr>
        <w:t xml:space="preserve"> and </w:t>
      </w:r>
      <w:r w:rsidR="00D4542D" w:rsidRPr="00D4542D">
        <w:rPr>
          <w:rFonts w:asciiTheme="minorHAnsi" w:hAnsiTheme="minorHAnsi"/>
          <w:bCs/>
          <w:sz w:val="22"/>
          <w:szCs w:val="22"/>
        </w:rPr>
        <w:t xml:space="preserve">cost of public transport </w:t>
      </w:r>
      <w:r w:rsidR="00D4542D">
        <w:rPr>
          <w:rFonts w:asciiTheme="minorHAnsi" w:hAnsiTheme="minorHAnsi"/>
          <w:bCs/>
          <w:sz w:val="22"/>
          <w:szCs w:val="22"/>
        </w:rPr>
        <w:t>including concerns around access for visitors</w:t>
      </w:r>
      <w:r w:rsidR="00FD7097">
        <w:rPr>
          <w:rFonts w:asciiTheme="minorHAnsi" w:hAnsiTheme="minorHAnsi"/>
          <w:bCs/>
          <w:sz w:val="22"/>
          <w:szCs w:val="22"/>
        </w:rPr>
        <w:t xml:space="preserve"> and the impact on recovery of patient</w:t>
      </w:r>
    </w:p>
    <w:p w:rsidR="00D4542D" w:rsidRPr="00D4542D" w:rsidRDefault="00D4542D" w:rsidP="00FD7097">
      <w:pPr>
        <w:pStyle w:val="Default"/>
        <w:spacing w:line="360" w:lineRule="auto"/>
        <w:ind w:left="720" w:right="-1"/>
        <w:jc w:val="both"/>
        <w:rPr>
          <w:rFonts w:asciiTheme="minorHAnsi" w:hAnsiTheme="minorHAnsi"/>
          <w:bCs/>
          <w:sz w:val="22"/>
          <w:szCs w:val="22"/>
        </w:rPr>
      </w:pPr>
    </w:p>
    <w:p w:rsidR="00901539" w:rsidRDefault="00901539" w:rsidP="008B3CD5">
      <w:pPr>
        <w:pStyle w:val="Default"/>
        <w:spacing w:line="360" w:lineRule="auto"/>
        <w:ind w:left="360" w:right="-1"/>
        <w:jc w:val="both"/>
        <w:rPr>
          <w:rFonts w:asciiTheme="minorHAnsi" w:hAnsiTheme="minorHAnsi"/>
          <w:bCs/>
          <w:sz w:val="22"/>
          <w:szCs w:val="22"/>
        </w:rPr>
      </w:pPr>
      <w:r>
        <w:rPr>
          <w:rFonts w:asciiTheme="minorHAnsi" w:hAnsiTheme="minorHAnsi"/>
          <w:bCs/>
          <w:sz w:val="22"/>
          <w:szCs w:val="22"/>
        </w:rPr>
        <w:t>Feedback on the consultation</w:t>
      </w:r>
      <w:r w:rsidR="00FD7097">
        <w:rPr>
          <w:rFonts w:asciiTheme="minorHAnsi" w:hAnsiTheme="minorHAnsi"/>
          <w:bCs/>
          <w:sz w:val="22"/>
          <w:szCs w:val="22"/>
        </w:rPr>
        <w:t>:</w:t>
      </w:r>
    </w:p>
    <w:p w:rsidR="00FD7097" w:rsidRDefault="00FD7097" w:rsidP="00FD7097">
      <w:pPr>
        <w:pStyle w:val="Default"/>
        <w:numPr>
          <w:ilvl w:val="0"/>
          <w:numId w:val="19"/>
        </w:numPr>
        <w:spacing w:line="360" w:lineRule="auto"/>
        <w:ind w:right="-1"/>
        <w:jc w:val="both"/>
        <w:rPr>
          <w:rFonts w:asciiTheme="minorHAnsi" w:hAnsiTheme="minorHAnsi"/>
          <w:bCs/>
          <w:sz w:val="22"/>
          <w:szCs w:val="22"/>
        </w:rPr>
      </w:pPr>
      <w:r>
        <w:rPr>
          <w:rFonts w:asciiTheme="minorHAnsi" w:hAnsiTheme="minorHAnsi"/>
          <w:bCs/>
          <w:sz w:val="22"/>
          <w:szCs w:val="22"/>
        </w:rPr>
        <w:t>Some see consultation as cost cutting exercise and highlighted costs associated with implementing the proposal</w:t>
      </w:r>
    </w:p>
    <w:p w:rsidR="00FD7097" w:rsidRDefault="00FD7097" w:rsidP="00FD7097">
      <w:pPr>
        <w:pStyle w:val="Default"/>
        <w:numPr>
          <w:ilvl w:val="0"/>
          <w:numId w:val="19"/>
        </w:numPr>
        <w:spacing w:line="360" w:lineRule="auto"/>
        <w:ind w:right="-1"/>
        <w:jc w:val="both"/>
        <w:rPr>
          <w:rFonts w:asciiTheme="minorHAnsi" w:hAnsiTheme="minorHAnsi"/>
          <w:bCs/>
          <w:sz w:val="22"/>
          <w:szCs w:val="22"/>
        </w:rPr>
      </w:pPr>
      <w:r>
        <w:rPr>
          <w:rFonts w:asciiTheme="minorHAnsi" w:hAnsiTheme="minorHAnsi"/>
          <w:bCs/>
          <w:sz w:val="22"/>
          <w:szCs w:val="22"/>
        </w:rPr>
        <w:t>Some concerns raised regarding accuracy of travel times stated in the consultation brochure</w:t>
      </w:r>
    </w:p>
    <w:p w:rsidR="00FD7097" w:rsidRDefault="00FD7097" w:rsidP="008B3CD5">
      <w:pPr>
        <w:pStyle w:val="Default"/>
        <w:spacing w:line="360" w:lineRule="auto"/>
        <w:ind w:left="360" w:right="-1"/>
        <w:jc w:val="both"/>
        <w:rPr>
          <w:rFonts w:asciiTheme="minorHAnsi" w:hAnsiTheme="minorHAnsi"/>
          <w:bCs/>
          <w:sz w:val="22"/>
          <w:szCs w:val="22"/>
        </w:rPr>
      </w:pPr>
    </w:p>
    <w:p w:rsidR="00901539" w:rsidRDefault="00C74371" w:rsidP="008B3CD5">
      <w:pPr>
        <w:pStyle w:val="Default"/>
        <w:spacing w:line="360" w:lineRule="auto"/>
        <w:ind w:left="360" w:right="-1"/>
        <w:jc w:val="both"/>
        <w:rPr>
          <w:rFonts w:asciiTheme="minorHAnsi" w:hAnsiTheme="minorHAnsi"/>
          <w:bCs/>
          <w:sz w:val="22"/>
          <w:szCs w:val="22"/>
        </w:rPr>
      </w:pPr>
      <w:r>
        <w:rPr>
          <w:rFonts w:asciiTheme="minorHAnsi" w:hAnsiTheme="minorHAnsi"/>
          <w:bCs/>
          <w:sz w:val="22"/>
          <w:szCs w:val="22"/>
        </w:rPr>
        <w:t>Feedback on</w:t>
      </w:r>
      <w:r w:rsidR="00901539">
        <w:rPr>
          <w:rFonts w:asciiTheme="minorHAnsi" w:hAnsiTheme="minorHAnsi"/>
          <w:bCs/>
          <w:sz w:val="22"/>
          <w:szCs w:val="22"/>
        </w:rPr>
        <w:t xml:space="preserve"> Centralised care</w:t>
      </w:r>
      <w:r w:rsidR="00FD7097">
        <w:rPr>
          <w:rFonts w:asciiTheme="minorHAnsi" w:hAnsiTheme="minorHAnsi"/>
          <w:bCs/>
          <w:sz w:val="22"/>
          <w:szCs w:val="22"/>
        </w:rPr>
        <w:t>:</w:t>
      </w:r>
    </w:p>
    <w:p w:rsidR="00FD7097" w:rsidRPr="00794072" w:rsidRDefault="00FD7097" w:rsidP="00794072">
      <w:pPr>
        <w:pStyle w:val="Default"/>
        <w:numPr>
          <w:ilvl w:val="0"/>
          <w:numId w:val="20"/>
        </w:numPr>
        <w:spacing w:line="360" w:lineRule="auto"/>
        <w:ind w:right="-1"/>
        <w:jc w:val="both"/>
        <w:rPr>
          <w:rFonts w:asciiTheme="minorHAnsi" w:hAnsiTheme="minorHAnsi"/>
          <w:bCs/>
          <w:sz w:val="22"/>
          <w:szCs w:val="22"/>
        </w:rPr>
      </w:pPr>
      <w:r>
        <w:rPr>
          <w:rFonts w:asciiTheme="minorHAnsi" w:hAnsiTheme="minorHAnsi"/>
          <w:bCs/>
          <w:sz w:val="22"/>
          <w:szCs w:val="22"/>
        </w:rPr>
        <w:t>Recognition of support for proposals in order to maintain expertise of workforce and to ensure care available 24/7</w:t>
      </w:r>
      <w:r w:rsidR="00794072">
        <w:rPr>
          <w:rFonts w:asciiTheme="minorHAnsi" w:hAnsiTheme="minorHAnsi"/>
          <w:bCs/>
          <w:sz w:val="22"/>
          <w:szCs w:val="22"/>
        </w:rPr>
        <w:t xml:space="preserve"> </w:t>
      </w:r>
    </w:p>
    <w:p w:rsidR="00D71F8A" w:rsidRDefault="00D71F8A" w:rsidP="008B3CD5">
      <w:pPr>
        <w:pStyle w:val="Default"/>
        <w:spacing w:line="360" w:lineRule="auto"/>
        <w:ind w:left="360" w:right="-1"/>
        <w:jc w:val="both"/>
        <w:rPr>
          <w:rFonts w:asciiTheme="minorHAnsi" w:hAnsiTheme="minorHAnsi"/>
          <w:bCs/>
          <w:sz w:val="22"/>
          <w:szCs w:val="22"/>
        </w:rPr>
      </w:pPr>
    </w:p>
    <w:p w:rsidR="00C74371" w:rsidRDefault="00C74371" w:rsidP="008B3CD5">
      <w:pPr>
        <w:pStyle w:val="Default"/>
        <w:spacing w:line="360" w:lineRule="auto"/>
        <w:ind w:left="360" w:right="-1"/>
        <w:jc w:val="both"/>
        <w:rPr>
          <w:rFonts w:asciiTheme="minorHAnsi" w:hAnsiTheme="minorHAnsi"/>
          <w:bCs/>
          <w:sz w:val="22"/>
          <w:szCs w:val="22"/>
        </w:rPr>
      </w:pPr>
    </w:p>
    <w:p w:rsidR="008B3CD5" w:rsidRPr="00C74371" w:rsidRDefault="008B3CD5" w:rsidP="00C74371">
      <w:pPr>
        <w:pStyle w:val="Default"/>
        <w:numPr>
          <w:ilvl w:val="0"/>
          <w:numId w:val="1"/>
        </w:numPr>
        <w:spacing w:line="480" w:lineRule="auto"/>
        <w:ind w:right="-1"/>
        <w:jc w:val="both"/>
        <w:rPr>
          <w:rFonts w:asciiTheme="minorHAnsi" w:hAnsiTheme="minorHAnsi"/>
          <w:b/>
          <w:bCs/>
          <w:sz w:val="22"/>
          <w:szCs w:val="22"/>
        </w:rPr>
      </w:pPr>
      <w:r w:rsidRPr="00C74371">
        <w:rPr>
          <w:rFonts w:asciiTheme="minorHAnsi" w:hAnsiTheme="minorHAnsi"/>
          <w:b/>
          <w:bCs/>
          <w:sz w:val="22"/>
          <w:szCs w:val="22"/>
        </w:rPr>
        <w:lastRenderedPageBreak/>
        <w:t>Conclusion</w:t>
      </w:r>
    </w:p>
    <w:p w:rsidR="00C74371" w:rsidRDefault="00C74371" w:rsidP="008B3CD5">
      <w:pPr>
        <w:pStyle w:val="Default"/>
        <w:spacing w:line="480" w:lineRule="auto"/>
        <w:ind w:right="-1"/>
        <w:jc w:val="both"/>
        <w:rPr>
          <w:rFonts w:asciiTheme="minorHAnsi" w:hAnsiTheme="minorHAnsi"/>
          <w:bCs/>
          <w:sz w:val="22"/>
          <w:szCs w:val="22"/>
        </w:rPr>
      </w:pPr>
      <w:r>
        <w:rPr>
          <w:rFonts w:asciiTheme="minorHAnsi" w:hAnsiTheme="minorHAnsi"/>
          <w:bCs/>
          <w:sz w:val="22"/>
          <w:szCs w:val="22"/>
        </w:rPr>
        <w:t xml:space="preserve">The engagement and consultation process for Healthy Lives, Healthy Futures has been robust and assured through the programme board and the involvement of NHS England as part of the programme assurance group. </w:t>
      </w:r>
      <w:r w:rsidR="005604DE">
        <w:rPr>
          <w:rFonts w:asciiTheme="minorHAnsi" w:hAnsiTheme="minorHAnsi"/>
          <w:bCs/>
          <w:sz w:val="22"/>
          <w:szCs w:val="22"/>
        </w:rPr>
        <w:t xml:space="preserve">This process has been undertaken in accordance with legal advice.  </w:t>
      </w:r>
      <w:r>
        <w:rPr>
          <w:rFonts w:asciiTheme="minorHAnsi" w:hAnsiTheme="minorHAnsi"/>
          <w:bCs/>
          <w:sz w:val="22"/>
          <w:szCs w:val="22"/>
        </w:rPr>
        <w:t xml:space="preserve">Communications and engagement was also highlighted as an area of strength by the Gateway review. </w:t>
      </w:r>
      <w:r w:rsidR="005604DE">
        <w:rPr>
          <w:rFonts w:asciiTheme="minorHAnsi" w:hAnsiTheme="minorHAnsi"/>
          <w:bCs/>
          <w:sz w:val="22"/>
          <w:szCs w:val="22"/>
        </w:rPr>
        <w:t xml:space="preserve">As a result, whatever the content of the feedback, the process itself is unlikely to be challenged. </w:t>
      </w:r>
    </w:p>
    <w:p w:rsidR="005604DE" w:rsidRDefault="005604DE" w:rsidP="008B3CD5">
      <w:pPr>
        <w:pStyle w:val="Default"/>
        <w:spacing w:line="480" w:lineRule="auto"/>
        <w:ind w:right="-1"/>
        <w:jc w:val="both"/>
        <w:rPr>
          <w:rFonts w:asciiTheme="minorHAnsi" w:hAnsiTheme="minorHAnsi"/>
          <w:bCs/>
          <w:sz w:val="22"/>
          <w:szCs w:val="22"/>
        </w:rPr>
      </w:pPr>
    </w:p>
    <w:p w:rsidR="008E2EC2" w:rsidRPr="001C474D" w:rsidRDefault="007B1F89" w:rsidP="008B3CD5">
      <w:pPr>
        <w:pStyle w:val="Default"/>
        <w:spacing w:line="480" w:lineRule="auto"/>
        <w:ind w:right="-1"/>
        <w:jc w:val="both"/>
        <w:rPr>
          <w:rFonts w:asciiTheme="minorHAnsi" w:hAnsiTheme="minorHAnsi"/>
          <w:bCs/>
          <w:sz w:val="22"/>
          <w:szCs w:val="22"/>
        </w:rPr>
      </w:pPr>
      <w:r w:rsidRPr="001C474D">
        <w:rPr>
          <w:rFonts w:asciiTheme="minorHAnsi" w:hAnsiTheme="minorHAnsi"/>
          <w:bCs/>
          <w:sz w:val="22"/>
          <w:szCs w:val="22"/>
        </w:rPr>
        <w:t xml:space="preserve">From the feedback received, it can be concluded that there is a significant level of support for the CCG’s preferred options for hyper acute stroke services and ENT inpatient surgery services. </w:t>
      </w:r>
      <w:r w:rsidR="008E2EC2" w:rsidRPr="001C474D">
        <w:rPr>
          <w:rFonts w:asciiTheme="minorHAnsi" w:hAnsiTheme="minorHAnsi"/>
          <w:bCs/>
          <w:sz w:val="22"/>
          <w:szCs w:val="22"/>
        </w:rPr>
        <w:t xml:space="preserve">We have received many comments recognising the benefits of centralising these two services with regards to patient safety and quality. This view has also been confirmed by expert clinical opinion, in the form of the clinical senate, which has provided responses to the consultation in support of our preferred options.  </w:t>
      </w:r>
    </w:p>
    <w:p w:rsidR="008E2EC2" w:rsidRPr="001C474D" w:rsidRDefault="008E2EC2" w:rsidP="008B3CD5">
      <w:pPr>
        <w:pStyle w:val="Default"/>
        <w:spacing w:line="480" w:lineRule="auto"/>
        <w:ind w:right="-1"/>
        <w:jc w:val="both"/>
        <w:rPr>
          <w:rFonts w:asciiTheme="minorHAnsi" w:hAnsiTheme="minorHAnsi"/>
          <w:bCs/>
          <w:sz w:val="22"/>
          <w:szCs w:val="22"/>
        </w:rPr>
      </w:pPr>
    </w:p>
    <w:p w:rsidR="00006CE2" w:rsidRPr="001C474D" w:rsidRDefault="007B1F89" w:rsidP="008B3CD5">
      <w:pPr>
        <w:pStyle w:val="Default"/>
        <w:spacing w:line="480" w:lineRule="auto"/>
        <w:ind w:right="-1"/>
        <w:jc w:val="both"/>
        <w:rPr>
          <w:rFonts w:asciiTheme="minorHAnsi" w:hAnsiTheme="minorHAnsi"/>
          <w:bCs/>
          <w:sz w:val="22"/>
          <w:szCs w:val="22"/>
        </w:rPr>
      </w:pPr>
      <w:r w:rsidRPr="001C474D">
        <w:rPr>
          <w:rFonts w:asciiTheme="minorHAnsi" w:hAnsiTheme="minorHAnsi"/>
          <w:bCs/>
          <w:sz w:val="22"/>
          <w:szCs w:val="22"/>
        </w:rPr>
        <w:t>However, there are also some clear messages coming back from some respondents, particularly in North East Lincolnshire, around concerns over travel times for stroke patients and the need for clarity on the latest clinical guidance around treatmen</w:t>
      </w:r>
      <w:r w:rsidR="00D71F8A">
        <w:rPr>
          <w:rFonts w:asciiTheme="minorHAnsi" w:hAnsiTheme="minorHAnsi"/>
          <w:bCs/>
          <w:sz w:val="22"/>
          <w:szCs w:val="22"/>
        </w:rPr>
        <w:t>t for stroke. Some</w:t>
      </w:r>
      <w:r w:rsidR="008E2EC2" w:rsidRPr="001C474D">
        <w:rPr>
          <w:rFonts w:asciiTheme="minorHAnsi" w:hAnsiTheme="minorHAnsi"/>
          <w:bCs/>
          <w:sz w:val="22"/>
          <w:szCs w:val="22"/>
        </w:rPr>
        <w:t xml:space="preserve"> people have raised questions around how patients and families will be affected by having to travel further to receive treatment. Although the expert clinical opinion is that the benefits of providing high quality, clinically safe services outweigh the convenience of a local service, the CCG’s are committed to exploring possibilities to improve transport arrangements for patients and as such are planning to review the patient transport service and engage with local transport providers about </w:t>
      </w:r>
      <w:r w:rsidR="001C474D" w:rsidRPr="001C474D">
        <w:rPr>
          <w:rFonts w:asciiTheme="minorHAnsi" w:hAnsiTheme="minorHAnsi"/>
          <w:bCs/>
          <w:sz w:val="22"/>
          <w:szCs w:val="22"/>
        </w:rPr>
        <w:t xml:space="preserve">possible solutions. </w:t>
      </w:r>
    </w:p>
    <w:p w:rsidR="001C474D" w:rsidRPr="001C474D" w:rsidRDefault="001C474D" w:rsidP="008B3CD5">
      <w:pPr>
        <w:pStyle w:val="Default"/>
        <w:spacing w:line="480" w:lineRule="auto"/>
        <w:ind w:right="-1"/>
        <w:jc w:val="both"/>
        <w:rPr>
          <w:rFonts w:asciiTheme="minorHAnsi" w:hAnsiTheme="minorHAnsi"/>
          <w:bCs/>
          <w:sz w:val="22"/>
          <w:szCs w:val="22"/>
        </w:rPr>
      </w:pPr>
    </w:p>
    <w:p w:rsidR="001C474D" w:rsidRPr="001C474D" w:rsidRDefault="001C474D" w:rsidP="008B3CD5">
      <w:pPr>
        <w:pStyle w:val="Default"/>
        <w:spacing w:line="480" w:lineRule="auto"/>
        <w:ind w:right="-1"/>
        <w:jc w:val="both"/>
        <w:rPr>
          <w:rFonts w:asciiTheme="minorHAnsi" w:hAnsiTheme="minorHAnsi"/>
          <w:bCs/>
          <w:sz w:val="22"/>
          <w:szCs w:val="22"/>
        </w:rPr>
      </w:pPr>
      <w:r w:rsidRPr="001C474D">
        <w:rPr>
          <w:rFonts w:asciiTheme="minorHAnsi" w:hAnsiTheme="minorHAnsi"/>
          <w:bCs/>
          <w:sz w:val="22"/>
          <w:szCs w:val="22"/>
        </w:rPr>
        <w:lastRenderedPageBreak/>
        <w:t xml:space="preserve">Responses from Overview and Scrutiny committees (NL, NEL and </w:t>
      </w:r>
      <w:proofErr w:type="spellStart"/>
      <w:r w:rsidRPr="001C474D">
        <w:rPr>
          <w:rFonts w:asciiTheme="minorHAnsi" w:hAnsiTheme="minorHAnsi"/>
          <w:bCs/>
          <w:sz w:val="22"/>
          <w:szCs w:val="22"/>
        </w:rPr>
        <w:t>Lincs</w:t>
      </w:r>
      <w:proofErr w:type="spellEnd"/>
      <w:r w:rsidRPr="001C474D">
        <w:rPr>
          <w:rFonts w:asciiTheme="minorHAnsi" w:hAnsiTheme="minorHAnsi"/>
          <w:bCs/>
          <w:sz w:val="22"/>
          <w:szCs w:val="22"/>
        </w:rPr>
        <w:t xml:space="preserve">) have been broadly supportive with only North East Lincolnshire not agreeing with the CCG’s preferred option for hyper acute stroke services. NEL OSC has requested some more detailed data with respect to some aspects of the hyper acute stroke pathway. This will be discussed with them through an on-going process of engagement. </w:t>
      </w:r>
    </w:p>
    <w:p w:rsidR="001C474D" w:rsidRPr="001C474D" w:rsidRDefault="001C474D" w:rsidP="008B3CD5">
      <w:pPr>
        <w:pStyle w:val="Default"/>
        <w:spacing w:line="480" w:lineRule="auto"/>
        <w:ind w:right="-1"/>
        <w:jc w:val="both"/>
        <w:rPr>
          <w:rFonts w:asciiTheme="minorHAnsi" w:hAnsiTheme="minorHAnsi"/>
          <w:bCs/>
          <w:sz w:val="22"/>
          <w:szCs w:val="22"/>
        </w:rPr>
      </w:pPr>
    </w:p>
    <w:p w:rsidR="00D71F8A" w:rsidRPr="001C474D" w:rsidRDefault="001C474D" w:rsidP="008B3CD5">
      <w:pPr>
        <w:pStyle w:val="Default"/>
        <w:spacing w:line="480" w:lineRule="auto"/>
        <w:ind w:right="-1"/>
        <w:jc w:val="both"/>
        <w:rPr>
          <w:rFonts w:asciiTheme="minorHAnsi" w:hAnsiTheme="minorHAnsi"/>
          <w:bCs/>
          <w:sz w:val="22"/>
          <w:szCs w:val="22"/>
        </w:rPr>
      </w:pPr>
      <w:r w:rsidRPr="001C474D">
        <w:rPr>
          <w:rFonts w:asciiTheme="minorHAnsi" w:hAnsiTheme="minorHAnsi"/>
          <w:bCs/>
          <w:sz w:val="22"/>
          <w:szCs w:val="22"/>
        </w:rPr>
        <w:t xml:space="preserve">At this stage there is no significant barrier to progression of the CCG’s preferred options for consideration </w:t>
      </w:r>
      <w:r w:rsidR="00D71F8A">
        <w:rPr>
          <w:rFonts w:asciiTheme="minorHAnsi" w:hAnsiTheme="minorHAnsi"/>
          <w:bCs/>
          <w:sz w:val="22"/>
          <w:szCs w:val="22"/>
        </w:rPr>
        <w:t xml:space="preserve">as final decisions by CCG boards and Council of Members. </w:t>
      </w:r>
    </w:p>
    <w:p w:rsidR="00EA3E23" w:rsidRPr="00467BA3" w:rsidRDefault="008B3CD5" w:rsidP="00467BA3">
      <w:pPr>
        <w:pStyle w:val="Default"/>
        <w:tabs>
          <w:tab w:val="left" w:pos="3630"/>
        </w:tabs>
        <w:spacing w:line="480" w:lineRule="auto"/>
        <w:ind w:left="360" w:right="-1"/>
        <w:jc w:val="both"/>
        <w:rPr>
          <w:rFonts w:asciiTheme="minorHAnsi" w:hAnsiTheme="minorHAnsi"/>
          <w:b/>
          <w:bCs/>
          <w:sz w:val="22"/>
          <w:szCs w:val="22"/>
        </w:rPr>
      </w:pPr>
      <w:r>
        <w:rPr>
          <w:rFonts w:asciiTheme="minorHAnsi" w:hAnsiTheme="minorHAnsi"/>
          <w:b/>
          <w:bCs/>
          <w:sz w:val="22"/>
          <w:szCs w:val="22"/>
        </w:rPr>
        <w:tab/>
      </w:r>
    </w:p>
    <w:p w:rsidR="00EA3E23" w:rsidRDefault="00EA3E23" w:rsidP="00EA3E23">
      <w:pPr>
        <w:pStyle w:val="Default"/>
        <w:spacing w:line="360" w:lineRule="auto"/>
        <w:ind w:right="-1"/>
        <w:jc w:val="both"/>
        <w:rPr>
          <w:rFonts w:asciiTheme="minorHAnsi" w:hAnsiTheme="minorHAnsi"/>
          <w:bCs/>
          <w:sz w:val="22"/>
          <w:szCs w:val="22"/>
        </w:rPr>
      </w:pPr>
    </w:p>
    <w:p w:rsidR="00F16F65" w:rsidRPr="00F16F65" w:rsidRDefault="00F16F65" w:rsidP="00467BA3">
      <w:pPr>
        <w:pStyle w:val="Default"/>
        <w:spacing w:line="360" w:lineRule="auto"/>
        <w:ind w:right="-1"/>
        <w:jc w:val="both"/>
        <w:rPr>
          <w:rFonts w:asciiTheme="minorHAnsi" w:hAnsiTheme="minorHAnsi"/>
          <w:bCs/>
          <w:sz w:val="22"/>
          <w:szCs w:val="22"/>
        </w:rPr>
      </w:pPr>
    </w:p>
    <w:sectPr w:rsidR="00F16F65" w:rsidRPr="00F16F65" w:rsidSect="000D468C">
      <w:headerReference w:type="default" r:id="rId9"/>
      <w:footerReference w:type="default" r:id="rId10"/>
      <w:pgSz w:w="11906" w:h="16838"/>
      <w:pgMar w:top="567" w:right="1274" w:bottom="567" w:left="1701" w:header="57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D6" w:rsidRDefault="00A42FD6" w:rsidP="005200C2">
      <w:r>
        <w:separator/>
      </w:r>
    </w:p>
  </w:endnote>
  <w:endnote w:type="continuationSeparator" w:id="0">
    <w:p w:rsidR="00A42FD6" w:rsidRDefault="00A42FD6" w:rsidP="0052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83283"/>
      <w:docPartObj>
        <w:docPartGallery w:val="Page Numbers (Bottom of Page)"/>
        <w:docPartUnique/>
      </w:docPartObj>
    </w:sdtPr>
    <w:sdtEndPr>
      <w:rPr>
        <w:noProof/>
      </w:rPr>
    </w:sdtEndPr>
    <w:sdtContent>
      <w:p w:rsidR="008B3CD5" w:rsidRDefault="008B3CD5">
        <w:pPr>
          <w:pStyle w:val="Footer"/>
          <w:jc w:val="right"/>
        </w:pPr>
        <w:r>
          <w:fldChar w:fldCharType="begin"/>
        </w:r>
        <w:r>
          <w:instrText xml:space="preserve"> PAGE   \* MERGEFORMAT </w:instrText>
        </w:r>
        <w:r>
          <w:fldChar w:fldCharType="separate"/>
        </w:r>
        <w:r w:rsidR="00DA09DB">
          <w:rPr>
            <w:noProof/>
          </w:rPr>
          <w:t>3</w:t>
        </w:r>
        <w:r>
          <w:rPr>
            <w:noProof/>
          </w:rPr>
          <w:fldChar w:fldCharType="end"/>
        </w:r>
      </w:p>
    </w:sdtContent>
  </w:sdt>
  <w:p w:rsidR="008B3CD5" w:rsidRDefault="008B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D6" w:rsidRDefault="00A42FD6" w:rsidP="005200C2">
      <w:r>
        <w:separator/>
      </w:r>
    </w:p>
  </w:footnote>
  <w:footnote w:type="continuationSeparator" w:id="0">
    <w:p w:rsidR="00A42FD6" w:rsidRDefault="00A42FD6" w:rsidP="0052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46"/>
    </w:tblGrid>
    <w:tr w:rsidR="008B3CD5" w:rsidTr="004E7D3F">
      <w:trPr>
        <w:trHeight w:val="1557"/>
      </w:trPr>
      <w:tc>
        <w:tcPr>
          <w:tcW w:w="4927" w:type="dxa"/>
        </w:tcPr>
        <w:p w:rsidR="008B3CD5" w:rsidRDefault="008B3CD5" w:rsidP="004E7D3F">
          <w:pPr>
            <w:pStyle w:val="Header"/>
          </w:pPr>
          <w:r w:rsidRPr="00263AF5">
            <w:rPr>
              <w:noProof/>
              <w:szCs w:val="24"/>
              <w:lang w:eastAsia="en-GB"/>
            </w:rPr>
            <w:drawing>
              <wp:inline distT="0" distB="0" distL="0" distR="0" wp14:anchorId="492C943F" wp14:editId="4E401937">
                <wp:extent cx="2066925" cy="895350"/>
                <wp:effectExtent l="0" t="0" r="0" b="0"/>
                <wp:docPr id="5" name="Picture 5" descr="h1-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350" cy="899000"/>
                        </a:xfrm>
                        <a:prstGeom prst="rect">
                          <a:avLst/>
                        </a:prstGeom>
                        <a:noFill/>
                        <a:ln>
                          <a:noFill/>
                        </a:ln>
                      </pic:spPr>
                    </pic:pic>
                  </a:graphicData>
                </a:graphic>
              </wp:inline>
            </w:drawing>
          </w:r>
        </w:p>
      </w:tc>
      <w:tc>
        <w:tcPr>
          <w:tcW w:w="5246" w:type="dxa"/>
        </w:tcPr>
        <w:p w:rsidR="008B3CD5" w:rsidRDefault="008B3CD5" w:rsidP="00FC4D01">
          <w:pPr>
            <w:pStyle w:val="Header"/>
            <w:jc w:val="right"/>
          </w:pPr>
          <w:r>
            <w:rPr>
              <w:rFonts w:ascii="Times New Roman" w:hAnsi="Times New Roman"/>
              <w:noProof/>
              <w:szCs w:val="24"/>
              <w:lang w:eastAsia="en-GB"/>
            </w:rPr>
            <w:drawing>
              <wp:anchor distT="0" distB="0" distL="114300" distR="114300" simplePos="0" relativeHeight="251659264" behindDoc="0" locked="0" layoutInCell="1" allowOverlap="1" wp14:anchorId="0C143524" wp14:editId="7E47579A">
                <wp:simplePos x="0" y="0"/>
                <wp:positionH relativeFrom="column">
                  <wp:posOffset>789940</wp:posOffset>
                </wp:positionH>
                <wp:positionV relativeFrom="paragraph">
                  <wp:posOffset>93980</wp:posOffset>
                </wp:positionV>
                <wp:extent cx="1654810" cy="431800"/>
                <wp:effectExtent l="0" t="0" r="2540" b="6350"/>
                <wp:wrapNone/>
                <wp:docPr id="4" name="Picture 4" descr="Description: Description: 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SimpsonV\Desktop\North Lincolnshire CCG 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81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lang w:eastAsia="en-GB"/>
            </w:rPr>
            <w:drawing>
              <wp:anchor distT="0" distB="0" distL="114300" distR="114300" simplePos="0" relativeHeight="251660288" behindDoc="0" locked="0" layoutInCell="1" allowOverlap="1" wp14:anchorId="11F8B1A0" wp14:editId="0CC2F236">
                <wp:simplePos x="0" y="0"/>
                <wp:positionH relativeFrom="column">
                  <wp:posOffset>789305</wp:posOffset>
                </wp:positionH>
                <wp:positionV relativeFrom="paragraph">
                  <wp:posOffset>589915</wp:posOffset>
                </wp:positionV>
                <wp:extent cx="1616075" cy="41719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6075" cy="417195"/>
                        </a:xfrm>
                        <a:prstGeom prst="rect">
                          <a:avLst/>
                        </a:prstGeom>
                        <a:noFill/>
                      </pic:spPr>
                    </pic:pic>
                  </a:graphicData>
                </a:graphic>
                <wp14:sizeRelH relativeFrom="page">
                  <wp14:pctWidth>0</wp14:pctWidth>
                </wp14:sizeRelH>
                <wp14:sizeRelV relativeFrom="page">
                  <wp14:pctHeight>0</wp14:pctHeight>
                </wp14:sizeRelV>
              </wp:anchor>
            </w:drawing>
          </w:r>
        </w:p>
      </w:tc>
    </w:tr>
  </w:tbl>
  <w:p w:rsidR="008B3CD5" w:rsidRDefault="008B3CD5" w:rsidP="004E7D3F">
    <w:pPr>
      <w:pStyle w:val="Header"/>
      <w:tabs>
        <w:tab w:val="clear" w:pos="4153"/>
        <w:tab w:val="lef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C9"/>
    <w:multiLevelType w:val="multilevel"/>
    <w:tmpl w:val="5AA87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731C1"/>
    <w:multiLevelType w:val="multilevel"/>
    <w:tmpl w:val="C9041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30EF3"/>
    <w:multiLevelType w:val="hybridMultilevel"/>
    <w:tmpl w:val="46768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AB607F"/>
    <w:multiLevelType w:val="multilevel"/>
    <w:tmpl w:val="4B0A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0260E3"/>
    <w:multiLevelType w:val="hybridMultilevel"/>
    <w:tmpl w:val="62C2452A"/>
    <w:lvl w:ilvl="0" w:tplc="C7488B80">
      <w:start w:val="1"/>
      <w:numFmt w:val="bullet"/>
      <w:lvlText w:val="•"/>
      <w:lvlJc w:val="left"/>
      <w:pPr>
        <w:tabs>
          <w:tab w:val="num" w:pos="720"/>
        </w:tabs>
        <w:ind w:left="720" w:hanging="360"/>
      </w:pPr>
      <w:rPr>
        <w:rFonts w:ascii="Arial" w:hAnsi="Arial" w:cs="Times New Roman" w:hint="default"/>
      </w:rPr>
    </w:lvl>
    <w:lvl w:ilvl="1" w:tplc="15800FA4">
      <w:start w:val="1"/>
      <w:numFmt w:val="bullet"/>
      <w:lvlText w:val="•"/>
      <w:lvlJc w:val="left"/>
      <w:pPr>
        <w:tabs>
          <w:tab w:val="num" w:pos="1440"/>
        </w:tabs>
        <w:ind w:left="1440" w:hanging="360"/>
      </w:pPr>
      <w:rPr>
        <w:rFonts w:ascii="Arial" w:hAnsi="Arial" w:cs="Times New Roman" w:hint="default"/>
      </w:rPr>
    </w:lvl>
    <w:lvl w:ilvl="2" w:tplc="692AEFDC">
      <w:start w:val="1"/>
      <w:numFmt w:val="bullet"/>
      <w:lvlText w:val="•"/>
      <w:lvlJc w:val="left"/>
      <w:pPr>
        <w:tabs>
          <w:tab w:val="num" w:pos="2160"/>
        </w:tabs>
        <w:ind w:left="2160" w:hanging="360"/>
      </w:pPr>
      <w:rPr>
        <w:rFonts w:ascii="Arial" w:hAnsi="Arial" w:cs="Times New Roman" w:hint="default"/>
      </w:rPr>
    </w:lvl>
    <w:lvl w:ilvl="3" w:tplc="4F0CEAAC">
      <w:start w:val="1"/>
      <w:numFmt w:val="bullet"/>
      <w:lvlText w:val="•"/>
      <w:lvlJc w:val="left"/>
      <w:pPr>
        <w:tabs>
          <w:tab w:val="num" w:pos="2880"/>
        </w:tabs>
        <w:ind w:left="2880" w:hanging="360"/>
      </w:pPr>
      <w:rPr>
        <w:rFonts w:ascii="Arial" w:hAnsi="Arial" w:cs="Times New Roman" w:hint="default"/>
      </w:rPr>
    </w:lvl>
    <w:lvl w:ilvl="4" w:tplc="73AAAE7A">
      <w:start w:val="1"/>
      <w:numFmt w:val="bullet"/>
      <w:lvlText w:val="•"/>
      <w:lvlJc w:val="left"/>
      <w:pPr>
        <w:tabs>
          <w:tab w:val="num" w:pos="3600"/>
        </w:tabs>
        <w:ind w:left="3600" w:hanging="360"/>
      </w:pPr>
      <w:rPr>
        <w:rFonts w:ascii="Arial" w:hAnsi="Arial" w:cs="Times New Roman" w:hint="default"/>
      </w:rPr>
    </w:lvl>
    <w:lvl w:ilvl="5" w:tplc="EBC44192">
      <w:start w:val="1"/>
      <w:numFmt w:val="bullet"/>
      <w:lvlText w:val="•"/>
      <w:lvlJc w:val="left"/>
      <w:pPr>
        <w:tabs>
          <w:tab w:val="num" w:pos="4320"/>
        </w:tabs>
        <w:ind w:left="4320" w:hanging="360"/>
      </w:pPr>
      <w:rPr>
        <w:rFonts w:ascii="Arial" w:hAnsi="Arial" w:cs="Times New Roman" w:hint="default"/>
      </w:rPr>
    </w:lvl>
    <w:lvl w:ilvl="6" w:tplc="DE3E8C10">
      <w:start w:val="1"/>
      <w:numFmt w:val="bullet"/>
      <w:lvlText w:val="•"/>
      <w:lvlJc w:val="left"/>
      <w:pPr>
        <w:tabs>
          <w:tab w:val="num" w:pos="5040"/>
        </w:tabs>
        <w:ind w:left="5040" w:hanging="360"/>
      </w:pPr>
      <w:rPr>
        <w:rFonts w:ascii="Arial" w:hAnsi="Arial" w:cs="Times New Roman" w:hint="default"/>
      </w:rPr>
    </w:lvl>
    <w:lvl w:ilvl="7" w:tplc="D35E4832">
      <w:start w:val="1"/>
      <w:numFmt w:val="bullet"/>
      <w:lvlText w:val="•"/>
      <w:lvlJc w:val="left"/>
      <w:pPr>
        <w:tabs>
          <w:tab w:val="num" w:pos="5760"/>
        </w:tabs>
        <w:ind w:left="5760" w:hanging="360"/>
      </w:pPr>
      <w:rPr>
        <w:rFonts w:ascii="Arial" w:hAnsi="Arial" w:cs="Times New Roman" w:hint="default"/>
      </w:rPr>
    </w:lvl>
    <w:lvl w:ilvl="8" w:tplc="38625DD0">
      <w:start w:val="1"/>
      <w:numFmt w:val="bullet"/>
      <w:lvlText w:val="•"/>
      <w:lvlJc w:val="left"/>
      <w:pPr>
        <w:tabs>
          <w:tab w:val="num" w:pos="6480"/>
        </w:tabs>
        <w:ind w:left="6480" w:hanging="360"/>
      </w:pPr>
      <w:rPr>
        <w:rFonts w:ascii="Arial" w:hAnsi="Arial" w:cs="Times New Roman" w:hint="default"/>
      </w:rPr>
    </w:lvl>
  </w:abstractNum>
  <w:abstractNum w:abstractNumId="5">
    <w:nsid w:val="36547974"/>
    <w:multiLevelType w:val="multilevel"/>
    <w:tmpl w:val="54661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56488E"/>
    <w:multiLevelType w:val="multilevel"/>
    <w:tmpl w:val="E500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EE7679"/>
    <w:multiLevelType w:val="hybridMultilevel"/>
    <w:tmpl w:val="B2B8B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2E39C7"/>
    <w:multiLevelType w:val="multilevel"/>
    <w:tmpl w:val="8D4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3D647D"/>
    <w:multiLevelType w:val="multilevel"/>
    <w:tmpl w:val="B0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74405C"/>
    <w:multiLevelType w:val="multilevel"/>
    <w:tmpl w:val="7BD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0F030E"/>
    <w:multiLevelType w:val="hybridMultilevel"/>
    <w:tmpl w:val="AFC6D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BB2C72"/>
    <w:multiLevelType w:val="hybridMultilevel"/>
    <w:tmpl w:val="A14EC6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2575C4E"/>
    <w:multiLevelType w:val="multilevel"/>
    <w:tmpl w:val="E500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EF2B49"/>
    <w:multiLevelType w:val="hybridMultilevel"/>
    <w:tmpl w:val="CA8285F4"/>
    <w:lvl w:ilvl="0" w:tplc="08CA7A6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B7634E"/>
    <w:multiLevelType w:val="multilevel"/>
    <w:tmpl w:val="004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AC625E"/>
    <w:multiLevelType w:val="multilevel"/>
    <w:tmpl w:val="E29C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DA3401"/>
    <w:multiLevelType w:val="multilevel"/>
    <w:tmpl w:val="B6A43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DD2808"/>
    <w:multiLevelType w:val="multilevel"/>
    <w:tmpl w:val="EBE8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AE6CE3"/>
    <w:multiLevelType w:val="multilevel"/>
    <w:tmpl w:val="E500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CD0D17"/>
    <w:multiLevelType w:val="multilevel"/>
    <w:tmpl w:val="E500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17"/>
  </w:num>
  <w:num w:numId="4">
    <w:abstractNumId w:val="13"/>
  </w:num>
  <w:num w:numId="5">
    <w:abstractNumId w:val="8"/>
  </w:num>
  <w:num w:numId="6">
    <w:abstractNumId w:val="1"/>
  </w:num>
  <w:num w:numId="7">
    <w:abstractNumId w:val="16"/>
  </w:num>
  <w:num w:numId="8">
    <w:abstractNumId w:val="9"/>
  </w:num>
  <w:num w:numId="9">
    <w:abstractNumId w:val="10"/>
  </w:num>
  <w:num w:numId="10">
    <w:abstractNumId w:val="5"/>
  </w:num>
  <w:num w:numId="11">
    <w:abstractNumId w:val="0"/>
  </w:num>
  <w:num w:numId="12">
    <w:abstractNumId w:val="18"/>
  </w:num>
  <w:num w:numId="13">
    <w:abstractNumId w:val="15"/>
  </w:num>
  <w:num w:numId="14">
    <w:abstractNumId w:val="11"/>
  </w:num>
  <w:num w:numId="15">
    <w:abstractNumId w:val="2"/>
  </w:num>
  <w:num w:numId="16">
    <w:abstractNumId w:val="12"/>
  </w:num>
  <w:num w:numId="17">
    <w:abstractNumId w:val="3"/>
  </w:num>
  <w:num w:numId="18">
    <w:abstractNumId w:val="20"/>
  </w:num>
  <w:num w:numId="19">
    <w:abstractNumId w:val="6"/>
  </w:num>
  <w:num w:numId="20">
    <w:abstractNumId w:val="19"/>
  </w:num>
  <w:num w:numId="21">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Briggs">
    <w15:presenceInfo w15:providerId="AD" w15:userId="S-1-5-21-3820746819-1623355280-3734852777-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BC"/>
    <w:rsid w:val="00001840"/>
    <w:rsid w:val="00006CE2"/>
    <w:rsid w:val="00013753"/>
    <w:rsid w:val="00030E70"/>
    <w:rsid w:val="00032AD9"/>
    <w:rsid w:val="00040934"/>
    <w:rsid w:val="00045AB4"/>
    <w:rsid w:val="000462A5"/>
    <w:rsid w:val="00050529"/>
    <w:rsid w:val="000601CA"/>
    <w:rsid w:val="0006271A"/>
    <w:rsid w:val="0007073A"/>
    <w:rsid w:val="000709CE"/>
    <w:rsid w:val="00072904"/>
    <w:rsid w:val="00074608"/>
    <w:rsid w:val="00077059"/>
    <w:rsid w:val="00080351"/>
    <w:rsid w:val="00081DBB"/>
    <w:rsid w:val="00096622"/>
    <w:rsid w:val="00096D74"/>
    <w:rsid w:val="00097DF9"/>
    <w:rsid w:val="000A13DC"/>
    <w:rsid w:val="000A1969"/>
    <w:rsid w:val="000A4E5F"/>
    <w:rsid w:val="000A5210"/>
    <w:rsid w:val="000A68B0"/>
    <w:rsid w:val="000B5DAE"/>
    <w:rsid w:val="000D0854"/>
    <w:rsid w:val="000D2B10"/>
    <w:rsid w:val="000D3F1F"/>
    <w:rsid w:val="000D468C"/>
    <w:rsid w:val="000D5CE8"/>
    <w:rsid w:val="000E751A"/>
    <w:rsid w:val="000F6335"/>
    <w:rsid w:val="001018B9"/>
    <w:rsid w:val="00103361"/>
    <w:rsid w:val="001049ED"/>
    <w:rsid w:val="00112072"/>
    <w:rsid w:val="00113CBB"/>
    <w:rsid w:val="00120CE6"/>
    <w:rsid w:val="0012547B"/>
    <w:rsid w:val="00125AA5"/>
    <w:rsid w:val="00135F4F"/>
    <w:rsid w:val="00136074"/>
    <w:rsid w:val="0014282F"/>
    <w:rsid w:val="00153512"/>
    <w:rsid w:val="001567D6"/>
    <w:rsid w:val="00160F6E"/>
    <w:rsid w:val="00164B2D"/>
    <w:rsid w:val="00194E19"/>
    <w:rsid w:val="001972D1"/>
    <w:rsid w:val="001A16E1"/>
    <w:rsid w:val="001B493C"/>
    <w:rsid w:val="001B54F8"/>
    <w:rsid w:val="001C474D"/>
    <w:rsid w:val="001C6D68"/>
    <w:rsid w:val="001D5433"/>
    <w:rsid w:val="001D65E5"/>
    <w:rsid w:val="001E1197"/>
    <w:rsid w:val="001E12D5"/>
    <w:rsid w:val="001E5B29"/>
    <w:rsid w:val="001E602C"/>
    <w:rsid w:val="001F2046"/>
    <w:rsid w:val="001F6D43"/>
    <w:rsid w:val="001F7F07"/>
    <w:rsid w:val="002106BC"/>
    <w:rsid w:val="00223A61"/>
    <w:rsid w:val="0024025C"/>
    <w:rsid w:val="00255AC4"/>
    <w:rsid w:val="00256442"/>
    <w:rsid w:val="00271F30"/>
    <w:rsid w:val="0027311F"/>
    <w:rsid w:val="0027496C"/>
    <w:rsid w:val="002773B7"/>
    <w:rsid w:val="00294C6A"/>
    <w:rsid w:val="00297CBE"/>
    <w:rsid w:val="002B5F52"/>
    <w:rsid w:val="002C5B51"/>
    <w:rsid w:val="002D02A2"/>
    <w:rsid w:val="002E23EA"/>
    <w:rsid w:val="002E28FC"/>
    <w:rsid w:val="002E39C0"/>
    <w:rsid w:val="002E529D"/>
    <w:rsid w:val="002F39A4"/>
    <w:rsid w:val="002F422E"/>
    <w:rsid w:val="00301416"/>
    <w:rsid w:val="003107CD"/>
    <w:rsid w:val="00336987"/>
    <w:rsid w:val="00340D9B"/>
    <w:rsid w:val="00343730"/>
    <w:rsid w:val="0036092B"/>
    <w:rsid w:val="0036686A"/>
    <w:rsid w:val="003679A8"/>
    <w:rsid w:val="00374F6E"/>
    <w:rsid w:val="00381FD5"/>
    <w:rsid w:val="00385E0E"/>
    <w:rsid w:val="003863C4"/>
    <w:rsid w:val="003A3C09"/>
    <w:rsid w:val="003A67FF"/>
    <w:rsid w:val="003C186F"/>
    <w:rsid w:val="003C393B"/>
    <w:rsid w:val="003C552F"/>
    <w:rsid w:val="003C5CAA"/>
    <w:rsid w:val="003C76C9"/>
    <w:rsid w:val="003D013C"/>
    <w:rsid w:val="003D03F7"/>
    <w:rsid w:val="003D7EDA"/>
    <w:rsid w:val="003E39C5"/>
    <w:rsid w:val="003F46FF"/>
    <w:rsid w:val="00402640"/>
    <w:rsid w:val="004161BE"/>
    <w:rsid w:val="00421C2E"/>
    <w:rsid w:val="004257D3"/>
    <w:rsid w:val="00434F18"/>
    <w:rsid w:val="00436EB8"/>
    <w:rsid w:val="004472DE"/>
    <w:rsid w:val="00447652"/>
    <w:rsid w:val="00460658"/>
    <w:rsid w:val="00466305"/>
    <w:rsid w:val="00467919"/>
    <w:rsid w:val="00467BA3"/>
    <w:rsid w:val="00467F79"/>
    <w:rsid w:val="00475204"/>
    <w:rsid w:val="0048045A"/>
    <w:rsid w:val="00480607"/>
    <w:rsid w:val="004928DD"/>
    <w:rsid w:val="00497370"/>
    <w:rsid w:val="004A104B"/>
    <w:rsid w:val="004B2F94"/>
    <w:rsid w:val="004E7D3F"/>
    <w:rsid w:val="004F0F49"/>
    <w:rsid w:val="004F3C74"/>
    <w:rsid w:val="004F62CA"/>
    <w:rsid w:val="00500477"/>
    <w:rsid w:val="0051096E"/>
    <w:rsid w:val="00511A75"/>
    <w:rsid w:val="005200C2"/>
    <w:rsid w:val="00524EBF"/>
    <w:rsid w:val="00531071"/>
    <w:rsid w:val="00532541"/>
    <w:rsid w:val="00532C88"/>
    <w:rsid w:val="0055052E"/>
    <w:rsid w:val="005604DE"/>
    <w:rsid w:val="00576C54"/>
    <w:rsid w:val="00587A16"/>
    <w:rsid w:val="0059349D"/>
    <w:rsid w:val="00593F5A"/>
    <w:rsid w:val="00597992"/>
    <w:rsid w:val="005C7C61"/>
    <w:rsid w:val="005D3395"/>
    <w:rsid w:val="005D6994"/>
    <w:rsid w:val="005E1C7B"/>
    <w:rsid w:val="005E6A1B"/>
    <w:rsid w:val="005F1B0E"/>
    <w:rsid w:val="0060297C"/>
    <w:rsid w:val="006129CB"/>
    <w:rsid w:val="0062213C"/>
    <w:rsid w:val="00630AF6"/>
    <w:rsid w:val="006333ED"/>
    <w:rsid w:val="006377E2"/>
    <w:rsid w:val="00637E73"/>
    <w:rsid w:val="00644BC0"/>
    <w:rsid w:val="006525CB"/>
    <w:rsid w:val="006639F9"/>
    <w:rsid w:val="006654FF"/>
    <w:rsid w:val="00675D2D"/>
    <w:rsid w:val="006960CC"/>
    <w:rsid w:val="006966DB"/>
    <w:rsid w:val="006A40EE"/>
    <w:rsid w:val="006B06C8"/>
    <w:rsid w:val="006B6292"/>
    <w:rsid w:val="006B7885"/>
    <w:rsid w:val="006E1AD0"/>
    <w:rsid w:val="006E3FCD"/>
    <w:rsid w:val="006E43AF"/>
    <w:rsid w:val="006E44CC"/>
    <w:rsid w:val="00721C6D"/>
    <w:rsid w:val="00722DBD"/>
    <w:rsid w:val="00725D26"/>
    <w:rsid w:val="00734E80"/>
    <w:rsid w:val="00754915"/>
    <w:rsid w:val="0076431A"/>
    <w:rsid w:val="007664A7"/>
    <w:rsid w:val="0077107F"/>
    <w:rsid w:val="00775FBB"/>
    <w:rsid w:val="00791CAA"/>
    <w:rsid w:val="00794072"/>
    <w:rsid w:val="007A4BD5"/>
    <w:rsid w:val="007A5FEB"/>
    <w:rsid w:val="007B1F89"/>
    <w:rsid w:val="007B209C"/>
    <w:rsid w:val="007C1797"/>
    <w:rsid w:val="007C23E5"/>
    <w:rsid w:val="007C594D"/>
    <w:rsid w:val="007E2D89"/>
    <w:rsid w:val="007E5911"/>
    <w:rsid w:val="007F1F55"/>
    <w:rsid w:val="007F4211"/>
    <w:rsid w:val="007F4E77"/>
    <w:rsid w:val="007F5D61"/>
    <w:rsid w:val="007F65E7"/>
    <w:rsid w:val="00800278"/>
    <w:rsid w:val="0080476E"/>
    <w:rsid w:val="00805B71"/>
    <w:rsid w:val="0082320D"/>
    <w:rsid w:val="00837E89"/>
    <w:rsid w:val="00843B82"/>
    <w:rsid w:val="0085427A"/>
    <w:rsid w:val="0087337A"/>
    <w:rsid w:val="00876765"/>
    <w:rsid w:val="0087751B"/>
    <w:rsid w:val="00886FFE"/>
    <w:rsid w:val="008A58AF"/>
    <w:rsid w:val="008B3CD5"/>
    <w:rsid w:val="008C4915"/>
    <w:rsid w:val="008D21AF"/>
    <w:rsid w:val="008E1CF0"/>
    <w:rsid w:val="008E2D35"/>
    <w:rsid w:val="008E2EC2"/>
    <w:rsid w:val="00901539"/>
    <w:rsid w:val="009175AB"/>
    <w:rsid w:val="0092459C"/>
    <w:rsid w:val="00925A89"/>
    <w:rsid w:val="00934EC9"/>
    <w:rsid w:val="00935DE8"/>
    <w:rsid w:val="0093742B"/>
    <w:rsid w:val="00940F20"/>
    <w:rsid w:val="009438D8"/>
    <w:rsid w:val="00951120"/>
    <w:rsid w:val="009569E6"/>
    <w:rsid w:val="00977788"/>
    <w:rsid w:val="00981A4C"/>
    <w:rsid w:val="009877E9"/>
    <w:rsid w:val="0099042D"/>
    <w:rsid w:val="00991350"/>
    <w:rsid w:val="00993119"/>
    <w:rsid w:val="00997CD2"/>
    <w:rsid w:val="009A3858"/>
    <w:rsid w:val="009A39B9"/>
    <w:rsid w:val="009A3F1B"/>
    <w:rsid w:val="009A6534"/>
    <w:rsid w:val="009B11F3"/>
    <w:rsid w:val="009B1A26"/>
    <w:rsid w:val="009B2F7B"/>
    <w:rsid w:val="009C04B8"/>
    <w:rsid w:val="009D0A71"/>
    <w:rsid w:val="009D2CE0"/>
    <w:rsid w:val="009D7C82"/>
    <w:rsid w:val="009E02E2"/>
    <w:rsid w:val="009E5353"/>
    <w:rsid w:val="00A07092"/>
    <w:rsid w:val="00A33784"/>
    <w:rsid w:val="00A42FD6"/>
    <w:rsid w:val="00A54CFF"/>
    <w:rsid w:val="00A559F8"/>
    <w:rsid w:val="00A575E0"/>
    <w:rsid w:val="00A75505"/>
    <w:rsid w:val="00A84B59"/>
    <w:rsid w:val="00A86369"/>
    <w:rsid w:val="00A95A0B"/>
    <w:rsid w:val="00AA574B"/>
    <w:rsid w:val="00AC6A9B"/>
    <w:rsid w:val="00AD2C4F"/>
    <w:rsid w:val="00AF51F0"/>
    <w:rsid w:val="00AF5890"/>
    <w:rsid w:val="00AF753C"/>
    <w:rsid w:val="00B07537"/>
    <w:rsid w:val="00B17C52"/>
    <w:rsid w:val="00B21744"/>
    <w:rsid w:val="00B41808"/>
    <w:rsid w:val="00B44E48"/>
    <w:rsid w:val="00B5046A"/>
    <w:rsid w:val="00B52019"/>
    <w:rsid w:val="00B54054"/>
    <w:rsid w:val="00B563B8"/>
    <w:rsid w:val="00B6351D"/>
    <w:rsid w:val="00B76101"/>
    <w:rsid w:val="00B9382B"/>
    <w:rsid w:val="00BA1614"/>
    <w:rsid w:val="00BA7D9A"/>
    <w:rsid w:val="00BC38F6"/>
    <w:rsid w:val="00BC5DF4"/>
    <w:rsid w:val="00BD2D05"/>
    <w:rsid w:val="00BD311B"/>
    <w:rsid w:val="00BD4CB6"/>
    <w:rsid w:val="00BE4852"/>
    <w:rsid w:val="00BE5BC3"/>
    <w:rsid w:val="00BF5369"/>
    <w:rsid w:val="00C0424B"/>
    <w:rsid w:val="00C05735"/>
    <w:rsid w:val="00C170FC"/>
    <w:rsid w:val="00C17D36"/>
    <w:rsid w:val="00C327C4"/>
    <w:rsid w:val="00C35C0D"/>
    <w:rsid w:val="00C3717F"/>
    <w:rsid w:val="00C376B7"/>
    <w:rsid w:val="00C534C3"/>
    <w:rsid w:val="00C620F7"/>
    <w:rsid w:val="00C623A0"/>
    <w:rsid w:val="00C70BBD"/>
    <w:rsid w:val="00C72E81"/>
    <w:rsid w:val="00C73AE4"/>
    <w:rsid w:val="00C74371"/>
    <w:rsid w:val="00C840CF"/>
    <w:rsid w:val="00C90EC3"/>
    <w:rsid w:val="00C91ADE"/>
    <w:rsid w:val="00C92793"/>
    <w:rsid w:val="00C92DDB"/>
    <w:rsid w:val="00C97F29"/>
    <w:rsid w:val="00CA2881"/>
    <w:rsid w:val="00CA6992"/>
    <w:rsid w:val="00CB2D50"/>
    <w:rsid w:val="00CD0576"/>
    <w:rsid w:val="00CD2582"/>
    <w:rsid w:val="00CD2822"/>
    <w:rsid w:val="00CE27F8"/>
    <w:rsid w:val="00CE2D4A"/>
    <w:rsid w:val="00CF1207"/>
    <w:rsid w:val="00CF2653"/>
    <w:rsid w:val="00CF52FC"/>
    <w:rsid w:val="00D13130"/>
    <w:rsid w:val="00D15C5B"/>
    <w:rsid w:val="00D3036F"/>
    <w:rsid w:val="00D30C52"/>
    <w:rsid w:val="00D34772"/>
    <w:rsid w:val="00D34B50"/>
    <w:rsid w:val="00D369AD"/>
    <w:rsid w:val="00D416BC"/>
    <w:rsid w:val="00D4542D"/>
    <w:rsid w:val="00D473D1"/>
    <w:rsid w:val="00D476D8"/>
    <w:rsid w:val="00D61392"/>
    <w:rsid w:val="00D6334B"/>
    <w:rsid w:val="00D66F6F"/>
    <w:rsid w:val="00D71F8A"/>
    <w:rsid w:val="00D767A2"/>
    <w:rsid w:val="00D92674"/>
    <w:rsid w:val="00D9349F"/>
    <w:rsid w:val="00DA0628"/>
    <w:rsid w:val="00DA09DB"/>
    <w:rsid w:val="00DB0BD1"/>
    <w:rsid w:val="00DC584F"/>
    <w:rsid w:val="00DC67D3"/>
    <w:rsid w:val="00DD154E"/>
    <w:rsid w:val="00DD79B0"/>
    <w:rsid w:val="00DE42EB"/>
    <w:rsid w:val="00DE60CC"/>
    <w:rsid w:val="00DF4D91"/>
    <w:rsid w:val="00DF4ECD"/>
    <w:rsid w:val="00E01D67"/>
    <w:rsid w:val="00E05E32"/>
    <w:rsid w:val="00E06454"/>
    <w:rsid w:val="00E11B5F"/>
    <w:rsid w:val="00E2541D"/>
    <w:rsid w:val="00E27095"/>
    <w:rsid w:val="00E350D4"/>
    <w:rsid w:val="00E5375D"/>
    <w:rsid w:val="00E54CE0"/>
    <w:rsid w:val="00E61619"/>
    <w:rsid w:val="00E72F64"/>
    <w:rsid w:val="00E760AC"/>
    <w:rsid w:val="00E76172"/>
    <w:rsid w:val="00E82190"/>
    <w:rsid w:val="00E85E48"/>
    <w:rsid w:val="00E969BB"/>
    <w:rsid w:val="00EA3E23"/>
    <w:rsid w:val="00EA5C10"/>
    <w:rsid w:val="00EA7B84"/>
    <w:rsid w:val="00EA7F9C"/>
    <w:rsid w:val="00EB4A66"/>
    <w:rsid w:val="00EB5122"/>
    <w:rsid w:val="00EB597C"/>
    <w:rsid w:val="00EB7B53"/>
    <w:rsid w:val="00EC074A"/>
    <w:rsid w:val="00EC3783"/>
    <w:rsid w:val="00ED35FE"/>
    <w:rsid w:val="00EE08C0"/>
    <w:rsid w:val="00EE4D87"/>
    <w:rsid w:val="00F011D0"/>
    <w:rsid w:val="00F12330"/>
    <w:rsid w:val="00F16F65"/>
    <w:rsid w:val="00F20B52"/>
    <w:rsid w:val="00F26D6A"/>
    <w:rsid w:val="00F3182B"/>
    <w:rsid w:val="00F43FC0"/>
    <w:rsid w:val="00F60DA9"/>
    <w:rsid w:val="00F62632"/>
    <w:rsid w:val="00F6353B"/>
    <w:rsid w:val="00F71888"/>
    <w:rsid w:val="00F91009"/>
    <w:rsid w:val="00F916B3"/>
    <w:rsid w:val="00F93760"/>
    <w:rsid w:val="00FA4767"/>
    <w:rsid w:val="00FA7895"/>
    <w:rsid w:val="00FB25AF"/>
    <w:rsid w:val="00FB2F8D"/>
    <w:rsid w:val="00FB48B5"/>
    <w:rsid w:val="00FC1F49"/>
    <w:rsid w:val="00FC4D01"/>
    <w:rsid w:val="00FD5A86"/>
    <w:rsid w:val="00FD7097"/>
    <w:rsid w:val="00FE1ADF"/>
    <w:rsid w:val="00FE42FA"/>
    <w:rsid w:val="00F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6BC"/>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D416BC"/>
    <w:rPr>
      <w:rFonts w:ascii="Arial" w:eastAsia="Times New Roman" w:hAnsi="Arial" w:cs="Times New Roman"/>
      <w:sz w:val="24"/>
      <w:szCs w:val="20"/>
    </w:rPr>
  </w:style>
  <w:style w:type="paragraph" w:styleId="Footer">
    <w:name w:val="footer"/>
    <w:basedOn w:val="Normal"/>
    <w:link w:val="FooterChar"/>
    <w:uiPriority w:val="99"/>
    <w:rsid w:val="00D416BC"/>
    <w:pPr>
      <w:tabs>
        <w:tab w:val="center" w:pos="4153"/>
        <w:tab w:val="right" w:pos="8306"/>
      </w:tabs>
    </w:pPr>
    <w:rPr>
      <w:sz w:val="20"/>
      <w:szCs w:val="20"/>
    </w:rPr>
  </w:style>
  <w:style w:type="character" w:customStyle="1" w:styleId="FooterChar">
    <w:name w:val="Footer Char"/>
    <w:basedOn w:val="DefaultParagraphFont"/>
    <w:link w:val="Footer"/>
    <w:uiPriority w:val="99"/>
    <w:rsid w:val="00D416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7788"/>
    <w:rPr>
      <w:rFonts w:ascii="Tahoma" w:hAnsi="Tahoma" w:cs="Tahoma"/>
      <w:sz w:val="16"/>
      <w:szCs w:val="16"/>
    </w:rPr>
  </w:style>
  <w:style w:type="character" w:customStyle="1" w:styleId="BalloonTextChar">
    <w:name w:val="Balloon Text Char"/>
    <w:basedOn w:val="DefaultParagraphFont"/>
    <w:link w:val="BalloonText"/>
    <w:uiPriority w:val="99"/>
    <w:semiHidden/>
    <w:rsid w:val="00977788"/>
    <w:rPr>
      <w:rFonts w:ascii="Tahoma" w:eastAsia="Times New Roman" w:hAnsi="Tahoma" w:cs="Tahoma"/>
      <w:sz w:val="16"/>
      <w:szCs w:val="16"/>
    </w:rPr>
  </w:style>
  <w:style w:type="paragraph" w:styleId="ListParagraph">
    <w:name w:val="List Paragraph"/>
    <w:basedOn w:val="Normal"/>
    <w:uiPriority w:val="34"/>
    <w:qFormat/>
    <w:rsid w:val="00B075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F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50D4"/>
    <w:pPr>
      <w:spacing w:before="100" w:beforeAutospacing="1" w:after="100" w:afterAutospacing="1"/>
    </w:pPr>
    <w:rPr>
      <w:rFonts w:eastAsiaTheme="minorHAnsi"/>
      <w:lang w:eastAsia="en-GB"/>
    </w:rPr>
  </w:style>
  <w:style w:type="paragraph" w:customStyle="1" w:styleId="Default">
    <w:name w:val="Default"/>
    <w:rsid w:val="00153512"/>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153512"/>
    <w:pPr>
      <w:spacing w:after="200"/>
    </w:pPr>
    <w:rPr>
      <w:rFonts w:asciiTheme="minorHAnsi" w:eastAsiaTheme="minorHAnsi" w:hAnsiTheme="minorHAnsi" w:cstheme="minorBidi"/>
      <w:b/>
      <w:bCs/>
      <w:color w:val="4F81BD" w:themeColor="accent1"/>
      <w:sz w:val="18"/>
      <w:szCs w:val="18"/>
    </w:rPr>
  </w:style>
  <w:style w:type="character" w:styleId="Strong">
    <w:name w:val="Strong"/>
    <w:basedOn w:val="DefaultParagraphFont"/>
    <w:uiPriority w:val="22"/>
    <w:qFormat/>
    <w:rsid w:val="00153512"/>
    <w:rPr>
      <w:b/>
      <w:bCs/>
    </w:rPr>
  </w:style>
  <w:style w:type="character" w:styleId="Emphasis">
    <w:name w:val="Emphasis"/>
    <w:basedOn w:val="DefaultParagraphFont"/>
    <w:uiPriority w:val="20"/>
    <w:qFormat/>
    <w:rsid w:val="00153512"/>
    <w:rPr>
      <w:i/>
      <w:iCs/>
    </w:rPr>
  </w:style>
  <w:style w:type="paragraph" w:styleId="PlainText">
    <w:name w:val="Plain Text"/>
    <w:basedOn w:val="Normal"/>
    <w:link w:val="PlainTextChar"/>
    <w:uiPriority w:val="99"/>
    <w:semiHidden/>
    <w:unhideWhenUsed/>
    <w:rsid w:val="00F16F65"/>
    <w:rPr>
      <w:rFonts w:ascii="Consolas" w:hAnsi="Consolas" w:cs="Consolas"/>
      <w:sz w:val="21"/>
      <w:szCs w:val="21"/>
    </w:rPr>
  </w:style>
  <w:style w:type="character" w:customStyle="1" w:styleId="PlainTextChar">
    <w:name w:val="Plain Text Char"/>
    <w:basedOn w:val="DefaultParagraphFont"/>
    <w:link w:val="PlainText"/>
    <w:uiPriority w:val="99"/>
    <w:semiHidden/>
    <w:rsid w:val="00F16F65"/>
    <w:rPr>
      <w:rFonts w:ascii="Consolas" w:eastAsia="Times New Roman" w:hAnsi="Consolas" w:cs="Consolas"/>
      <w:sz w:val="21"/>
      <w:szCs w:val="21"/>
    </w:rPr>
  </w:style>
  <w:style w:type="paragraph" w:customStyle="1" w:styleId="ContentsPageHeader">
    <w:name w:val="Contents Page Header"/>
    <w:basedOn w:val="Header"/>
    <w:rsid w:val="002E23EA"/>
    <w:pPr>
      <w:tabs>
        <w:tab w:val="clear" w:pos="4153"/>
        <w:tab w:val="clear" w:pos="8306"/>
        <w:tab w:val="right" w:pos="9639"/>
      </w:tabs>
      <w:adjustRightInd w:val="0"/>
      <w:snapToGrid w:val="0"/>
      <w:spacing w:after="60"/>
      <w:jc w:val="both"/>
    </w:pPr>
    <w:rPr>
      <w:color w:val="002261"/>
      <w:sz w:val="18"/>
      <w:lang w:eastAsia="en-GB"/>
    </w:rPr>
  </w:style>
  <w:style w:type="character" w:styleId="CommentReference">
    <w:name w:val="annotation reference"/>
    <w:basedOn w:val="DefaultParagraphFont"/>
    <w:uiPriority w:val="99"/>
    <w:semiHidden/>
    <w:unhideWhenUsed/>
    <w:rsid w:val="00C35C0D"/>
    <w:rPr>
      <w:sz w:val="16"/>
      <w:szCs w:val="16"/>
    </w:rPr>
  </w:style>
  <w:style w:type="paragraph" w:styleId="CommentText">
    <w:name w:val="annotation text"/>
    <w:basedOn w:val="Normal"/>
    <w:link w:val="CommentTextChar"/>
    <w:uiPriority w:val="99"/>
    <w:semiHidden/>
    <w:unhideWhenUsed/>
    <w:rsid w:val="00C35C0D"/>
    <w:rPr>
      <w:sz w:val="20"/>
      <w:szCs w:val="20"/>
    </w:rPr>
  </w:style>
  <w:style w:type="character" w:customStyle="1" w:styleId="CommentTextChar">
    <w:name w:val="Comment Text Char"/>
    <w:basedOn w:val="DefaultParagraphFont"/>
    <w:link w:val="CommentText"/>
    <w:uiPriority w:val="99"/>
    <w:semiHidden/>
    <w:rsid w:val="00C35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C0D"/>
    <w:rPr>
      <w:b/>
      <w:bCs/>
    </w:rPr>
  </w:style>
  <w:style w:type="character" w:customStyle="1" w:styleId="CommentSubjectChar">
    <w:name w:val="Comment Subject Char"/>
    <w:basedOn w:val="CommentTextChar"/>
    <w:link w:val="CommentSubject"/>
    <w:uiPriority w:val="99"/>
    <w:semiHidden/>
    <w:rsid w:val="00C35C0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16BC"/>
    <w:pPr>
      <w:tabs>
        <w:tab w:val="center" w:pos="4153"/>
        <w:tab w:val="right" w:pos="8306"/>
      </w:tabs>
    </w:pPr>
    <w:rPr>
      <w:rFonts w:ascii="Arial" w:hAnsi="Arial"/>
      <w:szCs w:val="20"/>
    </w:rPr>
  </w:style>
  <w:style w:type="character" w:customStyle="1" w:styleId="HeaderChar">
    <w:name w:val="Header Char"/>
    <w:basedOn w:val="DefaultParagraphFont"/>
    <w:link w:val="Header"/>
    <w:uiPriority w:val="99"/>
    <w:rsid w:val="00D416BC"/>
    <w:rPr>
      <w:rFonts w:ascii="Arial" w:eastAsia="Times New Roman" w:hAnsi="Arial" w:cs="Times New Roman"/>
      <w:sz w:val="24"/>
      <w:szCs w:val="20"/>
    </w:rPr>
  </w:style>
  <w:style w:type="paragraph" w:styleId="Footer">
    <w:name w:val="footer"/>
    <w:basedOn w:val="Normal"/>
    <w:link w:val="FooterChar"/>
    <w:uiPriority w:val="99"/>
    <w:rsid w:val="00D416BC"/>
    <w:pPr>
      <w:tabs>
        <w:tab w:val="center" w:pos="4153"/>
        <w:tab w:val="right" w:pos="8306"/>
      </w:tabs>
    </w:pPr>
    <w:rPr>
      <w:sz w:val="20"/>
      <w:szCs w:val="20"/>
    </w:rPr>
  </w:style>
  <w:style w:type="character" w:customStyle="1" w:styleId="FooterChar">
    <w:name w:val="Footer Char"/>
    <w:basedOn w:val="DefaultParagraphFont"/>
    <w:link w:val="Footer"/>
    <w:uiPriority w:val="99"/>
    <w:rsid w:val="00D416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7788"/>
    <w:rPr>
      <w:rFonts w:ascii="Tahoma" w:hAnsi="Tahoma" w:cs="Tahoma"/>
      <w:sz w:val="16"/>
      <w:szCs w:val="16"/>
    </w:rPr>
  </w:style>
  <w:style w:type="character" w:customStyle="1" w:styleId="BalloonTextChar">
    <w:name w:val="Balloon Text Char"/>
    <w:basedOn w:val="DefaultParagraphFont"/>
    <w:link w:val="BalloonText"/>
    <w:uiPriority w:val="99"/>
    <w:semiHidden/>
    <w:rsid w:val="00977788"/>
    <w:rPr>
      <w:rFonts w:ascii="Tahoma" w:eastAsia="Times New Roman" w:hAnsi="Tahoma" w:cs="Tahoma"/>
      <w:sz w:val="16"/>
      <w:szCs w:val="16"/>
    </w:rPr>
  </w:style>
  <w:style w:type="paragraph" w:styleId="ListParagraph">
    <w:name w:val="List Paragraph"/>
    <w:basedOn w:val="Normal"/>
    <w:uiPriority w:val="34"/>
    <w:qFormat/>
    <w:rsid w:val="00B0753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F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50D4"/>
    <w:pPr>
      <w:spacing w:before="100" w:beforeAutospacing="1" w:after="100" w:afterAutospacing="1"/>
    </w:pPr>
    <w:rPr>
      <w:rFonts w:eastAsiaTheme="minorHAnsi"/>
      <w:lang w:eastAsia="en-GB"/>
    </w:rPr>
  </w:style>
  <w:style w:type="paragraph" w:customStyle="1" w:styleId="Default">
    <w:name w:val="Default"/>
    <w:rsid w:val="00153512"/>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153512"/>
    <w:pPr>
      <w:spacing w:after="200"/>
    </w:pPr>
    <w:rPr>
      <w:rFonts w:asciiTheme="minorHAnsi" w:eastAsiaTheme="minorHAnsi" w:hAnsiTheme="minorHAnsi" w:cstheme="minorBidi"/>
      <w:b/>
      <w:bCs/>
      <w:color w:val="4F81BD" w:themeColor="accent1"/>
      <w:sz w:val="18"/>
      <w:szCs w:val="18"/>
    </w:rPr>
  </w:style>
  <w:style w:type="character" w:styleId="Strong">
    <w:name w:val="Strong"/>
    <w:basedOn w:val="DefaultParagraphFont"/>
    <w:uiPriority w:val="22"/>
    <w:qFormat/>
    <w:rsid w:val="00153512"/>
    <w:rPr>
      <w:b/>
      <w:bCs/>
    </w:rPr>
  </w:style>
  <w:style w:type="character" w:styleId="Emphasis">
    <w:name w:val="Emphasis"/>
    <w:basedOn w:val="DefaultParagraphFont"/>
    <w:uiPriority w:val="20"/>
    <w:qFormat/>
    <w:rsid w:val="00153512"/>
    <w:rPr>
      <w:i/>
      <w:iCs/>
    </w:rPr>
  </w:style>
  <w:style w:type="paragraph" w:styleId="PlainText">
    <w:name w:val="Plain Text"/>
    <w:basedOn w:val="Normal"/>
    <w:link w:val="PlainTextChar"/>
    <w:uiPriority w:val="99"/>
    <w:semiHidden/>
    <w:unhideWhenUsed/>
    <w:rsid w:val="00F16F65"/>
    <w:rPr>
      <w:rFonts w:ascii="Consolas" w:hAnsi="Consolas" w:cs="Consolas"/>
      <w:sz w:val="21"/>
      <w:szCs w:val="21"/>
    </w:rPr>
  </w:style>
  <w:style w:type="character" w:customStyle="1" w:styleId="PlainTextChar">
    <w:name w:val="Plain Text Char"/>
    <w:basedOn w:val="DefaultParagraphFont"/>
    <w:link w:val="PlainText"/>
    <w:uiPriority w:val="99"/>
    <w:semiHidden/>
    <w:rsid w:val="00F16F65"/>
    <w:rPr>
      <w:rFonts w:ascii="Consolas" w:eastAsia="Times New Roman" w:hAnsi="Consolas" w:cs="Consolas"/>
      <w:sz w:val="21"/>
      <w:szCs w:val="21"/>
    </w:rPr>
  </w:style>
  <w:style w:type="paragraph" w:customStyle="1" w:styleId="ContentsPageHeader">
    <w:name w:val="Contents Page Header"/>
    <w:basedOn w:val="Header"/>
    <w:rsid w:val="002E23EA"/>
    <w:pPr>
      <w:tabs>
        <w:tab w:val="clear" w:pos="4153"/>
        <w:tab w:val="clear" w:pos="8306"/>
        <w:tab w:val="right" w:pos="9639"/>
      </w:tabs>
      <w:adjustRightInd w:val="0"/>
      <w:snapToGrid w:val="0"/>
      <w:spacing w:after="60"/>
      <w:jc w:val="both"/>
    </w:pPr>
    <w:rPr>
      <w:color w:val="002261"/>
      <w:sz w:val="18"/>
      <w:lang w:eastAsia="en-GB"/>
    </w:rPr>
  </w:style>
  <w:style w:type="character" w:styleId="CommentReference">
    <w:name w:val="annotation reference"/>
    <w:basedOn w:val="DefaultParagraphFont"/>
    <w:uiPriority w:val="99"/>
    <w:semiHidden/>
    <w:unhideWhenUsed/>
    <w:rsid w:val="00C35C0D"/>
    <w:rPr>
      <w:sz w:val="16"/>
      <w:szCs w:val="16"/>
    </w:rPr>
  </w:style>
  <w:style w:type="paragraph" w:styleId="CommentText">
    <w:name w:val="annotation text"/>
    <w:basedOn w:val="Normal"/>
    <w:link w:val="CommentTextChar"/>
    <w:uiPriority w:val="99"/>
    <w:semiHidden/>
    <w:unhideWhenUsed/>
    <w:rsid w:val="00C35C0D"/>
    <w:rPr>
      <w:sz w:val="20"/>
      <w:szCs w:val="20"/>
    </w:rPr>
  </w:style>
  <w:style w:type="character" w:customStyle="1" w:styleId="CommentTextChar">
    <w:name w:val="Comment Text Char"/>
    <w:basedOn w:val="DefaultParagraphFont"/>
    <w:link w:val="CommentText"/>
    <w:uiPriority w:val="99"/>
    <w:semiHidden/>
    <w:rsid w:val="00C35C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C0D"/>
    <w:rPr>
      <w:b/>
      <w:bCs/>
    </w:rPr>
  </w:style>
  <w:style w:type="character" w:customStyle="1" w:styleId="CommentSubjectChar">
    <w:name w:val="Comment Subject Char"/>
    <w:basedOn w:val="CommentTextChar"/>
    <w:link w:val="CommentSubject"/>
    <w:uiPriority w:val="99"/>
    <w:semiHidden/>
    <w:rsid w:val="00C35C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4980">
      <w:bodyDiv w:val="1"/>
      <w:marLeft w:val="0"/>
      <w:marRight w:val="0"/>
      <w:marTop w:val="0"/>
      <w:marBottom w:val="0"/>
      <w:divBdr>
        <w:top w:val="none" w:sz="0" w:space="0" w:color="auto"/>
        <w:left w:val="none" w:sz="0" w:space="0" w:color="auto"/>
        <w:bottom w:val="none" w:sz="0" w:space="0" w:color="auto"/>
        <w:right w:val="none" w:sz="0" w:space="0" w:color="auto"/>
      </w:divBdr>
    </w:div>
    <w:div w:id="477890585">
      <w:bodyDiv w:val="1"/>
      <w:marLeft w:val="0"/>
      <w:marRight w:val="0"/>
      <w:marTop w:val="0"/>
      <w:marBottom w:val="0"/>
      <w:divBdr>
        <w:top w:val="none" w:sz="0" w:space="0" w:color="auto"/>
        <w:left w:val="none" w:sz="0" w:space="0" w:color="auto"/>
        <w:bottom w:val="none" w:sz="0" w:space="0" w:color="auto"/>
        <w:right w:val="none" w:sz="0" w:space="0" w:color="auto"/>
      </w:divBdr>
    </w:div>
    <w:div w:id="511190096">
      <w:bodyDiv w:val="1"/>
      <w:marLeft w:val="0"/>
      <w:marRight w:val="0"/>
      <w:marTop w:val="0"/>
      <w:marBottom w:val="0"/>
      <w:divBdr>
        <w:top w:val="none" w:sz="0" w:space="0" w:color="auto"/>
        <w:left w:val="none" w:sz="0" w:space="0" w:color="auto"/>
        <w:bottom w:val="none" w:sz="0" w:space="0" w:color="auto"/>
        <w:right w:val="none" w:sz="0" w:space="0" w:color="auto"/>
      </w:divBdr>
    </w:div>
    <w:div w:id="776144637">
      <w:bodyDiv w:val="1"/>
      <w:marLeft w:val="0"/>
      <w:marRight w:val="0"/>
      <w:marTop w:val="0"/>
      <w:marBottom w:val="0"/>
      <w:divBdr>
        <w:top w:val="none" w:sz="0" w:space="0" w:color="auto"/>
        <w:left w:val="none" w:sz="0" w:space="0" w:color="auto"/>
        <w:bottom w:val="none" w:sz="0" w:space="0" w:color="auto"/>
        <w:right w:val="none" w:sz="0" w:space="0" w:color="auto"/>
      </w:divBdr>
    </w:div>
    <w:div w:id="862590407">
      <w:bodyDiv w:val="1"/>
      <w:marLeft w:val="0"/>
      <w:marRight w:val="0"/>
      <w:marTop w:val="0"/>
      <w:marBottom w:val="0"/>
      <w:divBdr>
        <w:top w:val="none" w:sz="0" w:space="0" w:color="auto"/>
        <w:left w:val="none" w:sz="0" w:space="0" w:color="auto"/>
        <w:bottom w:val="none" w:sz="0" w:space="0" w:color="auto"/>
        <w:right w:val="none" w:sz="0" w:space="0" w:color="auto"/>
      </w:divBdr>
    </w:div>
    <w:div w:id="1111169470">
      <w:bodyDiv w:val="1"/>
      <w:marLeft w:val="0"/>
      <w:marRight w:val="0"/>
      <w:marTop w:val="0"/>
      <w:marBottom w:val="0"/>
      <w:divBdr>
        <w:top w:val="none" w:sz="0" w:space="0" w:color="auto"/>
        <w:left w:val="none" w:sz="0" w:space="0" w:color="auto"/>
        <w:bottom w:val="none" w:sz="0" w:space="0" w:color="auto"/>
        <w:right w:val="none" w:sz="0" w:space="0" w:color="auto"/>
      </w:divBdr>
    </w:div>
    <w:div w:id="1157768136">
      <w:bodyDiv w:val="1"/>
      <w:marLeft w:val="0"/>
      <w:marRight w:val="0"/>
      <w:marTop w:val="0"/>
      <w:marBottom w:val="0"/>
      <w:divBdr>
        <w:top w:val="none" w:sz="0" w:space="0" w:color="auto"/>
        <w:left w:val="none" w:sz="0" w:space="0" w:color="auto"/>
        <w:bottom w:val="none" w:sz="0" w:space="0" w:color="auto"/>
        <w:right w:val="none" w:sz="0" w:space="0" w:color="auto"/>
      </w:divBdr>
    </w:div>
    <w:div w:id="1212616741">
      <w:bodyDiv w:val="1"/>
      <w:marLeft w:val="0"/>
      <w:marRight w:val="0"/>
      <w:marTop w:val="0"/>
      <w:marBottom w:val="0"/>
      <w:divBdr>
        <w:top w:val="none" w:sz="0" w:space="0" w:color="auto"/>
        <w:left w:val="none" w:sz="0" w:space="0" w:color="auto"/>
        <w:bottom w:val="none" w:sz="0" w:space="0" w:color="auto"/>
        <w:right w:val="none" w:sz="0" w:space="0" w:color="auto"/>
      </w:divBdr>
    </w:div>
    <w:div w:id="1246525624">
      <w:bodyDiv w:val="1"/>
      <w:marLeft w:val="0"/>
      <w:marRight w:val="0"/>
      <w:marTop w:val="0"/>
      <w:marBottom w:val="0"/>
      <w:divBdr>
        <w:top w:val="none" w:sz="0" w:space="0" w:color="auto"/>
        <w:left w:val="none" w:sz="0" w:space="0" w:color="auto"/>
        <w:bottom w:val="none" w:sz="0" w:space="0" w:color="auto"/>
        <w:right w:val="none" w:sz="0" w:space="0" w:color="auto"/>
      </w:divBdr>
    </w:div>
    <w:div w:id="1492284179">
      <w:bodyDiv w:val="1"/>
      <w:marLeft w:val="0"/>
      <w:marRight w:val="0"/>
      <w:marTop w:val="0"/>
      <w:marBottom w:val="0"/>
      <w:divBdr>
        <w:top w:val="none" w:sz="0" w:space="0" w:color="auto"/>
        <w:left w:val="none" w:sz="0" w:space="0" w:color="auto"/>
        <w:bottom w:val="none" w:sz="0" w:space="0" w:color="auto"/>
        <w:right w:val="none" w:sz="0" w:space="0" w:color="auto"/>
      </w:divBdr>
    </w:div>
    <w:div w:id="1588886548">
      <w:bodyDiv w:val="1"/>
      <w:marLeft w:val="0"/>
      <w:marRight w:val="0"/>
      <w:marTop w:val="0"/>
      <w:marBottom w:val="0"/>
      <w:divBdr>
        <w:top w:val="none" w:sz="0" w:space="0" w:color="auto"/>
        <w:left w:val="none" w:sz="0" w:space="0" w:color="auto"/>
        <w:bottom w:val="none" w:sz="0" w:space="0" w:color="auto"/>
        <w:right w:val="none" w:sz="0" w:space="0" w:color="auto"/>
      </w:divBdr>
    </w:div>
    <w:div w:id="1621492898">
      <w:bodyDiv w:val="1"/>
      <w:marLeft w:val="0"/>
      <w:marRight w:val="0"/>
      <w:marTop w:val="0"/>
      <w:marBottom w:val="0"/>
      <w:divBdr>
        <w:top w:val="none" w:sz="0" w:space="0" w:color="auto"/>
        <w:left w:val="none" w:sz="0" w:space="0" w:color="auto"/>
        <w:bottom w:val="none" w:sz="0" w:space="0" w:color="auto"/>
        <w:right w:val="none" w:sz="0" w:space="0" w:color="auto"/>
      </w:divBdr>
    </w:div>
    <w:div w:id="1804736508">
      <w:bodyDiv w:val="1"/>
      <w:marLeft w:val="0"/>
      <w:marRight w:val="0"/>
      <w:marTop w:val="0"/>
      <w:marBottom w:val="0"/>
      <w:divBdr>
        <w:top w:val="none" w:sz="0" w:space="0" w:color="auto"/>
        <w:left w:val="none" w:sz="0" w:space="0" w:color="auto"/>
        <w:bottom w:val="none" w:sz="0" w:space="0" w:color="auto"/>
        <w:right w:val="none" w:sz="0" w:space="0" w:color="auto"/>
      </w:divBdr>
    </w:div>
    <w:div w:id="1906724459">
      <w:bodyDiv w:val="1"/>
      <w:marLeft w:val="0"/>
      <w:marRight w:val="0"/>
      <w:marTop w:val="0"/>
      <w:marBottom w:val="0"/>
      <w:divBdr>
        <w:top w:val="none" w:sz="0" w:space="0" w:color="auto"/>
        <w:left w:val="none" w:sz="0" w:space="0" w:color="auto"/>
        <w:bottom w:val="none" w:sz="0" w:space="0" w:color="auto"/>
        <w:right w:val="none" w:sz="0" w:space="0" w:color="auto"/>
      </w:divBdr>
    </w:div>
    <w:div w:id="1940335900">
      <w:bodyDiv w:val="1"/>
      <w:marLeft w:val="0"/>
      <w:marRight w:val="0"/>
      <w:marTop w:val="0"/>
      <w:marBottom w:val="0"/>
      <w:divBdr>
        <w:top w:val="none" w:sz="0" w:space="0" w:color="auto"/>
        <w:left w:val="none" w:sz="0" w:space="0" w:color="auto"/>
        <w:bottom w:val="none" w:sz="0" w:space="0" w:color="auto"/>
        <w:right w:val="none" w:sz="0" w:space="0" w:color="auto"/>
      </w:divBdr>
    </w:div>
    <w:div w:id="1949854164">
      <w:bodyDiv w:val="1"/>
      <w:marLeft w:val="0"/>
      <w:marRight w:val="0"/>
      <w:marTop w:val="0"/>
      <w:marBottom w:val="0"/>
      <w:divBdr>
        <w:top w:val="none" w:sz="0" w:space="0" w:color="auto"/>
        <w:left w:val="none" w:sz="0" w:space="0" w:color="auto"/>
        <w:bottom w:val="none" w:sz="0" w:space="0" w:color="auto"/>
        <w:right w:val="none" w:sz="0" w:space="0" w:color="auto"/>
      </w:divBdr>
    </w:div>
    <w:div w:id="2025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E9CF-83E8-45DA-9947-314F672B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4</cp:revision>
  <cp:lastPrinted>2013-10-26T18:24:00Z</cp:lastPrinted>
  <dcterms:created xsi:type="dcterms:W3CDTF">2014-10-24T10:59:00Z</dcterms:created>
  <dcterms:modified xsi:type="dcterms:W3CDTF">2014-10-24T11:13:00Z</dcterms:modified>
</cp:coreProperties>
</file>