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DA5437">
      <w:pPr>
        <w:pStyle w:val="Heading1"/>
        <w:ind w:left="5760"/>
      </w:pPr>
      <w:r>
        <w:t>North East Lincolnshire CCG</w:t>
      </w:r>
    </w:p>
    <w:p w:rsidR="005F11AA" w:rsidRDefault="00DC3218" w:rsidP="00DA5437">
      <w:pPr>
        <w:pStyle w:val="Header"/>
        <w:spacing w:line="276" w:lineRule="auto"/>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4D1" w:rsidRPr="00DD7564" w:rsidRDefault="008024D1" w:rsidP="00DD689C">
                            <w:pPr>
                              <w:rPr>
                                <w:rFonts w:ascii="Arial" w:hAnsi="Arial" w:cs="Arial"/>
                                <w:sz w:val="32"/>
                                <w:szCs w:val="32"/>
                              </w:rPr>
                            </w:pPr>
                            <w:r>
                              <w:rPr>
                                <w:rFonts w:ascii="Arial" w:hAnsi="Arial" w:cs="Arial"/>
                                <w:sz w:val="32"/>
                                <w:szCs w:val="32"/>
                              </w:rPr>
                              <w:t>Attachment 08</w:t>
                            </w:r>
                          </w:p>
                          <w:p w:rsidR="008024D1" w:rsidRDefault="008024D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8024D1" w:rsidRPr="00DD7564" w:rsidRDefault="008024D1" w:rsidP="00DD689C">
                      <w:pPr>
                        <w:rPr>
                          <w:rFonts w:ascii="Arial" w:hAnsi="Arial" w:cs="Arial"/>
                          <w:sz w:val="32"/>
                          <w:szCs w:val="32"/>
                        </w:rPr>
                      </w:pPr>
                      <w:r>
                        <w:rPr>
                          <w:rFonts w:ascii="Arial" w:hAnsi="Arial" w:cs="Arial"/>
                          <w:sz w:val="32"/>
                          <w:szCs w:val="32"/>
                        </w:rPr>
                        <w:t>Attachment 08</w:t>
                      </w:r>
                    </w:p>
                    <w:p w:rsidR="008024D1" w:rsidRDefault="008024D1" w:rsidP="00DD689C">
                      <w:pPr>
                        <w:rPr>
                          <w:sz w:val="36"/>
                        </w:rPr>
                      </w:pPr>
                    </w:p>
                  </w:txbxContent>
                </v:textbox>
              </v:shape>
            </w:pict>
          </mc:Fallback>
        </mc:AlternateContent>
      </w:r>
    </w:p>
    <w:p w:rsidR="00DD689C" w:rsidRDefault="00DD689C" w:rsidP="00DA5437">
      <w:pPr>
        <w:spacing w:line="276" w:lineRule="auto"/>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DD689C" w:rsidP="00DA5437">
            <w:pPr>
              <w:spacing w:line="276" w:lineRule="auto"/>
              <w:jc w:val="both"/>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Report to:</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7E6A63" w:rsidP="00DA5437">
            <w:pPr>
              <w:spacing w:line="276" w:lineRule="auto"/>
              <w:jc w:val="both"/>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B170EF" w:rsidP="00DA5437">
            <w:pPr>
              <w:spacing w:line="276" w:lineRule="auto"/>
              <w:jc w:val="both"/>
              <w:rPr>
                <w:rFonts w:ascii="Arial" w:hAnsi="Arial" w:cs="Arial"/>
                <w:bCs/>
                <w:sz w:val="22"/>
                <w:szCs w:val="22"/>
              </w:rPr>
            </w:pPr>
            <w:r>
              <w:rPr>
                <w:rFonts w:ascii="Arial" w:hAnsi="Arial" w:cs="Arial"/>
                <w:bCs/>
                <w:sz w:val="22"/>
                <w:szCs w:val="22"/>
              </w:rPr>
              <w:t>Julie Taylor-Clark</w:t>
            </w:r>
            <w:r w:rsidR="00DA5437">
              <w:rPr>
                <w:rFonts w:ascii="Arial" w:hAnsi="Arial" w:cs="Arial"/>
                <w:bCs/>
                <w:sz w:val="22"/>
                <w:szCs w:val="22"/>
              </w:rPr>
              <w:t>, Interim Director of Nursing and Quality</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3F5E9E" w:rsidP="00DA5437">
            <w:pPr>
              <w:spacing w:line="276" w:lineRule="auto"/>
              <w:jc w:val="both"/>
              <w:rPr>
                <w:rFonts w:ascii="Arial" w:hAnsi="Arial" w:cs="Arial"/>
                <w:bCs/>
                <w:sz w:val="22"/>
                <w:szCs w:val="22"/>
              </w:rPr>
            </w:pPr>
            <w:r>
              <w:rPr>
                <w:rFonts w:ascii="Arial" w:hAnsi="Arial" w:cs="Arial"/>
                <w:bCs/>
                <w:sz w:val="22"/>
                <w:szCs w:val="22"/>
              </w:rPr>
              <w:t>13 November 2014</w:t>
            </w:r>
          </w:p>
        </w:tc>
      </w:tr>
      <w:tr w:rsidR="00DD689C" w:rsidRPr="00752FD6" w:rsidTr="00DD7564">
        <w:trPr>
          <w:trHeight w:val="438"/>
        </w:trPr>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Subject:</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2F30C8" w:rsidP="00DA5437">
            <w:pPr>
              <w:spacing w:line="276" w:lineRule="auto"/>
              <w:jc w:val="both"/>
              <w:rPr>
                <w:rFonts w:ascii="Arial" w:hAnsi="Arial" w:cs="Arial"/>
                <w:bCs/>
                <w:sz w:val="22"/>
                <w:szCs w:val="22"/>
              </w:rPr>
            </w:pPr>
            <w:r>
              <w:rPr>
                <w:rFonts w:ascii="Arial" w:hAnsi="Arial" w:cs="Arial"/>
                <w:bCs/>
                <w:sz w:val="22"/>
                <w:szCs w:val="22"/>
              </w:rPr>
              <w:t xml:space="preserve">Quality Report - </w:t>
            </w:r>
            <w:bookmarkStart w:id="0" w:name="_GoBack"/>
            <w:bookmarkEnd w:id="0"/>
            <w:r w:rsidR="00C11E56">
              <w:rPr>
                <w:rFonts w:ascii="Arial" w:hAnsi="Arial" w:cs="Arial"/>
                <w:bCs/>
                <w:sz w:val="22"/>
                <w:szCs w:val="22"/>
              </w:rPr>
              <w:t>Clinical Quality Committee</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Status:</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6227EF" w:rsidP="006227EF">
            <w:pPr>
              <w:spacing w:before="60" w:line="276" w:lineRule="auto"/>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Agenda Section:</w:t>
            </w:r>
          </w:p>
        </w:tc>
        <w:bookmarkStart w:id="2" w:name="Check4"/>
        <w:tc>
          <w:tcPr>
            <w:tcW w:w="7861" w:type="dxa"/>
            <w:shd w:val="clear" w:color="auto" w:fill="auto"/>
          </w:tcPr>
          <w:p w:rsidR="00DD689C" w:rsidRPr="00752FD6" w:rsidRDefault="006227EF" w:rsidP="006227EF">
            <w:pPr>
              <w:spacing w:before="60" w:line="276" w:lineRule="auto"/>
              <w:jc w:val="both"/>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STRATEGY</w:t>
            </w:r>
            <w:r w:rsidR="00DD7564">
              <w:rPr>
                <w:rFonts w:ascii="Arial" w:hAnsi="Arial" w:cs="Arial"/>
                <w:sz w:val="22"/>
                <w:szCs w:val="22"/>
              </w:rPr>
              <w:tab/>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00DD689C" w:rsidRPr="00752FD6">
              <w:rPr>
                <w:rFonts w:ascii="Arial" w:hAnsi="Arial" w:cs="Arial"/>
                <w:sz w:val="22"/>
                <w:szCs w:val="22"/>
              </w:rPr>
              <w:t>OPERATIONAL ISSUES</w:t>
            </w:r>
          </w:p>
        </w:tc>
      </w:tr>
    </w:tbl>
    <w:p w:rsidR="00DD689C" w:rsidRPr="009D14DD" w:rsidRDefault="00DD689C" w:rsidP="00DA5437">
      <w:pPr>
        <w:spacing w:line="276" w:lineRule="auto"/>
        <w:jc w:val="both"/>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DA5437">
            <w:pPr>
              <w:spacing w:line="276" w:lineRule="auto"/>
              <w:jc w:val="both"/>
              <w:rPr>
                <w:rFonts w:ascii="Arial" w:hAnsi="Arial" w:cs="Arial"/>
                <w:b/>
                <w:bCs/>
                <w:sz w:val="22"/>
                <w:szCs w:val="22"/>
              </w:rPr>
            </w:pPr>
          </w:p>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B170EF" w:rsidRDefault="00B170EF" w:rsidP="00DA5437">
            <w:pPr>
              <w:spacing w:line="276" w:lineRule="auto"/>
              <w:jc w:val="both"/>
              <w:rPr>
                <w:rFonts w:ascii="Arial" w:hAnsi="Arial" w:cs="Arial"/>
                <w:b/>
                <w:bCs/>
                <w:sz w:val="22"/>
                <w:szCs w:val="22"/>
              </w:rPr>
            </w:pPr>
          </w:p>
          <w:p w:rsidR="00B170EF" w:rsidRDefault="00B170EF" w:rsidP="00DA5437">
            <w:pPr>
              <w:spacing w:line="276" w:lineRule="auto"/>
              <w:jc w:val="both"/>
              <w:rPr>
                <w:rFonts w:ascii="Arial" w:hAnsi="Arial" w:cs="Arial"/>
                <w:b/>
                <w:bCs/>
                <w:sz w:val="22"/>
                <w:szCs w:val="22"/>
              </w:rPr>
            </w:pPr>
          </w:p>
          <w:p w:rsidR="00DD689C" w:rsidRPr="00752FD6" w:rsidRDefault="00DD689C" w:rsidP="00DA5437">
            <w:pPr>
              <w:spacing w:line="276" w:lineRule="auto"/>
              <w:jc w:val="both"/>
              <w:rPr>
                <w:rFonts w:ascii="Arial" w:hAnsi="Arial" w:cs="Arial"/>
                <w:sz w:val="22"/>
                <w:szCs w:val="22"/>
              </w:rPr>
            </w:pPr>
          </w:p>
        </w:tc>
      </w:tr>
      <w:tr w:rsidR="00DD689C" w:rsidRPr="00752FD6" w:rsidTr="00DD7564">
        <w:trPr>
          <w:trHeight w:val="856"/>
        </w:trPr>
        <w:tc>
          <w:tcPr>
            <w:tcW w:w="9889" w:type="dxa"/>
            <w:gridSpan w:val="2"/>
            <w:shd w:val="clear" w:color="auto" w:fill="auto"/>
          </w:tcPr>
          <w:p w:rsidR="00DA5437" w:rsidRPr="00DA5437" w:rsidRDefault="00DA5437" w:rsidP="00DA5437">
            <w:pPr>
              <w:autoSpaceDE w:val="0"/>
              <w:autoSpaceDN w:val="0"/>
              <w:adjustRightInd w:val="0"/>
              <w:jc w:val="both"/>
              <w:rPr>
                <w:rFonts w:ascii="Arial" w:eastAsiaTheme="minorHAnsi" w:hAnsi="Arial" w:cs="Arial"/>
                <w:color w:val="000000"/>
                <w:sz w:val="22"/>
                <w:szCs w:val="22"/>
                <w:lang w:eastAsia="en-US"/>
              </w:rPr>
            </w:pPr>
            <w:r w:rsidRPr="00DA5437">
              <w:rPr>
                <w:rFonts w:ascii="Arial" w:eastAsiaTheme="minorHAnsi" w:hAnsi="Arial" w:cs="Arial"/>
                <w:color w:val="000000"/>
                <w:sz w:val="22"/>
                <w:szCs w:val="22"/>
                <w:lang w:eastAsia="en-US"/>
              </w:rPr>
              <w:t>The report informs the</w:t>
            </w:r>
            <w:r>
              <w:rPr>
                <w:rFonts w:ascii="Arial" w:eastAsiaTheme="minorHAnsi" w:hAnsi="Arial" w:cs="Arial"/>
                <w:color w:val="000000"/>
                <w:sz w:val="22"/>
                <w:szCs w:val="22"/>
                <w:lang w:eastAsia="en-US"/>
              </w:rPr>
              <w:t xml:space="preserve"> Partnership Board </w:t>
            </w:r>
            <w:r w:rsidRPr="00DA5437">
              <w:rPr>
                <w:rFonts w:ascii="Arial" w:eastAsiaTheme="minorHAnsi" w:hAnsi="Arial" w:cs="Arial"/>
                <w:color w:val="000000"/>
                <w:sz w:val="22"/>
                <w:szCs w:val="22"/>
                <w:lang w:eastAsia="en-US"/>
              </w:rPr>
              <w:t xml:space="preserve">about the quality and safety of the services it commissions and in doing so provides assurance that </w:t>
            </w:r>
            <w:r>
              <w:rPr>
                <w:rFonts w:ascii="Arial" w:eastAsiaTheme="minorHAnsi" w:hAnsi="Arial" w:cs="Arial"/>
                <w:color w:val="000000"/>
                <w:sz w:val="22"/>
                <w:szCs w:val="22"/>
                <w:lang w:eastAsia="en-US"/>
              </w:rPr>
              <w:t xml:space="preserve">North East Lincolnshire </w:t>
            </w:r>
            <w:r w:rsidRPr="00DA5437">
              <w:rPr>
                <w:rFonts w:ascii="Arial" w:eastAsiaTheme="minorHAnsi" w:hAnsi="Arial" w:cs="Arial"/>
                <w:color w:val="000000"/>
                <w:sz w:val="22"/>
                <w:szCs w:val="22"/>
                <w:lang w:eastAsia="en-US"/>
              </w:rPr>
              <w:t xml:space="preserve">CCG is </w:t>
            </w:r>
            <w:r>
              <w:rPr>
                <w:rFonts w:ascii="Arial" w:eastAsiaTheme="minorHAnsi" w:hAnsi="Arial" w:cs="Arial"/>
                <w:color w:val="000000"/>
                <w:sz w:val="22"/>
                <w:szCs w:val="22"/>
                <w:lang w:eastAsia="en-US"/>
              </w:rPr>
              <w:t xml:space="preserve">fulfilling </w:t>
            </w:r>
            <w:r w:rsidRPr="00DA5437">
              <w:rPr>
                <w:rFonts w:ascii="Arial" w:eastAsiaTheme="minorHAnsi" w:hAnsi="Arial" w:cs="Arial"/>
                <w:color w:val="000000"/>
                <w:sz w:val="22"/>
                <w:szCs w:val="22"/>
                <w:lang w:eastAsia="en-US"/>
              </w:rPr>
              <w:t>its responsibility and</w:t>
            </w:r>
            <w:r>
              <w:rPr>
                <w:rFonts w:ascii="Arial" w:eastAsiaTheme="minorHAnsi" w:hAnsi="Arial" w:cs="Arial"/>
                <w:color w:val="000000"/>
                <w:sz w:val="22"/>
                <w:szCs w:val="22"/>
                <w:lang w:eastAsia="en-US"/>
              </w:rPr>
              <w:t xml:space="preserve"> commitment to commission safe and effective </w:t>
            </w:r>
            <w:r w:rsidRPr="00DA5437">
              <w:rPr>
                <w:rFonts w:ascii="Arial" w:eastAsiaTheme="minorHAnsi" w:hAnsi="Arial" w:cs="Arial"/>
                <w:color w:val="000000"/>
                <w:sz w:val="22"/>
                <w:szCs w:val="22"/>
                <w:lang w:eastAsia="en-US"/>
              </w:rPr>
              <w:t>services</w:t>
            </w:r>
            <w:r w:rsidR="002F5936">
              <w:rPr>
                <w:rFonts w:ascii="Arial" w:eastAsiaTheme="minorHAnsi" w:hAnsi="Arial" w:cs="Arial"/>
                <w:color w:val="000000"/>
                <w:sz w:val="22"/>
                <w:szCs w:val="22"/>
                <w:lang w:eastAsia="en-US"/>
              </w:rPr>
              <w:t xml:space="preserve"> that meet</w:t>
            </w:r>
            <w:r>
              <w:rPr>
                <w:rFonts w:ascii="Arial" w:eastAsiaTheme="minorHAnsi" w:hAnsi="Arial" w:cs="Arial"/>
                <w:color w:val="000000"/>
                <w:sz w:val="22"/>
                <w:szCs w:val="22"/>
                <w:lang w:eastAsia="en-US"/>
              </w:rPr>
              <w:t xml:space="preserve"> the needs of the population of North East Lincolnshire. </w:t>
            </w:r>
          </w:p>
          <w:p w:rsidR="00DD7564" w:rsidRPr="003A0027" w:rsidRDefault="00DD7564" w:rsidP="00DA5437">
            <w:pPr>
              <w:spacing w:line="276" w:lineRule="auto"/>
              <w:jc w:val="both"/>
              <w:rPr>
                <w:rFonts w:ascii="Arial" w:hAnsi="Arial"/>
              </w:rPr>
            </w:pPr>
          </w:p>
        </w:tc>
      </w:tr>
    </w:tbl>
    <w:p w:rsidR="00DD689C" w:rsidRPr="009D14DD"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DA5437" w:rsidTr="00DD7564">
        <w:tc>
          <w:tcPr>
            <w:tcW w:w="2868" w:type="dxa"/>
            <w:shd w:val="clear" w:color="auto" w:fill="auto"/>
          </w:tcPr>
          <w:p w:rsidR="00DD689C" w:rsidRPr="00DA5437" w:rsidRDefault="00DD689C" w:rsidP="00DA5437">
            <w:pPr>
              <w:spacing w:line="276" w:lineRule="auto"/>
              <w:jc w:val="both"/>
              <w:rPr>
                <w:rFonts w:ascii="Arial" w:hAnsi="Arial" w:cs="Arial"/>
                <w:b/>
                <w:bCs/>
                <w:sz w:val="22"/>
                <w:szCs w:val="22"/>
              </w:rPr>
            </w:pPr>
          </w:p>
          <w:p w:rsidR="00DD689C" w:rsidRPr="00DA5437" w:rsidRDefault="00DD689C" w:rsidP="00DA5437">
            <w:pPr>
              <w:spacing w:line="276" w:lineRule="auto"/>
              <w:jc w:val="both"/>
              <w:rPr>
                <w:rFonts w:ascii="Arial" w:hAnsi="Arial" w:cs="Arial"/>
                <w:b/>
                <w:bCs/>
                <w:sz w:val="22"/>
                <w:szCs w:val="22"/>
              </w:rPr>
            </w:pPr>
            <w:r w:rsidRPr="00DA5437">
              <w:rPr>
                <w:rFonts w:ascii="Arial" w:hAnsi="Arial" w:cs="Arial"/>
                <w:b/>
                <w:bCs/>
                <w:sz w:val="22"/>
                <w:szCs w:val="22"/>
              </w:rPr>
              <w:t>STRATEGY</w:t>
            </w:r>
            <w:r w:rsidR="00C11E56" w:rsidRPr="00DA5437">
              <w:rPr>
                <w:rFonts w:ascii="Arial" w:hAnsi="Arial" w:cs="Arial"/>
                <w:b/>
                <w:bCs/>
                <w:sz w:val="22"/>
                <w:szCs w:val="22"/>
              </w:rPr>
              <w:t xml:space="preserve">                          </w:t>
            </w:r>
          </w:p>
        </w:tc>
        <w:tc>
          <w:tcPr>
            <w:tcW w:w="7021" w:type="dxa"/>
            <w:shd w:val="clear" w:color="auto" w:fill="auto"/>
          </w:tcPr>
          <w:p w:rsidR="00DD689C" w:rsidRPr="00DA5437" w:rsidRDefault="00DD689C" w:rsidP="00DA5437">
            <w:pPr>
              <w:spacing w:line="276" w:lineRule="auto"/>
              <w:jc w:val="both"/>
              <w:rPr>
                <w:rFonts w:ascii="Arial" w:hAnsi="Arial" w:cs="Arial"/>
                <w:b/>
                <w:bCs/>
                <w:sz w:val="22"/>
                <w:szCs w:val="22"/>
              </w:rPr>
            </w:pPr>
          </w:p>
          <w:p w:rsidR="00DD689C" w:rsidRPr="00DA5437" w:rsidRDefault="00DD689C" w:rsidP="00DA5437">
            <w:pPr>
              <w:spacing w:line="276" w:lineRule="auto"/>
              <w:jc w:val="both"/>
              <w:rPr>
                <w:rFonts w:ascii="Arial" w:hAnsi="Arial" w:cs="Arial"/>
                <w:sz w:val="22"/>
                <w:szCs w:val="22"/>
              </w:rPr>
            </w:pPr>
          </w:p>
        </w:tc>
      </w:tr>
      <w:tr w:rsidR="00DD689C" w:rsidRPr="00DA5437" w:rsidTr="00DD7564">
        <w:trPr>
          <w:trHeight w:val="637"/>
        </w:trPr>
        <w:tc>
          <w:tcPr>
            <w:tcW w:w="9889" w:type="dxa"/>
            <w:gridSpan w:val="2"/>
            <w:shd w:val="clear" w:color="auto" w:fill="auto"/>
          </w:tcPr>
          <w:p w:rsidR="00B170EF" w:rsidRPr="00DA5437" w:rsidRDefault="00DA5437" w:rsidP="00DA5437">
            <w:pPr>
              <w:spacing w:line="276" w:lineRule="auto"/>
              <w:jc w:val="both"/>
              <w:rPr>
                <w:rFonts w:ascii="Arial" w:hAnsi="Arial" w:cs="Arial"/>
                <w:sz w:val="22"/>
                <w:szCs w:val="22"/>
              </w:rPr>
            </w:pPr>
            <w:r>
              <w:rPr>
                <w:rFonts w:ascii="Arial" w:hAnsi="Arial" w:cs="Arial"/>
                <w:sz w:val="22"/>
                <w:szCs w:val="22"/>
              </w:rPr>
              <w:t xml:space="preserve">      </w:t>
            </w:r>
            <w:r w:rsidR="00446F94" w:rsidRPr="00DA5437">
              <w:rPr>
                <w:rFonts w:ascii="Arial" w:hAnsi="Arial" w:cs="Arial"/>
                <w:sz w:val="22"/>
                <w:szCs w:val="22"/>
              </w:rPr>
              <w:t xml:space="preserve">                             </w:t>
            </w:r>
          </w:p>
          <w:p w:rsidR="00301655" w:rsidRPr="00DA5437" w:rsidRDefault="00446F94" w:rsidP="00DA5437">
            <w:pPr>
              <w:spacing w:line="276" w:lineRule="auto"/>
              <w:jc w:val="both"/>
              <w:rPr>
                <w:rFonts w:ascii="Arial" w:hAnsi="Arial" w:cs="Arial"/>
                <w:bCs/>
                <w:sz w:val="22"/>
                <w:szCs w:val="22"/>
              </w:rPr>
            </w:pPr>
            <w:r w:rsidRPr="00DA5437">
              <w:rPr>
                <w:rFonts w:ascii="Arial" w:hAnsi="Arial" w:cs="Arial"/>
                <w:sz w:val="22"/>
                <w:szCs w:val="22"/>
              </w:rPr>
              <w:t xml:space="preserve"> </w:t>
            </w:r>
            <w:r w:rsidR="00DA5437" w:rsidRPr="00DA5437">
              <w:rPr>
                <w:rFonts w:ascii="Arial" w:hAnsi="Arial" w:cs="Arial"/>
                <w:bCs/>
                <w:sz w:val="22"/>
                <w:szCs w:val="22"/>
              </w:rPr>
              <w:t>Effective care,</w:t>
            </w:r>
            <w:r w:rsidRPr="00DA5437">
              <w:rPr>
                <w:rFonts w:ascii="Arial" w:hAnsi="Arial" w:cs="Arial"/>
                <w:sz w:val="22"/>
                <w:szCs w:val="22"/>
              </w:rPr>
              <w:t xml:space="preserve"> patient safety and patient experience</w:t>
            </w:r>
            <w:r w:rsidR="00136C3A" w:rsidRPr="00DA5437">
              <w:rPr>
                <w:rFonts w:ascii="Arial" w:hAnsi="Arial" w:cs="Arial"/>
                <w:bCs/>
                <w:sz w:val="22"/>
                <w:szCs w:val="22"/>
              </w:rPr>
              <w:t>.</w:t>
            </w:r>
          </w:p>
        </w:tc>
      </w:tr>
    </w:tbl>
    <w:p w:rsidR="00DD689C" w:rsidRPr="00DA5437"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3972"/>
        <w:gridCol w:w="5917"/>
      </w:tblGrid>
      <w:tr w:rsidR="00DD689C" w:rsidRPr="00DA5437" w:rsidTr="00DA5437">
        <w:tc>
          <w:tcPr>
            <w:tcW w:w="3972" w:type="dxa"/>
            <w:shd w:val="clear" w:color="auto" w:fill="auto"/>
          </w:tcPr>
          <w:p w:rsidR="00DD689C" w:rsidRPr="00DA5437" w:rsidRDefault="00DD689C" w:rsidP="00DA5437">
            <w:pPr>
              <w:spacing w:line="276" w:lineRule="auto"/>
              <w:jc w:val="both"/>
              <w:rPr>
                <w:rFonts w:ascii="Arial" w:hAnsi="Arial" w:cs="Arial"/>
                <w:b/>
                <w:bCs/>
                <w:sz w:val="22"/>
                <w:szCs w:val="22"/>
              </w:rPr>
            </w:pPr>
            <w:r w:rsidRPr="00DA5437">
              <w:rPr>
                <w:rFonts w:ascii="Arial" w:hAnsi="Arial" w:cs="Arial"/>
                <w:b/>
                <w:bCs/>
                <w:sz w:val="22"/>
                <w:szCs w:val="22"/>
              </w:rPr>
              <w:t>IMPLICATIONS</w:t>
            </w:r>
          </w:p>
        </w:tc>
        <w:tc>
          <w:tcPr>
            <w:tcW w:w="5917" w:type="dxa"/>
            <w:shd w:val="clear" w:color="auto" w:fill="auto"/>
          </w:tcPr>
          <w:p w:rsidR="00DD689C" w:rsidRPr="00DA5437" w:rsidRDefault="00446F94" w:rsidP="00DA5437">
            <w:pPr>
              <w:spacing w:line="276" w:lineRule="auto"/>
              <w:jc w:val="both"/>
              <w:rPr>
                <w:rFonts w:ascii="Arial" w:hAnsi="Arial" w:cs="Arial"/>
                <w:b/>
                <w:bCs/>
                <w:sz w:val="22"/>
                <w:szCs w:val="22"/>
              </w:rPr>
            </w:pPr>
            <w:r w:rsidRPr="00DA5437">
              <w:rPr>
                <w:rFonts w:ascii="Arial" w:hAnsi="Arial" w:cs="Arial"/>
                <w:b/>
                <w:bCs/>
                <w:sz w:val="22"/>
                <w:szCs w:val="22"/>
              </w:rPr>
              <w:t xml:space="preserve">  </w:t>
            </w:r>
          </w:p>
          <w:p w:rsidR="00DD689C" w:rsidRPr="00DA5437" w:rsidRDefault="00DD689C" w:rsidP="00DA5437">
            <w:pPr>
              <w:spacing w:line="276" w:lineRule="auto"/>
              <w:jc w:val="both"/>
              <w:rPr>
                <w:rFonts w:ascii="Arial" w:hAnsi="Arial" w:cs="Arial"/>
                <w:b/>
                <w:bCs/>
                <w:sz w:val="22"/>
                <w:szCs w:val="22"/>
              </w:rPr>
            </w:pPr>
          </w:p>
        </w:tc>
      </w:tr>
      <w:tr w:rsidR="00DD689C" w:rsidRPr="00DA5437" w:rsidTr="00BB543D">
        <w:trPr>
          <w:trHeight w:val="57"/>
        </w:trPr>
        <w:tc>
          <w:tcPr>
            <w:tcW w:w="9889" w:type="dxa"/>
            <w:gridSpan w:val="2"/>
            <w:shd w:val="clear" w:color="auto" w:fill="auto"/>
          </w:tcPr>
          <w:p w:rsidR="002F5936" w:rsidRDefault="002F5936" w:rsidP="00DA5437">
            <w:pPr>
              <w:spacing w:line="276" w:lineRule="auto"/>
              <w:jc w:val="both"/>
              <w:rPr>
                <w:rFonts w:ascii="Arial" w:hAnsi="Arial" w:cs="Arial"/>
                <w:b/>
                <w:bCs/>
                <w:sz w:val="22"/>
                <w:szCs w:val="22"/>
              </w:rPr>
            </w:pPr>
          </w:p>
          <w:p w:rsidR="00DA5437"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1  </w:t>
            </w:r>
            <w:r w:rsidR="00B37AF2" w:rsidRPr="00DA5437">
              <w:rPr>
                <w:rFonts w:ascii="Arial" w:hAnsi="Arial" w:cs="Arial"/>
                <w:b/>
                <w:bCs/>
                <w:sz w:val="22"/>
                <w:szCs w:val="22"/>
              </w:rPr>
              <w:t>Effective Care</w:t>
            </w:r>
          </w:p>
          <w:p w:rsidR="00DA5437" w:rsidRDefault="00DA5437" w:rsidP="00DA5437">
            <w:pPr>
              <w:spacing w:before="240" w:line="276" w:lineRule="auto"/>
              <w:jc w:val="both"/>
              <w:rPr>
                <w:rFonts w:ascii="Arial" w:hAnsi="Arial" w:cs="Arial"/>
                <w:b/>
                <w:bCs/>
                <w:sz w:val="22"/>
                <w:szCs w:val="22"/>
              </w:rPr>
            </w:pPr>
            <w:r w:rsidRPr="00DA5437">
              <w:rPr>
                <w:rFonts w:ascii="Arial" w:hAnsi="Arial" w:cs="Arial"/>
                <w:b/>
                <w:bCs/>
                <w:sz w:val="22"/>
                <w:szCs w:val="22"/>
              </w:rPr>
              <w:t>A  External Reviews</w:t>
            </w:r>
          </w:p>
          <w:p w:rsidR="00DA5437" w:rsidRDefault="00DA5437" w:rsidP="002F5936">
            <w:pPr>
              <w:spacing w:before="240" w:line="276" w:lineRule="auto"/>
              <w:jc w:val="both"/>
              <w:rPr>
                <w:rFonts w:ascii="Arial" w:hAnsi="Arial" w:cs="Arial"/>
                <w:bCs/>
                <w:sz w:val="22"/>
                <w:szCs w:val="22"/>
              </w:rPr>
            </w:pPr>
            <w:r>
              <w:rPr>
                <w:rFonts w:ascii="Arial" w:hAnsi="Arial" w:cs="Arial"/>
                <w:b/>
                <w:bCs/>
                <w:sz w:val="22"/>
                <w:szCs w:val="22"/>
              </w:rPr>
              <w:t xml:space="preserve">Care Quality Commission report </w:t>
            </w:r>
            <w:r w:rsidRPr="00DA5437">
              <w:rPr>
                <w:rFonts w:ascii="Arial" w:hAnsi="Arial" w:cs="Arial"/>
                <w:bCs/>
                <w:sz w:val="22"/>
                <w:szCs w:val="22"/>
              </w:rPr>
              <w:t>at</w:t>
            </w:r>
            <w:r>
              <w:rPr>
                <w:rFonts w:ascii="Arial" w:hAnsi="Arial" w:cs="Arial"/>
                <w:bCs/>
                <w:sz w:val="22"/>
                <w:szCs w:val="22"/>
              </w:rPr>
              <w:t xml:space="preserve"> North Lincolnshire and G</w:t>
            </w:r>
            <w:r w:rsidR="003F5E9E">
              <w:rPr>
                <w:rFonts w:ascii="Arial" w:hAnsi="Arial" w:cs="Arial"/>
                <w:bCs/>
                <w:sz w:val="22"/>
                <w:szCs w:val="22"/>
              </w:rPr>
              <w:t>oole Hospitals Foundation Trust July 2014</w:t>
            </w:r>
          </w:p>
          <w:p w:rsidR="009112DF" w:rsidRDefault="002F30C8" w:rsidP="00DA5437">
            <w:pPr>
              <w:spacing w:before="240" w:line="276" w:lineRule="auto"/>
              <w:jc w:val="both"/>
              <w:rPr>
                <w:rFonts w:ascii="Arial" w:hAnsi="Arial" w:cs="Arial"/>
                <w:bCs/>
                <w:sz w:val="22"/>
                <w:szCs w:val="22"/>
              </w:rPr>
            </w:pPr>
            <w:hyperlink r:id="rId10" w:anchor="overall" w:history="1">
              <w:r w:rsidR="009112DF" w:rsidRPr="000E3ED8">
                <w:rPr>
                  <w:rStyle w:val="Hyperlink"/>
                  <w:rFonts w:ascii="Arial" w:hAnsi="Arial" w:cs="Arial"/>
                  <w:bCs/>
                  <w:sz w:val="22"/>
                  <w:szCs w:val="22"/>
                </w:rPr>
                <w:t>http://www.cqc.org.uk/provider/RJL/inspection-summary#overall</w:t>
              </w:r>
            </w:hyperlink>
            <w:r w:rsidR="009112DF">
              <w:rPr>
                <w:rFonts w:ascii="Arial" w:hAnsi="Arial" w:cs="Arial"/>
                <w:bCs/>
                <w:sz w:val="22"/>
                <w:szCs w:val="22"/>
              </w:rPr>
              <w:t xml:space="preserve"> </w:t>
            </w:r>
            <w:r w:rsidR="003F5E9E">
              <w:rPr>
                <w:rFonts w:ascii="Arial" w:hAnsi="Arial" w:cs="Arial"/>
                <w:bCs/>
                <w:sz w:val="22"/>
                <w:szCs w:val="22"/>
              </w:rPr>
              <w:t xml:space="preserve">         </w:t>
            </w:r>
          </w:p>
          <w:p w:rsidR="002F5936" w:rsidRDefault="002F5936" w:rsidP="00DA5437">
            <w:pPr>
              <w:spacing w:before="240" w:line="276" w:lineRule="auto"/>
              <w:jc w:val="both"/>
              <w:rPr>
                <w:rFonts w:ascii="Arial" w:hAnsi="Arial" w:cs="Arial"/>
                <w:bCs/>
                <w:sz w:val="22"/>
                <w:szCs w:val="22"/>
              </w:rPr>
            </w:pPr>
          </w:p>
          <w:p w:rsidR="00973430" w:rsidRDefault="00973430" w:rsidP="00DA5437">
            <w:pPr>
              <w:spacing w:before="240" w:line="276" w:lineRule="auto"/>
              <w:jc w:val="both"/>
              <w:rPr>
                <w:rFonts w:ascii="Arial" w:hAnsi="Arial" w:cs="Arial"/>
                <w:bCs/>
                <w:sz w:val="22"/>
                <w:szCs w:val="22"/>
              </w:rPr>
            </w:pPr>
            <w:r>
              <w:rPr>
                <w:rFonts w:ascii="Arial" w:hAnsi="Arial" w:cs="Arial"/>
                <w:bCs/>
                <w:sz w:val="22"/>
                <w:szCs w:val="22"/>
              </w:rPr>
              <w:lastRenderedPageBreak/>
              <w:t xml:space="preserve">Key Issues </w:t>
            </w:r>
            <w:r w:rsidR="00160342">
              <w:rPr>
                <w:rFonts w:ascii="Arial" w:hAnsi="Arial" w:cs="Arial"/>
                <w:bCs/>
                <w:sz w:val="22"/>
                <w:szCs w:val="22"/>
              </w:rPr>
              <w:t>for DPOW</w:t>
            </w:r>
          </w:p>
          <w:p w:rsidR="00A839E9" w:rsidRPr="002D417E" w:rsidRDefault="00A839E9" w:rsidP="00A839E9">
            <w:pPr>
              <w:numPr>
                <w:ilvl w:val="0"/>
                <w:numId w:val="29"/>
              </w:numPr>
              <w:spacing w:before="100" w:beforeAutospacing="1" w:after="100" w:afterAutospacing="1"/>
              <w:rPr>
                <w:rFonts w:ascii="Arial" w:hAnsi="Arial" w:cs="Arial"/>
                <w:sz w:val="22"/>
                <w:szCs w:val="22"/>
                <w:lang w:val="en"/>
              </w:rPr>
            </w:pPr>
            <w:r w:rsidRPr="002D417E">
              <w:rPr>
                <w:rFonts w:ascii="Arial" w:hAnsi="Arial" w:cs="Arial"/>
                <w:sz w:val="22"/>
                <w:szCs w:val="22"/>
                <w:lang w:val="en"/>
              </w:rPr>
              <w:t>Sufficient qualified and experience</w:t>
            </w:r>
            <w:r w:rsidR="002F5936">
              <w:rPr>
                <w:rFonts w:ascii="Arial" w:hAnsi="Arial" w:cs="Arial"/>
                <w:sz w:val="22"/>
                <w:szCs w:val="22"/>
                <w:lang w:val="en"/>
              </w:rPr>
              <w:t>d</w:t>
            </w:r>
            <w:r w:rsidRPr="002D417E">
              <w:rPr>
                <w:rFonts w:ascii="Arial" w:hAnsi="Arial" w:cs="Arial"/>
                <w:sz w:val="22"/>
                <w:szCs w:val="22"/>
                <w:lang w:val="en"/>
              </w:rPr>
              <w:t xml:space="preserve"> staff (in particular A&amp;E, medical/surgical wards</w:t>
            </w:r>
            <w:r w:rsidR="002F5936">
              <w:rPr>
                <w:rFonts w:ascii="Arial" w:hAnsi="Arial" w:cs="Arial"/>
                <w:sz w:val="22"/>
                <w:szCs w:val="22"/>
                <w:lang w:val="en"/>
              </w:rPr>
              <w:t>)</w:t>
            </w:r>
          </w:p>
          <w:p w:rsidR="00A839E9" w:rsidRPr="002D417E" w:rsidRDefault="00A839E9" w:rsidP="00A839E9">
            <w:pPr>
              <w:numPr>
                <w:ilvl w:val="0"/>
                <w:numId w:val="29"/>
              </w:numPr>
              <w:spacing w:before="100" w:beforeAutospacing="1" w:after="100" w:afterAutospacing="1"/>
              <w:rPr>
                <w:rFonts w:ascii="Arial" w:hAnsi="Arial" w:cs="Arial"/>
                <w:sz w:val="22"/>
                <w:szCs w:val="22"/>
                <w:lang w:val="en"/>
              </w:rPr>
            </w:pPr>
            <w:r w:rsidRPr="002D417E">
              <w:rPr>
                <w:rFonts w:ascii="Arial" w:hAnsi="Arial" w:cs="Arial"/>
                <w:sz w:val="22"/>
                <w:szCs w:val="22"/>
                <w:lang w:val="en"/>
              </w:rPr>
              <w:t>Follow NICE and best practice guidance</w:t>
            </w:r>
          </w:p>
          <w:p w:rsidR="00A839E9" w:rsidRDefault="00A839E9" w:rsidP="00A839E9">
            <w:pPr>
              <w:numPr>
                <w:ilvl w:val="0"/>
                <w:numId w:val="29"/>
              </w:numPr>
              <w:spacing w:before="100" w:beforeAutospacing="1" w:after="100" w:afterAutospacing="1"/>
              <w:rPr>
                <w:rFonts w:ascii="Arial" w:hAnsi="Arial" w:cs="Arial"/>
                <w:sz w:val="22"/>
                <w:szCs w:val="22"/>
                <w:lang w:val="en"/>
              </w:rPr>
            </w:pPr>
            <w:r w:rsidRPr="002D417E">
              <w:rPr>
                <w:rFonts w:ascii="Arial" w:hAnsi="Arial" w:cs="Arial"/>
                <w:sz w:val="22"/>
                <w:szCs w:val="22"/>
                <w:lang w:val="en"/>
              </w:rPr>
              <w:t xml:space="preserve">ITU/HDU workforce and adopting best practice </w:t>
            </w:r>
          </w:p>
          <w:p w:rsidR="00A839E9" w:rsidRPr="002D417E" w:rsidRDefault="00A839E9" w:rsidP="00A839E9">
            <w:pPr>
              <w:numPr>
                <w:ilvl w:val="0"/>
                <w:numId w:val="29"/>
              </w:numPr>
              <w:spacing w:before="100" w:beforeAutospacing="1" w:after="100" w:afterAutospacing="1"/>
              <w:rPr>
                <w:rFonts w:ascii="Arial" w:hAnsi="Arial" w:cs="Arial"/>
                <w:sz w:val="22"/>
                <w:szCs w:val="22"/>
                <w:lang w:val="en"/>
              </w:rPr>
            </w:pPr>
            <w:proofErr w:type="spellStart"/>
            <w:r w:rsidRPr="002D417E">
              <w:rPr>
                <w:rFonts w:ascii="Arial" w:hAnsi="Arial" w:cs="Arial"/>
                <w:sz w:val="22"/>
                <w:szCs w:val="22"/>
                <w:lang w:val="en"/>
              </w:rPr>
              <w:t>Paediatric</w:t>
            </w:r>
            <w:proofErr w:type="spellEnd"/>
            <w:r w:rsidRPr="002D417E">
              <w:rPr>
                <w:rFonts w:ascii="Arial" w:hAnsi="Arial" w:cs="Arial"/>
                <w:sz w:val="22"/>
                <w:szCs w:val="22"/>
                <w:lang w:val="en"/>
              </w:rPr>
              <w:t xml:space="preserve"> care</w:t>
            </w:r>
          </w:p>
          <w:p w:rsidR="00A839E9" w:rsidRDefault="00A839E9" w:rsidP="00A839E9">
            <w:pPr>
              <w:numPr>
                <w:ilvl w:val="0"/>
                <w:numId w:val="29"/>
              </w:numPr>
              <w:spacing w:before="100" w:beforeAutospacing="1" w:after="100" w:afterAutospacing="1"/>
              <w:rPr>
                <w:rFonts w:ascii="Arial" w:hAnsi="Arial" w:cs="Arial"/>
                <w:sz w:val="22"/>
                <w:szCs w:val="22"/>
                <w:lang w:val="en"/>
              </w:rPr>
            </w:pPr>
            <w:r w:rsidRPr="002D417E">
              <w:rPr>
                <w:rFonts w:ascii="Arial" w:hAnsi="Arial" w:cs="Arial"/>
                <w:sz w:val="22"/>
                <w:szCs w:val="22"/>
                <w:lang w:val="en"/>
              </w:rPr>
              <w:t>Staff completion of mandatory training and appraisal</w:t>
            </w:r>
          </w:p>
          <w:p w:rsidR="00A839E9" w:rsidRDefault="00A839E9" w:rsidP="00A839E9">
            <w:pPr>
              <w:numPr>
                <w:ilvl w:val="0"/>
                <w:numId w:val="29"/>
              </w:numPr>
              <w:spacing w:before="100" w:beforeAutospacing="1" w:after="100" w:afterAutospacing="1"/>
              <w:rPr>
                <w:rFonts w:ascii="Arial" w:hAnsi="Arial" w:cs="Arial"/>
                <w:sz w:val="22"/>
                <w:szCs w:val="22"/>
                <w:lang w:val="en"/>
              </w:rPr>
            </w:pPr>
            <w:r>
              <w:rPr>
                <w:rFonts w:ascii="Arial" w:hAnsi="Arial" w:cs="Arial"/>
                <w:sz w:val="22"/>
                <w:szCs w:val="22"/>
                <w:lang w:val="en"/>
              </w:rPr>
              <w:t>Medical wards – handover, staffing</w:t>
            </w:r>
          </w:p>
          <w:p w:rsidR="00A839E9" w:rsidRPr="002D417E" w:rsidRDefault="00A839E9" w:rsidP="00A839E9">
            <w:pPr>
              <w:numPr>
                <w:ilvl w:val="0"/>
                <w:numId w:val="29"/>
              </w:numPr>
              <w:spacing w:before="100" w:beforeAutospacing="1" w:after="100" w:afterAutospacing="1"/>
              <w:rPr>
                <w:rFonts w:ascii="Arial" w:hAnsi="Arial" w:cs="Arial"/>
                <w:sz w:val="22"/>
                <w:szCs w:val="22"/>
                <w:lang w:val="en"/>
              </w:rPr>
            </w:pPr>
            <w:r w:rsidRPr="002D417E">
              <w:rPr>
                <w:rFonts w:ascii="Arial" w:hAnsi="Arial" w:cs="Arial"/>
                <w:sz w:val="22"/>
                <w:szCs w:val="22"/>
                <w:lang w:val="en"/>
              </w:rPr>
              <w:t xml:space="preserve">Review Do Not Attempt Cardio Pulmonary Resuscitation (DNACPR) </w:t>
            </w:r>
            <w:proofErr w:type="gramStart"/>
            <w:r w:rsidRPr="002D417E">
              <w:rPr>
                <w:rFonts w:ascii="Arial" w:hAnsi="Arial" w:cs="Arial"/>
                <w:sz w:val="22"/>
                <w:szCs w:val="22"/>
                <w:lang w:val="en"/>
              </w:rPr>
              <w:t>are</w:t>
            </w:r>
            <w:proofErr w:type="gramEnd"/>
            <w:r w:rsidRPr="002D417E">
              <w:rPr>
                <w:rFonts w:ascii="Arial" w:hAnsi="Arial" w:cs="Arial"/>
                <w:sz w:val="22"/>
                <w:szCs w:val="22"/>
                <w:lang w:val="en"/>
              </w:rPr>
              <w:t xml:space="preserve"> recorded and are in line with good practice and Guideline.  </w:t>
            </w:r>
          </w:p>
          <w:p w:rsidR="00A839E9" w:rsidRPr="00A839E9" w:rsidRDefault="00A839E9" w:rsidP="00A839E9">
            <w:pPr>
              <w:numPr>
                <w:ilvl w:val="0"/>
                <w:numId w:val="29"/>
              </w:numPr>
              <w:spacing w:before="100" w:beforeAutospacing="1" w:after="100" w:afterAutospacing="1"/>
              <w:rPr>
                <w:rFonts w:ascii="Arial" w:hAnsi="Arial" w:cs="Arial"/>
                <w:sz w:val="22"/>
                <w:szCs w:val="22"/>
                <w:lang w:val="en"/>
              </w:rPr>
            </w:pPr>
            <w:r w:rsidRPr="002D417E">
              <w:rPr>
                <w:rFonts w:ascii="Arial" w:hAnsi="Arial" w:cs="Arial"/>
                <w:sz w:val="22"/>
                <w:szCs w:val="22"/>
                <w:lang w:val="en"/>
              </w:rPr>
              <w:t>Nutrition access.</w:t>
            </w:r>
          </w:p>
          <w:p w:rsidR="00A839E9" w:rsidRDefault="00A839E9" w:rsidP="002D417E">
            <w:pPr>
              <w:pStyle w:val="NormalWeb"/>
              <w:rPr>
                <w:rFonts w:ascii="Arial" w:hAnsi="Arial" w:cs="Arial"/>
                <w:lang w:val="en"/>
              </w:rPr>
            </w:pPr>
            <w:r>
              <w:rPr>
                <w:rFonts w:ascii="Arial" w:hAnsi="Arial" w:cs="Arial"/>
                <w:noProof/>
              </w:rPr>
              <w:drawing>
                <wp:inline distT="0" distB="0" distL="0" distR="0" wp14:anchorId="77C650CC" wp14:editId="0E16876A">
                  <wp:extent cx="6134100" cy="4206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4206240"/>
                          </a:xfrm>
                          <a:prstGeom prst="rect">
                            <a:avLst/>
                          </a:prstGeom>
                          <a:noFill/>
                          <a:ln>
                            <a:noFill/>
                          </a:ln>
                        </pic:spPr>
                      </pic:pic>
                    </a:graphicData>
                  </a:graphic>
                </wp:inline>
              </w:drawing>
            </w:r>
          </w:p>
          <w:p w:rsidR="00DA5437" w:rsidRDefault="00DA5437" w:rsidP="00DA5437">
            <w:pPr>
              <w:spacing w:before="240" w:line="276" w:lineRule="auto"/>
              <w:jc w:val="both"/>
              <w:rPr>
                <w:rFonts w:ascii="Arial" w:hAnsi="Arial" w:cs="Arial"/>
                <w:bCs/>
                <w:sz w:val="22"/>
                <w:szCs w:val="22"/>
              </w:rPr>
            </w:pPr>
            <w:r>
              <w:rPr>
                <w:rFonts w:ascii="Arial" w:hAnsi="Arial" w:cs="Arial"/>
                <w:bCs/>
                <w:sz w:val="22"/>
                <w:szCs w:val="22"/>
              </w:rPr>
              <w:t>The Trust has submitted a draft action plan to respond to the Chief Inspector of Hospitals CQC report. It is proposed this action plan will be embedded into the Trust</w:t>
            </w:r>
            <w:r w:rsidR="002F5936">
              <w:rPr>
                <w:rFonts w:ascii="Arial" w:hAnsi="Arial" w:cs="Arial"/>
                <w:bCs/>
                <w:sz w:val="22"/>
                <w:szCs w:val="22"/>
              </w:rPr>
              <w:t>’s</w:t>
            </w:r>
            <w:r>
              <w:rPr>
                <w:rFonts w:ascii="Arial" w:hAnsi="Arial" w:cs="Arial"/>
                <w:bCs/>
                <w:sz w:val="22"/>
                <w:szCs w:val="22"/>
              </w:rPr>
              <w:t xml:space="preserve"> overarching improvement plan and will be monitored through the existing quality stakeholder group.</w:t>
            </w:r>
          </w:p>
          <w:p w:rsidR="002F5936" w:rsidRDefault="002F5936" w:rsidP="00DA5437">
            <w:pPr>
              <w:spacing w:line="276" w:lineRule="auto"/>
              <w:jc w:val="both"/>
              <w:rPr>
                <w:rFonts w:ascii="Arial" w:hAnsi="Arial" w:cs="Arial"/>
                <w:bCs/>
                <w:sz w:val="22"/>
                <w:szCs w:val="22"/>
              </w:rPr>
            </w:pPr>
          </w:p>
          <w:p w:rsidR="003F5E9E" w:rsidRDefault="00DA5437" w:rsidP="002F5936">
            <w:pPr>
              <w:spacing w:line="276" w:lineRule="auto"/>
              <w:jc w:val="both"/>
              <w:rPr>
                <w:rFonts w:ascii="Arial" w:eastAsiaTheme="minorHAnsi" w:hAnsi="Arial" w:cs="Arial"/>
                <w:sz w:val="22"/>
                <w:szCs w:val="22"/>
                <w:lang w:eastAsia="en-US"/>
              </w:rPr>
            </w:pPr>
            <w:r w:rsidRPr="00DA5437">
              <w:rPr>
                <w:rFonts w:ascii="Arial" w:eastAsiaTheme="minorHAnsi" w:hAnsi="Arial" w:cs="Arial"/>
                <w:b/>
                <w:sz w:val="22"/>
                <w:szCs w:val="22"/>
                <w:lang w:eastAsia="en-US"/>
              </w:rPr>
              <w:t>Care Quality Commission report</w:t>
            </w:r>
            <w:r w:rsidRPr="00DA5437">
              <w:rPr>
                <w:rFonts w:ascii="Arial" w:eastAsiaTheme="minorHAnsi" w:hAnsi="Arial" w:cs="Arial"/>
                <w:sz w:val="22"/>
                <w:szCs w:val="22"/>
                <w:lang w:eastAsia="en-US"/>
              </w:rPr>
              <w:t xml:space="preserve"> at Hull and East Yorkshire Hospitals NHS Trust</w:t>
            </w:r>
            <w:r w:rsidR="003F5E9E">
              <w:rPr>
                <w:rFonts w:ascii="Arial" w:eastAsiaTheme="minorHAnsi" w:hAnsi="Arial" w:cs="Arial"/>
                <w:sz w:val="22"/>
                <w:szCs w:val="22"/>
                <w:lang w:eastAsia="en-US"/>
              </w:rPr>
              <w:t xml:space="preserve"> May 2014</w:t>
            </w:r>
          </w:p>
          <w:p w:rsidR="002F5936" w:rsidRDefault="002F5936" w:rsidP="00DA5437">
            <w:pPr>
              <w:spacing w:line="276" w:lineRule="auto"/>
              <w:jc w:val="both"/>
            </w:pPr>
          </w:p>
          <w:p w:rsidR="006C2A88" w:rsidRDefault="002F30C8" w:rsidP="00DA5437">
            <w:pPr>
              <w:spacing w:line="276" w:lineRule="auto"/>
              <w:jc w:val="both"/>
              <w:rPr>
                <w:rFonts w:ascii="Arial" w:hAnsi="Arial" w:cs="Arial"/>
                <w:b/>
                <w:bCs/>
                <w:sz w:val="22"/>
                <w:szCs w:val="22"/>
              </w:rPr>
            </w:pPr>
            <w:hyperlink r:id="rId12" w:history="1">
              <w:r w:rsidR="006C2A88" w:rsidRPr="000E3ED8">
                <w:rPr>
                  <w:rStyle w:val="Hyperlink"/>
                  <w:rFonts w:ascii="Arial" w:hAnsi="Arial" w:cs="Arial"/>
                  <w:b/>
                  <w:bCs/>
                  <w:sz w:val="22"/>
                  <w:szCs w:val="22"/>
                </w:rPr>
                <w:t>http://www.cqc.org.uk/provider/RWA</w:t>
              </w:r>
            </w:hyperlink>
          </w:p>
          <w:p w:rsidR="006C2A88" w:rsidRDefault="006C2A88" w:rsidP="00DA5437">
            <w:pPr>
              <w:spacing w:line="276" w:lineRule="auto"/>
              <w:jc w:val="both"/>
              <w:rPr>
                <w:rFonts w:ascii="Arial" w:hAnsi="Arial" w:cs="Arial"/>
                <w:bCs/>
              </w:rPr>
            </w:pPr>
          </w:p>
          <w:p w:rsidR="006C2A88" w:rsidRPr="006C2A88" w:rsidRDefault="006C2A88" w:rsidP="00DA5437">
            <w:pPr>
              <w:spacing w:line="276" w:lineRule="auto"/>
              <w:jc w:val="both"/>
              <w:rPr>
                <w:rFonts w:ascii="Arial" w:hAnsi="Arial" w:cs="Arial"/>
                <w:b/>
                <w:bCs/>
                <w:sz w:val="22"/>
                <w:szCs w:val="22"/>
              </w:rPr>
            </w:pPr>
            <w:r w:rsidRPr="006C2A88">
              <w:rPr>
                <w:rFonts w:ascii="Arial" w:hAnsi="Arial" w:cs="Arial"/>
                <w:b/>
                <w:bCs/>
                <w:sz w:val="22"/>
                <w:szCs w:val="22"/>
              </w:rPr>
              <w:t>Summary of Issues</w:t>
            </w:r>
          </w:p>
          <w:p w:rsidR="006C2A88" w:rsidRPr="002F5936" w:rsidRDefault="006C2A88" w:rsidP="002F5936">
            <w:pPr>
              <w:numPr>
                <w:ilvl w:val="0"/>
                <w:numId w:val="29"/>
              </w:numPr>
              <w:spacing w:before="100" w:beforeAutospacing="1" w:after="100" w:afterAutospacing="1"/>
              <w:rPr>
                <w:rFonts w:ascii="Arial" w:hAnsi="Arial" w:cs="Arial"/>
                <w:sz w:val="22"/>
                <w:szCs w:val="22"/>
                <w:lang w:val="en"/>
              </w:rPr>
            </w:pPr>
            <w:r w:rsidRPr="002F5936">
              <w:rPr>
                <w:rFonts w:ascii="Arial" w:hAnsi="Arial" w:cs="Arial"/>
                <w:sz w:val="22"/>
                <w:szCs w:val="22"/>
                <w:lang w:val="en"/>
              </w:rPr>
              <w:t>Lack of capacity in A&amp;E both staffing and facilities</w:t>
            </w:r>
          </w:p>
          <w:p w:rsidR="006C2A88" w:rsidRPr="002F5936" w:rsidRDefault="006C2A88" w:rsidP="002F5936">
            <w:pPr>
              <w:numPr>
                <w:ilvl w:val="0"/>
                <w:numId w:val="29"/>
              </w:numPr>
              <w:spacing w:before="100" w:beforeAutospacing="1" w:after="100" w:afterAutospacing="1"/>
              <w:rPr>
                <w:rFonts w:ascii="Arial" w:hAnsi="Arial" w:cs="Arial"/>
                <w:sz w:val="22"/>
                <w:szCs w:val="22"/>
                <w:lang w:val="en"/>
              </w:rPr>
            </w:pPr>
            <w:r w:rsidRPr="002F5936">
              <w:rPr>
                <w:rFonts w:ascii="Arial" w:hAnsi="Arial" w:cs="Arial"/>
                <w:sz w:val="22"/>
                <w:szCs w:val="22"/>
                <w:lang w:val="en"/>
              </w:rPr>
              <w:t>Workforce and facility capacity to meet demand</w:t>
            </w:r>
          </w:p>
          <w:p w:rsidR="002F5936" w:rsidRPr="002F5936" w:rsidRDefault="006C2A88" w:rsidP="006C2A88">
            <w:pPr>
              <w:numPr>
                <w:ilvl w:val="0"/>
                <w:numId w:val="29"/>
              </w:numPr>
              <w:spacing w:before="100" w:beforeAutospacing="1" w:after="100" w:afterAutospacing="1"/>
              <w:rPr>
                <w:rFonts w:ascii="Arial" w:hAnsi="Arial" w:cs="Arial"/>
                <w:sz w:val="22"/>
                <w:szCs w:val="22"/>
                <w:lang w:val="en"/>
              </w:rPr>
            </w:pPr>
            <w:r w:rsidRPr="002F5936">
              <w:rPr>
                <w:rFonts w:ascii="Arial" w:hAnsi="Arial" w:cs="Arial"/>
                <w:sz w:val="22"/>
                <w:szCs w:val="22"/>
                <w:lang w:val="en"/>
              </w:rPr>
              <w:t>Culture of bullying</w:t>
            </w:r>
          </w:p>
          <w:p w:rsidR="002F5936" w:rsidRDefault="002F5936" w:rsidP="006C2A88">
            <w:pPr>
              <w:pStyle w:val="NormalWeb"/>
              <w:rPr>
                <w:rFonts w:ascii="Arial" w:hAnsi="Arial" w:cs="Arial"/>
                <w:sz w:val="22"/>
                <w:szCs w:val="22"/>
                <w:lang w:val="en"/>
              </w:rPr>
            </w:pPr>
          </w:p>
          <w:p w:rsidR="006C2A88" w:rsidRPr="002F5936" w:rsidRDefault="002F5936" w:rsidP="002F5936">
            <w:pPr>
              <w:pStyle w:val="NormalWeb"/>
              <w:rPr>
                <w:rFonts w:ascii="Arial" w:hAnsi="Arial" w:cs="Arial"/>
                <w:lang w:val="en"/>
              </w:rPr>
            </w:pPr>
            <w:r>
              <w:rPr>
                <w:rFonts w:ascii="Arial" w:hAnsi="Arial" w:cs="Arial"/>
                <w:sz w:val="22"/>
                <w:szCs w:val="22"/>
                <w:lang w:val="en"/>
              </w:rPr>
              <w:t>CQC found the T</w:t>
            </w:r>
            <w:r w:rsidR="006C2A88" w:rsidRPr="006C2A88">
              <w:rPr>
                <w:rFonts w:ascii="Arial" w:hAnsi="Arial" w:cs="Arial"/>
                <w:sz w:val="22"/>
                <w:szCs w:val="22"/>
                <w:lang w:val="en"/>
              </w:rPr>
              <w:t>rust in breach of Regulations 9 (care and welfare), 10 (governance), 13 (medicines), 15 (premises), 22 (staffing) and 23 (staff support) for the regulated activities of ‘treatment of disease, disorder or injury’ and ‘diagnostic and screening procedures’</w:t>
            </w:r>
            <w:r w:rsidR="006C2A88" w:rsidRPr="006C2A88">
              <w:rPr>
                <w:rFonts w:ascii="Arial" w:hAnsi="Arial" w:cs="Arial"/>
                <w:lang w:val="en"/>
              </w:rPr>
              <w:t>.</w:t>
            </w:r>
          </w:p>
          <w:p w:rsidR="00DA5437" w:rsidRPr="00DA5437" w:rsidRDefault="00DA5437" w:rsidP="00DA5437">
            <w:pPr>
              <w:spacing w:line="276" w:lineRule="auto"/>
              <w:jc w:val="both"/>
              <w:rPr>
                <w:rFonts w:ascii="Arial" w:hAnsi="Arial" w:cs="Arial"/>
                <w:b/>
                <w:bCs/>
                <w:sz w:val="22"/>
                <w:szCs w:val="22"/>
              </w:rPr>
            </w:pPr>
            <w:r w:rsidRPr="00DA5437">
              <w:rPr>
                <w:rFonts w:ascii="Arial" w:eastAsiaTheme="minorHAnsi" w:hAnsi="Arial" w:cs="Arial"/>
                <w:sz w:val="22"/>
                <w:szCs w:val="22"/>
                <w:lang w:eastAsia="en-US"/>
              </w:rPr>
              <w:t>The Trust has now compiled an action plan to respond to recent Chief Inspector of Hospitals CQC report, which has been shared with Commissioners. Commissioners are monitoring progress against the action plan monthly with the Trust through the Quality Forum, a sub-group of the Contract Management Board.</w:t>
            </w:r>
          </w:p>
          <w:p w:rsidR="00DA5437" w:rsidRPr="00DA5437" w:rsidRDefault="00DA5437" w:rsidP="00DA5437">
            <w:pPr>
              <w:spacing w:line="276" w:lineRule="auto"/>
              <w:jc w:val="both"/>
              <w:rPr>
                <w:rFonts w:ascii="Arial" w:hAnsi="Arial" w:cs="Arial"/>
                <w:b/>
                <w:bCs/>
                <w:sz w:val="22"/>
                <w:szCs w:val="22"/>
              </w:rPr>
            </w:pPr>
          </w:p>
          <w:p w:rsidR="00D25A2E" w:rsidRPr="00BB543D" w:rsidRDefault="00DA5437" w:rsidP="00D25A2E">
            <w:pPr>
              <w:spacing w:line="276" w:lineRule="auto"/>
              <w:jc w:val="both"/>
              <w:rPr>
                <w:rFonts w:ascii="Arial" w:eastAsia="Calibri" w:hAnsi="Arial" w:cs="Arial"/>
                <w:b/>
                <w:sz w:val="22"/>
                <w:szCs w:val="22"/>
                <w:lang w:eastAsia="en-US"/>
              </w:rPr>
            </w:pPr>
            <w:r w:rsidRPr="00DA5437">
              <w:rPr>
                <w:rFonts w:ascii="Arial" w:hAnsi="Arial" w:cs="Arial"/>
                <w:b/>
                <w:bCs/>
                <w:sz w:val="22"/>
                <w:szCs w:val="22"/>
              </w:rPr>
              <w:t xml:space="preserve">B  </w:t>
            </w:r>
            <w:r w:rsidR="00B37AF2" w:rsidRPr="00DA5437">
              <w:rPr>
                <w:rFonts w:ascii="Arial" w:hAnsi="Arial" w:cs="Arial"/>
                <w:b/>
                <w:bCs/>
                <w:sz w:val="22"/>
                <w:szCs w:val="22"/>
              </w:rPr>
              <w:t xml:space="preserve">Winterbourne Concordat: </w:t>
            </w:r>
            <w:r w:rsidR="008032FA" w:rsidRPr="00DA5437">
              <w:rPr>
                <w:rFonts w:ascii="Arial" w:eastAsia="Calibri" w:hAnsi="Arial" w:cs="Arial"/>
                <w:b/>
                <w:sz w:val="22"/>
                <w:szCs w:val="22"/>
                <w:lang w:eastAsia="en-US"/>
              </w:rPr>
              <w:t>Transforming Complex Care</w:t>
            </w:r>
          </w:p>
          <w:p w:rsidR="008032FA" w:rsidRPr="00CC6E1E" w:rsidRDefault="008032FA" w:rsidP="00DA5437">
            <w:pPr>
              <w:spacing w:after="200" w:line="276" w:lineRule="auto"/>
              <w:jc w:val="both"/>
              <w:rPr>
                <w:rFonts w:ascii="Arial" w:eastAsia="Calibri" w:hAnsi="Arial" w:cs="Arial"/>
                <w:color w:val="FF0000"/>
                <w:sz w:val="22"/>
                <w:szCs w:val="22"/>
                <w:lang w:eastAsia="en-US"/>
              </w:rPr>
            </w:pPr>
            <w:r w:rsidRPr="00DA5437">
              <w:rPr>
                <w:rFonts w:ascii="Arial" w:eastAsia="Calibri" w:hAnsi="Arial" w:cs="Arial"/>
                <w:sz w:val="22"/>
                <w:szCs w:val="22"/>
                <w:lang w:eastAsia="en-US"/>
              </w:rPr>
              <w:t>Self-assessment Framework</w:t>
            </w:r>
            <w:r w:rsidR="00DA5437" w:rsidRPr="00DA5437">
              <w:rPr>
                <w:rFonts w:ascii="Arial" w:eastAsia="Calibri" w:hAnsi="Arial" w:cs="Arial"/>
                <w:sz w:val="22"/>
                <w:szCs w:val="22"/>
                <w:lang w:eastAsia="en-US"/>
              </w:rPr>
              <w:t xml:space="preserve">: </w:t>
            </w:r>
            <w:r w:rsidRPr="00DA5437">
              <w:rPr>
                <w:rFonts w:ascii="Arial" w:eastAsia="Calibri" w:hAnsi="Arial" w:cs="Arial"/>
                <w:sz w:val="22"/>
                <w:szCs w:val="22"/>
                <w:lang w:eastAsia="en-US"/>
              </w:rPr>
              <w:t>National Guidance on the next phase of the annual self-assessment framework will be published by NHS England by the end of September/October</w:t>
            </w:r>
            <w:r w:rsidR="00B37AF2" w:rsidRPr="00DA5437">
              <w:rPr>
                <w:rFonts w:ascii="Arial" w:eastAsia="Calibri" w:hAnsi="Arial" w:cs="Arial"/>
                <w:sz w:val="22"/>
                <w:szCs w:val="22"/>
                <w:lang w:eastAsia="en-US"/>
              </w:rPr>
              <w:t>.</w:t>
            </w:r>
          </w:p>
          <w:p w:rsidR="00BB543D" w:rsidRDefault="008032FA" w:rsidP="00BB543D">
            <w:pPr>
              <w:pStyle w:val="NoSpacing"/>
              <w:rPr>
                <w:rFonts w:ascii="Arial" w:eastAsia="Calibri" w:hAnsi="Arial" w:cs="Arial"/>
                <w:b/>
                <w:sz w:val="22"/>
                <w:szCs w:val="22"/>
                <w:lang w:eastAsia="en-US"/>
              </w:rPr>
            </w:pPr>
            <w:r w:rsidRPr="00DA5437">
              <w:rPr>
                <w:rFonts w:ascii="Arial" w:eastAsia="Calibri" w:hAnsi="Arial" w:cs="Arial"/>
                <w:b/>
                <w:sz w:val="22"/>
                <w:szCs w:val="22"/>
                <w:lang w:eastAsia="en-US"/>
              </w:rPr>
              <w:t>Local Data</w:t>
            </w:r>
          </w:p>
          <w:p w:rsidR="00BB543D" w:rsidRPr="00BB543D" w:rsidRDefault="00B37AF2" w:rsidP="00BB543D">
            <w:pPr>
              <w:spacing w:after="200" w:line="276" w:lineRule="auto"/>
              <w:jc w:val="both"/>
              <w:rPr>
                <w:rFonts w:ascii="Arial" w:eastAsia="Calibri" w:hAnsi="Arial" w:cs="Arial"/>
                <w:sz w:val="22"/>
                <w:szCs w:val="22"/>
                <w:lang w:eastAsia="en-US"/>
              </w:rPr>
            </w:pPr>
            <w:r w:rsidRPr="00BB543D">
              <w:rPr>
                <w:rFonts w:ascii="Arial" w:eastAsia="Calibri" w:hAnsi="Arial" w:cs="Arial"/>
                <w:sz w:val="22"/>
                <w:szCs w:val="22"/>
                <w:lang w:eastAsia="en-US"/>
              </w:rPr>
              <w:t xml:space="preserve">All </w:t>
            </w:r>
            <w:r w:rsidR="00DA5437" w:rsidRPr="00BB543D">
              <w:rPr>
                <w:rFonts w:ascii="Arial" w:eastAsia="Calibri" w:hAnsi="Arial" w:cs="Arial"/>
                <w:sz w:val="22"/>
                <w:szCs w:val="22"/>
                <w:lang w:eastAsia="en-US"/>
              </w:rPr>
              <w:t xml:space="preserve">North East Lincolnshire CCG </w:t>
            </w:r>
            <w:r w:rsidRPr="00BB543D">
              <w:rPr>
                <w:rFonts w:ascii="Arial" w:eastAsia="Calibri" w:hAnsi="Arial" w:cs="Arial"/>
                <w:sz w:val="22"/>
                <w:szCs w:val="22"/>
                <w:lang w:eastAsia="en-US"/>
              </w:rPr>
              <w:t>clients are reported as</w:t>
            </w:r>
            <w:r w:rsidR="008032FA" w:rsidRPr="00BB543D">
              <w:rPr>
                <w:rFonts w:ascii="Arial" w:eastAsia="Calibri" w:hAnsi="Arial" w:cs="Arial"/>
                <w:sz w:val="22"/>
                <w:szCs w:val="22"/>
                <w:lang w:eastAsia="en-US"/>
              </w:rPr>
              <w:t xml:space="preserve"> </w:t>
            </w:r>
            <w:r w:rsidRPr="00BB543D">
              <w:rPr>
                <w:rFonts w:ascii="Arial" w:eastAsia="Calibri" w:hAnsi="Arial" w:cs="Arial"/>
                <w:sz w:val="22"/>
                <w:szCs w:val="22"/>
                <w:lang w:eastAsia="en-US"/>
              </w:rPr>
              <w:t>Winterbourne compliant.</w:t>
            </w:r>
          </w:p>
          <w:p w:rsidR="00CB1B56"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2  </w:t>
            </w:r>
            <w:r w:rsidR="008032FA" w:rsidRPr="00DA5437">
              <w:rPr>
                <w:rFonts w:ascii="Arial" w:hAnsi="Arial" w:cs="Arial"/>
                <w:b/>
                <w:bCs/>
                <w:sz w:val="22"/>
                <w:szCs w:val="22"/>
              </w:rPr>
              <w:t>Patient Safety</w:t>
            </w:r>
          </w:p>
          <w:p w:rsidR="00CB1B56"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A  </w:t>
            </w:r>
            <w:r w:rsidR="008032FA" w:rsidRPr="00DA5437">
              <w:rPr>
                <w:rFonts w:ascii="Arial" w:hAnsi="Arial" w:cs="Arial"/>
                <w:b/>
                <w:bCs/>
                <w:sz w:val="22"/>
                <w:szCs w:val="22"/>
              </w:rPr>
              <w:t>Infection Control</w:t>
            </w:r>
          </w:p>
          <w:p w:rsidR="008032FA" w:rsidRPr="00DA5437" w:rsidRDefault="008032FA" w:rsidP="00DA5437">
            <w:pPr>
              <w:spacing w:line="276" w:lineRule="auto"/>
              <w:jc w:val="both"/>
              <w:rPr>
                <w:rFonts w:ascii="Arial" w:hAnsi="Arial" w:cs="Arial"/>
                <w:b/>
                <w:bCs/>
                <w:sz w:val="22"/>
                <w:szCs w:val="22"/>
              </w:rPr>
            </w:pPr>
            <w:r w:rsidRPr="00DA5437">
              <w:rPr>
                <w:rFonts w:ascii="Arial" w:hAnsi="Arial" w:cs="Arial"/>
                <w:sz w:val="22"/>
                <w:szCs w:val="22"/>
              </w:rPr>
              <w:t xml:space="preserve">C </w:t>
            </w:r>
            <w:proofErr w:type="spellStart"/>
            <w:r w:rsidRPr="00DA5437">
              <w:rPr>
                <w:rFonts w:ascii="Arial" w:hAnsi="Arial" w:cs="Arial"/>
                <w:sz w:val="22"/>
                <w:szCs w:val="22"/>
              </w:rPr>
              <w:t>Difficile</w:t>
            </w:r>
            <w:proofErr w:type="spellEnd"/>
            <w:r w:rsidRPr="00DA5437">
              <w:rPr>
                <w:rFonts w:ascii="Arial" w:hAnsi="Arial" w:cs="Arial"/>
                <w:sz w:val="22"/>
                <w:szCs w:val="22"/>
              </w:rPr>
              <w:t xml:space="preserve"> </w:t>
            </w:r>
            <w:r w:rsidR="00DA5437" w:rsidRPr="00DA5437">
              <w:rPr>
                <w:rFonts w:ascii="Arial" w:hAnsi="Arial" w:cs="Arial"/>
                <w:sz w:val="22"/>
                <w:szCs w:val="22"/>
              </w:rPr>
              <w:t>– 19</w:t>
            </w:r>
            <w:r w:rsidRPr="00DA5437">
              <w:rPr>
                <w:rFonts w:ascii="Arial" w:hAnsi="Arial" w:cs="Arial"/>
                <w:sz w:val="22"/>
                <w:szCs w:val="22"/>
              </w:rPr>
              <w:t xml:space="preserve"> </w:t>
            </w:r>
            <w:r w:rsidR="00DA5437" w:rsidRPr="00DA5437">
              <w:rPr>
                <w:rFonts w:ascii="Arial" w:hAnsi="Arial" w:cs="Arial"/>
                <w:sz w:val="22"/>
                <w:szCs w:val="22"/>
              </w:rPr>
              <w:t>cases to date, with</w:t>
            </w:r>
            <w:r w:rsidRPr="00DA5437">
              <w:rPr>
                <w:rFonts w:ascii="Arial" w:hAnsi="Arial" w:cs="Arial"/>
                <w:sz w:val="22"/>
                <w:szCs w:val="22"/>
              </w:rPr>
              <w:t xml:space="preserve"> 12 community acquired infections</w:t>
            </w:r>
            <w:r w:rsidR="00DA5437" w:rsidRPr="00DA5437">
              <w:rPr>
                <w:rFonts w:ascii="Arial" w:hAnsi="Arial" w:cs="Arial"/>
                <w:sz w:val="22"/>
                <w:szCs w:val="22"/>
              </w:rPr>
              <w:t>. The</w:t>
            </w:r>
            <w:r w:rsidRPr="00DA5437">
              <w:rPr>
                <w:rFonts w:ascii="Arial" w:hAnsi="Arial" w:cs="Arial"/>
                <w:sz w:val="22"/>
                <w:szCs w:val="22"/>
              </w:rPr>
              <w:t xml:space="preserve"> trajectory for NELCCG is 22 for 2014/5</w:t>
            </w:r>
            <w:r w:rsidR="00DA5437" w:rsidRPr="00DA5437">
              <w:rPr>
                <w:rFonts w:ascii="Arial" w:hAnsi="Arial" w:cs="Arial"/>
                <w:sz w:val="22"/>
                <w:szCs w:val="22"/>
              </w:rPr>
              <w:t>. Each case has</w:t>
            </w:r>
            <w:r w:rsidRPr="00DA5437">
              <w:rPr>
                <w:rFonts w:ascii="Arial" w:hAnsi="Arial" w:cs="Arial"/>
                <w:sz w:val="22"/>
                <w:szCs w:val="22"/>
              </w:rPr>
              <w:t xml:space="preserve"> been reviewed and any lessons learnt have been identified. The CCG has an action plan which aims to reduce cases of C </w:t>
            </w:r>
            <w:proofErr w:type="spellStart"/>
            <w:r w:rsidRPr="00DA5437">
              <w:rPr>
                <w:rFonts w:ascii="Arial" w:hAnsi="Arial" w:cs="Arial"/>
                <w:sz w:val="22"/>
                <w:szCs w:val="22"/>
              </w:rPr>
              <w:t>Difficile</w:t>
            </w:r>
            <w:proofErr w:type="spellEnd"/>
            <w:r w:rsidRPr="00DA5437">
              <w:rPr>
                <w:rFonts w:ascii="Arial" w:hAnsi="Arial" w:cs="Arial"/>
                <w:sz w:val="22"/>
                <w:szCs w:val="22"/>
              </w:rPr>
              <w:t xml:space="preserve"> and this is monitored through the Quality Committee.</w:t>
            </w:r>
          </w:p>
          <w:p w:rsidR="008032FA" w:rsidRPr="00DA5437" w:rsidRDefault="008032FA" w:rsidP="00DA5437">
            <w:pPr>
              <w:spacing w:line="276" w:lineRule="auto"/>
              <w:jc w:val="both"/>
              <w:rPr>
                <w:rFonts w:ascii="Arial" w:hAnsi="Arial" w:cs="Arial"/>
                <w:bCs/>
                <w:sz w:val="22"/>
                <w:szCs w:val="22"/>
              </w:rPr>
            </w:pPr>
          </w:p>
          <w:p w:rsidR="00B37AF2"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B  </w:t>
            </w:r>
            <w:r w:rsidR="00B37AF2" w:rsidRPr="00DA5437">
              <w:rPr>
                <w:rFonts w:ascii="Arial" w:hAnsi="Arial" w:cs="Arial"/>
                <w:b/>
                <w:bCs/>
                <w:sz w:val="22"/>
                <w:szCs w:val="22"/>
              </w:rPr>
              <w:t>Serious Untoward Events</w:t>
            </w:r>
          </w:p>
          <w:p w:rsidR="00936C71" w:rsidRDefault="00936C71" w:rsidP="00DA5437">
            <w:pPr>
              <w:pStyle w:val="Default"/>
              <w:spacing w:line="276" w:lineRule="auto"/>
              <w:jc w:val="both"/>
              <w:rPr>
                <w:sz w:val="22"/>
                <w:szCs w:val="22"/>
              </w:rPr>
            </w:pPr>
            <w:r w:rsidRPr="00DA5437">
              <w:rPr>
                <w:sz w:val="22"/>
                <w:szCs w:val="22"/>
              </w:rPr>
              <w:t>The NEL CCG commissions the North Yorkshire and Humber Commission Support to manage the Serious Incident (SI) process working collaboratively where appropriate with North Lincolnshire CCG and Humber CCGs.</w:t>
            </w:r>
          </w:p>
          <w:p w:rsidR="008024D1" w:rsidRPr="00DA5437" w:rsidRDefault="008024D1" w:rsidP="00DA5437">
            <w:pPr>
              <w:pStyle w:val="Default"/>
              <w:spacing w:line="276" w:lineRule="auto"/>
              <w:jc w:val="both"/>
              <w:rPr>
                <w:sz w:val="22"/>
                <w:szCs w:val="22"/>
              </w:rPr>
            </w:pPr>
          </w:p>
          <w:p w:rsidR="00936C71" w:rsidRDefault="008024D1" w:rsidP="00DA5437">
            <w:pPr>
              <w:pStyle w:val="Default"/>
              <w:spacing w:line="276" w:lineRule="auto"/>
              <w:jc w:val="both"/>
              <w:rPr>
                <w:rFonts w:eastAsiaTheme="minorHAnsi"/>
                <w:sz w:val="22"/>
                <w:szCs w:val="22"/>
                <w:lang w:eastAsia="en-US"/>
              </w:rPr>
            </w:pPr>
            <w:r>
              <w:rPr>
                <w:sz w:val="22"/>
                <w:szCs w:val="22"/>
              </w:rPr>
              <w:t>The monthly report gives an</w:t>
            </w:r>
            <w:r w:rsidR="00936C71" w:rsidRPr="00DA5437">
              <w:rPr>
                <w:sz w:val="22"/>
                <w:szCs w:val="22"/>
              </w:rPr>
              <w:t xml:space="preserve"> overview of the Serious Incidents reported by each provider, including new Serious incidents reported, the quality of completed investigations (including meeting timescales) and a review of key themes and trends from completed investigations. A monthly meeting with the provider to discuss each report also provides</w:t>
            </w:r>
            <w:r w:rsidR="00DA5437" w:rsidRPr="00DA5437">
              <w:rPr>
                <w:sz w:val="22"/>
                <w:szCs w:val="22"/>
              </w:rPr>
              <w:t xml:space="preserve"> further assurance and scrutiny, this process also oversees the completion of action plans.</w:t>
            </w:r>
            <w:r w:rsidR="00936C71" w:rsidRPr="00DA5437">
              <w:rPr>
                <w:rFonts w:eastAsiaTheme="minorHAnsi"/>
                <w:sz w:val="22"/>
                <w:szCs w:val="22"/>
                <w:lang w:eastAsia="en-US"/>
              </w:rPr>
              <w:t xml:space="preserve"> </w:t>
            </w:r>
          </w:p>
          <w:p w:rsidR="008024D1" w:rsidRPr="00DA5437" w:rsidRDefault="008024D1" w:rsidP="00DA5437">
            <w:pPr>
              <w:pStyle w:val="Default"/>
              <w:spacing w:line="276" w:lineRule="auto"/>
              <w:jc w:val="both"/>
              <w:rPr>
                <w:rFonts w:eastAsiaTheme="minorHAnsi"/>
                <w:sz w:val="22"/>
                <w:szCs w:val="22"/>
                <w:lang w:eastAsia="en-US"/>
              </w:rPr>
            </w:pPr>
          </w:p>
          <w:p w:rsidR="003A0027" w:rsidRPr="00DA5437" w:rsidRDefault="003A0027" w:rsidP="00DA5437">
            <w:pPr>
              <w:pStyle w:val="Default"/>
              <w:spacing w:line="276" w:lineRule="auto"/>
              <w:jc w:val="both"/>
              <w:rPr>
                <w:rFonts w:eastAsiaTheme="minorHAnsi"/>
                <w:sz w:val="22"/>
                <w:szCs w:val="22"/>
                <w:lang w:eastAsia="en-US"/>
              </w:rPr>
            </w:pPr>
            <w:r w:rsidRPr="00DA5437">
              <w:rPr>
                <w:rFonts w:eastAsiaTheme="minorHAnsi"/>
                <w:sz w:val="22"/>
                <w:szCs w:val="22"/>
                <w:lang w:eastAsia="en-US"/>
              </w:rPr>
              <w:t xml:space="preserve">November </w:t>
            </w:r>
            <w:r w:rsidR="00DA5437" w:rsidRPr="00DA5437">
              <w:rPr>
                <w:rFonts w:eastAsiaTheme="minorHAnsi"/>
                <w:sz w:val="22"/>
                <w:szCs w:val="22"/>
                <w:lang w:eastAsia="en-US"/>
              </w:rPr>
              <w:t xml:space="preserve">2014 </w:t>
            </w:r>
            <w:r w:rsidRPr="00DA5437">
              <w:rPr>
                <w:rFonts w:eastAsiaTheme="minorHAnsi"/>
                <w:sz w:val="22"/>
                <w:szCs w:val="22"/>
                <w:lang w:eastAsia="en-US"/>
              </w:rPr>
              <w:t>report</w:t>
            </w:r>
          </w:p>
          <w:p w:rsidR="00DA5437" w:rsidRPr="00DA5437" w:rsidRDefault="00DA5437" w:rsidP="00DA5437">
            <w:pPr>
              <w:pStyle w:val="Default"/>
              <w:spacing w:line="276" w:lineRule="auto"/>
              <w:jc w:val="both"/>
              <w:rPr>
                <w:rFonts w:eastAsiaTheme="minorHAnsi"/>
                <w:sz w:val="22"/>
                <w:szCs w:val="22"/>
                <w:lang w:eastAsia="en-US"/>
              </w:rPr>
            </w:pPr>
            <w:r w:rsidRPr="00DA5437">
              <w:rPr>
                <w:rFonts w:eastAsiaTheme="minorHAnsi"/>
                <w:noProof/>
                <w:sz w:val="22"/>
                <w:szCs w:val="22"/>
              </w:rPr>
              <w:drawing>
                <wp:inline distT="0" distB="0" distL="0" distR="0" wp14:anchorId="1155B72A" wp14:editId="20608EF1">
                  <wp:extent cx="6294120" cy="1783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120" cy="1783080"/>
                          </a:xfrm>
                          <a:prstGeom prst="rect">
                            <a:avLst/>
                          </a:prstGeom>
                          <a:noFill/>
                          <a:ln>
                            <a:noFill/>
                          </a:ln>
                        </pic:spPr>
                      </pic:pic>
                    </a:graphicData>
                  </a:graphic>
                </wp:inline>
              </w:drawing>
            </w:r>
          </w:p>
          <w:p w:rsidR="00DA5437" w:rsidRPr="00DA5437" w:rsidRDefault="00DA5437" w:rsidP="00DA5437">
            <w:pPr>
              <w:pStyle w:val="Default"/>
              <w:spacing w:line="276" w:lineRule="auto"/>
              <w:jc w:val="both"/>
              <w:rPr>
                <w:rFonts w:eastAsiaTheme="minorHAnsi"/>
                <w:sz w:val="22"/>
                <w:szCs w:val="22"/>
                <w:lang w:eastAsia="en-US"/>
              </w:rPr>
            </w:pPr>
          </w:p>
          <w:p w:rsidR="003A0027" w:rsidRPr="00DA5437" w:rsidRDefault="00DA5437" w:rsidP="00DA5437">
            <w:pPr>
              <w:pStyle w:val="Default"/>
              <w:spacing w:line="276" w:lineRule="auto"/>
              <w:jc w:val="both"/>
              <w:rPr>
                <w:rFonts w:eastAsiaTheme="minorHAnsi"/>
                <w:sz w:val="22"/>
                <w:szCs w:val="22"/>
                <w:lang w:eastAsia="en-US"/>
              </w:rPr>
            </w:pPr>
            <w:r w:rsidRPr="00DA5437">
              <w:rPr>
                <w:rFonts w:eastAsiaTheme="minorHAnsi"/>
                <w:sz w:val="22"/>
                <w:szCs w:val="22"/>
                <w:lang w:eastAsia="en-US"/>
              </w:rPr>
              <w:t xml:space="preserve">23 of the reported SI for NLAG are pressure ulcers; this number has escalated due to the introduction of a new pressure ulcer assessment tool. The CCG is working to look at key themes and learning points from the RCAs and engaging with the Skin integrity board to review a patch </w:t>
            </w:r>
            <w:r w:rsidRPr="00DA5437">
              <w:rPr>
                <w:rFonts w:eastAsiaTheme="minorHAnsi"/>
                <w:sz w:val="22"/>
                <w:szCs w:val="22"/>
                <w:lang w:eastAsia="en-US"/>
              </w:rPr>
              <w:lastRenderedPageBreak/>
              <w:t xml:space="preserve">wide approach to supporting people at a higher risk of developing pressure ulcers. Assurance of progress to reduce the amount of preventable pressure ulcers will be through the quality committee. </w:t>
            </w:r>
          </w:p>
          <w:p w:rsidR="00DA5437" w:rsidRPr="00DA5437" w:rsidRDefault="00DA5437" w:rsidP="00DA5437">
            <w:pPr>
              <w:pStyle w:val="Default"/>
              <w:spacing w:line="276" w:lineRule="auto"/>
              <w:jc w:val="both"/>
              <w:rPr>
                <w:rFonts w:eastAsiaTheme="minorHAnsi"/>
                <w:sz w:val="22"/>
                <w:szCs w:val="22"/>
                <w:lang w:eastAsia="en-US"/>
              </w:rPr>
            </w:pPr>
          </w:p>
          <w:p w:rsidR="00DA5437" w:rsidRPr="00DA5437" w:rsidRDefault="00DA5437" w:rsidP="00DA5437">
            <w:pPr>
              <w:pStyle w:val="Default"/>
              <w:spacing w:line="276" w:lineRule="auto"/>
              <w:jc w:val="both"/>
              <w:rPr>
                <w:rFonts w:eastAsiaTheme="minorHAnsi"/>
                <w:sz w:val="22"/>
                <w:szCs w:val="22"/>
                <w:lang w:eastAsia="en-US"/>
              </w:rPr>
            </w:pPr>
            <w:r w:rsidRPr="00DA5437">
              <w:rPr>
                <w:rFonts w:eastAsiaTheme="minorHAnsi"/>
                <w:sz w:val="22"/>
                <w:szCs w:val="22"/>
                <w:lang w:eastAsia="en-US"/>
              </w:rPr>
              <w:t>No action plans or reports are overdue.</w:t>
            </w:r>
          </w:p>
          <w:p w:rsidR="00DA5437" w:rsidRPr="00DA5437" w:rsidRDefault="00DA5437" w:rsidP="00DA5437">
            <w:pPr>
              <w:pStyle w:val="Default"/>
              <w:spacing w:line="276" w:lineRule="auto"/>
              <w:jc w:val="both"/>
              <w:rPr>
                <w:rFonts w:eastAsiaTheme="minorHAnsi"/>
                <w:sz w:val="22"/>
                <w:szCs w:val="22"/>
                <w:lang w:eastAsia="en-US"/>
              </w:rPr>
            </w:pPr>
          </w:p>
          <w:p w:rsidR="00136C3A"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3  </w:t>
            </w:r>
            <w:r w:rsidR="00136C3A" w:rsidRPr="00DA5437">
              <w:rPr>
                <w:rFonts w:ascii="Arial" w:hAnsi="Arial" w:cs="Arial"/>
                <w:b/>
                <w:bCs/>
                <w:sz w:val="22"/>
                <w:szCs w:val="22"/>
              </w:rPr>
              <w:t>Patient Experience</w:t>
            </w:r>
          </w:p>
          <w:p w:rsidR="00E92F81" w:rsidRPr="00DA5437" w:rsidRDefault="00DA5437" w:rsidP="00DA5437">
            <w:pPr>
              <w:spacing w:line="276" w:lineRule="auto"/>
              <w:jc w:val="both"/>
              <w:rPr>
                <w:rFonts w:ascii="Arial" w:hAnsi="Arial" w:cs="Arial"/>
                <w:b/>
                <w:sz w:val="22"/>
                <w:szCs w:val="22"/>
              </w:rPr>
            </w:pPr>
            <w:r w:rsidRPr="00DA5437">
              <w:rPr>
                <w:rFonts w:ascii="Arial" w:hAnsi="Arial" w:cs="Arial"/>
                <w:b/>
                <w:sz w:val="22"/>
                <w:szCs w:val="22"/>
              </w:rPr>
              <w:t xml:space="preserve">A  </w:t>
            </w:r>
            <w:r w:rsidR="00E92F81" w:rsidRPr="00DA5437">
              <w:rPr>
                <w:rFonts w:ascii="Arial" w:hAnsi="Arial" w:cs="Arial"/>
                <w:b/>
                <w:sz w:val="22"/>
                <w:szCs w:val="22"/>
              </w:rPr>
              <w:t>SHIMI</w:t>
            </w:r>
          </w:p>
          <w:p w:rsidR="00E056CB" w:rsidRPr="00DA5437" w:rsidRDefault="00E92F81" w:rsidP="00DA5437">
            <w:pPr>
              <w:spacing w:line="276" w:lineRule="auto"/>
              <w:jc w:val="both"/>
              <w:rPr>
                <w:rFonts w:ascii="Arial" w:hAnsi="Arial" w:cs="Arial"/>
                <w:bCs/>
                <w:sz w:val="22"/>
                <w:szCs w:val="22"/>
              </w:rPr>
            </w:pPr>
            <w:r w:rsidRPr="00DA5437">
              <w:rPr>
                <w:rFonts w:ascii="Arial" w:hAnsi="Arial" w:cs="Arial"/>
                <w:sz w:val="22"/>
                <w:szCs w:val="22"/>
              </w:rPr>
              <w:t xml:space="preserve">The </w:t>
            </w:r>
            <w:r w:rsidR="001F0095" w:rsidRPr="00DA5437">
              <w:rPr>
                <w:rFonts w:ascii="Arial" w:hAnsi="Arial" w:cs="Arial"/>
                <w:bCs/>
                <w:sz w:val="22"/>
                <w:szCs w:val="22"/>
              </w:rPr>
              <w:t>North East Lincolnshire CCG</w:t>
            </w:r>
            <w:r w:rsidRPr="00DA5437">
              <w:rPr>
                <w:rFonts w:ascii="Arial" w:hAnsi="Arial" w:cs="Arial"/>
                <w:sz w:val="22"/>
                <w:szCs w:val="22"/>
              </w:rPr>
              <w:t xml:space="preserve"> Mortality group </w:t>
            </w:r>
            <w:r w:rsidR="00E056CB" w:rsidRPr="00DA5437">
              <w:rPr>
                <w:rFonts w:ascii="Arial" w:hAnsi="Arial" w:cs="Arial"/>
                <w:sz w:val="22"/>
                <w:szCs w:val="22"/>
              </w:rPr>
              <w:t xml:space="preserve">which is </w:t>
            </w:r>
            <w:r w:rsidR="00157684">
              <w:rPr>
                <w:rFonts w:ascii="Arial" w:hAnsi="Arial" w:cs="Arial"/>
                <w:sz w:val="22"/>
                <w:szCs w:val="22"/>
              </w:rPr>
              <w:t xml:space="preserve">a </w:t>
            </w:r>
            <w:r w:rsidR="00E056CB" w:rsidRPr="00DA5437">
              <w:rPr>
                <w:rFonts w:ascii="Arial" w:hAnsi="Arial" w:cs="Arial"/>
                <w:sz w:val="22"/>
                <w:szCs w:val="22"/>
              </w:rPr>
              <w:t xml:space="preserve">newly established subcommittee to the Quality Committee. The group has been established to focus on mortality and premature deaths in North East Lincolnshire. The group has prioritised </w:t>
            </w:r>
            <w:r w:rsidR="001F0095" w:rsidRPr="00DA5437">
              <w:rPr>
                <w:rFonts w:ascii="Arial" w:hAnsi="Arial" w:cs="Arial"/>
                <w:bCs/>
                <w:sz w:val="22"/>
                <w:szCs w:val="22"/>
              </w:rPr>
              <w:t>one of the work streams to work</w:t>
            </w:r>
            <w:r w:rsidRPr="00DA5437">
              <w:rPr>
                <w:rFonts w:ascii="Arial" w:hAnsi="Arial" w:cs="Arial"/>
                <w:sz w:val="22"/>
                <w:szCs w:val="22"/>
              </w:rPr>
              <w:t xml:space="preserve"> with Northern Lincolnshire &amp; Goole Foundation Trust</w:t>
            </w:r>
            <w:r w:rsidRPr="00DA5437">
              <w:rPr>
                <w:rFonts w:ascii="Arial" w:hAnsi="Arial" w:cs="Arial"/>
                <w:bCs/>
                <w:sz w:val="22"/>
                <w:szCs w:val="22"/>
              </w:rPr>
              <w:t xml:space="preserve"> </w:t>
            </w:r>
            <w:r w:rsidR="001F0095" w:rsidRPr="00DA5437">
              <w:rPr>
                <w:rFonts w:ascii="Arial" w:hAnsi="Arial" w:cs="Arial"/>
                <w:bCs/>
                <w:sz w:val="22"/>
                <w:szCs w:val="22"/>
              </w:rPr>
              <w:t>(NLAG)</w:t>
            </w:r>
            <w:r w:rsidRPr="00DA5437">
              <w:rPr>
                <w:rFonts w:ascii="Arial" w:hAnsi="Arial" w:cs="Arial"/>
                <w:sz w:val="22"/>
                <w:szCs w:val="22"/>
              </w:rPr>
              <w:t xml:space="preserve"> to understand the published reports relating to SHIMI, in particular where the Trust is </w:t>
            </w:r>
            <w:r w:rsidR="00DF2F49" w:rsidRPr="00DA5437">
              <w:rPr>
                <w:rFonts w:ascii="Arial" w:hAnsi="Arial" w:cs="Arial"/>
                <w:sz w:val="22"/>
                <w:szCs w:val="22"/>
              </w:rPr>
              <w:t>a</w:t>
            </w:r>
            <w:r w:rsidRPr="00DA5437">
              <w:rPr>
                <w:rFonts w:ascii="Arial" w:hAnsi="Arial" w:cs="Arial"/>
                <w:sz w:val="22"/>
                <w:szCs w:val="22"/>
              </w:rPr>
              <w:t xml:space="preserve"> </w:t>
            </w:r>
            <w:r w:rsidR="00E056CB" w:rsidRPr="00DA5437">
              <w:rPr>
                <w:rFonts w:ascii="Arial" w:hAnsi="Arial" w:cs="Arial"/>
                <w:sz w:val="22"/>
                <w:szCs w:val="22"/>
              </w:rPr>
              <w:t xml:space="preserve">national </w:t>
            </w:r>
            <w:r w:rsidRPr="00DA5437">
              <w:rPr>
                <w:rFonts w:ascii="Arial" w:hAnsi="Arial" w:cs="Arial"/>
                <w:sz w:val="22"/>
                <w:szCs w:val="22"/>
              </w:rPr>
              <w:t>outlier</w:t>
            </w:r>
            <w:r w:rsidR="00DA5437" w:rsidRPr="00DA5437">
              <w:rPr>
                <w:rFonts w:ascii="Arial" w:hAnsi="Arial" w:cs="Arial"/>
                <w:bCs/>
                <w:sz w:val="22"/>
                <w:szCs w:val="22"/>
              </w:rPr>
              <w:t>.</w:t>
            </w:r>
          </w:p>
          <w:p w:rsidR="00DA5437" w:rsidRPr="00DA5437" w:rsidRDefault="00DA5437" w:rsidP="00DA5437">
            <w:pPr>
              <w:spacing w:line="276" w:lineRule="auto"/>
              <w:jc w:val="both"/>
              <w:rPr>
                <w:rFonts w:ascii="Arial" w:hAnsi="Arial" w:cs="Arial"/>
                <w:sz w:val="22"/>
                <w:szCs w:val="22"/>
              </w:rPr>
            </w:pPr>
            <w:r w:rsidRPr="00DA5437">
              <w:rPr>
                <w:rFonts w:ascii="Arial" w:hAnsi="Arial" w:cs="Arial"/>
                <w:noProof/>
                <w:sz w:val="22"/>
                <w:szCs w:val="22"/>
              </w:rPr>
              <w:drawing>
                <wp:inline distT="0" distB="0" distL="0" distR="0" wp14:anchorId="33586E5F" wp14:editId="628EFC8A">
                  <wp:extent cx="6301740" cy="32156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1740" cy="3215640"/>
                          </a:xfrm>
                          <a:prstGeom prst="rect">
                            <a:avLst/>
                          </a:prstGeom>
                          <a:noFill/>
                          <a:ln>
                            <a:noFill/>
                          </a:ln>
                        </pic:spPr>
                      </pic:pic>
                    </a:graphicData>
                  </a:graphic>
                </wp:inline>
              </w:drawing>
            </w:r>
          </w:p>
          <w:p w:rsidR="00DA5437" w:rsidRDefault="00DA5437" w:rsidP="00DA5437">
            <w:pPr>
              <w:pStyle w:val="Default"/>
              <w:spacing w:line="276" w:lineRule="auto"/>
              <w:jc w:val="both"/>
              <w:rPr>
                <w:bCs/>
                <w:sz w:val="22"/>
                <w:szCs w:val="22"/>
              </w:rPr>
            </w:pPr>
          </w:p>
          <w:p w:rsidR="00136C3A" w:rsidRDefault="00136C3A" w:rsidP="00DA5437">
            <w:pPr>
              <w:pStyle w:val="Default"/>
              <w:spacing w:line="276" w:lineRule="auto"/>
              <w:jc w:val="both"/>
              <w:rPr>
                <w:sz w:val="22"/>
                <w:szCs w:val="22"/>
              </w:rPr>
            </w:pPr>
            <w:r w:rsidRPr="00DA5437">
              <w:rPr>
                <w:bCs/>
                <w:sz w:val="22"/>
                <w:szCs w:val="22"/>
              </w:rPr>
              <w:t xml:space="preserve">The </w:t>
            </w:r>
            <w:r w:rsidR="00E92F81" w:rsidRPr="00DA5437">
              <w:rPr>
                <w:sz w:val="22"/>
                <w:szCs w:val="22"/>
              </w:rPr>
              <w:t xml:space="preserve">September </w:t>
            </w:r>
            <w:r w:rsidR="001F0095" w:rsidRPr="00DA5437">
              <w:rPr>
                <w:bCs/>
                <w:sz w:val="22"/>
                <w:szCs w:val="22"/>
              </w:rPr>
              <w:t xml:space="preserve">2014 the Trust </w:t>
            </w:r>
            <w:r w:rsidR="00E92F81" w:rsidRPr="00DA5437">
              <w:rPr>
                <w:sz w:val="22"/>
                <w:szCs w:val="22"/>
              </w:rPr>
              <w:t xml:space="preserve">report </w:t>
            </w:r>
            <w:r w:rsidRPr="00DA5437">
              <w:rPr>
                <w:bCs/>
                <w:sz w:val="22"/>
                <w:szCs w:val="22"/>
              </w:rPr>
              <w:t xml:space="preserve">shows that </w:t>
            </w:r>
            <w:r w:rsidRPr="00DA5437">
              <w:rPr>
                <w:sz w:val="22"/>
                <w:szCs w:val="22"/>
              </w:rPr>
              <w:t>D</w:t>
            </w:r>
            <w:r w:rsidR="001F0095" w:rsidRPr="00DA5437">
              <w:rPr>
                <w:sz w:val="22"/>
                <w:szCs w:val="22"/>
              </w:rPr>
              <w:t xml:space="preserve">iana </w:t>
            </w:r>
            <w:r w:rsidRPr="00DA5437">
              <w:rPr>
                <w:sz w:val="22"/>
                <w:szCs w:val="22"/>
              </w:rPr>
              <w:t>P</w:t>
            </w:r>
            <w:r w:rsidR="001F0095" w:rsidRPr="00DA5437">
              <w:rPr>
                <w:sz w:val="22"/>
                <w:szCs w:val="22"/>
              </w:rPr>
              <w:t xml:space="preserve">rincess </w:t>
            </w:r>
            <w:r w:rsidRPr="00DA5437">
              <w:rPr>
                <w:sz w:val="22"/>
                <w:szCs w:val="22"/>
              </w:rPr>
              <w:t>o</w:t>
            </w:r>
            <w:r w:rsidR="001F0095" w:rsidRPr="00DA5437">
              <w:rPr>
                <w:sz w:val="22"/>
                <w:szCs w:val="22"/>
              </w:rPr>
              <w:t xml:space="preserve">f </w:t>
            </w:r>
            <w:r w:rsidRPr="00DA5437">
              <w:rPr>
                <w:sz w:val="22"/>
                <w:szCs w:val="22"/>
              </w:rPr>
              <w:t>W</w:t>
            </w:r>
            <w:r w:rsidR="001F0095" w:rsidRPr="00DA5437">
              <w:rPr>
                <w:sz w:val="22"/>
                <w:szCs w:val="22"/>
              </w:rPr>
              <w:t>ales Hospital</w:t>
            </w:r>
            <w:r w:rsidRPr="00DA5437">
              <w:rPr>
                <w:sz w:val="22"/>
                <w:szCs w:val="22"/>
              </w:rPr>
              <w:t xml:space="preserve"> </w:t>
            </w:r>
            <w:r w:rsidR="001F0095" w:rsidRPr="00DA5437">
              <w:rPr>
                <w:sz w:val="22"/>
                <w:szCs w:val="22"/>
              </w:rPr>
              <w:t xml:space="preserve">(DPOW) </w:t>
            </w:r>
            <w:r w:rsidRPr="00DA5437">
              <w:rPr>
                <w:sz w:val="22"/>
                <w:szCs w:val="22"/>
              </w:rPr>
              <w:t xml:space="preserve">and </w:t>
            </w:r>
            <w:r w:rsidR="001F0095" w:rsidRPr="00DA5437">
              <w:rPr>
                <w:sz w:val="22"/>
                <w:szCs w:val="22"/>
              </w:rPr>
              <w:t xml:space="preserve">Scunthorpe </w:t>
            </w:r>
            <w:r w:rsidRPr="00DA5437">
              <w:rPr>
                <w:sz w:val="22"/>
                <w:szCs w:val="22"/>
              </w:rPr>
              <w:t>G</w:t>
            </w:r>
            <w:r w:rsidR="001F0095" w:rsidRPr="00DA5437">
              <w:rPr>
                <w:sz w:val="22"/>
                <w:szCs w:val="22"/>
              </w:rPr>
              <w:t xml:space="preserve">eneral </w:t>
            </w:r>
            <w:r w:rsidRPr="00DA5437">
              <w:rPr>
                <w:sz w:val="22"/>
                <w:szCs w:val="22"/>
              </w:rPr>
              <w:t>H</w:t>
            </w:r>
            <w:r w:rsidR="001F0095" w:rsidRPr="00DA5437">
              <w:rPr>
                <w:sz w:val="22"/>
                <w:szCs w:val="22"/>
              </w:rPr>
              <w:t>ospital</w:t>
            </w:r>
            <w:r w:rsidRPr="00DA5437">
              <w:rPr>
                <w:sz w:val="22"/>
                <w:szCs w:val="22"/>
              </w:rPr>
              <w:t xml:space="preserve"> </w:t>
            </w:r>
            <w:r w:rsidR="001F0095" w:rsidRPr="00DA5437">
              <w:rPr>
                <w:sz w:val="22"/>
                <w:szCs w:val="22"/>
              </w:rPr>
              <w:t>(SGH)</w:t>
            </w:r>
            <w:r w:rsidR="00DA5437" w:rsidRPr="00DA5437">
              <w:rPr>
                <w:sz w:val="22"/>
                <w:szCs w:val="22"/>
              </w:rPr>
              <w:t xml:space="preserve"> </w:t>
            </w:r>
            <w:r w:rsidRPr="00DA5437">
              <w:rPr>
                <w:sz w:val="22"/>
                <w:szCs w:val="22"/>
              </w:rPr>
              <w:t>report the same SHMI (105) this month; this re</w:t>
            </w:r>
            <w:r w:rsidR="001F0095" w:rsidRPr="00DA5437">
              <w:rPr>
                <w:sz w:val="22"/>
                <w:szCs w:val="22"/>
              </w:rPr>
              <w:t>presents an improvement for DPOW.</w:t>
            </w:r>
            <w:r w:rsidRPr="00DA5437">
              <w:rPr>
                <w:sz w:val="22"/>
                <w:szCs w:val="22"/>
              </w:rPr>
              <w:t xml:space="preserve">  </w:t>
            </w:r>
          </w:p>
          <w:p w:rsidR="00EA2B4C" w:rsidRPr="00DA5437" w:rsidRDefault="00EA2B4C" w:rsidP="00DA5437">
            <w:pPr>
              <w:pStyle w:val="Default"/>
              <w:spacing w:line="276" w:lineRule="auto"/>
              <w:jc w:val="both"/>
              <w:rPr>
                <w:sz w:val="22"/>
                <w:szCs w:val="22"/>
              </w:rPr>
            </w:pPr>
          </w:p>
          <w:p w:rsidR="00E92F81" w:rsidRPr="006C2A88" w:rsidRDefault="00136C3A" w:rsidP="00DA5437">
            <w:pPr>
              <w:pStyle w:val="Default"/>
              <w:spacing w:line="276" w:lineRule="auto"/>
              <w:jc w:val="both"/>
              <w:rPr>
                <w:color w:val="auto"/>
                <w:sz w:val="22"/>
                <w:szCs w:val="22"/>
              </w:rPr>
            </w:pPr>
            <w:r w:rsidRPr="00DA5437">
              <w:rPr>
                <w:sz w:val="22"/>
                <w:szCs w:val="22"/>
              </w:rPr>
              <w:t xml:space="preserve">The latest national 'official' SHMI reports the Trust within the 'as expected range' with </w:t>
            </w:r>
            <w:r w:rsidR="00E92F81" w:rsidRPr="00DA5437">
              <w:rPr>
                <w:sz w:val="22"/>
                <w:szCs w:val="22"/>
              </w:rPr>
              <w:t xml:space="preserve">a </w:t>
            </w:r>
            <w:r w:rsidRPr="00DA5437">
              <w:rPr>
                <w:sz w:val="22"/>
                <w:szCs w:val="22"/>
              </w:rPr>
              <w:t>score of 109. Weekend versus weekday SHMI, NLAG 103 v 110, a 7</w:t>
            </w:r>
            <w:r w:rsidR="00E92F81" w:rsidRPr="00DA5437">
              <w:rPr>
                <w:sz w:val="22"/>
                <w:szCs w:val="22"/>
              </w:rPr>
              <w:t xml:space="preserve"> point difference </w:t>
            </w:r>
            <w:r w:rsidRPr="00DA5437">
              <w:rPr>
                <w:sz w:val="22"/>
                <w:szCs w:val="22"/>
              </w:rPr>
              <w:t>which is the same as the national average. DPOW has a larger 13 point difference. SGH 2 points lower at weekend. The reasons for this</w:t>
            </w:r>
            <w:r w:rsidR="00E92F81" w:rsidRPr="00DA5437">
              <w:rPr>
                <w:sz w:val="22"/>
                <w:szCs w:val="22"/>
              </w:rPr>
              <w:t xml:space="preserve"> are not </w:t>
            </w:r>
            <w:r w:rsidRPr="00DA5437">
              <w:rPr>
                <w:sz w:val="22"/>
                <w:szCs w:val="22"/>
              </w:rPr>
              <w:t>yet understood</w:t>
            </w:r>
            <w:r w:rsidRPr="00DA5437">
              <w:rPr>
                <w:bCs/>
                <w:sz w:val="22"/>
                <w:szCs w:val="22"/>
              </w:rPr>
              <w:t>.</w:t>
            </w:r>
            <w:r w:rsidR="00E92F81" w:rsidRPr="00DA5437">
              <w:rPr>
                <w:sz w:val="22"/>
                <w:szCs w:val="22"/>
              </w:rPr>
              <w:t xml:space="preserve"> It </w:t>
            </w:r>
            <w:r w:rsidRPr="00DA5437">
              <w:rPr>
                <w:bCs/>
                <w:sz w:val="22"/>
                <w:szCs w:val="22"/>
              </w:rPr>
              <w:t>has been</w:t>
            </w:r>
            <w:r w:rsidR="00E92F81" w:rsidRPr="00DA5437">
              <w:rPr>
                <w:sz w:val="22"/>
                <w:szCs w:val="22"/>
              </w:rPr>
              <w:t xml:space="preserve"> agreed that there will be a joint work programme to undertake an end to end review </w:t>
            </w:r>
            <w:r w:rsidR="001F0095" w:rsidRPr="00DA5437">
              <w:rPr>
                <w:bCs/>
                <w:sz w:val="22"/>
                <w:szCs w:val="22"/>
              </w:rPr>
              <w:t>of the deaths to gain a greater understanding of the pathway these patients underwent, this work is to be</w:t>
            </w:r>
            <w:r w:rsidR="00E92F81" w:rsidRPr="00DA5437">
              <w:rPr>
                <w:bCs/>
                <w:sz w:val="22"/>
                <w:szCs w:val="22"/>
              </w:rPr>
              <w:t xml:space="preserve"> </w:t>
            </w:r>
            <w:r w:rsidR="00E92F81" w:rsidRPr="00DA5437">
              <w:rPr>
                <w:sz w:val="22"/>
                <w:szCs w:val="22"/>
              </w:rPr>
              <w:t>led by Dr A Spalding</w:t>
            </w:r>
            <w:r w:rsidR="00666DDD">
              <w:rPr>
                <w:color w:val="FF0000"/>
                <w:sz w:val="22"/>
                <w:szCs w:val="22"/>
              </w:rPr>
              <w:t xml:space="preserve"> </w:t>
            </w:r>
            <w:r w:rsidR="00666DDD" w:rsidRPr="006C2A88">
              <w:rPr>
                <w:color w:val="auto"/>
                <w:sz w:val="22"/>
                <w:szCs w:val="22"/>
              </w:rPr>
              <w:t>(CCG clinical lead for Quality) and Dr M Withers (Medical Director at NL&amp;G FT)</w:t>
            </w:r>
          </w:p>
          <w:p w:rsidR="00E92F81" w:rsidRPr="006C2A88" w:rsidRDefault="00E92F81" w:rsidP="00DA5437">
            <w:pPr>
              <w:spacing w:line="276" w:lineRule="auto"/>
              <w:jc w:val="both"/>
              <w:rPr>
                <w:rFonts w:ascii="Arial" w:hAnsi="Arial" w:cs="Arial"/>
                <w:sz w:val="22"/>
                <w:szCs w:val="22"/>
              </w:rPr>
            </w:pPr>
            <w:r w:rsidRPr="006C2A88">
              <w:rPr>
                <w:rFonts w:ascii="Arial" w:hAnsi="Arial" w:cs="Arial"/>
                <w:sz w:val="22"/>
                <w:szCs w:val="22"/>
              </w:rPr>
              <w:t xml:space="preserve"> </w:t>
            </w:r>
          </w:p>
          <w:p w:rsidR="001F0095" w:rsidRPr="00DA5437" w:rsidRDefault="00DA5437" w:rsidP="00DA5437">
            <w:pPr>
              <w:spacing w:after="200" w:line="276" w:lineRule="auto"/>
              <w:jc w:val="both"/>
              <w:rPr>
                <w:rFonts w:ascii="Arial" w:eastAsiaTheme="minorHAnsi" w:hAnsi="Arial" w:cs="Arial"/>
                <w:b/>
                <w:sz w:val="22"/>
                <w:szCs w:val="22"/>
                <w:lang w:eastAsia="en-US"/>
              </w:rPr>
            </w:pPr>
            <w:r w:rsidRPr="00DA5437">
              <w:rPr>
                <w:rFonts w:ascii="Arial" w:eastAsiaTheme="minorHAnsi" w:hAnsi="Arial" w:cs="Arial"/>
                <w:b/>
                <w:sz w:val="22"/>
                <w:szCs w:val="22"/>
                <w:lang w:eastAsia="en-US"/>
              </w:rPr>
              <w:t xml:space="preserve">B  </w:t>
            </w:r>
            <w:r w:rsidR="001F0095" w:rsidRPr="00DA5437">
              <w:rPr>
                <w:rFonts w:ascii="Arial" w:eastAsiaTheme="minorHAnsi" w:hAnsi="Arial" w:cs="Arial"/>
                <w:b/>
                <w:sz w:val="22"/>
                <w:szCs w:val="22"/>
                <w:lang w:eastAsia="en-US"/>
              </w:rPr>
              <w:t>Friends and Family Test (FFT)</w:t>
            </w:r>
          </w:p>
          <w:p w:rsidR="001F0095" w:rsidRPr="00DA5437" w:rsidRDefault="001F0095" w:rsidP="00DA5437">
            <w:pPr>
              <w:spacing w:after="200" w:line="276" w:lineRule="auto"/>
              <w:jc w:val="both"/>
              <w:rPr>
                <w:rFonts w:ascii="Arial" w:eastAsiaTheme="minorHAnsi" w:hAnsi="Arial" w:cs="Arial"/>
                <w:sz w:val="22"/>
                <w:szCs w:val="22"/>
                <w:lang w:eastAsia="en-US"/>
              </w:rPr>
            </w:pPr>
            <w:r w:rsidRPr="00DA5437">
              <w:rPr>
                <w:rFonts w:ascii="Arial" w:eastAsiaTheme="minorHAnsi" w:hAnsi="Arial" w:cs="Arial"/>
                <w:sz w:val="22"/>
                <w:szCs w:val="22"/>
                <w:lang w:eastAsia="en-US"/>
              </w:rPr>
              <w:t xml:space="preserve">Both Northern Lincolnshire and Goole NHS Foundation Trust and Hull and East Yorkshire Hospitals NHS Trust have been required to introduce the Friends and Family Test for their inpatient </w:t>
            </w:r>
            <w:r w:rsidR="00DA5437" w:rsidRPr="00DA5437">
              <w:rPr>
                <w:rFonts w:ascii="Arial" w:eastAsiaTheme="minorHAnsi" w:hAnsi="Arial" w:cs="Arial"/>
                <w:sz w:val="22"/>
                <w:szCs w:val="22"/>
                <w:lang w:eastAsia="en-US"/>
              </w:rPr>
              <w:t>services</w:t>
            </w:r>
            <w:r w:rsidRPr="00DA5437">
              <w:rPr>
                <w:rFonts w:ascii="Arial" w:eastAsiaTheme="minorHAnsi" w:hAnsi="Arial" w:cs="Arial"/>
                <w:sz w:val="22"/>
                <w:szCs w:val="22"/>
                <w:lang w:eastAsia="en-US"/>
              </w:rPr>
              <w:t xml:space="preserve"> and during 2013-14 to introduce this into maternity services.  Both Trusts achieved these requirements in 2013-14. Achieving the target in 2014-15 is a key issue, the </w:t>
            </w:r>
            <w:r w:rsidR="006C2A88">
              <w:rPr>
                <w:rFonts w:ascii="Arial" w:eastAsiaTheme="minorHAnsi" w:hAnsi="Arial" w:cs="Arial"/>
                <w:sz w:val="22"/>
                <w:szCs w:val="22"/>
                <w:lang w:eastAsia="en-US"/>
              </w:rPr>
              <w:t>NLAG</w:t>
            </w:r>
            <w:r w:rsidR="00666DDD">
              <w:rPr>
                <w:rFonts w:ascii="Arial" w:eastAsiaTheme="minorHAnsi" w:hAnsi="Arial" w:cs="Arial"/>
                <w:color w:val="FF0000"/>
                <w:sz w:val="22"/>
                <w:szCs w:val="22"/>
                <w:lang w:eastAsia="en-US"/>
              </w:rPr>
              <w:t xml:space="preserve"> </w:t>
            </w:r>
            <w:r w:rsidRPr="00DA5437">
              <w:rPr>
                <w:rFonts w:ascii="Arial" w:eastAsiaTheme="minorHAnsi" w:hAnsi="Arial" w:cs="Arial"/>
                <w:sz w:val="22"/>
                <w:szCs w:val="22"/>
                <w:lang w:eastAsia="en-US"/>
              </w:rPr>
              <w:t xml:space="preserve">achieved this </w:t>
            </w:r>
            <w:r w:rsidRPr="00DA5437">
              <w:rPr>
                <w:rFonts w:ascii="Arial" w:eastAsiaTheme="minorHAnsi" w:hAnsi="Arial" w:cs="Arial"/>
                <w:sz w:val="22"/>
                <w:szCs w:val="22"/>
                <w:lang w:eastAsia="en-US"/>
              </w:rPr>
              <w:lastRenderedPageBreak/>
              <w:t>response rate in the in-patient areas, but not yet in A&amp;E including the stretch target to be above 2</w:t>
            </w:r>
            <w:r w:rsidR="008032FA" w:rsidRPr="00DA5437">
              <w:rPr>
                <w:rFonts w:ascii="Arial" w:eastAsiaTheme="minorHAnsi" w:hAnsi="Arial" w:cs="Arial"/>
                <w:sz w:val="22"/>
                <w:szCs w:val="22"/>
                <w:lang w:eastAsia="en-US"/>
              </w:rPr>
              <w:t>0% at the end of 13</w:t>
            </w:r>
            <w:r w:rsidR="00DA5437" w:rsidRPr="00DA5437">
              <w:rPr>
                <w:rFonts w:ascii="Arial" w:eastAsiaTheme="minorHAnsi" w:hAnsi="Arial" w:cs="Arial"/>
                <w:sz w:val="22"/>
                <w:szCs w:val="22"/>
                <w:lang w:eastAsia="en-US"/>
              </w:rPr>
              <w:t>-14</w:t>
            </w:r>
            <w:r w:rsidRPr="00DA5437">
              <w:rPr>
                <w:rFonts w:ascii="Arial" w:eastAsiaTheme="minorHAnsi" w:hAnsi="Arial" w:cs="Arial"/>
                <w:sz w:val="22"/>
                <w:szCs w:val="22"/>
                <w:lang w:eastAsia="en-US"/>
              </w:rPr>
              <w:t>, following a targeted action plan and investment of further resources, including support by volunteers.  The Trust is now focussing on ward-by-ward response rates and has shared its updated action plan with Commissioners on how the Trust plans to achieve this.</w:t>
            </w:r>
          </w:p>
          <w:p w:rsidR="001F0095" w:rsidRPr="00DA5437" w:rsidRDefault="001F0095" w:rsidP="00DA5437">
            <w:pPr>
              <w:spacing w:after="200" w:line="276" w:lineRule="auto"/>
              <w:jc w:val="both"/>
              <w:rPr>
                <w:rFonts w:ascii="Arial" w:eastAsiaTheme="minorHAnsi" w:hAnsi="Arial" w:cs="Arial"/>
                <w:sz w:val="22"/>
                <w:szCs w:val="22"/>
                <w:lang w:eastAsia="en-US"/>
              </w:rPr>
            </w:pPr>
            <w:r w:rsidRPr="00DA5437">
              <w:rPr>
                <w:rFonts w:ascii="Arial" w:eastAsiaTheme="minorHAnsi" w:hAnsi="Arial" w:cs="Arial"/>
                <w:sz w:val="22"/>
                <w:szCs w:val="22"/>
                <w:lang w:eastAsia="en-US"/>
              </w:rPr>
              <w:t xml:space="preserve">For Hull and East Yorkshire Hospitals NHS Trust, the Trust is in the Top 10 Trusts in Yorkshire and the Humber for its response rate.  Through the CQUIN scheme, the Trust has provided quarterly qualitative reports to commissioners showing a ‘You Said, We Did’ approach on each ward on feedback given by staff and building up an evidence portfolio of how patient feedback is making a different to patient experience.  </w:t>
            </w:r>
          </w:p>
          <w:p w:rsidR="00E92F81" w:rsidRPr="00587B25" w:rsidRDefault="001F0095" w:rsidP="00587B25">
            <w:pPr>
              <w:spacing w:after="200" w:line="276" w:lineRule="auto"/>
              <w:jc w:val="both"/>
              <w:rPr>
                <w:rFonts w:ascii="Arial" w:eastAsiaTheme="minorHAnsi" w:hAnsi="Arial" w:cs="Arial"/>
                <w:sz w:val="22"/>
                <w:szCs w:val="22"/>
                <w:lang w:eastAsia="en-US"/>
              </w:rPr>
            </w:pPr>
            <w:r w:rsidRPr="00DA5437">
              <w:rPr>
                <w:rFonts w:ascii="Arial" w:eastAsiaTheme="minorHAnsi" w:hAnsi="Arial" w:cs="Arial"/>
                <w:sz w:val="22"/>
                <w:szCs w:val="22"/>
                <w:lang w:eastAsia="en-US"/>
              </w:rPr>
              <w:t>Through the national CQUIN goals for 14-15, both Trusts are required to achieve a response rate of 40%+ at the end of 14-15 as wel</w:t>
            </w:r>
            <w:r w:rsidR="008032FA" w:rsidRPr="00DA5437">
              <w:rPr>
                <w:rFonts w:ascii="Arial" w:eastAsiaTheme="minorHAnsi" w:hAnsi="Arial" w:cs="Arial"/>
                <w:sz w:val="22"/>
                <w:szCs w:val="22"/>
                <w:lang w:eastAsia="en-US"/>
              </w:rPr>
              <w:t>l as to introduce the Staff FFT.</w:t>
            </w:r>
          </w:p>
        </w:tc>
      </w:tr>
    </w:tbl>
    <w:p w:rsidR="00A03A97" w:rsidRPr="00DA5437" w:rsidRDefault="00A03A97"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DA5437" w:rsidTr="00DD7564">
        <w:trPr>
          <w:trHeight w:val="787"/>
        </w:trPr>
        <w:tc>
          <w:tcPr>
            <w:tcW w:w="9889" w:type="dxa"/>
            <w:gridSpan w:val="3"/>
            <w:shd w:val="clear" w:color="auto" w:fill="auto"/>
          </w:tcPr>
          <w:p w:rsidR="006A2E19" w:rsidRPr="00DA5437" w:rsidRDefault="006A2E19" w:rsidP="00DA5437">
            <w:pPr>
              <w:spacing w:line="276" w:lineRule="auto"/>
              <w:jc w:val="both"/>
              <w:rPr>
                <w:rFonts w:ascii="Arial" w:hAnsi="Arial" w:cs="Arial"/>
                <w:b/>
                <w:bCs/>
                <w:sz w:val="22"/>
                <w:szCs w:val="22"/>
              </w:rPr>
            </w:pPr>
          </w:p>
          <w:p w:rsidR="006A2E19" w:rsidRPr="00DA5437" w:rsidRDefault="006A2E19" w:rsidP="00DA5437">
            <w:pPr>
              <w:spacing w:line="276" w:lineRule="auto"/>
              <w:jc w:val="both"/>
              <w:rPr>
                <w:rFonts w:ascii="Arial" w:hAnsi="Arial" w:cs="Arial"/>
                <w:b/>
                <w:bCs/>
                <w:sz w:val="22"/>
                <w:szCs w:val="22"/>
              </w:rPr>
            </w:pPr>
            <w:r w:rsidRPr="00DA5437">
              <w:rPr>
                <w:rFonts w:ascii="Arial" w:hAnsi="Arial" w:cs="Arial"/>
                <w:b/>
                <w:bCs/>
                <w:sz w:val="22"/>
                <w:szCs w:val="22"/>
              </w:rPr>
              <w:t xml:space="preserve">RECOMMENDATIONS (R) AND ACTIONS (A) FOR AGREEMENT </w:t>
            </w:r>
          </w:p>
          <w:p w:rsidR="00AF1211" w:rsidRPr="00DA5437" w:rsidRDefault="00AF1211" w:rsidP="00DA5437">
            <w:pPr>
              <w:spacing w:line="276" w:lineRule="auto"/>
              <w:jc w:val="both"/>
              <w:rPr>
                <w:rFonts w:ascii="Arial" w:hAnsi="Arial" w:cs="Arial"/>
                <w:b/>
                <w:bCs/>
                <w:sz w:val="22"/>
                <w:szCs w:val="22"/>
              </w:rPr>
            </w:pPr>
          </w:p>
        </w:tc>
      </w:tr>
      <w:tr w:rsidR="00DD689C" w:rsidRPr="00DA5437" w:rsidTr="00DD7564">
        <w:trPr>
          <w:trHeight w:val="370"/>
        </w:trPr>
        <w:tc>
          <w:tcPr>
            <w:tcW w:w="658" w:type="dxa"/>
            <w:shd w:val="clear" w:color="auto" w:fill="auto"/>
          </w:tcPr>
          <w:p w:rsidR="00DD689C" w:rsidRPr="00DA5437" w:rsidRDefault="00DD689C" w:rsidP="00DA5437">
            <w:pPr>
              <w:spacing w:line="276" w:lineRule="auto"/>
              <w:jc w:val="both"/>
              <w:rPr>
                <w:rFonts w:ascii="Arial" w:hAnsi="Arial" w:cs="Arial"/>
                <w:bCs/>
                <w:sz w:val="22"/>
                <w:szCs w:val="22"/>
              </w:rPr>
            </w:pPr>
          </w:p>
        </w:tc>
        <w:tc>
          <w:tcPr>
            <w:tcW w:w="6820" w:type="dxa"/>
            <w:shd w:val="clear" w:color="auto" w:fill="auto"/>
          </w:tcPr>
          <w:p w:rsidR="00DD689C" w:rsidRPr="00EA2B4C" w:rsidRDefault="00EA2B4C" w:rsidP="00DA5437">
            <w:pPr>
              <w:spacing w:line="276" w:lineRule="auto"/>
              <w:jc w:val="both"/>
              <w:rPr>
                <w:rFonts w:ascii="Arial" w:hAnsi="Arial" w:cs="Arial"/>
                <w:bCs/>
                <w:sz w:val="22"/>
                <w:szCs w:val="22"/>
              </w:rPr>
            </w:pPr>
            <w:r w:rsidRPr="00EA2B4C">
              <w:rPr>
                <w:rFonts w:ascii="Arial" w:hAnsi="Arial" w:cs="Arial"/>
                <w:bCs/>
                <w:sz w:val="22"/>
                <w:szCs w:val="22"/>
              </w:rPr>
              <w:t>Members of the Board are asked to note the content of the report and endorse the on</w:t>
            </w:r>
            <w:r>
              <w:rPr>
                <w:rFonts w:ascii="Arial" w:hAnsi="Arial" w:cs="Arial"/>
                <w:bCs/>
                <w:sz w:val="22"/>
                <w:szCs w:val="22"/>
              </w:rPr>
              <w:t>-</w:t>
            </w:r>
            <w:r w:rsidRPr="00EA2B4C">
              <w:rPr>
                <w:rFonts w:ascii="Arial" w:hAnsi="Arial" w:cs="Arial"/>
                <w:bCs/>
                <w:sz w:val="22"/>
                <w:szCs w:val="22"/>
              </w:rPr>
              <w:t>going monitoring of quality issues by the Quality Committee.</w:t>
            </w:r>
          </w:p>
        </w:tc>
        <w:tc>
          <w:tcPr>
            <w:tcW w:w="2411" w:type="dxa"/>
            <w:shd w:val="clear" w:color="auto" w:fill="auto"/>
          </w:tcPr>
          <w:p w:rsidR="00DD689C" w:rsidRPr="00DA5437" w:rsidRDefault="00DD689C" w:rsidP="00DA5437">
            <w:pPr>
              <w:spacing w:line="276" w:lineRule="auto"/>
              <w:jc w:val="both"/>
              <w:rPr>
                <w:rFonts w:ascii="Arial" w:hAnsi="Arial" w:cs="Arial"/>
                <w:bCs/>
                <w:sz w:val="22"/>
                <w:szCs w:val="22"/>
              </w:rPr>
            </w:pPr>
            <w:r w:rsidRPr="00DA5437">
              <w:rPr>
                <w:rFonts w:ascii="Arial" w:hAnsi="Arial" w:cs="Arial"/>
                <w:b/>
                <w:sz w:val="22"/>
                <w:szCs w:val="22"/>
              </w:rPr>
              <w:t>Agreed?</w:t>
            </w:r>
          </w:p>
        </w:tc>
      </w:tr>
    </w:tbl>
    <w:p w:rsidR="00DD689C" w:rsidRPr="00DA5437" w:rsidRDefault="00DD689C" w:rsidP="00DD689C">
      <w:pPr>
        <w:rPr>
          <w:rFonts w:ascii="Arial" w:hAnsi="Arial" w:cs="Arial"/>
          <w:b/>
          <w:sz w:val="22"/>
          <w:szCs w:val="22"/>
        </w:rPr>
      </w:pPr>
    </w:p>
    <w:tbl>
      <w:tblPr>
        <w:tblpPr w:leftFromText="180" w:rightFromText="180" w:vertAnchor="text" w:horzAnchor="margin" w:tblpY="990"/>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801DD4" w:rsidRPr="00752FD6" w:rsidTr="00801DD4">
        <w:trPr>
          <w:trHeight w:val="822"/>
          <w:tblHeader/>
        </w:trPr>
        <w:tc>
          <w:tcPr>
            <w:tcW w:w="720" w:type="dxa"/>
            <w:shd w:val="clear" w:color="auto" w:fill="C0C0C0"/>
            <w:vAlign w:val="center"/>
          </w:tcPr>
          <w:p w:rsidR="00801DD4" w:rsidRPr="00752FD6" w:rsidRDefault="00801DD4" w:rsidP="00801DD4">
            <w:pPr>
              <w:spacing w:before="80" w:after="80"/>
              <w:jc w:val="center"/>
              <w:rPr>
                <w:rFonts w:ascii="Arial" w:hAnsi="Arial" w:cs="Arial"/>
                <w:b/>
                <w:sz w:val="22"/>
                <w:szCs w:val="22"/>
              </w:rPr>
            </w:pPr>
          </w:p>
        </w:tc>
        <w:tc>
          <w:tcPr>
            <w:tcW w:w="4230" w:type="dxa"/>
            <w:shd w:val="clear" w:color="auto" w:fill="C0C0C0"/>
            <w:vAlign w:val="center"/>
          </w:tcPr>
          <w:p w:rsidR="00801DD4" w:rsidRPr="00752FD6" w:rsidRDefault="00801DD4" w:rsidP="00801DD4">
            <w:pPr>
              <w:spacing w:before="80" w:after="80"/>
              <w:rPr>
                <w:rFonts w:ascii="Arial" w:hAnsi="Arial" w:cs="Arial"/>
                <w:b/>
                <w:sz w:val="22"/>
                <w:szCs w:val="22"/>
              </w:rPr>
            </w:pPr>
          </w:p>
        </w:tc>
        <w:tc>
          <w:tcPr>
            <w:tcW w:w="1170" w:type="dxa"/>
            <w:shd w:val="clear" w:color="auto" w:fill="C0C0C0"/>
            <w:vAlign w:val="center"/>
          </w:tcPr>
          <w:p w:rsidR="00801DD4" w:rsidRPr="00752FD6" w:rsidRDefault="00801DD4" w:rsidP="00801DD4">
            <w:pPr>
              <w:spacing w:before="80" w:after="80"/>
              <w:jc w:val="center"/>
              <w:rPr>
                <w:rFonts w:ascii="Arial" w:hAnsi="Arial" w:cs="Arial"/>
                <w:b/>
                <w:sz w:val="22"/>
                <w:szCs w:val="22"/>
              </w:rPr>
            </w:pPr>
          </w:p>
          <w:p w:rsidR="00801DD4" w:rsidRPr="00752FD6" w:rsidRDefault="00801DD4" w:rsidP="00801DD4">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801DD4" w:rsidRPr="00752FD6" w:rsidRDefault="00801DD4" w:rsidP="00801DD4">
            <w:pPr>
              <w:spacing w:before="80" w:after="80"/>
              <w:jc w:val="center"/>
              <w:rPr>
                <w:rFonts w:ascii="Arial" w:hAnsi="Arial" w:cs="Arial"/>
                <w:b/>
                <w:sz w:val="22"/>
                <w:szCs w:val="22"/>
              </w:rPr>
            </w:pPr>
            <w:r w:rsidRPr="00752FD6">
              <w:rPr>
                <w:rFonts w:ascii="Arial" w:hAnsi="Arial" w:cs="Arial"/>
                <w:b/>
                <w:sz w:val="22"/>
                <w:szCs w:val="22"/>
              </w:rPr>
              <w:t>Comments</w:t>
            </w:r>
          </w:p>
        </w:tc>
      </w:tr>
      <w:tr w:rsidR="00801DD4" w:rsidRPr="00752FD6" w:rsidTr="00801DD4">
        <w:tc>
          <w:tcPr>
            <w:tcW w:w="720" w:type="dxa"/>
            <w:shd w:val="clear" w:color="auto" w:fill="auto"/>
          </w:tcPr>
          <w:p w:rsidR="00801DD4" w:rsidRPr="00752FD6" w:rsidRDefault="00801DD4" w:rsidP="00801DD4">
            <w:pPr>
              <w:spacing w:before="80" w:after="80"/>
              <w:rPr>
                <w:rFonts w:ascii="Arial" w:hAnsi="Arial" w:cs="Arial"/>
                <w:sz w:val="22"/>
                <w:szCs w:val="22"/>
              </w:rPr>
            </w:pPr>
          </w:p>
        </w:tc>
        <w:tc>
          <w:tcPr>
            <w:tcW w:w="423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801DD4" w:rsidRPr="00752FD6" w:rsidRDefault="00801DD4" w:rsidP="00801DD4">
            <w:pPr>
              <w:spacing w:before="80" w:after="80"/>
              <w:jc w:val="center"/>
              <w:rPr>
                <w:rFonts w:ascii="Arial" w:hAnsi="Arial" w:cs="Arial"/>
                <w:sz w:val="22"/>
                <w:szCs w:val="22"/>
              </w:rPr>
            </w:pPr>
          </w:p>
        </w:tc>
        <w:tc>
          <w:tcPr>
            <w:tcW w:w="2976" w:type="dxa"/>
            <w:shd w:val="clear" w:color="auto" w:fill="auto"/>
          </w:tcPr>
          <w:p w:rsidR="00801DD4" w:rsidRPr="00752FD6" w:rsidRDefault="00801DD4" w:rsidP="00801DD4">
            <w:pPr>
              <w:spacing w:before="80" w:after="80"/>
              <w:rPr>
                <w:rFonts w:ascii="Arial" w:hAnsi="Arial" w:cs="Arial"/>
                <w:sz w:val="22"/>
                <w:szCs w:val="22"/>
              </w:rPr>
            </w:pPr>
          </w:p>
        </w:tc>
      </w:tr>
      <w:tr w:rsidR="00801DD4" w:rsidRPr="00752FD6" w:rsidTr="00801DD4">
        <w:tc>
          <w:tcPr>
            <w:tcW w:w="72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801DD4" w:rsidRPr="00752FD6" w:rsidRDefault="00801DD4" w:rsidP="00801DD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801DD4" w:rsidRPr="00752FD6" w:rsidRDefault="00801DD4" w:rsidP="00801DD4">
            <w:pPr>
              <w:spacing w:before="80" w:after="80"/>
              <w:rPr>
                <w:rFonts w:ascii="Arial" w:hAnsi="Arial" w:cs="Arial"/>
                <w:sz w:val="22"/>
                <w:szCs w:val="22"/>
              </w:rPr>
            </w:pPr>
          </w:p>
        </w:tc>
      </w:tr>
      <w:tr w:rsidR="00801DD4" w:rsidRPr="00752FD6" w:rsidTr="00801DD4">
        <w:tc>
          <w:tcPr>
            <w:tcW w:w="72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801DD4" w:rsidRPr="00752FD6" w:rsidRDefault="00801DD4" w:rsidP="00801DD4">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801DD4" w:rsidRPr="00752FD6" w:rsidRDefault="00801DD4" w:rsidP="00801DD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801DD4" w:rsidRPr="00752FD6" w:rsidRDefault="00801DD4" w:rsidP="00801DD4">
            <w:pPr>
              <w:spacing w:before="80" w:after="80"/>
              <w:rPr>
                <w:rFonts w:ascii="Arial" w:hAnsi="Arial" w:cs="Arial"/>
                <w:sz w:val="22"/>
                <w:szCs w:val="22"/>
              </w:rPr>
            </w:pPr>
          </w:p>
        </w:tc>
      </w:tr>
      <w:tr w:rsidR="00801DD4" w:rsidRPr="00752FD6" w:rsidTr="00801DD4">
        <w:tc>
          <w:tcPr>
            <w:tcW w:w="72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801DD4" w:rsidRPr="00752FD6" w:rsidRDefault="00801DD4" w:rsidP="00801DD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801DD4" w:rsidRPr="00752FD6" w:rsidRDefault="00801DD4" w:rsidP="00801DD4">
            <w:pPr>
              <w:spacing w:before="80" w:after="80"/>
              <w:rPr>
                <w:rFonts w:ascii="Arial" w:hAnsi="Arial" w:cs="Arial"/>
                <w:sz w:val="22"/>
                <w:szCs w:val="22"/>
              </w:rPr>
            </w:pPr>
          </w:p>
        </w:tc>
      </w:tr>
      <w:tr w:rsidR="00801DD4" w:rsidRPr="00752FD6" w:rsidTr="00801DD4">
        <w:tc>
          <w:tcPr>
            <w:tcW w:w="72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801DD4" w:rsidRPr="00752FD6" w:rsidRDefault="00801DD4" w:rsidP="00801DD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801DD4" w:rsidRPr="00752FD6" w:rsidRDefault="00801DD4" w:rsidP="00801DD4">
            <w:pPr>
              <w:spacing w:before="80" w:after="80"/>
              <w:rPr>
                <w:rFonts w:ascii="Arial" w:hAnsi="Arial" w:cs="Arial"/>
                <w:sz w:val="22"/>
                <w:szCs w:val="22"/>
              </w:rPr>
            </w:pPr>
          </w:p>
        </w:tc>
      </w:tr>
      <w:tr w:rsidR="00801DD4" w:rsidRPr="00752FD6" w:rsidTr="00801DD4">
        <w:tc>
          <w:tcPr>
            <w:tcW w:w="72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801DD4" w:rsidRPr="00752FD6" w:rsidRDefault="00801DD4" w:rsidP="00801DD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801DD4" w:rsidRPr="00752FD6" w:rsidRDefault="00801DD4" w:rsidP="00801DD4">
            <w:pPr>
              <w:spacing w:before="80" w:after="80"/>
              <w:rPr>
                <w:rFonts w:ascii="Arial" w:hAnsi="Arial" w:cs="Arial"/>
                <w:sz w:val="22"/>
                <w:szCs w:val="22"/>
              </w:rPr>
            </w:pPr>
          </w:p>
        </w:tc>
      </w:tr>
      <w:tr w:rsidR="00801DD4" w:rsidRPr="00752FD6" w:rsidTr="00801DD4">
        <w:tc>
          <w:tcPr>
            <w:tcW w:w="720" w:type="dxa"/>
            <w:shd w:val="clear" w:color="auto" w:fill="auto"/>
          </w:tcPr>
          <w:p w:rsidR="00801DD4" w:rsidRPr="00752FD6" w:rsidRDefault="00801DD4" w:rsidP="00801DD4">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801DD4" w:rsidRDefault="00801DD4" w:rsidP="00801DD4">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801DD4" w:rsidRPr="00752FD6" w:rsidRDefault="002F30C8" w:rsidP="00801DD4">
            <w:pPr>
              <w:spacing w:before="80" w:after="80"/>
              <w:rPr>
                <w:rFonts w:ascii="Arial" w:hAnsi="Arial" w:cs="Arial"/>
                <w:sz w:val="22"/>
                <w:szCs w:val="22"/>
              </w:rPr>
            </w:pPr>
            <w:hyperlink r:id="rId15" w:history="1">
              <w:r w:rsidR="00801DD4"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801DD4" w:rsidRPr="00752FD6" w:rsidRDefault="00801DD4" w:rsidP="00801DD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801DD4" w:rsidRPr="00752FD6" w:rsidRDefault="00801DD4" w:rsidP="00801DD4">
            <w:pPr>
              <w:spacing w:before="80" w:after="80"/>
              <w:rPr>
                <w:rFonts w:ascii="Arial" w:hAnsi="Arial" w:cs="Arial"/>
                <w:sz w:val="22"/>
                <w:szCs w:val="22"/>
              </w:rPr>
            </w:pPr>
          </w:p>
        </w:tc>
      </w:tr>
    </w:tbl>
    <w:p w:rsidR="00DC3218" w:rsidRPr="00801DD4" w:rsidRDefault="00DC3218">
      <w:pPr>
        <w:rPr>
          <w:rFonts w:ascii="Arial" w:hAnsi="Arial" w:cs="Arial"/>
          <w:b/>
          <w:sz w:val="22"/>
          <w:szCs w:val="22"/>
        </w:rPr>
      </w:pPr>
    </w:p>
    <w:sectPr w:rsidR="00DC3218" w:rsidRPr="00801DD4" w:rsidSect="00DD7564">
      <w:footerReference w:type="default" r:id="rId16"/>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D1" w:rsidRDefault="008024D1">
      <w:r>
        <w:separator/>
      </w:r>
    </w:p>
  </w:endnote>
  <w:endnote w:type="continuationSeparator" w:id="0">
    <w:p w:rsidR="008024D1" w:rsidRDefault="008024D1">
      <w:r>
        <w:continuationSeparator/>
      </w:r>
    </w:p>
  </w:endnote>
  <w:endnote w:type="continuationNotice" w:id="1">
    <w:p w:rsidR="008024D1" w:rsidRDefault="00802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7670"/>
      <w:docPartObj>
        <w:docPartGallery w:val="Page Numbers (Bottom of Page)"/>
        <w:docPartUnique/>
      </w:docPartObj>
    </w:sdtPr>
    <w:sdtEndPr>
      <w:rPr>
        <w:noProof/>
      </w:rPr>
    </w:sdtEndPr>
    <w:sdtContent>
      <w:p w:rsidR="008024D1" w:rsidRDefault="008024D1">
        <w:pPr>
          <w:pStyle w:val="Footer"/>
          <w:jc w:val="right"/>
        </w:pPr>
        <w:r>
          <w:fldChar w:fldCharType="begin"/>
        </w:r>
        <w:r>
          <w:instrText xml:space="preserve"> PAGE   \* MERGEFORMAT </w:instrText>
        </w:r>
        <w:r>
          <w:fldChar w:fldCharType="separate"/>
        </w:r>
        <w:r w:rsidR="002F30C8">
          <w:rPr>
            <w:noProof/>
          </w:rPr>
          <w:t>1</w:t>
        </w:r>
        <w:r>
          <w:rPr>
            <w:noProof/>
          </w:rPr>
          <w:fldChar w:fldCharType="end"/>
        </w:r>
      </w:p>
    </w:sdtContent>
  </w:sdt>
  <w:p w:rsidR="008024D1" w:rsidRDefault="008024D1" w:rsidP="00DC32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D1" w:rsidRDefault="008024D1">
      <w:r>
        <w:separator/>
      </w:r>
    </w:p>
  </w:footnote>
  <w:footnote w:type="continuationSeparator" w:id="0">
    <w:p w:rsidR="008024D1" w:rsidRDefault="008024D1">
      <w:r>
        <w:continuationSeparator/>
      </w:r>
    </w:p>
  </w:footnote>
  <w:footnote w:type="continuationNotice" w:id="1">
    <w:p w:rsidR="008024D1" w:rsidRDefault="008024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280EE5"/>
    <w:multiLevelType w:val="multilevel"/>
    <w:tmpl w:val="0EE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74B9F"/>
    <w:multiLevelType w:val="multilevel"/>
    <w:tmpl w:val="9B9C43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314B58F1"/>
    <w:multiLevelType w:val="hybridMultilevel"/>
    <w:tmpl w:val="108C47BC"/>
    <w:lvl w:ilvl="0" w:tplc="269C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327111"/>
    <w:multiLevelType w:val="hybridMultilevel"/>
    <w:tmpl w:val="6B68E2EE"/>
    <w:lvl w:ilvl="0" w:tplc="8B8A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F51366"/>
    <w:multiLevelType w:val="multilevel"/>
    <w:tmpl w:val="B2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0"/>
  </w:num>
  <w:num w:numId="4">
    <w:abstractNumId w:val="28"/>
  </w:num>
  <w:num w:numId="5">
    <w:abstractNumId w:val="20"/>
  </w:num>
  <w:num w:numId="6">
    <w:abstractNumId w:val="25"/>
  </w:num>
  <w:num w:numId="7">
    <w:abstractNumId w:val="3"/>
  </w:num>
  <w:num w:numId="8">
    <w:abstractNumId w:val="19"/>
  </w:num>
  <w:num w:numId="9">
    <w:abstractNumId w:val="22"/>
  </w:num>
  <w:num w:numId="10">
    <w:abstractNumId w:val="5"/>
  </w:num>
  <w:num w:numId="11">
    <w:abstractNumId w:val="10"/>
  </w:num>
  <w:num w:numId="12">
    <w:abstractNumId w:val="24"/>
  </w:num>
  <w:num w:numId="13">
    <w:abstractNumId w:val="15"/>
  </w:num>
  <w:num w:numId="14">
    <w:abstractNumId w:val="1"/>
  </w:num>
  <w:num w:numId="15">
    <w:abstractNumId w:val="17"/>
  </w:num>
  <w:num w:numId="16">
    <w:abstractNumId w:val="11"/>
  </w:num>
  <w:num w:numId="17">
    <w:abstractNumId w:val="21"/>
  </w:num>
  <w:num w:numId="18">
    <w:abstractNumId w:val="16"/>
  </w:num>
  <w:num w:numId="19">
    <w:abstractNumId w:val="26"/>
  </w:num>
  <w:num w:numId="20">
    <w:abstractNumId w:val="9"/>
  </w:num>
  <w:num w:numId="21">
    <w:abstractNumId w:val="8"/>
  </w:num>
  <w:num w:numId="22">
    <w:abstractNumId w:val="14"/>
  </w:num>
  <w:num w:numId="23">
    <w:abstractNumId w:val="4"/>
  </w:num>
  <w:num w:numId="24">
    <w:abstractNumId w:val="7"/>
  </w:num>
  <w:num w:numId="25">
    <w:abstractNumId w:val="13"/>
  </w:num>
  <w:num w:numId="26">
    <w:abstractNumId w:val="18"/>
  </w:num>
  <w:num w:numId="27">
    <w:abstractNumId w:val="12"/>
  </w:num>
  <w:num w:numId="28">
    <w:abstractNumId w:val="27"/>
  </w:num>
  <w:num w:numId="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B71BF"/>
    <w:rsid w:val="000C440F"/>
    <w:rsid w:val="000E4269"/>
    <w:rsid w:val="00101E52"/>
    <w:rsid w:val="00105599"/>
    <w:rsid w:val="00105BD8"/>
    <w:rsid w:val="00112B21"/>
    <w:rsid w:val="001154A6"/>
    <w:rsid w:val="00120909"/>
    <w:rsid w:val="001209C1"/>
    <w:rsid w:val="00124B07"/>
    <w:rsid w:val="00132B3D"/>
    <w:rsid w:val="00136A3D"/>
    <w:rsid w:val="00136C3A"/>
    <w:rsid w:val="00146F56"/>
    <w:rsid w:val="0015293E"/>
    <w:rsid w:val="00157684"/>
    <w:rsid w:val="00157D2B"/>
    <w:rsid w:val="00160342"/>
    <w:rsid w:val="00171A6A"/>
    <w:rsid w:val="00176D4A"/>
    <w:rsid w:val="00180D44"/>
    <w:rsid w:val="00185707"/>
    <w:rsid w:val="00190670"/>
    <w:rsid w:val="00193741"/>
    <w:rsid w:val="00197B68"/>
    <w:rsid w:val="001A4E90"/>
    <w:rsid w:val="001B3A86"/>
    <w:rsid w:val="001B6258"/>
    <w:rsid w:val="001D6104"/>
    <w:rsid w:val="001D78A2"/>
    <w:rsid w:val="001E773A"/>
    <w:rsid w:val="001F0095"/>
    <w:rsid w:val="001F21BE"/>
    <w:rsid w:val="001F59F0"/>
    <w:rsid w:val="001F6597"/>
    <w:rsid w:val="00200CED"/>
    <w:rsid w:val="00213BC1"/>
    <w:rsid w:val="002141E5"/>
    <w:rsid w:val="00216C8C"/>
    <w:rsid w:val="00231A40"/>
    <w:rsid w:val="00231D43"/>
    <w:rsid w:val="00235F12"/>
    <w:rsid w:val="00246031"/>
    <w:rsid w:val="00246D3A"/>
    <w:rsid w:val="002510A1"/>
    <w:rsid w:val="0025514C"/>
    <w:rsid w:val="00256406"/>
    <w:rsid w:val="00261AB5"/>
    <w:rsid w:val="002626F4"/>
    <w:rsid w:val="0026660D"/>
    <w:rsid w:val="00266FF1"/>
    <w:rsid w:val="002700D2"/>
    <w:rsid w:val="00285B93"/>
    <w:rsid w:val="00285C31"/>
    <w:rsid w:val="00286998"/>
    <w:rsid w:val="00294FCD"/>
    <w:rsid w:val="002A3C39"/>
    <w:rsid w:val="002A651D"/>
    <w:rsid w:val="002B63BC"/>
    <w:rsid w:val="002C17C1"/>
    <w:rsid w:val="002D417E"/>
    <w:rsid w:val="002E26B9"/>
    <w:rsid w:val="002E7820"/>
    <w:rsid w:val="002F30C8"/>
    <w:rsid w:val="002F445D"/>
    <w:rsid w:val="002F47B6"/>
    <w:rsid w:val="002F5936"/>
    <w:rsid w:val="00301655"/>
    <w:rsid w:val="00303B76"/>
    <w:rsid w:val="00312796"/>
    <w:rsid w:val="003225BA"/>
    <w:rsid w:val="00326AB8"/>
    <w:rsid w:val="0034307E"/>
    <w:rsid w:val="00363C1F"/>
    <w:rsid w:val="0036628F"/>
    <w:rsid w:val="00366F7D"/>
    <w:rsid w:val="00380FCF"/>
    <w:rsid w:val="00384979"/>
    <w:rsid w:val="00394F30"/>
    <w:rsid w:val="003A0027"/>
    <w:rsid w:val="003A03CB"/>
    <w:rsid w:val="003B0A06"/>
    <w:rsid w:val="003B626C"/>
    <w:rsid w:val="003C6569"/>
    <w:rsid w:val="003D2887"/>
    <w:rsid w:val="003D3E08"/>
    <w:rsid w:val="003D489F"/>
    <w:rsid w:val="003E4361"/>
    <w:rsid w:val="003F5E9E"/>
    <w:rsid w:val="003F6D7A"/>
    <w:rsid w:val="003F6DF9"/>
    <w:rsid w:val="00406064"/>
    <w:rsid w:val="00420D54"/>
    <w:rsid w:val="00423F06"/>
    <w:rsid w:val="004337A4"/>
    <w:rsid w:val="00434363"/>
    <w:rsid w:val="0043664F"/>
    <w:rsid w:val="00441E7A"/>
    <w:rsid w:val="00446F94"/>
    <w:rsid w:val="00447394"/>
    <w:rsid w:val="00450490"/>
    <w:rsid w:val="00454EA5"/>
    <w:rsid w:val="00456662"/>
    <w:rsid w:val="00457AAE"/>
    <w:rsid w:val="00462810"/>
    <w:rsid w:val="00463C23"/>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00F"/>
    <w:rsid w:val="004F3209"/>
    <w:rsid w:val="004F64DF"/>
    <w:rsid w:val="005109BE"/>
    <w:rsid w:val="00517C3A"/>
    <w:rsid w:val="0052360E"/>
    <w:rsid w:val="00532C2C"/>
    <w:rsid w:val="00541F74"/>
    <w:rsid w:val="0055649F"/>
    <w:rsid w:val="00562641"/>
    <w:rsid w:val="00562E19"/>
    <w:rsid w:val="00567797"/>
    <w:rsid w:val="0057544B"/>
    <w:rsid w:val="0057654D"/>
    <w:rsid w:val="005847E8"/>
    <w:rsid w:val="00585083"/>
    <w:rsid w:val="00587A7C"/>
    <w:rsid w:val="00587B25"/>
    <w:rsid w:val="00591E40"/>
    <w:rsid w:val="00593311"/>
    <w:rsid w:val="005973A0"/>
    <w:rsid w:val="005A36F7"/>
    <w:rsid w:val="005A625B"/>
    <w:rsid w:val="005E01FA"/>
    <w:rsid w:val="005F0C84"/>
    <w:rsid w:val="005F11AA"/>
    <w:rsid w:val="005F195A"/>
    <w:rsid w:val="0060216B"/>
    <w:rsid w:val="00604967"/>
    <w:rsid w:val="00607C7F"/>
    <w:rsid w:val="006203A2"/>
    <w:rsid w:val="006227EF"/>
    <w:rsid w:val="00625124"/>
    <w:rsid w:val="006468ED"/>
    <w:rsid w:val="006569A3"/>
    <w:rsid w:val="00657CC2"/>
    <w:rsid w:val="00664815"/>
    <w:rsid w:val="00666DDD"/>
    <w:rsid w:val="0067295A"/>
    <w:rsid w:val="00675C73"/>
    <w:rsid w:val="0068471B"/>
    <w:rsid w:val="0068496F"/>
    <w:rsid w:val="00686660"/>
    <w:rsid w:val="0069645B"/>
    <w:rsid w:val="0069733F"/>
    <w:rsid w:val="006A2E19"/>
    <w:rsid w:val="006A788A"/>
    <w:rsid w:val="006A7D61"/>
    <w:rsid w:val="006B7C64"/>
    <w:rsid w:val="006C03B7"/>
    <w:rsid w:val="006C1DEF"/>
    <w:rsid w:val="006C2A88"/>
    <w:rsid w:val="006C5536"/>
    <w:rsid w:val="006D2FBF"/>
    <w:rsid w:val="006D535E"/>
    <w:rsid w:val="006E2F1F"/>
    <w:rsid w:val="006F1162"/>
    <w:rsid w:val="006F45C7"/>
    <w:rsid w:val="006F5C8A"/>
    <w:rsid w:val="006F7B59"/>
    <w:rsid w:val="0070365F"/>
    <w:rsid w:val="00710714"/>
    <w:rsid w:val="00716CAF"/>
    <w:rsid w:val="00730C39"/>
    <w:rsid w:val="007315E3"/>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5418"/>
    <w:rsid w:val="007E6A63"/>
    <w:rsid w:val="007F26DD"/>
    <w:rsid w:val="007F5413"/>
    <w:rsid w:val="00801DD4"/>
    <w:rsid w:val="008024D1"/>
    <w:rsid w:val="008032FA"/>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3714"/>
    <w:rsid w:val="008C70FB"/>
    <w:rsid w:val="008D12EA"/>
    <w:rsid w:val="008D6A39"/>
    <w:rsid w:val="008E206C"/>
    <w:rsid w:val="008F140F"/>
    <w:rsid w:val="008F677B"/>
    <w:rsid w:val="00905151"/>
    <w:rsid w:val="00907378"/>
    <w:rsid w:val="009112DF"/>
    <w:rsid w:val="009119AD"/>
    <w:rsid w:val="0091688E"/>
    <w:rsid w:val="00920543"/>
    <w:rsid w:val="00923556"/>
    <w:rsid w:val="009269E7"/>
    <w:rsid w:val="009306C6"/>
    <w:rsid w:val="00936BC2"/>
    <w:rsid w:val="00936C71"/>
    <w:rsid w:val="0094097A"/>
    <w:rsid w:val="00946B7B"/>
    <w:rsid w:val="00960460"/>
    <w:rsid w:val="00961032"/>
    <w:rsid w:val="009615DA"/>
    <w:rsid w:val="009646FA"/>
    <w:rsid w:val="00973430"/>
    <w:rsid w:val="00975B74"/>
    <w:rsid w:val="009846C1"/>
    <w:rsid w:val="00995D16"/>
    <w:rsid w:val="009A0C1E"/>
    <w:rsid w:val="009B25F1"/>
    <w:rsid w:val="009B32B5"/>
    <w:rsid w:val="009C1493"/>
    <w:rsid w:val="009C33D4"/>
    <w:rsid w:val="009C6E2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9E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1211"/>
    <w:rsid w:val="00AF3749"/>
    <w:rsid w:val="00AF3A61"/>
    <w:rsid w:val="00AF47E2"/>
    <w:rsid w:val="00AF5DDB"/>
    <w:rsid w:val="00B02EF5"/>
    <w:rsid w:val="00B170EF"/>
    <w:rsid w:val="00B31017"/>
    <w:rsid w:val="00B349FF"/>
    <w:rsid w:val="00B363A4"/>
    <w:rsid w:val="00B37AF2"/>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43D"/>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1E56"/>
    <w:rsid w:val="00C13505"/>
    <w:rsid w:val="00C20949"/>
    <w:rsid w:val="00C523B4"/>
    <w:rsid w:val="00C52D50"/>
    <w:rsid w:val="00C628C9"/>
    <w:rsid w:val="00C703B6"/>
    <w:rsid w:val="00C74EC1"/>
    <w:rsid w:val="00C7588E"/>
    <w:rsid w:val="00C85824"/>
    <w:rsid w:val="00C86CC4"/>
    <w:rsid w:val="00C965C4"/>
    <w:rsid w:val="00CA3315"/>
    <w:rsid w:val="00CA64C1"/>
    <w:rsid w:val="00CB1B56"/>
    <w:rsid w:val="00CB4EE8"/>
    <w:rsid w:val="00CC6E1E"/>
    <w:rsid w:val="00CD079D"/>
    <w:rsid w:val="00CD319C"/>
    <w:rsid w:val="00CD4F1D"/>
    <w:rsid w:val="00CE07E5"/>
    <w:rsid w:val="00CE160D"/>
    <w:rsid w:val="00CF258F"/>
    <w:rsid w:val="00CF5F75"/>
    <w:rsid w:val="00D00EFA"/>
    <w:rsid w:val="00D25017"/>
    <w:rsid w:val="00D25A2E"/>
    <w:rsid w:val="00D271AC"/>
    <w:rsid w:val="00D3494B"/>
    <w:rsid w:val="00D35D4A"/>
    <w:rsid w:val="00D41C63"/>
    <w:rsid w:val="00D450C3"/>
    <w:rsid w:val="00D4597C"/>
    <w:rsid w:val="00D52206"/>
    <w:rsid w:val="00D655CC"/>
    <w:rsid w:val="00D6660C"/>
    <w:rsid w:val="00D76A89"/>
    <w:rsid w:val="00D803BA"/>
    <w:rsid w:val="00D91037"/>
    <w:rsid w:val="00D921A3"/>
    <w:rsid w:val="00DA5437"/>
    <w:rsid w:val="00DA584B"/>
    <w:rsid w:val="00DA6818"/>
    <w:rsid w:val="00DA75DE"/>
    <w:rsid w:val="00DC2203"/>
    <w:rsid w:val="00DC3218"/>
    <w:rsid w:val="00DC46DB"/>
    <w:rsid w:val="00DD1E33"/>
    <w:rsid w:val="00DD27F1"/>
    <w:rsid w:val="00DD3E42"/>
    <w:rsid w:val="00DD689C"/>
    <w:rsid w:val="00DD7564"/>
    <w:rsid w:val="00DE6E0E"/>
    <w:rsid w:val="00DF00F8"/>
    <w:rsid w:val="00DF2F49"/>
    <w:rsid w:val="00DF3185"/>
    <w:rsid w:val="00DF3E42"/>
    <w:rsid w:val="00E056CB"/>
    <w:rsid w:val="00E24870"/>
    <w:rsid w:val="00E2557D"/>
    <w:rsid w:val="00E320A8"/>
    <w:rsid w:val="00E43FD9"/>
    <w:rsid w:val="00E4499A"/>
    <w:rsid w:val="00E46EFA"/>
    <w:rsid w:val="00E47C0B"/>
    <w:rsid w:val="00E5159C"/>
    <w:rsid w:val="00E538AF"/>
    <w:rsid w:val="00E550FE"/>
    <w:rsid w:val="00E617F9"/>
    <w:rsid w:val="00E67668"/>
    <w:rsid w:val="00E7471C"/>
    <w:rsid w:val="00E75A46"/>
    <w:rsid w:val="00E857C3"/>
    <w:rsid w:val="00E921F2"/>
    <w:rsid w:val="00E92F81"/>
    <w:rsid w:val="00E94BFF"/>
    <w:rsid w:val="00E9685C"/>
    <w:rsid w:val="00EA1089"/>
    <w:rsid w:val="00EA285F"/>
    <w:rsid w:val="00EA2B4C"/>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548E"/>
    <w:rsid w:val="00FB69A8"/>
    <w:rsid w:val="00FB7D2A"/>
    <w:rsid w:val="00FC2818"/>
    <w:rsid w:val="00FC3546"/>
    <w:rsid w:val="00FC6262"/>
    <w:rsid w:val="00FD0CF4"/>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18624429">
      <w:bodyDiv w:val="1"/>
      <w:marLeft w:val="0"/>
      <w:marRight w:val="0"/>
      <w:marTop w:val="0"/>
      <w:marBottom w:val="0"/>
      <w:divBdr>
        <w:top w:val="none" w:sz="0" w:space="0" w:color="auto"/>
        <w:left w:val="none" w:sz="0" w:space="0" w:color="auto"/>
        <w:bottom w:val="none" w:sz="0" w:space="0" w:color="auto"/>
        <w:right w:val="none" w:sz="0" w:space="0" w:color="auto"/>
      </w:divBdr>
      <w:divsChild>
        <w:div w:id="495851726">
          <w:marLeft w:val="0"/>
          <w:marRight w:val="0"/>
          <w:marTop w:val="0"/>
          <w:marBottom w:val="0"/>
          <w:divBdr>
            <w:top w:val="none" w:sz="0" w:space="0" w:color="auto"/>
            <w:left w:val="none" w:sz="0" w:space="0" w:color="auto"/>
            <w:bottom w:val="none" w:sz="0" w:space="0" w:color="auto"/>
            <w:right w:val="none" w:sz="0" w:space="0" w:color="auto"/>
          </w:divBdr>
          <w:divsChild>
            <w:div w:id="1349719643">
              <w:marLeft w:val="0"/>
              <w:marRight w:val="0"/>
              <w:marTop w:val="0"/>
              <w:marBottom w:val="0"/>
              <w:divBdr>
                <w:top w:val="none" w:sz="0" w:space="0" w:color="auto"/>
                <w:left w:val="none" w:sz="0" w:space="0" w:color="auto"/>
                <w:bottom w:val="none" w:sz="0" w:space="0" w:color="auto"/>
                <w:right w:val="none" w:sz="0" w:space="0" w:color="auto"/>
              </w:divBdr>
              <w:divsChild>
                <w:div w:id="1584408831">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916284587">
                          <w:marLeft w:val="0"/>
                          <w:marRight w:val="0"/>
                          <w:marTop w:val="0"/>
                          <w:marBottom w:val="0"/>
                          <w:divBdr>
                            <w:top w:val="none" w:sz="0" w:space="0" w:color="auto"/>
                            <w:left w:val="none" w:sz="0" w:space="0" w:color="auto"/>
                            <w:bottom w:val="none" w:sz="0" w:space="0" w:color="auto"/>
                            <w:right w:val="none" w:sz="0" w:space="0" w:color="auto"/>
                          </w:divBdr>
                          <w:divsChild>
                            <w:div w:id="1758593386">
                              <w:marLeft w:val="0"/>
                              <w:marRight w:val="0"/>
                              <w:marTop w:val="0"/>
                              <w:marBottom w:val="0"/>
                              <w:divBdr>
                                <w:top w:val="none" w:sz="0" w:space="0" w:color="auto"/>
                                <w:left w:val="none" w:sz="0" w:space="0" w:color="auto"/>
                                <w:bottom w:val="none" w:sz="0" w:space="0" w:color="auto"/>
                                <w:right w:val="none" w:sz="0" w:space="0" w:color="auto"/>
                              </w:divBdr>
                              <w:divsChild>
                                <w:div w:id="1006593270">
                                  <w:marLeft w:val="0"/>
                                  <w:marRight w:val="0"/>
                                  <w:marTop w:val="0"/>
                                  <w:marBottom w:val="0"/>
                                  <w:divBdr>
                                    <w:top w:val="none" w:sz="0" w:space="0" w:color="auto"/>
                                    <w:left w:val="none" w:sz="0" w:space="0" w:color="auto"/>
                                    <w:bottom w:val="none" w:sz="0" w:space="0" w:color="auto"/>
                                    <w:right w:val="none" w:sz="0" w:space="0" w:color="auto"/>
                                  </w:divBdr>
                                  <w:divsChild>
                                    <w:div w:id="91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518">
      <w:bodyDiv w:val="1"/>
      <w:marLeft w:val="0"/>
      <w:marRight w:val="0"/>
      <w:marTop w:val="0"/>
      <w:marBottom w:val="0"/>
      <w:divBdr>
        <w:top w:val="none" w:sz="0" w:space="0" w:color="auto"/>
        <w:left w:val="none" w:sz="0" w:space="0" w:color="auto"/>
        <w:bottom w:val="none" w:sz="0" w:space="0" w:color="auto"/>
        <w:right w:val="none" w:sz="0" w:space="0" w:color="auto"/>
      </w:divBdr>
      <w:divsChild>
        <w:div w:id="57943280">
          <w:marLeft w:val="0"/>
          <w:marRight w:val="0"/>
          <w:marTop w:val="0"/>
          <w:marBottom w:val="0"/>
          <w:divBdr>
            <w:top w:val="none" w:sz="0" w:space="0" w:color="auto"/>
            <w:left w:val="none" w:sz="0" w:space="0" w:color="auto"/>
            <w:bottom w:val="none" w:sz="0" w:space="0" w:color="auto"/>
            <w:right w:val="none" w:sz="0" w:space="0" w:color="auto"/>
          </w:divBdr>
          <w:divsChild>
            <w:div w:id="453252111">
              <w:marLeft w:val="0"/>
              <w:marRight w:val="0"/>
              <w:marTop w:val="0"/>
              <w:marBottom w:val="0"/>
              <w:divBdr>
                <w:top w:val="none" w:sz="0" w:space="0" w:color="auto"/>
                <w:left w:val="none" w:sz="0" w:space="0" w:color="auto"/>
                <w:bottom w:val="none" w:sz="0" w:space="0" w:color="auto"/>
                <w:right w:val="none" w:sz="0" w:space="0" w:color="auto"/>
              </w:divBdr>
              <w:divsChild>
                <w:div w:id="226494452">
                  <w:marLeft w:val="0"/>
                  <w:marRight w:val="0"/>
                  <w:marTop w:val="0"/>
                  <w:marBottom w:val="0"/>
                  <w:divBdr>
                    <w:top w:val="none" w:sz="0" w:space="0" w:color="auto"/>
                    <w:left w:val="none" w:sz="0" w:space="0" w:color="auto"/>
                    <w:bottom w:val="none" w:sz="0" w:space="0" w:color="auto"/>
                    <w:right w:val="none" w:sz="0" w:space="0" w:color="auto"/>
                  </w:divBdr>
                  <w:divsChild>
                    <w:div w:id="1175412142">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1344017641">
                              <w:marLeft w:val="0"/>
                              <w:marRight w:val="0"/>
                              <w:marTop w:val="0"/>
                              <w:marBottom w:val="0"/>
                              <w:divBdr>
                                <w:top w:val="none" w:sz="0" w:space="0" w:color="auto"/>
                                <w:left w:val="none" w:sz="0" w:space="0" w:color="auto"/>
                                <w:bottom w:val="none" w:sz="0" w:space="0" w:color="auto"/>
                                <w:right w:val="none" w:sz="0" w:space="0" w:color="auto"/>
                              </w:divBdr>
                              <w:divsChild>
                                <w:div w:id="1465805453">
                                  <w:marLeft w:val="0"/>
                                  <w:marRight w:val="0"/>
                                  <w:marTop w:val="0"/>
                                  <w:marBottom w:val="0"/>
                                  <w:divBdr>
                                    <w:top w:val="none" w:sz="0" w:space="0" w:color="auto"/>
                                    <w:left w:val="none" w:sz="0" w:space="0" w:color="auto"/>
                                    <w:bottom w:val="none" w:sz="0" w:space="0" w:color="auto"/>
                                    <w:right w:val="none" w:sz="0" w:space="0" w:color="auto"/>
                                  </w:divBdr>
                                  <w:divsChild>
                                    <w:div w:id="1023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5657288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009722624">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06413322">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07788691">
      <w:bodyDiv w:val="1"/>
      <w:marLeft w:val="0"/>
      <w:marRight w:val="0"/>
      <w:marTop w:val="0"/>
      <w:marBottom w:val="0"/>
      <w:divBdr>
        <w:top w:val="none" w:sz="0" w:space="0" w:color="auto"/>
        <w:left w:val="none" w:sz="0" w:space="0" w:color="auto"/>
        <w:bottom w:val="none" w:sz="0" w:space="0" w:color="auto"/>
        <w:right w:val="none" w:sz="0" w:space="0" w:color="auto"/>
      </w:divBdr>
      <w:divsChild>
        <w:div w:id="1411197213">
          <w:marLeft w:val="0"/>
          <w:marRight w:val="0"/>
          <w:marTop w:val="0"/>
          <w:marBottom w:val="0"/>
          <w:divBdr>
            <w:top w:val="none" w:sz="0" w:space="0" w:color="auto"/>
            <w:left w:val="none" w:sz="0" w:space="0" w:color="auto"/>
            <w:bottom w:val="none" w:sz="0" w:space="0" w:color="auto"/>
            <w:right w:val="none" w:sz="0" w:space="0" w:color="auto"/>
          </w:divBdr>
          <w:divsChild>
            <w:div w:id="256602759">
              <w:marLeft w:val="0"/>
              <w:marRight w:val="0"/>
              <w:marTop w:val="0"/>
              <w:marBottom w:val="0"/>
              <w:divBdr>
                <w:top w:val="none" w:sz="0" w:space="0" w:color="auto"/>
                <w:left w:val="none" w:sz="0" w:space="0" w:color="auto"/>
                <w:bottom w:val="none" w:sz="0" w:space="0" w:color="auto"/>
                <w:right w:val="none" w:sz="0" w:space="0" w:color="auto"/>
              </w:divBdr>
              <w:divsChild>
                <w:div w:id="912593027">
                  <w:marLeft w:val="0"/>
                  <w:marRight w:val="0"/>
                  <w:marTop w:val="0"/>
                  <w:marBottom w:val="0"/>
                  <w:divBdr>
                    <w:top w:val="none" w:sz="0" w:space="0" w:color="auto"/>
                    <w:left w:val="none" w:sz="0" w:space="0" w:color="auto"/>
                    <w:bottom w:val="none" w:sz="0" w:space="0" w:color="auto"/>
                    <w:right w:val="none" w:sz="0" w:space="0" w:color="auto"/>
                  </w:divBdr>
                  <w:divsChild>
                    <w:div w:id="866483197">
                      <w:marLeft w:val="0"/>
                      <w:marRight w:val="0"/>
                      <w:marTop w:val="0"/>
                      <w:marBottom w:val="0"/>
                      <w:divBdr>
                        <w:top w:val="none" w:sz="0" w:space="0" w:color="auto"/>
                        <w:left w:val="none" w:sz="0" w:space="0" w:color="auto"/>
                        <w:bottom w:val="none" w:sz="0" w:space="0" w:color="auto"/>
                        <w:right w:val="none" w:sz="0" w:space="0" w:color="auto"/>
                      </w:divBdr>
                      <w:divsChild>
                        <w:div w:id="231741460">
                          <w:marLeft w:val="0"/>
                          <w:marRight w:val="0"/>
                          <w:marTop w:val="0"/>
                          <w:marBottom w:val="0"/>
                          <w:divBdr>
                            <w:top w:val="none" w:sz="0" w:space="0" w:color="auto"/>
                            <w:left w:val="none" w:sz="0" w:space="0" w:color="auto"/>
                            <w:bottom w:val="none" w:sz="0" w:space="0" w:color="auto"/>
                            <w:right w:val="none" w:sz="0" w:space="0" w:color="auto"/>
                          </w:divBdr>
                          <w:divsChild>
                            <w:div w:id="384721443">
                              <w:marLeft w:val="0"/>
                              <w:marRight w:val="0"/>
                              <w:marTop w:val="0"/>
                              <w:marBottom w:val="0"/>
                              <w:divBdr>
                                <w:top w:val="none" w:sz="0" w:space="0" w:color="auto"/>
                                <w:left w:val="none" w:sz="0" w:space="0" w:color="auto"/>
                                <w:bottom w:val="none" w:sz="0" w:space="0" w:color="auto"/>
                                <w:right w:val="none" w:sz="0" w:space="0" w:color="auto"/>
                              </w:divBdr>
                              <w:divsChild>
                                <w:div w:id="942960555">
                                  <w:marLeft w:val="0"/>
                                  <w:marRight w:val="0"/>
                                  <w:marTop w:val="0"/>
                                  <w:marBottom w:val="0"/>
                                  <w:divBdr>
                                    <w:top w:val="none" w:sz="0" w:space="0" w:color="auto"/>
                                    <w:left w:val="none" w:sz="0" w:space="0" w:color="auto"/>
                                    <w:bottom w:val="none" w:sz="0" w:space="0" w:color="auto"/>
                                    <w:right w:val="none" w:sz="0" w:space="0" w:color="auto"/>
                                  </w:divBdr>
                                  <w:divsChild>
                                    <w:div w:id="1165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qc.org.uk/provider/RW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dh.gov.uk/en/Publicationsandstatistics/Publications/PublicationsPolicyAndGuidance/DH_113613" TargetMode="External"/><Relationship Id="rId10" Type="http://schemas.openxmlformats.org/officeDocument/2006/relationships/hyperlink" Target="http://www.cqc.org.uk/provider/RJL/inspection-summa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D400-82BE-4071-AE95-0AB8C548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1201</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8210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11</cp:revision>
  <cp:lastPrinted>2011-06-01T15:50:00Z</cp:lastPrinted>
  <dcterms:created xsi:type="dcterms:W3CDTF">2014-11-06T13:28:00Z</dcterms:created>
  <dcterms:modified xsi:type="dcterms:W3CDTF">2014-11-06T14:47:00Z</dcterms:modified>
</cp:coreProperties>
</file>