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B3774" w14:textId="77777777" w:rsidR="00FF15BF" w:rsidRDefault="00FF15BF" w:rsidP="00FB0731">
      <w:pPr>
        <w:ind w:firstLine="720"/>
        <w:jc w:val="center"/>
      </w:pPr>
      <w:bookmarkStart w:id="0" w:name="_GoBack"/>
      <w:bookmarkEnd w:id="0"/>
      <w:r w:rsidRPr="003C55FF">
        <w:rPr>
          <w:rFonts w:ascii="Calibri" w:hAnsi="Calibri" w:cs="Calibri"/>
          <w:b/>
          <w:noProof/>
          <w:lang w:eastAsia="en-GB"/>
        </w:rPr>
        <w:drawing>
          <wp:inline distT="0" distB="0" distL="0" distR="0" wp14:anchorId="7523379E" wp14:editId="6319939E">
            <wp:extent cx="5419725" cy="2400300"/>
            <wp:effectExtent l="0" t="0" r="9525" b="0"/>
            <wp:docPr id="4" name="Picture 4" descr="HLH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H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9725" cy="2400300"/>
                    </a:xfrm>
                    <a:prstGeom prst="rect">
                      <a:avLst/>
                    </a:prstGeom>
                    <a:noFill/>
                    <a:ln>
                      <a:noFill/>
                    </a:ln>
                  </pic:spPr>
                </pic:pic>
              </a:graphicData>
            </a:graphic>
          </wp:inline>
        </w:drawing>
      </w:r>
    </w:p>
    <w:p w14:paraId="305B09CD" w14:textId="77777777" w:rsidR="00FF15BF" w:rsidRDefault="00FF15BF" w:rsidP="00FF15BF">
      <w:pPr>
        <w:jc w:val="center"/>
      </w:pPr>
    </w:p>
    <w:p w14:paraId="2F93BAD7" w14:textId="77777777" w:rsidR="00FF15BF" w:rsidRDefault="00FF15BF" w:rsidP="00FF15BF">
      <w:pPr>
        <w:jc w:val="center"/>
      </w:pPr>
    </w:p>
    <w:p w14:paraId="51739AE1" w14:textId="27F3599A" w:rsidR="00D112CE" w:rsidRDefault="001B1F57" w:rsidP="009948FC">
      <w:pPr>
        <w:jc w:val="center"/>
        <w:rPr>
          <w:rFonts w:ascii="Calibri" w:hAnsi="Calibri" w:cs="Calibri"/>
          <w:b/>
          <w:color w:val="006EC7"/>
          <w:sz w:val="56"/>
          <w:szCs w:val="56"/>
        </w:rPr>
      </w:pPr>
      <w:r>
        <w:rPr>
          <w:rFonts w:ascii="Calibri" w:hAnsi="Calibri" w:cs="Calibri"/>
          <w:b/>
          <w:color w:val="006EC7"/>
          <w:sz w:val="56"/>
          <w:szCs w:val="56"/>
        </w:rPr>
        <w:t>Children’s Surgery</w:t>
      </w:r>
    </w:p>
    <w:p w14:paraId="5B097C3C" w14:textId="77777777" w:rsidR="000B0F18" w:rsidRDefault="00DF2AEC" w:rsidP="000B0F18">
      <w:pPr>
        <w:jc w:val="center"/>
        <w:rPr>
          <w:rFonts w:ascii="Calibri" w:hAnsi="Calibri" w:cs="Calibri"/>
          <w:b/>
          <w:color w:val="006EC7"/>
          <w:sz w:val="56"/>
          <w:szCs w:val="56"/>
        </w:rPr>
      </w:pPr>
      <w:r>
        <w:rPr>
          <w:rFonts w:ascii="Calibri" w:hAnsi="Calibri" w:cs="Calibri"/>
          <w:b/>
          <w:color w:val="006EC7"/>
          <w:sz w:val="56"/>
          <w:szCs w:val="56"/>
        </w:rPr>
        <w:t>Options Appraisal</w:t>
      </w:r>
    </w:p>
    <w:p w14:paraId="4A8FC40F" w14:textId="77777777" w:rsidR="005F6E0A" w:rsidRDefault="005F6E0A" w:rsidP="000B0F18">
      <w:pPr>
        <w:jc w:val="center"/>
        <w:rPr>
          <w:rFonts w:ascii="Calibri" w:hAnsi="Calibri" w:cs="Calibri"/>
          <w:b/>
          <w:color w:val="006EC7"/>
          <w:sz w:val="56"/>
          <w:szCs w:val="56"/>
        </w:rPr>
      </w:pPr>
    </w:p>
    <w:p w14:paraId="19998DA4" w14:textId="636A680E" w:rsidR="005F6E0A" w:rsidRPr="005F6E0A" w:rsidRDefault="00B5288A" w:rsidP="000B0F18">
      <w:pPr>
        <w:jc w:val="center"/>
        <w:rPr>
          <w:rFonts w:ascii="Calibri" w:hAnsi="Calibri" w:cs="Calibri"/>
          <w:b/>
          <w:color w:val="006EC7"/>
          <w:sz w:val="28"/>
          <w:szCs w:val="28"/>
        </w:rPr>
      </w:pPr>
      <w:r>
        <w:rPr>
          <w:rFonts w:ascii="Calibri" w:hAnsi="Calibri" w:cs="Calibri"/>
          <w:b/>
          <w:color w:val="006EC7"/>
          <w:sz w:val="28"/>
          <w:szCs w:val="28"/>
        </w:rPr>
        <w:t xml:space="preserve">Version </w:t>
      </w:r>
      <w:r w:rsidR="00374CCC">
        <w:rPr>
          <w:rFonts w:ascii="Calibri" w:hAnsi="Calibri" w:cs="Calibri"/>
          <w:b/>
          <w:color w:val="006EC7"/>
          <w:sz w:val="28"/>
          <w:szCs w:val="28"/>
        </w:rPr>
        <w:t>3</w:t>
      </w:r>
      <w:r>
        <w:rPr>
          <w:rFonts w:ascii="Calibri" w:hAnsi="Calibri" w:cs="Calibri"/>
          <w:b/>
          <w:color w:val="006EC7"/>
          <w:sz w:val="28"/>
          <w:szCs w:val="28"/>
        </w:rPr>
        <w:t xml:space="preserve"> - </w:t>
      </w:r>
      <w:r w:rsidR="00C6416C">
        <w:rPr>
          <w:rFonts w:ascii="Calibri" w:hAnsi="Calibri" w:cs="Calibri"/>
          <w:b/>
          <w:color w:val="006EC7"/>
          <w:sz w:val="28"/>
          <w:szCs w:val="28"/>
        </w:rPr>
        <w:t>1</w:t>
      </w:r>
      <w:r w:rsidR="00374CCC">
        <w:rPr>
          <w:rFonts w:ascii="Calibri" w:hAnsi="Calibri" w:cs="Calibri"/>
          <w:b/>
          <w:color w:val="006EC7"/>
          <w:sz w:val="28"/>
          <w:szCs w:val="28"/>
        </w:rPr>
        <w:t>9</w:t>
      </w:r>
      <w:r w:rsidR="005F6E0A">
        <w:rPr>
          <w:rFonts w:ascii="Calibri" w:hAnsi="Calibri" w:cs="Calibri"/>
          <w:b/>
          <w:color w:val="006EC7"/>
          <w:sz w:val="28"/>
          <w:szCs w:val="28"/>
        </w:rPr>
        <w:t>.05.2014</w:t>
      </w:r>
    </w:p>
    <w:p w14:paraId="086158D5" w14:textId="77777777" w:rsidR="005F6E0A" w:rsidRDefault="005F6E0A" w:rsidP="000B0F18">
      <w:pPr>
        <w:jc w:val="center"/>
        <w:rPr>
          <w:rFonts w:ascii="Calibri" w:hAnsi="Calibri" w:cs="Calibri"/>
          <w:b/>
          <w:color w:val="006EC7"/>
          <w:sz w:val="56"/>
          <w:szCs w:val="56"/>
        </w:rPr>
      </w:pPr>
    </w:p>
    <w:p w14:paraId="15EFE31D" w14:textId="77777777" w:rsidR="000B0F18" w:rsidRDefault="000B0F18" w:rsidP="000B0F18">
      <w:pPr>
        <w:jc w:val="center"/>
        <w:rPr>
          <w:rFonts w:ascii="Calibri" w:hAnsi="Calibri" w:cs="Calibri"/>
          <w:b/>
          <w:color w:val="006EC7"/>
          <w:sz w:val="56"/>
          <w:szCs w:val="56"/>
        </w:rPr>
      </w:pPr>
    </w:p>
    <w:p w14:paraId="2EE896CB" w14:textId="77777777" w:rsidR="00FF15BF" w:rsidRPr="00613CBE" w:rsidRDefault="00FF15BF" w:rsidP="00FF15BF">
      <w:pPr>
        <w:rPr>
          <w:rFonts w:ascii="Calibri" w:hAnsi="Calibri" w:cs="Calibri"/>
          <w:b/>
        </w:rPr>
      </w:pPr>
    </w:p>
    <w:p w14:paraId="2BEDB99F" w14:textId="77777777" w:rsidR="00FF15BF" w:rsidRPr="00613CBE" w:rsidRDefault="00FF15BF" w:rsidP="00FF15BF">
      <w:pPr>
        <w:rPr>
          <w:rFonts w:ascii="Calibri" w:hAnsi="Calibri" w:cs="Calibri"/>
          <w:b/>
        </w:rPr>
      </w:pPr>
    </w:p>
    <w:p w14:paraId="59F6D45D" w14:textId="77777777" w:rsidR="00FF15BF" w:rsidRDefault="00FF15BF" w:rsidP="00FF15BF">
      <w:pPr>
        <w:spacing w:line="360" w:lineRule="auto"/>
        <w:jc w:val="right"/>
        <w:rPr>
          <w:rFonts w:ascii="Calibri" w:hAnsi="Calibri" w:cs="Calibri"/>
        </w:rPr>
      </w:pPr>
    </w:p>
    <w:p w14:paraId="6D3DD830" w14:textId="77777777" w:rsidR="00FF15BF" w:rsidRDefault="00FF15BF">
      <w:r>
        <w:rPr>
          <w:noProof/>
          <w:lang w:eastAsia="en-GB"/>
        </w:rPr>
        <w:drawing>
          <wp:anchor distT="0" distB="0" distL="114300" distR="114300" simplePos="0" relativeHeight="251662336" behindDoc="0" locked="0" layoutInCell="1" allowOverlap="1" wp14:anchorId="674111E7" wp14:editId="4658AE46">
            <wp:simplePos x="0" y="0"/>
            <wp:positionH relativeFrom="column">
              <wp:posOffset>-831215</wp:posOffset>
            </wp:positionH>
            <wp:positionV relativeFrom="paragraph">
              <wp:posOffset>2440305</wp:posOffset>
            </wp:positionV>
            <wp:extent cx="7426960" cy="1264285"/>
            <wp:effectExtent l="0" t="0" r="2540" b="0"/>
            <wp:wrapSquare wrapText="bothSides"/>
            <wp:docPr id="6" name="Picture 6" descr="css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sbann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696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
      <w:sdtPr>
        <w:rPr>
          <w:rFonts w:asciiTheme="minorHAnsi" w:eastAsiaTheme="minorHAnsi" w:hAnsiTheme="minorHAnsi" w:cstheme="minorBidi"/>
          <w:color w:val="auto"/>
          <w:sz w:val="22"/>
          <w:szCs w:val="22"/>
          <w:lang w:val="en-GB"/>
        </w:rPr>
        <w:id w:val="1811129778"/>
        <w:docPartObj>
          <w:docPartGallery w:val="Table of Contents"/>
          <w:docPartUnique/>
        </w:docPartObj>
      </w:sdtPr>
      <w:sdtEndPr>
        <w:rPr>
          <w:b/>
          <w:bCs/>
          <w:noProof/>
        </w:rPr>
      </w:sdtEndPr>
      <w:sdtContent>
        <w:p w14:paraId="789B928F" w14:textId="77777777" w:rsidR="00024235" w:rsidRDefault="00024235">
          <w:pPr>
            <w:pStyle w:val="TOCHeading"/>
          </w:pPr>
          <w:r w:rsidRPr="003A1A08">
            <w:t>Contents</w:t>
          </w:r>
        </w:p>
        <w:p w14:paraId="507875A4" w14:textId="77777777" w:rsidR="003F1AF0" w:rsidRDefault="0002423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88275354" w:history="1">
            <w:r w:rsidR="003F1AF0" w:rsidRPr="00AA05DC">
              <w:rPr>
                <w:rStyle w:val="Hyperlink"/>
                <w:noProof/>
              </w:rPr>
              <w:t>1 Introduction</w:t>
            </w:r>
            <w:r w:rsidR="003F1AF0">
              <w:rPr>
                <w:noProof/>
                <w:webHidden/>
              </w:rPr>
              <w:tab/>
            </w:r>
            <w:r w:rsidR="003F1AF0">
              <w:rPr>
                <w:noProof/>
                <w:webHidden/>
              </w:rPr>
              <w:fldChar w:fldCharType="begin"/>
            </w:r>
            <w:r w:rsidR="003F1AF0">
              <w:rPr>
                <w:noProof/>
                <w:webHidden/>
              </w:rPr>
              <w:instrText xml:space="preserve"> PAGEREF _Toc388275354 \h </w:instrText>
            </w:r>
            <w:r w:rsidR="003F1AF0">
              <w:rPr>
                <w:noProof/>
                <w:webHidden/>
              </w:rPr>
            </w:r>
            <w:r w:rsidR="003F1AF0">
              <w:rPr>
                <w:noProof/>
                <w:webHidden/>
              </w:rPr>
              <w:fldChar w:fldCharType="separate"/>
            </w:r>
            <w:r w:rsidR="003F1AF0">
              <w:rPr>
                <w:noProof/>
                <w:webHidden/>
              </w:rPr>
              <w:t>4</w:t>
            </w:r>
            <w:r w:rsidR="003F1AF0">
              <w:rPr>
                <w:noProof/>
                <w:webHidden/>
              </w:rPr>
              <w:fldChar w:fldCharType="end"/>
            </w:r>
          </w:hyperlink>
        </w:p>
        <w:p w14:paraId="3845E7AD" w14:textId="77777777" w:rsidR="003F1AF0" w:rsidRDefault="00BD740D">
          <w:pPr>
            <w:pStyle w:val="TOC1"/>
            <w:tabs>
              <w:tab w:val="left" w:pos="440"/>
              <w:tab w:val="right" w:leader="dot" w:pos="9016"/>
            </w:tabs>
            <w:rPr>
              <w:rFonts w:eastAsiaTheme="minorEastAsia"/>
              <w:noProof/>
              <w:lang w:eastAsia="en-GB"/>
            </w:rPr>
          </w:pPr>
          <w:hyperlink w:anchor="_Toc388275355" w:history="1">
            <w:r w:rsidR="003F1AF0" w:rsidRPr="00AA05DC">
              <w:rPr>
                <w:rStyle w:val="Hyperlink"/>
                <w:noProof/>
              </w:rPr>
              <w:t>1.</w:t>
            </w:r>
            <w:r w:rsidR="003F1AF0">
              <w:rPr>
                <w:rFonts w:eastAsiaTheme="minorEastAsia"/>
                <w:noProof/>
                <w:lang w:eastAsia="en-GB"/>
              </w:rPr>
              <w:tab/>
            </w:r>
            <w:r w:rsidR="003F1AF0" w:rsidRPr="00AA05DC">
              <w:rPr>
                <w:rStyle w:val="Hyperlink"/>
                <w:noProof/>
              </w:rPr>
              <w:t>Executive summary</w:t>
            </w:r>
            <w:r w:rsidR="003F1AF0">
              <w:rPr>
                <w:noProof/>
                <w:webHidden/>
              </w:rPr>
              <w:tab/>
            </w:r>
            <w:r w:rsidR="003F1AF0">
              <w:rPr>
                <w:noProof/>
                <w:webHidden/>
              </w:rPr>
              <w:fldChar w:fldCharType="begin"/>
            </w:r>
            <w:r w:rsidR="003F1AF0">
              <w:rPr>
                <w:noProof/>
                <w:webHidden/>
              </w:rPr>
              <w:instrText xml:space="preserve"> PAGEREF _Toc388275355 \h </w:instrText>
            </w:r>
            <w:r w:rsidR="003F1AF0">
              <w:rPr>
                <w:noProof/>
                <w:webHidden/>
              </w:rPr>
            </w:r>
            <w:r w:rsidR="003F1AF0">
              <w:rPr>
                <w:noProof/>
                <w:webHidden/>
              </w:rPr>
              <w:fldChar w:fldCharType="separate"/>
            </w:r>
            <w:r w:rsidR="003F1AF0">
              <w:rPr>
                <w:noProof/>
                <w:webHidden/>
              </w:rPr>
              <w:t>5</w:t>
            </w:r>
            <w:r w:rsidR="003F1AF0">
              <w:rPr>
                <w:noProof/>
                <w:webHidden/>
              </w:rPr>
              <w:fldChar w:fldCharType="end"/>
            </w:r>
          </w:hyperlink>
        </w:p>
        <w:p w14:paraId="6CD59C2E" w14:textId="77777777" w:rsidR="003F1AF0" w:rsidRDefault="00BD740D">
          <w:pPr>
            <w:pStyle w:val="TOC2"/>
            <w:tabs>
              <w:tab w:val="left" w:pos="880"/>
              <w:tab w:val="right" w:leader="dot" w:pos="9016"/>
            </w:tabs>
            <w:rPr>
              <w:rFonts w:eastAsiaTheme="minorEastAsia"/>
              <w:noProof/>
              <w:lang w:eastAsia="en-GB"/>
            </w:rPr>
          </w:pPr>
          <w:hyperlink w:anchor="_Toc388275356" w:history="1">
            <w:r w:rsidR="003F1AF0" w:rsidRPr="00AA05DC">
              <w:rPr>
                <w:rStyle w:val="Hyperlink"/>
                <w:noProof/>
              </w:rPr>
              <w:t>1.1</w:t>
            </w:r>
            <w:r w:rsidR="003F1AF0">
              <w:rPr>
                <w:rFonts w:eastAsiaTheme="minorEastAsia"/>
                <w:noProof/>
                <w:lang w:eastAsia="en-GB"/>
              </w:rPr>
              <w:tab/>
            </w:r>
            <w:r w:rsidR="003F1AF0" w:rsidRPr="00AA05DC">
              <w:rPr>
                <w:rStyle w:val="Hyperlink"/>
                <w:noProof/>
              </w:rPr>
              <w:t>Options being considered</w:t>
            </w:r>
            <w:r w:rsidR="003F1AF0">
              <w:rPr>
                <w:noProof/>
                <w:webHidden/>
              </w:rPr>
              <w:tab/>
            </w:r>
            <w:r w:rsidR="003F1AF0">
              <w:rPr>
                <w:noProof/>
                <w:webHidden/>
              </w:rPr>
              <w:fldChar w:fldCharType="begin"/>
            </w:r>
            <w:r w:rsidR="003F1AF0">
              <w:rPr>
                <w:noProof/>
                <w:webHidden/>
              </w:rPr>
              <w:instrText xml:space="preserve"> PAGEREF _Toc388275356 \h </w:instrText>
            </w:r>
            <w:r w:rsidR="003F1AF0">
              <w:rPr>
                <w:noProof/>
                <w:webHidden/>
              </w:rPr>
            </w:r>
            <w:r w:rsidR="003F1AF0">
              <w:rPr>
                <w:noProof/>
                <w:webHidden/>
              </w:rPr>
              <w:fldChar w:fldCharType="separate"/>
            </w:r>
            <w:r w:rsidR="003F1AF0">
              <w:rPr>
                <w:noProof/>
                <w:webHidden/>
              </w:rPr>
              <w:t>5</w:t>
            </w:r>
            <w:r w:rsidR="003F1AF0">
              <w:rPr>
                <w:noProof/>
                <w:webHidden/>
              </w:rPr>
              <w:fldChar w:fldCharType="end"/>
            </w:r>
          </w:hyperlink>
        </w:p>
        <w:p w14:paraId="59D583BA" w14:textId="77777777" w:rsidR="003F1AF0" w:rsidRDefault="00BD740D">
          <w:pPr>
            <w:pStyle w:val="TOC2"/>
            <w:tabs>
              <w:tab w:val="left" w:pos="880"/>
              <w:tab w:val="right" w:leader="dot" w:pos="9016"/>
            </w:tabs>
            <w:rPr>
              <w:rFonts w:eastAsiaTheme="minorEastAsia"/>
              <w:noProof/>
              <w:lang w:eastAsia="en-GB"/>
            </w:rPr>
          </w:pPr>
          <w:hyperlink w:anchor="_Toc388275357" w:history="1">
            <w:r w:rsidR="003F1AF0" w:rsidRPr="00AA05DC">
              <w:rPr>
                <w:rStyle w:val="Hyperlink"/>
                <w:noProof/>
              </w:rPr>
              <w:t>1.2</w:t>
            </w:r>
            <w:r w:rsidR="003F1AF0">
              <w:rPr>
                <w:rFonts w:eastAsiaTheme="minorEastAsia"/>
                <w:noProof/>
                <w:lang w:eastAsia="en-GB"/>
              </w:rPr>
              <w:tab/>
            </w:r>
            <w:r w:rsidR="003F1AF0" w:rsidRPr="00AA05DC">
              <w:rPr>
                <w:rStyle w:val="Hyperlink"/>
                <w:noProof/>
              </w:rPr>
              <w:t>Programme Board recommendation</w:t>
            </w:r>
            <w:r w:rsidR="003F1AF0">
              <w:rPr>
                <w:noProof/>
                <w:webHidden/>
              </w:rPr>
              <w:tab/>
            </w:r>
            <w:r w:rsidR="003F1AF0">
              <w:rPr>
                <w:noProof/>
                <w:webHidden/>
              </w:rPr>
              <w:fldChar w:fldCharType="begin"/>
            </w:r>
            <w:r w:rsidR="003F1AF0">
              <w:rPr>
                <w:noProof/>
                <w:webHidden/>
              </w:rPr>
              <w:instrText xml:space="preserve"> PAGEREF _Toc388275357 \h </w:instrText>
            </w:r>
            <w:r w:rsidR="003F1AF0">
              <w:rPr>
                <w:noProof/>
                <w:webHidden/>
              </w:rPr>
            </w:r>
            <w:r w:rsidR="003F1AF0">
              <w:rPr>
                <w:noProof/>
                <w:webHidden/>
              </w:rPr>
              <w:fldChar w:fldCharType="separate"/>
            </w:r>
            <w:r w:rsidR="003F1AF0">
              <w:rPr>
                <w:noProof/>
                <w:webHidden/>
              </w:rPr>
              <w:t>5</w:t>
            </w:r>
            <w:r w:rsidR="003F1AF0">
              <w:rPr>
                <w:noProof/>
                <w:webHidden/>
              </w:rPr>
              <w:fldChar w:fldCharType="end"/>
            </w:r>
          </w:hyperlink>
        </w:p>
        <w:p w14:paraId="6F2B4983" w14:textId="77777777" w:rsidR="003F1AF0" w:rsidRDefault="00BD740D">
          <w:pPr>
            <w:pStyle w:val="TOC2"/>
            <w:tabs>
              <w:tab w:val="left" w:pos="880"/>
              <w:tab w:val="right" w:leader="dot" w:pos="9016"/>
            </w:tabs>
            <w:rPr>
              <w:rFonts w:eastAsiaTheme="minorEastAsia"/>
              <w:noProof/>
              <w:lang w:eastAsia="en-GB"/>
            </w:rPr>
          </w:pPr>
          <w:hyperlink w:anchor="_Toc388275358" w:history="1">
            <w:r w:rsidR="003F1AF0" w:rsidRPr="00AA05DC">
              <w:rPr>
                <w:rStyle w:val="Hyperlink"/>
                <w:noProof/>
              </w:rPr>
              <w:t>1.3</w:t>
            </w:r>
            <w:r w:rsidR="003F1AF0">
              <w:rPr>
                <w:rFonts w:eastAsiaTheme="minorEastAsia"/>
                <w:noProof/>
                <w:lang w:eastAsia="en-GB"/>
              </w:rPr>
              <w:tab/>
            </w:r>
            <w:r w:rsidR="003F1AF0" w:rsidRPr="00AA05DC">
              <w:rPr>
                <w:rStyle w:val="Hyperlink"/>
                <w:noProof/>
              </w:rPr>
              <w:t>Next steps</w:t>
            </w:r>
            <w:r w:rsidR="003F1AF0">
              <w:rPr>
                <w:noProof/>
                <w:webHidden/>
              </w:rPr>
              <w:tab/>
            </w:r>
            <w:r w:rsidR="003F1AF0">
              <w:rPr>
                <w:noProof/>
                <w:webHidden/>
              </w:rPr>
              <w:fldChar w:fldCharType="begin"/>
            </w:r>
            <w:r w:rsidR="003F1AF0">
              <w:rPr>
                <w:noProof/>
                <w:webHidden/>
              </w:rPr>
              <w:instrText xml:space="preserve"> PAGEREF _Toc388275358 \h </w:instrText>
            </w:r>
            <w:r w:rsidR="003F1AF0">
              <w:rPr>
                <w:noProof/>
                <w:webHidden/>
              </w:rPr>
            </w:r>
            <w:r w:rsidR="003F1AF0">
              <w:rPr>
                <w:noProof/>
                <w:webHidden/>
              </w:rPr>
              <w:fldChar w:fldCharType="separate"/>
            </w:r>
            <w:r w:rsidR="003F1AF0">
              <w:rPr>
                <w:noProof/>
                <w:webHidden/>
              </w:rPr>
              <w:t>6</w:t>
            </w:r>
            <w:r w:rsidR="003F1AF0">
              <w:rPr>
                <w:noProof/>
                <w:webHidden/>
              </w:rPr>
              <w:fldChar w:fldCharType="end"/>
            </w:r>
          </w:hyperlink>
        </w:p>
        <w:p w14:paraId="6AB029B6" w14:textId="77777777" w:rsidR="003F1AF0" w:rsidRDefault="00BD740D">
          <w:pPr>
            <w:pStyle w:val="TOC1"/>
            <w:tabs>
              <w:tab w:val="right" w:leader="dot" w:pos="9016"/>
            </w:tabs>
            <w:rPr>
              <w:rFonts w:eastAsiaTheme="minorEastAsia"/>
              <w:noProof/>
              <w:lang w:eastAsia="en-GB"/>
            </w:rPr>
          </w:pPr>
          <w:hyperlink w:anchor="_Toc388275359" w:history="1">
            <w:r w:rsidR="003F1AF0" w:rsidRPr="00AA05DC">
              <w:rPr>
                <w:rStyle w:val="Hyperlink"/>
                <w:noProof/>
              </w:rPr>
              <w:t>3. Evaluating the options</w:t>
            </w:r>
            <w:r w:rsidR="003F1AF0">
              <w:rPr>
                <w:noProof/>
                <w:webHidden/>
              </w:rPr>
              <w:tab/>
            </w:r>
            <w:r w:rsidR="003F1AF0">
              <w:rPr>
                <w:noProof/>
                <w:webHidden/>
              </w:rPr>
              <w:fldChar w:fldCharType="begin"/>
            </w:r>
            <w:r w:rsidR="003F1AF0">
              <w:rPr>
                <w:noProof/>
                <w:webHidden/>
              </w:rPr>
              <w:instrText xml:space="preserve"> PAGEREF _Toc388275359 \h </w:instrText>
            </w:r>
            <w:r w:rsidR="003F1AF0">
              <w:rPr>
                <w:noProof/>
                <w:webHidden/>
              </w:rPr>
            </w:r>
            <w:r w:rsidR="003F1AF0">
              <w:rPr>
                <w:noProof/>
                <w:webHidden/>
              </w:rPr>
              <w:fldChar w:fldCharType="separate"/>
            </w:r>
            <w:r w:rsidR="003F1AF0">
              <w:rPr>
                <w:noProof/>
                <w:webHidden/>
              </w:rPr>
              <w:t>7</w:t>
            </w:r>
            <w:r w:rsidR="003F1AF0">
              <w:rPr>
                <w:noProof/>
                <w:webHidden/>
              </w:rPr>
              <w:fldChar w:fldCharType="end"/>
            </w:r>
          </w:hyperlink>
        </w:p>
        <w:p w14:paraId="033D2687" w14:textId="77777777" w:rsidR="003F1AF0" w:rsidRDefault="00BD740D">
          <w:pPr>
            <w:pStyle w:val="TOC1"/>
            <w:tabs>
              <w:tab w:val="right" w:leader="dot" w:pos="9016"/>
            </w:tabs>
            <w:rPr>
              <w:rFonts w:eastAsiaTheme="minorEastAsia"/>
              <w:noProof/>
              <w:lang w:eastAsia="en-GB"/>
            </w:rPr>
          </w:pPr>
          <w:hyperlink w:anchor="_Toc388275360" w:history="1">
            <w:r w:rsidR="003F1AF0" w:rsidRPr="00AA05DC">
              <w:rPr>
                <w:rStyle w:val="Hyperlink"/>
                <w:noProof/>
              </w:rPr>
              <w:t>4. Equality Impact Assessment (EQIA)</w:t>
            </w:r>
            <w:r w:rsidR="003F1AF0">
              <w:rPr>
                <w:noProof/>
                <w:webHidden/>
              </w:rPr>
              <w:tab/>
            </w:r>
            <w:r w:rsidR="003F1AF0">
              <w:rPr>
                <w:noProof/>
                <w:webHidden/>
              </w:rPr>
              <w:fldChar w:fldCharType="begin"/>
            </w:r>
            <w:r w:rsidR="003F1AF0">
              <w:rPr>
                <w:noProof/>
                <w:webHidden/>
              </w:rPr>
              <w:instrText xml:space="preserve"> PAGEREF _Toc388275360 \h </w:instrText>
            </w:r>
            <w:r w:rsidR="003F1AF0">
              <w:rPr>
                <w:noProof/>
                <w:webHidden/>
              </w:rPr>
            </w:r>
            <w:r w:rsidR="003F1AF0">
              <w:rPr>
                <w:noProof/>
                <w:webHidden/>
              </w:rPr>
              <w:fldChar w:fldCharType="separate"/>
            </w:r>
            <w:r w:rsidR="003F1AF0">
              <w:rPr>
                <w:noProof/>
                <w:webHidden/>
              </w:rPr>
              <w:t>8</w:t>
            </w:r>
            <w:r w:rsidR="003F1AF0">
              <w:rPr>
                <w:noProof/>
                <w:webHidden/>
              </w:rPr>
              <w:fldChar w:fldCharType="end"/>
            </w:r>
          </w:hyperlink>
        </w:p>
        <w:p w14:paraId="5BFBC2BD" w14:textId="77777777" w:rsidR="003F1AF0" w:rsidRDefault="00BD740D">
          <w:pPr>
            <w:pStyle w:val="TOC2"/>
            <w:tabs>
              <w:tab w:val="right" w:leader="dot" w:pos="9016"/>
            </w:tabs>
            <w:rPr>
              <w:rFonts w:eastAsiaTheme="minorEastAsia"/>
              <w:noProof/>
              <w:lang w:eastAsia="en-GB"/>
            </w:rPr>
          </w:pPr>
          <w:hyperlink w:anchor="_Toc388275361" w:history="1">
            <w:r w:rsidR="003F1AF0" w:rsidRPr="00AA05DC">
              <w:rPr>
                <w:rStyle w:val="Hyperlink"/>
                <w:noProof/>
              </w:rPr>
              <w:t>4.1 Equality data</w:t>
            </w:r>
            <w:r w:rsidR="003F1AF0">
              <w:rPr>
                <w:noProof/>
                <w:webHidden/>
              </w:rPr>
              <w:tab/>
            </w:r>
            <w:r w:rsidR="003F1AF0">
              <w:rPr>
                <w:noProof/>
                <w:webHidden/>
              </w:rPr>
              <w:fldChar w:fldCharType="begin"/>
            </w:r>
            <w:r w:rsidR="003F1AF0">
              <w:rPr>
                <w:noProof/>
                <w:webHidden/>
              </w:rPr>
              <w:instrText xml:space="preserve"> PAGEREF _Toc388275361 \h </w:instrText>
            </w:r>
            <w:r w:rsidR="003F1AF0">
              <w:rPr>
                <w:noProof/>
                <w:webHidden/>
              </w:rPr>
            </w:r>
            <w:r w:rsidR="003F1AF0">
              <w:rPr>
                <w:noProof/>
                <w:webHidden/>
              </w:rPr>
              <w:fldChar w:fldCharType="separate"/>
            </w:r>
            <w:r w:rsidR="003F1AF0">
              <w:rPr>
                <w:noProof/>
                <w:webHidden/>
              </w:rPr>
              <w:t>8</w:t>
            </w:r>
            <w:r w:rsidR="003F1AF0">
              <w:rPr>
                <w:noProof/>
                <w:webHidden/>
              </w:rPr>
              <w:fldChar w:fldCharType="end"/>
            </w:r>
          </w:hyperlink>
        </w:p>
        <w:p w14:paraId="646AA141" w14:textId="77777777" w:rsidR="003F1AF0" w:rsidRDefault="00BD740D">
          <w:pPr>
            <w:pStyle w:val="TOC2"/>
            <w:tabs>
              <w:tab w:val="right" w:leader="dot" w:pos="9016"/>
            </w:tabs>
            <w:rPr>
              <w:rFonts w:eastAsiaTheme="minorEastAsia"/>
              <w:noProof/>
              <w:lang w:eastAsia="en-GB"/>
            </w:rPr>
          </w:pPr>
          <w:hyperlink w:anchor="_Toc388275362" w:history="1">
            <w:r w:rsidR="003F1AF0" w:rsidRPr="00AA05DC">
              <w:rPr>
                <w:rStyle w:val="Hyperlink"/>
                <w:noProof/>
              </w:rPr>
              <w:t>4.2 Public feedback on equality issues</w:t>
            </w:r>
            <w:r w:rsidR="003F1AF0">
              <w:rPr>
                <w:noProof/>
                <w:webHidden/>
              </w:rPr>
              <w:tab/>
            </w:r>
            <w:r w:rsidR="003F1AF0">
              <w:rPr>
                <w:noProof/>
                <w:webHidden/>
              </w:rPr>
              <w:fldChar w:fldCharType="begin"/>
            </w:r>
            <w:r w:rsidR="003F1AF0">
              <w:rPr>
                <w:noProof/>
                <w:webHidden/>
              </w:rPr>
              <w:instrText xml:space="preserve"> PAGEREF _Toc388275362 \h </w:instrText>
            </w:r>
            <w:r w:rsidR="003F1AF0">
              <w:rPr>
                <w:noProof/>
                <w:webHidden/>
              </w:rPr>
            </w:r>
            <w:r w:rsidR="003F1AF0">
              <w:rPr>
                <w:noProof/>
                <w:webHidden/>
              </w:rPr>
              <w:fldChar w:fldCharType="separate"/>
            </w:r>
            <w:r w:rsidR="003F1AF0">
              <w:rPr>
                <w:noProof/>
                <w:webHidden/>
              </w:rPr>
              <w:t>10</w:t>
            </w:r>
            <w:r w:rsidR="003F1AF0">
              <w:rPr>
                <w:noProof/>
                <w:webHidden/>
              </w:rPr>
              <w:fldChar w:fldCharType="end"/>
            </w:r>
          </w:hyperlink>
        </w:p>
        <w:p w14:paraId="69B92E3A" w14:textId="77777777" w:rsidR="003F1AF0" w:rsidRDefault="00BD740D">
          <w:pPr>
            <w:pStyle w:val="TOC2"/>
            <w:tabs>
              <w:tab w:val="right" w:leader="dot" w:pos="9016"/>
            </w:tabs>
            <w:rPr>
              <w:rFonts w:eastAsiaTheme="minorEastAsia"/>
              <w:noProof/>
              <w:lang w:eastAsia="en-GB"/>
            </w:rPr>
          </w:pPr>
          <w:hyperlink w:anchor="_Toc388275363" w:history="1">
            <w:r w:rsidR="003F1AF0" w:rsidRPr="00AA05DC">
              <w:rPr>
                <w:rStyle w:val="Hyperlink"/>
                <w:noProof/>
              </w:rPr>
              <w:t>5.3 Benefits</w:t>
            </w:r>
            <w:r w:rsidR="003F1AF0">
              <w:rPr>
                <w:noProof/>
                <w:webHidden/>
              </w:rPr>
              <w:tab/>
            </w:r>
            <w:r w:rsidR="003F1AF0">
              <w:rPr>
                <w:noProof/>
                <w:webHidden/>
              </w:rPr>
              <w:fldChar w:fldCharType="begin"/>
            </w:r>
            <w:r w:rsidR="003F1AF0">
              <w:rPr>
                <w:noProof/>
                <w:webHidden/>
              </w:rPr>
              <w:instrText xml:space="preserve"> PAGEREF _Toc388275363 \h </w:instrText>
            </w:r>
            <w:r w:rsidR="003F1AF0">
              <w:rPr>
                <w:noProof/>
                <w:webHidden/>
              </w:rPr>
            </w:r>
            <w:r w:rsidR="003F1AF0">
              <w:rPr>
                <w:noProof/>
                <w:webHidden/>
              </w:rPr>
              <w:fldChar w:fldCharType="separate"/>
            </w:r>
            <w:r w:rsidR="003F1AF0">
              <w:rPr>
                <w:noProof/>
                <w:webHidden/>
              </w:rPr>
              <w:t>11</w:t>
            </w:r>
            <w:r w:rsidR="003F1AF0">
              <w:rPr>
                <w:noProof/>
                <w:webHidden/>
              </w:rPr>
              <w:fldChar w:fldCharType="end"/>
            </w:r>
          </w:hyperlink>
        </w:p>
        <w:p w14:paraId="002F4B54" w14:textId="77777777" w:rsidR="003F1AF0" w:rsidRDefault="00BD740D">
          <w:pPr>
            <w:pStyle w:val="TOC2"/>
            <w:tabs>
              <w:tab w:val="right" w:leader="dot" w:pos="9016"/>
            </w:tabs>
            <w:rPr>
              <w:rFonts w:eastAsiaTheme="minorEastAsia"/>
              <w:noProof/>
              <w:lang w:eastAsia="en-GB"/>
            </w:rPr>
          </w:pPr>
          <w:hyperlink w:anchor="_Toc388275364" w:history="1">
            <w:r w:rsidR="003F1AF0" w:rsidRPr="00AA05DC">
              <w:rPr>
                <w:rStyle w:val="Hyperlink"/>
                <w:noProof/>
              </w:rPr>
              <w:t>5.4 Equality Impact Assessment</w:t>
            </w:r>
            <w:r w:rsidR="003F1AF0">
              <w:rPr>
                <w:noProof/>
                <w:webHidden/>
              </w:rPr>
              <w:tab/>
            </w:r>
            <w:r w:rsidR="003F1AF0">
              <w:rPr>
                <w:noProof/>
                <w:webHidden/>
              </w:rPr>
              <w:fldChar w:fldCharType="begin"/>
            </w:r>
            <w:r w:rsidR="003F1AF0">
              <w:rPr>
                <w:noProof/>
                <w:webHidden/>
              </w:rPr>
              <w:instrText xml:space="preserve"> PAGEREF _Toc388275364 \h </w:instrText>
            </w:r>
            <w:r w:rsidR="003F1AF0">
              <w:rPr>
                <w:noProof/>
                <w:webHidden/>
              </w:rPr>
            </w:r>
            <w:r w:rsidR="003F1AF0">
              <w:rPr>
                <w:noProof/>
                <w:webHidden/>
              </w:rPr>
              <w:fldChar w:fldCharType="separate"/>
            </w:r>
            <w:r w:rsidR="003F1AF0">
              <w:rPr>
                <w:noProof/>
                <w:webHidden/>
              </w:rPr>
              <w:t>12</w:t>
            </w:r>
            <w:r w:rsidR="003F1AF0">
              <w:rPr>
                <w:noProof/>
                <w:webHidden/>
              </w:rPr>
              <w:fldChar w:fldCharType="end"/>
            </w:r>
          </w:hyperlink>
        </w:p>
        <w:p w14:paraId="31698A57" w14:textId="77777777" w:rsidR="003F1AF0" w:rsidRDefault="00BD740D">
          <w:pPr>
            <w:pStyle w:val="TOC2"/>
            <w:tabs>
              <w:tab w:val="right" w:leader="dot" w:pos="9016"/>
            </w:tabs>
            <w:rPr>
              <w:rFonts w:eastAsiaTheme="minorEastAsia"/>
              <w:noProof/>
              <w:lang w:eastAsia="en-GB"/>
            </w:rPr>
          </w:pPr>
          <w:hyperlink w:anchor="_Toc388275365" w:history="1">
            <w:r w:rsidR="003F1AF0" w:rsidRPr="00AA05DC">
              <w:rPr>
                <w:rStyle w:val="Hyperlink"/>
                <w:noProof/>
              </w:rPr>
              <w:t>5.5 Evaluation criteria assessment</w:t>
            </w:r>
            <w:r w:rsidR="003F1AF0">
              <w:rPr>
                <w:noProof/>
                <w:webHidden/>
              </w:rPr>
              <w:tab/>
            </w:r>
            <w:r w:rsidR="003F1AF0">
              <w:rPr>
                <w:noProof/>
                <w:webHidden/>
              </w:rPr>
              <w:fldChar w:fldCharType="begin"/>
            </w:r>
            <w:r w:rsidR="003F1AF0">
              <w:rPr>
                <w:noProof/>
                <w:webHidden/>
              </w:rPr>
              <w:instrText xml:space="preserve"> PAGEREF _Toc388275365 \h </w:instrText>
            </w:r>
            <w:r w:rsidR="003F1AF0">
              <w:rPr>
                <w:noProof/>
                <w:webHidden/>
              </w:rPr>
            </w:r>
            <w:r w:rsidR="003F1AF0">
              <w:rPr>
                <w:noProof/>
                <w:webHidden/>
              </w:rPr>
              <w:fldChar w:fldCharType="separate"/>
            </w:r>
            <w:r w:rsidR="003F1AF0">
              <w:rPr>
                <w:noProof/>
                <w:webHidden/>
              </w:rPr>
              <w:t>12</w:t>
            </w:r>
            <w:r w:rsidR="003F1AF0">
              <w:rPr>
                <w:noProof/>
                <w:webHidden/>
              </w:rPr>
              <w:fldChar w:fldCharType="end"/>
            </w:r>
          </w:hyperlink>
        </w:p>
        <w:p w14:paraId="38ED079F" w14:textId="77777777" w:rsidR="003F1AF0" w:rsidRDefault="00BD740D">
          <w:pPr>
            <w:pStyle w:val="TOC1"/>
            <w:tabs>
              <w:tab w:val="right" w:leader="dot" w:pos="9016"/>
            </w:tabs>
            <w:rPr>
              <w:rFonts w:eastAsiaTheme="minorEastAsia"/>
              <w:noProof/>
              <w:lang w:eastAsia="en-GB"/>
            </w:rPr>
          </w:pPr>
          <w:hyperlink w:anchor="_Toc388275366" w:history="1">
            <w:r w:rsidR="003F1AF0" w:rsidRPr="00AA05DC">
              <w:rPr>
                <w:rStyle w:val="Hyperlink"/>
                <w:noProof/>
              </w:rPr>
              <w:t>6. Option 2 – Rotate Consultants between both sites</w:t>
            </w:r>
            <w:r w:rsidR="003F1AF0">
              <w:rPr>
                <w:noProof/>
                <w:webHidden/>
              </w:rPr>
              <w:tab/>
            </w:r>
            <w:r w:rsidR="003F1AF0">
              <w:rPr>
                <w:noProof/>
                <w:webHidden/>
              </w:rPr>
              <w:fldChar w:fldCharType="begin"/>
            </w:r>
            <w:r w:rsidR="003F1AF0">
              <w:rPr>
                <w:noProof/>
                <w:webHidden/>
              </w:rPr>
              <w:instrText xml:space="preserve"> PAGEREF _Toc388275366 \h </w:instrText>
            </w:r>
            <w:r w:rsidR="003F1AF0">
              <w:rPr>
                <w:noProof/>
                <w:webHidden/>
              </w:rPr>
            </w:r>
            <w:r w:rsidR="003F1AF0">
              <w:rPr>
                <w:noProof/>
                <w:webHidden/>
              </w:rPr>
              <w:fldChar w:fldCharType="separate"/>
            </w:r>
            <w:r w:rsidR="003F1AF0">
              <w:rPr>
                <w:noProof/>
                <w:webHidden/>
              </w:rPr>
              <w:t>13</w:t>
            </w:r>
            <w:r w:rsidR="003F1AF0">
              <w:rPr>
                <w:noProof/>
                <w:webHidden/>
              </w:rPr>
              <w:fldChar w:fldCharType="end"/>
            </w:r>
          </w:hyperlink>
        </w:p>
        <w:p w14:paraId="784A22B8" w14:textId="77777777" w:rsidR="003F1AF0" w:rsidRDefault="00BD740D">
          <w:pPr>
            <w:pStyle w:val="TOC2"/>
            <w:tabs>
              <w:tab w:val="right" w:leader="dot" w:pos="9016"/>
            </w:tabs>
            <w:rPr>
              <w:rFonts w:eastAsiaTheme="minorEastAsia"/>
              <w:noProof/>
              <w:lang w:eastAsia="en-GB"/>
            </w:rPr>
          </w:pPr>
          <w:hyperlink w:anchor="_Toc388275367" w:history="1">
            <w:r w:rsidR="003F1AF0" w:rsidRPr="00AA05DC">
              <w:rPr>
                <w:rStyle w:val="Hyperlink"/>
                <w:noProof/>
              </w:rPr>
              <w:t>6.1 Assumptions</w:t>
            </w:r>
            <w:r w:rsidR="003F1AF0">
              <w:rPr>
                <w:noProof/>
                <w:webHidden/>
              </w:rPr>
              <w:tab/>
            </w:r>
            <w:r w:rsidR="003F1AF0">
              <w:rPr>
                <w:noProof/>
                <w:webHidden/>
              </w:rPr>
              <w:fldChar w:fldCharType="begin"/>
            </w:r>
            <w:r w:rsidR="003F1AF0">
              <w:rPr>
                <w:noProof/>
                <w:webHidden/>
              </w:rPr>
              <w:instrText xml:space="preserve"> PAGEREF _Toc388275367 \h </w:instrText>
            </w:r>
            <w:r w:rsidR="003F1AF0">
              <w:rPr>
                <w:noProof/>
                <w:webHidden/>
              </w:rPr>
            </w:r>
            <w:r w:rsidR="003F1AF0">
              <w:rPr>
                <w:noProof/>
                <w:webHidden/>
              </w:rPr>
              <w:fldChar w:fldCharType="separate"/>
            </w:r>
            <w:r w:rsidR="003F1AF0">
              <w:rPr>
                <w:noProof/>
                <w:webHidden/>
              </w:rPr>
              <w:t>13</w:t>
            </w:r>
            <w:r w:rsidR="003F1AF0">
              <w:rPr>
                <w:noProof/>
                <w:webHidden/>
              </w:rPr>
              <w:fldChar w:fldCharType="end"/>
            </w:r>
          </w:hyperlink>
        </w:p>
        <w:p w14:paraId="4F22E361" w14:textId="77777777" w:rsidR="003F1AF0" w:rsidRDefault="00BD740D">
          <w:pPr>
            <w:pStyle w:val="TOC2"/>
            <w:tabs>
              <w:tab w:val="right" w:leader="dot" w:pos="9016"/>
            </w:tabs>
            <w:rPr>
              <w:rFonts w:eastAsiaTheme="minorEastAsia"/>
              <w:noProof/>
              <w:lang w:eastAsia="en-GB"/>
            </w:rPr>
          </w:pPr>
          <w:hyperlink w:anchor="_Toc388275368" w:history="1">
            <w:r w:rsidR="003F1AF0" w:rsidRPr="00AA05DC">
              <w:rPr>
                <w:rStyle w:val="Hyperlink"/>
                <w:noProof/>
              </w:rPr>
              <w:t>6.2 Risks / issues</w:t>
            </w:r>
            <w:r w:rsidR="003F1AF0">
              <w:rPr>
                <w:noProof/>
                <w:webHidden/>
              </w:rPr>
              <w:tab/>
            </w:r>
            <w:r w:rsidR="003F1AF0">
              <w:rPr>
                <w:noProof/>
                <w:webHidden/>
              </w:rPr>
              <w:fldChar w:fldCharType="begin"/>
            </w:r>
            <w:r w:rsidR="003F1AF0">
              <w:rPr>
                <w:noProof/>
                <w:webHidden/>
              </w:rPr>
              <w:instrText xml:space="preserve"> PAGEREF _Toc388275368 \h </w:instrText>
            </w:r>
            <w:r w:rsidR="003F1AF0">
              <w:rPr>
                <w:noProof/>
                <w:webHidden/>
              </w:rPr>
            </w:r>
            <w:r w:rsidR="003F1AF0">
              <w:rPr>
                <w:noProof/>
                <w:webHidden/>
              </w:rPr>
              <w:fldChar w:fldCharType="separate"/>
            </w:r>
            <w:r w:rsidR="003F1AF0">
              <w:rPr>
                <w:noProof/>
                <w:webHidden/>
              </w:rPr>
              <w:t>13</w:t>
            </w:r>
            <w:r w:rsidR="003F1AF0">
              <w:rPr>
                <w:noProof/>
                <w:webHidden/>
              </w:rPr>
              <w:fldChar w:fldCharType="end"/>
            </w:r>
          </w:hyperlink>
        </w:p>
        <w:p w14:paraId="0879E7DE" w14:textId="77777777" w:rsidR="003F1AF0" w:rsidRDefault="00BD740D">
          <w:pPr>
            <w:pStyle w:val="TOC2"/>
            <w:tabs>
              <w:tab w:val="right" w:leader="dot" w:pos="9016"/>
            </w:tabs>
            <w:rPr>
              <w:rFonts w:eastAsiaTheme="minorEastAsia"/>
              <w:noProof/>
              <w:lang w:eastAsia="en-GB"/>
            </w:rPr>
          </w:pPr>
          <w:hyperlink w:anchor="_Toc388275369" w:history="1">
            <w:r w:rsidR="003F1AF0" w:rsidRPr="00AA05DC">
              <w:rPr>
                <w:rStyle w:val="Hyperlink"/>
                <w:noProof/>
              </w:rPr>
              <w:t>6.3 Benefits</w:t>
            </w:r>
            <w:r w:rsidR="003F1AF0">
              <w:rPr>
                <w:noProof/>
                <w:webHidden/>
              </w:rPr>
              <w:tab/>
            </w:r>
            <w:r w:rsidR="003F1AF0">
              <w:rPr>
                <w:noProof/>
                <w:webHidden/>
              </w:rPr>
              <w:fldChar w:fldCharType="begin"/>
            </w:r>
            <w:r w:rsidR="003F1AF0">
              <w:rPr>
                <w:noProof/>
                <w:webHidden/>
              </w:rPr>
              <w:instrText xml:space="preserve"> PAGEREF _Toc388275369 \h </w:instrText>
            </w:r>
            <w:r w:rsidR="003F1AF0">
              <w:rPr>
                <w:noProof/>
                <w:webHidden/>
              </w:rPr>
            </w:r>
            <w:r w:rsidR="003F1AF0">
              <w:rPr>
                <w:noProof/>
                <w:webHidden/>
              </w:rPr>
              <w:fldChar w:fldCharType="separate"/>
            </w:r>
            <w:r w:rsidR="003F1AF0">
              <w:rPr>
                <w:noProof/>
                <w:webHidden/>
              </w:rPr>
              <w:t>13</w:t>
            </w:r>
            <w:r w:rsidR="003F1AF0">
              <w:rPr>
                <w:noProof/>
                <w:webHidden/>
              </w:rPr>
              <w:fldChar w:fldCharType="end"/>
            </w:r>
          </w:hyperlink>
        </w:p>
        <w:p w14:paraId="47C0EB24" w14:textId="77777777" w:rsidR="003F1AF0" w:rsidRDefault="00BD740D">
          <w:pPr>
            <w:pStyle w:val="TOC2"/>
            <w:tabs>
              <w:tab w:val="right" w:leader="dot" w:pos="9016"/>
            </w:tabs>
            <w:rPr>
              <w:rFonts w:eastAsiaTheme="minorEastAsia"/>
              <w:noProof/>
              <w:lang w:eastAsia="en-GB"/>
            </w:rPr>
          </w:pPr>
          <w:hyperlink w:anchor="_Toc388275370" w:history="1">
            <w:r w:rsidR="003F1AF0" w:rsidRPr="00AA05DC">
              <w:rPr>
                <w:rStyle w:val="Hyperlink"/>
                <w:noProof/>
              </w:rPr>
              <w:t>6.4 Equality Impact Assessment</w:t>
            </w:r>
            <w:r w:rsidR="003F1AF0">
              <w:rPr>
                <w:noProof/>
                <w:webHidden/>
              </w:rPr>
              <w:tab/>
            </w:r>
            <w:r w:rsidR="003F1AF0">
              <w:rPr>
                <w:noProof/>
                <w:webHidden/>
              </w:rPr>
              <w:fldChar w:fldCharType="begin"/>
            </w:r>
            <w:r w:rsidR="003F1AF0">
              <w:rPr>
                <w:noProof/>
                <w:webHidden/>
              </w:rPr>
              <w:instrText xml:space="preserve"> PAGEREF _Toc388275370 \h </w:instrText>
            </w:r>
            <w:r w:rsidR="003F1AF0">
              <w:rPr>
                <w:noProof/>
                <w:webHidden/>
              </w:rPr>
            </w:r>
            <w:r w:rsidR="003F1AF0">
              <w:rPr>
                <w:noProof/>
                <w:webHidden/>
              </w:rPr>
              <w:fldChar w:fldCharType="separate"/>
            </w:r>
            <w:r w:rsidR="003F1AF0">
              <w:rPr>
                <w:noProof/>
                <w:webHidden/>
              </w:rPr>
              <w:t>14</w:t>
            </w:r>
            <w:r w:rsidR="003F1AF0">
              <w:rPr>
                <w:noProof/>
                <w:webHidden/>
              </w:rPr>
              <w:fldChar w:fldCharType="end"/>
            </w:r>
          </w:hyperlink>
        </w:p>
        <w:p w14:paraId="4F09A675" w14:textId="77777777" w:rsidR="003F1AF0" w:rsidRDefault="00BD740D">
          <w:pPr>
            <w:pStyle w:val="TOC2"/>
            <w:tabs>
              <w:tab w:val="right" w:leader="dot" w:pos="9016"/>
            </w:tabs>
            <w:rPr>
              <w:rFonts w:eastAsiaTheme="minorEastAsia"/>
              <w:noProof/>
              <w:lang w:eastAsia="en-GB"/>
            </w:rPr>
          </w:pPr>
          <w:hyperlink w:anchor="_Toc388275371" w:history="1">
            <w:r w:rsidR="003F1AF0" w:rsidRPr="00AA05DC">
              <w:rPr>
                <w:rStyle w:val="Hyperlink"/>
                <w:noProof/>
              </w:rPr>
              <w:t>6.5 Evaluation criteria assessment</w:t>
            </w:r>
            <w:r w:rsidR="003F1AF0">
              <w:rPr>
                <w:noProof/>
                <w:webHidden/>
              </w:rPr>
              <w:tab/>
            </w:r>
            <w:r w:rsidR="003F1AF0">
              <w:rPr>
                <w:noProof/>
                <w:webHidden/>
              </w:rPr>
              <w:fldChar w:fldCharType="begin"/>
            </w:r>
            <w:r w:rsidR="003F1AF0">
              <w:rPr>
                <w:noProof/>
                <w:webHidden/>
              </w:rPr>
              <w:instrText xml:space="preserve"> PAGEREF _Toc388275371 \h </w:instrText>
            </w:r>
            <w:r w:rsidR="003F1AF0">
              <w:rPr>
                <w:noProof/>
                <w:webHidden/>
              </w:rPr>
            </w:r>
            <w:r w:rsidR="003F1AF0">
              <w:rPr>
                <w:noProof/>
                <w:webHidden/>
              </w:rPr>
              <w:fldChar w:fldCharType="separate"/>
            </w:r>
            <w:r w:rsidR="003F1AF0">
              <w:rPr>
                <w:noProof/>
                <w:webHidden/>
              </w:rPr>
              <w:t>14</w:t>
            </w:r>
            <w:r w:rsidR="003F1AF0">
              <w:rPr>
                <w:noProof/>
                <w:webHidden/>
              </w:rPr>
              <w:fldChar w:fldCharType="end"/>
            </w:r>
          </w:hyperlink>
        </w:p>
        <w:p w14:paraId="4043C34D" w14:textId="77777777" w:rsidR="003F1AF0" w:rsidRDefault="00BD740D">
          <w:pPr>
            <w:pStyle w:val="TOC1"/>
            <w:tabs>
              <w:tab w:val="right" w:leader="dot" w:pos="9016"/>
            </w:tabs>
            <w:rPr>
              <w:rFonts w:eastAsiaTheme="minorEastAsia"/>
              <w:noProof/>
              <w:lang w:eastAsia="en-GB"/>
            </w:rPr>
          </w:pPr>
          <w:hyperlink w:anchor="_Toc388275372" w:history="1">
            <w:r w:rsidR="003F1AF0" w:rsidRPr="00AA05DC">
              <w:rPr>
                <w:rStyle w:val="Hyperlink"/>
                <w:noProof/>
              </w:rPr>
              <w:t>7. Option 3 – Rotational training programme with tertiary providers</w:t>
            </w:r>
            <w:r w:rsidR="003F1AF0">
              <w:rPr>
                <w:noProof/>
                <w:webHidden/>
              </w:rPr>
              <w:tab/>
            </w:r>
            <w:r w:rsidR="003F1AF0">
              <w:rPr>
                <w:noProof/>
                <w:webHidden/>
              </w:rPr>
              <w:fldChar w:fldCharType="begin"/>
            </w:r>
            <w:r w:rsidR="003F1AF0">
              <w:rPr>
                <w:noProof/>
                <w:webHidden/>
              </w:rPr>
              <w:instrText xml:space="preserve"> PAGEREF _Toc388275372 \h </w:instrText>
            </w:r>
            <w:r w:rsidR="003F1AF0">
              <w:rPr>
                <w:noProof/>
                <w:webHidden/>
              </w:rPr>
            </w:r>
            <w:r w:rsidR="003F1AF0">
              <w:rPr>
                <w:noProof/>
                <w:webHidden/>
              </w:rPr>
              <w:fldChar w:fldCharType="separate"/>
            </w:r>
            <w:r w:rsidR="003F1AF0">
              <w:rPr>
                <w:noProof/>
                <w:webHidden/>
              </w:rPr>
              <w:t>15</w:t>
            </w:r>
            <w:r w:rsidR="003F1AF0">
              <w:rPr>
                <w:noProof/>
                <w:webHidden/>
              </w:rPr>
              <w:fldChar w:fldCharType="end"/>
            </w:r>
          </w:hyperlink>
        </w:p>
        <w:p w14:paraId="02A830ED" w14:textId="77777777" w:rsidR="003F1AF0" w:rsidRDefault="00BD740D">
          <w:pPr>
            <w:pStyle w:val="TOC2"/>
            <w:tabs>
              <w:tab w:val="right" w:leader="dot" w:pos="9016"/>
            </w:tabs>
            <w:rPr>
              <w:rFonts w:eastAsiaTheme="minorEastAsia"/>
              <w:noProof/>
              <w:lang w:eastAsia="en-GB"/>
            </w:rPr>
          </w:pPr>
          <w:hyperlink w:anchor="_Toc388275373" w:history="1">
            <w:r w:rsidR="003F1AF0" w:rsidRPr="00AA05DC">
              <w:rPr>
                <w:rStyle w:val="Hyperlink"/>
                <w:noProof/>
              </w:rPr>
              <w:t>7.1 Assumptions</w:t>
            </w:r>
            <w:r w:rsidR="003F1AF0">
              <w:rPr>
                <w:noProof/>
                <w:webHidden/>
              </w:rPr>
              <w:tab/>
            </w:r>
            <w:r w:rsidR="003F1AF0">
              <w:rPr>
                <w:noProof/>
                <w:webHidden/>
              </w:rPr>
              <w:fldChar w:fldCharType="begin"/>
            </w:r>
            <w:r w:rsidR="003F1AF0">
              <w:rPr>
                <w:noProof/>
                <w:webHidden/>
              </w:rPr>
              <w:instrText xml:space="preserve"> PAGEREF _Toc388275373 \h </w:instrText>
            </w:r>
            <w:r w:rsidR="003F1AF0">
              <w:rPr>
                <w:noProof/>
                <w:webHidden/>
              </w:rPr>
            </w:r>
            <w:r w:rsidR="003F1AF0">
              <w:rPr>
                <w:noProof/>
                <w:webHidden/>
              </w:rPr>
              <w:fldChar w:fldCharType="separate"/>
            </w:r>
            <w:r w:rsidR="003F1AF0">
              <w:rPr>
                <w:noProof/>
                <w:webHidden/>
              </w:rPr>
              <w:t>15</w:t>
            </w:r>
            <w:r w:rsidR="003F1AF0">
              <w:rPr>
                <w:noProof/>
                <w:webHidden/>
              </w:rPr>
              <w:fldChar w:fldCharType="end"/>
            </w:r>
          </w:hyperlink>
        </w:p>
        <w:p w14:paraId="0969A04F" w14:textId="77777777" w:rsidR="003F1AF0" w:rsidRDefault="00BD740D">
          <w:pPr>
            <w:pStyle w:val="TOC2"/>
            <w:tabs>
              <w:tab w:val="right" w:leader="dot" w:pos="9016"/>
            </w:tabs>
            <w:rPr>
              <w:rFonts w:eastAsiaTheme="minorEastAsia"/>
              <w:noProof/>
              <w:lang w:eastAsia="en-GB"/>
            </w:rPr>
          </w:pPr>
          <w:hyperlink w:anchor="_Toc388275374" w:history="1">
            <w:r w:rsidR="003F1AF0" w:rsidRPr="00AA05DC">
              <w:rPr>
                <w:rStyle w:val="Hyperlink"/>
                <w:noProof/>
              </w:rPr>
              <w:t>7.2 Risks / issues</w:t>
            </w:r>
            <w:r w:rsidR="003F1AF0">
              <w:rPr>
                <w:noProof/>
                <w:webHidden/>
              </w:rPr>
              <w:tab/>
            </w:r>
            <w:r w:rsidR="003F1AF0">
              <w:rPr>
                <w:noProof/>
                <w:webHidden/>
              </w:rPr>
              <w:fldChar w:fldCharType="begin"/>
            </w:r>
            <w:r w:rsidR="003F1AF0">
              <w:rPr>
                <w:noProof/>
                <w:webHidden/>
              </w:rPr>
              <w:instrText xml:space="preserve"> PAGEREF _Toc388275374 \h </w:instrText>
            </w:r>
            <w:r w:rsidR="003F1AF0">
              <w:rPr>
                <w:noProof/>
                <w:webHidden/>
              </w:rPr>
            </w:r>
            <w:r w:rsidR="003F1AF0">
              <w:rPr>
                <w:noProof/>
                <w:webHidden/>
              </w:rPr>
              <w:fldChar w:fldCharType="separate"/>
            </w:r>
            <w:r w:rsidR="003F1AF0">
              <w:rPr>
                <w:noProof/>
                <w:webHidden/>
              </w:rPr>
              <w:t>15</w:t>
            </w:r>
            <w:r w:rsidR="003F1AF0">
              <w:rPr>
                <w:noProof/>
                <w:webHidden/>
              </w:rPr>
              <w:fldChar w:fldCharType="end"/>
            </w:r>
          </w:hyperlink>
        </w:p>
        <w:p w14:paraId="3437B09F" w14:textId="77777777" w:rsidR="003F1AF0" w:rsidRDefault="00BD740D">
          <w:pPr>
            <w:pStyle w:val="TOC2"/>
            <w:tabs>
              <w:tab w:val="right" w:leader="dot" w:pos="9016"/>
            </w:tabs>
            <w:rPr>
              <w:rFonts w:eastAsiaTheme="minorEastAsia"/>
              <w:noProof/>
              <w:lang w:eastAsia="en-GB"/>
            </w:rPr>
          </w:pPr>
          <w:hyperlink w:anchor="_Toc388275375" w:history="1">
            <w:r w:rsidR="003F1AF0" w:rsidRPr="00AA05DC">
              <w:rPr>
                <w:rStyle w:val="Hyperlink"/>
                <w:noProof/>
              </w:rPr>
              <w:t>7.3 Benefits</w:t>
            </w:r>
            <w:r w:rsidR="003F1AF0">
              <w:rPr>
                <w:noProof/>
                <w:webHidden/>
              </w:rPr>
              <w:tab/>
            </w:r>
            <w:r w:rsidR="003F1AF0">
              <w:rPr>
                <w:noProof/>
                <w:webHidden/>
              </w:rPr>
              <w:fldChar w:fldCharType="begin"/>
            </w:r>
            <w:r w:rsidR="003F1AF0">
              <w:rPr>
                <w:noProof/>
                <w:webHidden/>
              </w:rPr>
              <w:instrText xml:space="preserve"> PAGEREF _Toc388275375 \h </w:instrText>
            </w:r>
            <w:r w:rsidR="003F1AF0">
              <w:rPr>
                <w:noProof/>
                <w:webHidden/>
              </w:rPr>
            </w:r>
            <w:r w:rsidR="003F1AF0">
              <w:rPr>
                <w:noProof/>
                <w:webHidden/>
              </w:rPr>
              <w:fldChar w:fldCharType="separate"/>
            </w:r>
            <w:r w:rsidR="003F1AF0">
              <w:rPr>
                <w:noProof/>
                <w:webHidden/>
              </w:rPr>
              <w:t>15</w:t>
            </w:r>
            <w:r w:rsidR="003F1AF0">
              <w:rPr>
                <w:noProof/>
                <w:webHidden/>
              </w:rPr>
              <w:fldChar w:fldCharType="end"/>
            </w:r>
          </w:hyperlink>
        </w:p>
        <w:p w14:paraId="577F9DE4" w14:textId="77777777" w:rsidR="003F1AF0" w:rsidRDefault="00BD740D">
          <w:pPr>
            <w:pStyle w:val="TOC2"/>
            <w:tabs>
              <w:tab w:val="right" w:leader="dot" w:pos="9016"/>
            </w:tabs>
            <w:rPr>
              <w:rFonts w:eastAsiaTheme="minorEastAsia"/>
              <w:noProof/>
              <w:lang w:eastAsia="en-GB"/>
            </w:rPr>
          </w:pPr>
          <w:hyperlink w:anchor="_Toc388275376" w:history="1">
            <w:r w:rsidR="003F1AF0" w:rsidRPr="00AA05DC">
              <w:rPr>
                <w:rStyle w:val="Hyperlink"/>
                <w:noProof/>
              </w:rPr>
              <w:t>7.4 Equality Impact Assessment</w:t>
            </w:r>
            <w:r w:rsidR="003F1AF0">
              <w:rPr>
                <w:noProof/>
                <w:webHidden/>
              </w:rPr>
              <w:tab/>
            </w:r>
            <w:r w:rsidR="003F1AF0">
              <w:rPr>
                <w:noProof/>
                <w:webHidden/>
              </w:rPr>
              <w:fldChar w:fldCharType="begin"/>
            </w:r>
            <w:r w:rsidR="003F1AF0">
              <w:rPr>
                <w:noProof/>
                <w:webHidden/>
              </w:rPr>
              <w:instrText xml:space="preserve"> PAGEREF _Toc388275376 \h </w:instrText>
            </w:r>
            <w:r w:rsidR="003F1AF0">
              <w:rPr>
                <w:noProof/>
                <w:webHidden/>
              </w:rPr>
            </w:r>
            <w:r w:rsidR="003F1AF0">
              <w:rPr>
                <w:noProof/>
                <w:webHidden/>
              </w:rPr>
              <w:fldChar w:fldCharType="separate"/>
            </w:r>
            <w:r w:rsidR="003F1AF0">
              <w:rPr>
                <w:noProof/>
                <w:webHidden/>
              </w:rPr>
              <w:t>16</w:t>
            </w:r>
            <w:r w:rsidR="003F1AF0">
              <w:rPr>
                <w:noProof/>
                <w:webHidden/>
              </w:rPr>
              <w:fldChar w:fldCharType="end"/>
            </w:r>
          </w:hyperlink>
        </w:p>
        <w:p w14:paraId="55D91220" w14:textId="77777777" w:rsidR="003F1AF0" w:rsidRDefault="00BD740D">
          <w:pPr>
            <w:pStyle w:val="TOC2"/>
            <w:tabs>
              <w:tab w:val="right" w:leader="dot" w:pos="9016"/>
            </w:tabs>
            <w:rPr>
              <w:rFonts w:eastAsiaTheme="minorEastAsia"/>
              <w:noProof/>
              <w:lang w:eastAsia="en-GB"/>
            </w:rPr>
          </w:pPr>
          <w:hyperlink w:anchor="_Toc388275377" w:history="1">
            <w:r w:rsidR="003F1AF0" w:rsidRPr="00AA05DC">
              <w:rPr>
                <w:rStyle w:val="Hyperlink"/>
                <w:noProof/>
              </w:rPr>
              <w:t>7.5 Evaluation criteria assessment</w:t>
            </w:r>
            <w:r w:rsidR="003F1AF0">
              <w:rPr>
                <w:noProof/>
                <w:webHidden/>
              </w:rPr>
              <w:tab/>
            </w:r>
            <w:r w:rsidR="003F1AF0">
              <w:rPr>
                <w:noProof/>
                <w:webHidden/>
              </w:rPr>
              <w:fldChar w:fldCharType="begin"/>
            </w:r>
            <w:r w:rsidR="003F1AF0">
              <w:rPr>
                <w:noProof/>
                <w:webHidden/>
              </w:rPr>
              <w:instrText xml:space="preserve"> PAGEREF _Toc388275377 \h </w:instrText>
            </w:r>
            <w:r w:rsidR="003F1AF0">
              <w:rPr>
                <w:noProof/>
                <w:webHidden/>
              </w:rPr>
            </w:r>
            <w:r w:rsidR="003F1AF0">
              <w:rPr>
                <w:noProof/>
                <w:webHidden/>
              </w:rPr>
              <w:fldChar w:fldCharType="separate"/>
            </w:r>
            <w:r w:rsidR="003F1AF0">
              <w:rPr>
                <w:noProof/>
                <w:webHidden/>
              </w:rPr>
              <w:t>16</w:t>
            </w:r>
            <w:r w:rsidR="003F1AF0">
              <w:rPr>
                <w:noProof/>
                <w:webHidden/>
              </w:rPr>
              <w:fldChar w:fldCharType="end"/>
            </w:r>
          </w:hyperlink>
        </w:p>
        <w:p w14:paraId="03993324" w14:textId="77777777" w:rsidR="003F1AF0" w:rsidRDefault="00BD740D">
          <w:pPr>
            <w:pStyle w:val="TOC1"/>
            <w:tabs>
              <w:tab w:val="right" w:leader="dot" w:pos="9016"/>
            </w:tabs>
            <w:rPr>
              <w:rFonts w:eastAsiaTheme="minorEastAsia"/>
              <w:noProof/>
              <w:lang w:eastAsia="en-GB"/>
            </w:rPr>
          </w:pPr>
          <w:hyperlink w:anchor="_Toc388275378" w:history="1">
            <w:r w:rsidR="003F1AF0" w:rsidRPr="00AA05DC">
              <w:rPr>
                <w:rStyle w:val="Hyperlink"/>
                <w:noProof/>
              </w:rPr>
              <w:t>8. Option 4 – Decommission the local service and send all children’s surgery to tertiary centres</w:t>
            </w:r>
            <w:r w:rsidR="003F1AF0">
              <w:rPr>
                <w:noProof/>
                <w:webHidden/>
              </w:rPr>
              <w:tab/>
            </w:r>
            <w:r w:rsidR="003F1AF0">
              <w:rPr>
                <w:noProof/>
                <w:webHidden/>
              </w:rPr>
              <w:fldChar w:fldCharType="begin"/>
            </w:r>
            <w:r w:rsidR="003F1AF0">
              <w:rPr>
                <w:noProof/>
                <w:webHidden/>
              </w:rPr>
              <w:instrText xml:space="preserve"> PAGEREF _Toc388275378 \h </w:instrText>
            </w:r>
            <w:r w:rsidR="003F1AF0">
              <w:rPr>
                <w:noProof/>
                <w:webHidden/>
              </w:rPr>
            </w:r>
            <w:r w:rsidR="003F1AF0">
              <w:rPr>
                <w:noProof/>
                <w:webHidden/>
              </w:rPr>
              <w:fldChar w:fldCharType="separate"/>
            </w:r>
            <w:r w:rsidR="003F1AF0">
              <w:rPr>
                <w:noProof/>
                <w:webHidden/>
              </w:rPr>
              <w:t>17</w:t>
            </w:r>
            <w:r w:rsidR="003F1AF0">
              <w:rPr>
                <w:noProof/>
                <w:webHidden/>
              </w:rPr>
              <w:fldChar w:fldCharType="end"/>
            </w:r>
          </w:hyperlink>
        </w:p>
        <w:p w14:paraId="274B9391" w14:textId="77777777" w:rsidR="003F1AF0" w:rsidRDefault="00BD740D">
          <w:pPr>
            <w:pStyle w:val="TOC2"/>
            <w:tabs>
              <w:tab w:val="right" w:leader="dot" w:pos="9016"/>
            </w:tabs>
            <w:rPr>
              <w:rFonts w:eastAsiaTheme="minorEastAsia"/>
              <w:noProof/>
              <w:lang w:eastAsia="en-GB"/>
            </w:rPr>
          </w:pPr>
          <w:hyperlink w:anchor="_Toc388275379" w:history="1">
            <w:r w:rsidR="003F1AF0" w:rsidRPr="00AA05DC">
              <w:rPr>
                <w:rStyle w:val="Hyperlink"/>
                <w:noProof/>
              </w:rPr>
              <w:t>8.1 Assumptions</w:t>
            </w:r>
            <w:r w:rsidR="003F1AF0">
              <w:rPr>
                <w:noProof/>
                <w:webHidden/>
              </w:rPr>
              <w:tab/>
            </w:r>
            <w:r w:rsidR="003F1AF0">
              <w:rPr>
                <w:noProof/>
                <w:webHidden/>
              </w:rPr>
              <w:fldChar w:fldCharType="begin"/>
            </w:r>
            <w:r w:rsidR="003F1AF0">
              <w:rPr>
                <w:noProof/>
                <w:webHidden/>
              </w:rPr>
              <w:instrText xml:space="preserve"> PAGEREF _Toc388275379 \h </w:instrText>
            </w:r>
            <w:r w:rsidR="003F1AF0">
              <w:rPr>
                <w:noProof/>
                <w:webHidden/>
              </w:rPr>
            </w:r>
            <w:r w:rsidR="003F1AF0">
              <w:rPr>
                <w:noProof/>
                <w:webHidden/>
              </w:rPr>
              <w:fldChar w:fldCharType="separate"/>
            </w:r>
            <w:r w:rsidR="003F1AF0">
              <w:rPr>
                <w:noProof/>
                <w:webHidden/>
              </w:rPr>
              <w:t>17</w:t>
            </w:r>
            <w:r w:rsidR="003F1AF0">
              <w:rPr>
                <w:noProof/>
                <w:webHidden/>
              </w:rPr>
              <w:fldChar w:fldCharType="end"/>
            </w:r>
          </w:hyperlink>
        </w:p>
        <w:p w14:paraId="1968F0F4" w14:textId="77777777" w:rsidR="003F1AF0" w:rsidRDefault="00BD740D">
          <w:pPr>
            <w:pStyle w:val="TOC2"/>
            <w:tabs>
              <w:tab w:val="right" w:leader="dot" w:pos="9016"/>
            </w:tabs>
            <w:rPr>
              <w:rFonts w:eastAsiaTheme="minorEastAsia"/>
              <w:noProof/>
              <w:lang w:eastAsia="en-GB"/>
            </w:rPr>
          </w:pPr>
          <w:hyperlink w:anchor="_Toc388275380" w:history="1">
            <w:r w:rsidR="003F1AF0" w:rsidRPr="00AA05DC">
              <w:rPr>
                <w:rStyle w:val="Hyperlink"/>
                <w:noProof/>
              </w:rPr>
              <w:t>8.2 Risks / issues</w:t>
            </w:r>
            <w:r w:rsidR="003F1AF0">
              <w:rPr>
                <w:noProof/>
                <w:webHidden/>
              </w:rPr>
              <w:tab/>
            </w:r>
            <w:r w:rsidR="003F1AF0">
              <w:rPr>
                <w:noProof/>
                <w:webHidden/>
              </w:rPr>
              <w:fldChar w:fldCharType="begin"/>
            </w:r>
            <w:r w:rsidR="003F1AF0">
              <w:rPr>
                <w:noProof/>
                <w:webHidden/>
              </w:rPr>
              <w:instrText xml:space="preserve"> PAGEREF _Toc388275380 \h </w:instrText>
            </w:r>
            <w:r w:rsidR="003F1AF0">
              <w:rPr>
                <w:noProof/>
                <w:webHidden/>
              </w:rPr>
            </w:r>
            <w:r w:rsidR="003F1AF0">
              <w:rPr>
                <w:noProof/>
                <w:webHidden/>
              </w:rPr>
              <w:fldChar w:fldCharType="separate"/>
            </w:r>
            <w:r w:rsidR="003F1AF0">
              <w:rPr>
                <w:noProof/>
                <w:webHidden/>
              </w:rPr>
              <w:t>17</w:t>
            </w:r>
            <w:r w:rsidR="003F1AF0">
              <w:rPr>
                <w:noProof/>
                <w:webHidden/>
              </w:rPr>
              <w:fldChar w:fldCharType="end"/>
            </w:r>
          </w:hyperlink>
        </w:p>
        <w:p w14:paraId="69F07ADC" w14:textId="77777777" w:rsidR="003F1AF0" w:rsidRDefault="00BD740D">
          <w:pPr>
            <w:pStyle w:val="TOC2"/>
            <w:tabs>
              <w:tab w:val="right" w:leader="dot" w:pos="9016"/>
            </w:tabs>
            <w:rPr>
              <w:rFonts w:eastAsiaTheme="minorEastAsia"/>
              <w:noProof/>
              <w:lang w:eastAsia="en-GB"/>
            </w:rPr>
          </w:pPr>
          <w:hyperlink w:anchor="_Toc388275381" w:history="1">
            <w:r w:rsidR="003F1AF0" w:rsidRPr="00AA05DC">
              <w:rPr>
                <w:rStyle w:val="Hyperlink"/>
                <w:noProof/>
              </w:rPr>
              <w:t>8.3 Benefits</w:t>
            </w:r>
            <w:r w:rsidR="003F1AF0">
              <w:rPr>
                <w:noProof/>
                <w:webHidden/>
              </w:rPr>
              <w:tab/>
            </w:r>
            <w:r w:rsidR="003F1AF0">
              <w:rPr>
                <w:noProof/>
                <w:webHidden/>
              </w:rPr>
              <w:fldChar w:fldCharType="begin"/>
            </w:r>
            <w:r w:rsidR="003F1AF0">
              <w:rPr>
                <w:noProof/>
                <w:webHidden/>
              </w:rPr>
              <w:instrText xml:space="preserve"> PAGEREF _Toc388275381 \h </w:instrText>
            </w:r>
            <w:r w:rsidR="003F1AF0">
              <w:rPr>
                <w:noProof/>
                <w:webHidden/>
              </w:rPr>
            </w:r>
            <w:r w:rsidR="003F1AF0">
              <w:rPr>
                <w:noProof/>
                <w:webHidden/>
              </w:rPr>
              <w:fldChar w:fldCharType="separate"/>
            </w:r>
            <w:r w:rsidR="003F1AF0">
              <w:rPr>
                <w:noProof/>
                <w:webHidden/>
              </w:rPr>
              <w:t>17</w:t>
            </w:r>
            <w:r w:rsidR="003F1AF0">
              <w:rPr>
                <w:noProof/>
                <w:webHidden/>
              </w:rPr>
              <w:fldChar w:fldCharType="end"/>
            </w:r>
          </w:hyperlink>
        </w:p>
        <w:p w14:paraId="49A628EE" w14:textId="77777777" w:rsidR="003F1AF0" w:rsidRDefault="00BD740D">
          <w:pPr>
            <w:pStyle w:val="TOC2"/>
            <w:tabs>
              <w:tab w:val="right" w:leader="dot" w:pos="9016"/>
            </w:tabs>
            <w:rPr>
              <w:rFonts w:eastAsiaTheme="minorEastAsia"/>
              <w:noProof/>
              <w:lang w:eastAsia="en-GB"/>
            </w:rPr>
          </w:pPr>
          <w:hyperlink w:anchor="_Toc388275382" w:history="1">
            <w:r w:rsidR="003F1AF0" w:rsidRPr="00AA05DC">
              <w:rPr>
                <w:rStyle w:val="Hyperlink"/>
                <w:noProof/>
              </w:rPr>
              <w:t>8.4 Equality Impact Assessment</w:t>
            </w:r>
            <w:r w:rsidR="003F1AF0">
              <w:rPr>
                <w:noProof/>
                <w:webHidden/>
              </w:rPr>
              <w:tab/>
            </w:r>
            <w:r w:rsidR="003F1AF0">
              <w:rPr>
                <w:noProof/>
                <w:webHidden/>
              </w:rPr>
              <w:fldChar w:fldCharType="begin"/>
            </w:r>
            <w:r w:rsidR="003F1AF0">
              <w:rPr>
                <w:noProof/>
                <w:webHidden/>
              </w:rPr>
              <w:instrText xml:space="preserve"> PAGEREF _Toc388275382 \h </w:instrText>
            </w:r>
            <w:r w:rsidR="003F1AF0">
              <w:rPr>
                <w:noProof/>
                <w:webHidden/>
              </w:rPr>
            </w:r>
            <w:r w:rsidR="003F1AF0">
              <w:rPr>
                <w:noProof/>
                <w:webHidden/>
              </w:rPr>
              <w:fldChar w:fldCharType="separate"/>
            </w:r>
            <w:r w:rsidR="003F1AF0">
              <w:rPr>
                <w:noProof/>
                <w:webHidden/>
              </w:rPr>
              <w:t>18</w:t>
            </w:r>
            <w:r w:rsidR="003F1AF0">
              <w:rPr>
                <w:noProof/>
                <w:webHidden/>
              </w:rPr>
              <w:fldChar w:fldCharType="end"/>
            </w:r>
          </w:hyperlink>
        </w:p>
        <w:p w14:paraId="067D1898" w14:textId="77777777" w:rsidR="003F1AF0" w:rsidRDefault="00BD740D">
          <w:pPr>
            <w:pStyle w:val="TOC2"/>
            <w:tabs>
              <w:tab w:val="right" w:leader="dot" w:pos="9016"/>
            </w:tabs>
            <w:rPr>
              <w:rFonts w:eastAsiaTheme="minorEastAsia"/>
              <w:noProof/>
              <w:lang w:eastAsia="en-GB"/>
            </w:rPr>
          </w:pPr>
          <w:hyperlink w:anchor="_Toc388275383" w:history="1">
            <w:r w:rsidR="003F1AF0" w:rsidRPr="00AA05DC">
              <w:rPr>
                <w:rStyle w:val="Hyperlink"/>
                <w:noProof/>
              </w:rPr>
              <w:t>8.5 Evaluation criteria assessment</w:t>
            </w:r>
            <w:r w:rsidR="003F1AF0">
              <w:rPr>
                <w:noProof/>
                <w:webHidden/>
              </w:rPr>
              <w:tab/>
            </w:r>
            <w:r w:rsidR="003F1AF0">
              <w:rPr>
                <w:noProof/>
                <w:webHidden/>
              </w:rPr>
              <w:fldChar w:fldCharType="begin"/>
            </w:r>
            <w:r w:rsidR="003F1AF0">
              <w:rPr>
                <w:noProof/>
                <w:webHidden/>
              </w:rPr>
              <w:instrText xml:space="preserve"> PAGEREF _Toc388275383 \h </w:instrText>
            </w:r>
            <w:r w:rsidR="003F1AF0">
              <w:rPr>
                <w:noProof/>
                <w:webHidden/>
              </w:rPr>
            </w:r>
            <w:r w:rsidR="003F1AF0">
              <w:rPr>
                <w:noProof/>
                <w:webHidden/>
              </w:rPr>
              <w:fldChar w:fldCharType="separate"/>
            </w:r>
            <w:r w:rsidR="003F1AF0">
              <w:rPr>
                <w:noProof/>
                <w:webHidden/>
              </w:rPr>
              <w:t>18</w:t>
            </w:r>
            <w:r w:rsidR="003F1AF0">
              <w:rPr>
                <w:noProof/>
                <w:webHidden/>
              </w:rPr>
              <w:fldChar w:fldCharType="end"/>
            </w:r>
          </w:hyperlink>
        </w:p>
        <w:p w14:paraId="08252270" w14:textId="77777777" w:rsidR="003F1AF0" w:rsidRDefault="00BD740D">
          <w:pPr>
            <w:pStyle w:val="TOC1"/>
            <w:tabs>
              <w:tab w:val="right" w:leader="dot" w:pos="9016"/>
            </w:tabs>
            <w:rPr>
              <w:rFonts w:eastAsiaTheme="minorEastAsia"/>
              <w:noProof/>
              <w:lang w:eastAsia="en-GB"/>
            </w:rPr>
          </w:pPr>
          <w:hyperlink w:anchor="_Toc388275384" w:history="1">
            <w:r w:rsidR="003F1AF0" w:rsidRPr="00AA05DC">
              <w:rPr>
                <w:rStyle w:val="Hyperlink"/>
                <w:noProof/>
              </w:rPr>
              <w:t>7. Appendix Log</w:t>
            </w:r>
            <w:r w:rsidR="003F1AF0">
              <w:rPr>
                <w:noProof/>
                <w:webHidden/>
              </w:rPr>
              <w:tab/>
            </w:r>
            <w:r w:rsidR="003F1AF0">
              <w:rPr>
                <w:noProof/>
                <w:webHidden/>
              </w:rPr>
              <w:fldChar w:fldCharType="begin"/>
            </w:r>
            <w:r w:rsidR="003F1AF0">
              <w:rPr>
                <w:noProof/>
                <w:webHidden/>
              </w:rPr>
              <w:instrText xml:space="preserve"> PAGEREF _Toc388275384 \h </w:instrText>
            </w:r>
            <w:r w:rsidR="003F1AF0">
              <w:rPr>
                <w:noProof/>
                <w:webHidden/>
              </w:rPr>
            </w:r>
            <w:r w:rsidR="003F1AF0">
              <w:rPr>
                <w:noProof/>
                <w:webHidden/>
              </w:rPr>
              <w:fldChar w:fldCharType="separate"/>
            </w:r>
            <w:r w:rsidR="003F1AF0">
              <w:rPr>
                <w:noProof/>
                <w:webHidden/>
              </w:rPr>
              <w:t>21</w:t>
            </w:r>
            <w:r w:rsidR="003F1AF0">
              <w:rPr>
                <w:noProof/>
                <w:webHidden/>
              </w:rPr>
              <w:fldChar w:fldCharType="end"/>
            </w:r>
          </w:hyperlink>
        </w:p>
        <w:p w14:paraId="13A6E467" w14:textId="77777777" w:rsidR="003F1AF0" w:rsidRDefault="00BD740D">
          <w:pPr>
            <w:pStyle w:val="TOC2"/>
            <w:tabs>
              <w:tab w:val="right" w:leader="dot" w:pos="9016"/>
            </w:tabs>
            <w:rPr>
              <w:rFonts w:eastAsiaTheme="minorEastAsia"/>
              <w:noProof/>
              <w:lang w:eastAsia="en-GB"/>
            </w:rPr>
          </w:pPr>
          <w:hyperlink w:anchor="_Toc388275385" w:history="1">
            <w:r w:rsidR="003F1AF0" w:rsidRPr="00AA05DC">
              <w:rPr>
                <w:rStyle w:val="Hyperlink"/>
                <w:noProof/>
              </w:rPr>
              <w:t>Appendix 1 – NLaG Business Case for Children’s surgery – May 2014</w:t>
            </w:r>
            <w:r w:rsidR="003F1AF0">
              <w:rPr>
                <w:noProof/>
                <w:webHidden/>
              </w:rPr>
              <w:tab/>
            </w:r>
            <w:r w:rsidR="003F1AF0">
              <w:rPr>
                <w:noProof/>
                <w:webHidden/>
              </w:rPr>
              <w:fldChar w:fldCharType="begin"/>
            </w:r>
            <w:r w:rsidR="003F1AF0">
              <w:rPr>
                <w:noProof/>
                <w:webHidden/>
              </w:rPr>
              <w:instrText xml:space="preserve"> PAGEREF _Toc388275385 \h </w:instrText>
            </w:r>
            <w:r w:rsidR="003F1AF0">
              <w:rPr>
                <w:noProof/>
                <w:webHidden/>
              </w:rPr>
            </w:r>
            <w:r w:rsidR="003F1AF0">
              <w:rPr>
                <w:noProof/>
                <w:webHidden/>
              </w:rPr>
              <w:fldChar w:fldCharType="separate"/>
            </w:r>
            <w:r w:rsidR="003F1AF0">
              <w:rPr>
                <w:noProof/>
                <w:webHidden/>
              </w:rPr>
              <w:t>21</w:t>
            </w:r>
            <w:r w:rsidR="003F1AF0">
              <w:rPr>
                <w:noProof/>
                <w:webHidden/>
              </w:rPr>
              <w:fldChar w:fldCharType="end"/>
            </w:r>
          </w:hyperlink>
        </w:p>
        <w:p w14:paraId="0495025D" w14:textId="77777777" w:rsidR="003F1AF0" w:rsidRDefault="00BD740D">
          <w:pPr>
            <w:pStyle w:val="TOC2"/>
            <w:tabs>
              <w:tab w:val="right" w:leader="dot" w:pos="9016"/>
            </w:tabs>
            <w:rPr>
              <w:rFonts w:eastAsiaTheme="minorEastAsia"/>
              <w:noProof/>
              <w:lang w:eastAsia="en-GB"/>
            </w:rPr>
          </w:pPr>
          <w:hyperlink w:anchor="_Toc388275386" w:history="1">
            <w:r w:rsidR="003F1AF0" w:rsidRPr="00AA05DC">
              <w:rPr>
                <w:rStyle w:val="Hyperlink"/>
                <w:noProof/>
              </w:rPr>
              <w:t>Appendix 2 – Evaluation Criteria Process</w:t>
            </w:r>
            <w:r w:rsidR="003F1AF0">
              <w:rPr>
                <w:noProof/>
                <w:webHidden/>
              </w:rPr>
              <w:tab/>
            </w:r>
            <w:r w:rsidR="003F1AF0">
              <w:rPr>
                <w:noProof/>
                <w:webHidden/>
              </w:rPr>
              <w:fldChar w:fldCharType="begin"/>
            </w:r>
            <w:r w:rsidR="003F1AF0">
              <w:rPr>
                <w:noProof/>
                <w:webHidden/>
              </w:rPr>
              <w:instrText xml:space="preserve"> PAGEREF _Toc388275386 \h </w:instrText>
            </w:r>
            <w:r w:rsidR="003F1AF0">
              <w:rPr>
                <w:noProof/>
                <w:webHidden/>
              </w:rPr>
            </w:r>
            <w:r w:rsidR="003F1AF0">
              <w:rPr>
                <w:noProof/>
                <w:webHidden/>
              </w:rPr>
              <w:fldChar w:fldCharType="separate"/>
            </w:r>
            <w:r w:rsidR="003F1AF0">
              <w:rPr>
                <w:noProof/>
                <w:webHidden/>
              </w:rPr>
              <w:t>21</w:t>
            </w:r>
            <w:r w:rsidR="003F1AF0">
              <w:rPr>
                <w:noProof/>
                <w:webHidden/>
              </w:rPr>
              <w:fldChar w:fldCharType="end"/>
            </w:r>
          </w:hyperlink>
        </w:p>
        <w:p w14:paraId="63884D13" w14:textId="77777777" w:rsidR="003F1AF0" w:rsidRDefault="00BD740D">
          <w:pPr>
            <w:pStyle w:val="TOC2"/>
            <w:tabs>
              <w:tab w:val="right" w:leader="dot" w:pos="9016"/>
            </w:tabs>
            <w:rPr>
              <w:rFonts w:eastAsiaTheme="minorEastAsia"/>
              <w:noProof/>
              <w:lang w:eastAsia="en-GB"/>
            </w:rPr>
          </w:pPr>
          <w:hyperlink w:anchor="_Toc388275387" w:history="1">
            <w:r w:rsidR="003F1AF0" w:rsidRPr="00AA05DC">
              <w:rPr>
                <w:rStyle w:val="Hyperlink"/>
                <w:noProof/>
              </w:rPr>
              <w:t>Appendix 3 – Equality Impact Assessment for Children’s surgery – May 2014</w:t>
            </w:r>
            <w:r w:rsidR="003F1AF0">
              <w:rPr>
                <w:noProof/>
                <w:webHidden/>
              </w:rPr>
              <w:tab/>
            </w:r>
            <w:r w:rsidR="003F1AF0">
              <w:rPr>
                <w:noProof/>
                <w:webHidden/>
              </w:rPr>
              <w:fldChar w:fldCharType="begin"/>
            </w:r>
            <w:r w:rsidR="003F1AF0">
              <w:rPr>
                <w:noProof/>
                <w:webHidden/>
              </w:rPr>
              <w:instrText xml:space="preserve"> PAGEREF _Toc388275387 \h </w:instrText>
            </w:r>
            <w:r w:rsidR="003F1AF0">
              <w:rPr>
                <w:noProof/>
                <w:webHidden/>
              </w:rPr>
            </w:r>
            <w:r w:rsidR="003F1AF0">
              <w:rPr>
                <w:noProof/>
                <w:webHidden/>
              </w:rPr>
              <w:fldChar w:fldCharType="separate"/>
            </w:r>
            <w:r w:rsidR="003F1AF0">
              <w:rPr>
                <w:noProof/>
                <w:webHidden/>
              </w:rPr>
              <w:t>21</w:t>
            </w:r>
            <w:r w:rsidR="003F1AF0">
              <w:rPr>
                <w:noProof/>
                <w:webHidden/>
              </w:rPr>
              <w:fldChar w:fldCharType="end"/>
            </w:r>
          </w:hyperlink>
        </w:p>
        <w:p w14:paraId="7F01C0F1" w14:textId="77777777" w:rsidR="003F1AF0" w:rsidRDefault="00BD740D">
          <w:pPr>
            <w:pStyle w:val="TOC2"/>
            <w:tabs>
              <w:tab w:val="right" w:leader="dot" w:pos="9016"/>
            </w:tabs>
            <w:rPr>
              <w:rFonts w:eastAsiaTheme="minorEastAsia"/>
              <w:noProof/>
              <w:lang w:eastAsia="en-GB"/>
            </w:rPr>
          </w:pPr>
          <w:hyperlink w:anchor="_Toc388275388" w:history="1">
            <w:r w:rsidR="003F1AF0" w:rsidRPr="00AA05DC">
              <w:rPr>
                <w:rStyle w:val="Hyperlink"/>
                <w:noProof/>
              </w:rPr>
              <w:t>Appendix 4 – Evaluation Criteria Assessment for Children’s surgery – May 2014</w:t>
            </w:r>
            <w:r w:rsidR="003F1AF0">
              <w:rPr>
                <w:noProof/>
                <w:webHidden/>
              </w:rPr>
              <w:tab/>
            </w:r>
            <w:r w:rsidR="003F1AF0">
              <w:rPr>
                <w:noProof/>
                <w:webHidden/>
              </w:rPr>
              <w:fldChar w:fldCharType="begin"/>
            </w:r>
            <w:r w:rsidR="003F1AF0">
              <w:rPr>
                <w:noProof/>
                <w:webHidden/>
              </w:rPr>
              <w:instrText xml:space="preserve"> PAGEREF _Toc388275388 \h </w:instrText>
            </w:r>
            <w:r w:rsidR="003F1AF0">
              <w:rPr>
                <w:noProof/>
                <w:webHidden/>
              </w:rPr>
            </w:r>
            <w:r w:rsidR="003F1AF0">
              <w:rPr>
                <w:noProof/>
                <w:webHidden/>
              </w:rPr>
              <w:fldChar w:fldCharType="separate"/>
            </w:r>
            <w:r w:rsidR="003F1AF0">
              <w:rPr>
                <w:noProof/>
                <w:webHidden/>
              </w:rPr>
              <w:t>21</w:t>
            </w:r>
            <w:r w:rsidR="003F1AF0">
              <w:rPr>
                <w:noProof/>
                <w:webHidden/>
              </w:rPr>
              <w:fldChar w:fldCharType="end"/>
            </w:r>
          </w:hyperlink>
        </w:p>
        <w:p w14:paraId="53FD3EC7" w14:textId="77777777" w:rsidR="00024235" w:rsidRDefault="00024235">
          <w:r>
            <w:rPr>
              <w:b/>
              <w:bCs/>
              <w:noProof/>
            </w:rPr>
            <w:lastRenderedPageBreak/>
            <w:fldChar w:fldCharType="end"/>
          </w:r>
        </w:p>
      </w:sdtContent>
    </w:sdt>
    <w:p w14:paraId="68CA4F56" w14:textId="0153E51A" w:rsidR="001B1F57" w:rsidRPr="00E04768" w:rsidRDefault="005D767C" w:rsidP="005D767C">
      <w:pPr>
        <w:pStyle w:val="Heading1"/>
      </w:pPr>
      <w:bookmarkStart w:id="1" w:name="_Toc388275354"/>
      <w:r>
        <w:t xml:space="preserve">1 </w:t>
      </w:r>
      <w:r w:rsidR="001B1F57" w:rsidRPr="00E04768">
        <w:t>Introduction</w:t>
      </w:r>
      <w:bookmarkEnd w:id="1"/>
    </w:p>
    <w:p w14:paraId="26178381" w14:textId="77777777" w:rsidR="005D767C" w:rsidRDefault="005D767C" w:rsidP="006D3270"/>
    <w:p w14:paraId="373399C1" w14:textId="77777777" w:rsidR="00462037" w:rsidRDefault="001B1F57" w:rsidP="006D3270">
      <w:r>
        <w:t xml:space="preserve">This commissioner options appraisal should be read in conjunction with the </w:t>
      </w:r>
      <w:proofErr w:type="spellStart"/>
      <w:r>
        <w:t>NLaG</w:t>
      </w:r>
      <w:proofErr w:type="spellEnd"/>
      <w:r>
        <w:t xml:space="preserve"> business case for children’s surgery, which sets out the background information to the children</w:t>
      </w:r>
      <w:r w:rsidR="00F03EAE">
        <w:t>’s surgery</w:t>
      </w:r>
      <w:r w:rsidR="00462037">
        <w:t xml:space="preserve"> (Appendix 1)</w:t>
      </w:r>
      <w:r w:rsidR="00502073">
        <w:t>.</w:t>
      </w:r>
    </w:p>
    <w:p w14:paraId="4C0F851E" w14:textId="00131687" w:rsidR="006D3270" w:rsidRDefault="006D3270" w:rsidP="006D3270">
      <w:r>
        <w:t xml:space="preserve">The purpose of this paper is to provide the information required by the Council of Members from each of the Clinical Commissioning Groups, along with the Partnership Board from North East Lincolnshire Clinical Commissioning Group and the Governing Body from North Lincolnshire Clinical Commissioning Group to make a decision on how to address quality and safety concerns raised by the provider clinical teams.  </w:t>
      </w:r>
    </w:p>
    <w:p w14:paraId="5BB30F6C" w14:textId="77777777" w:rsidR="006D3270" w:rsidRDefault="006D3270" w:rsidP="006D3270">
      <w:pPr>
        <w:spacing w:after="0"/>
        <w:jc w:val="both"/>
      </w:pPr>
    </w:p>
    <w:p w14:paraId="6870C72D" w14:textId="77777777" w:rsidR="006D3270" w:rsidRDefault="006D3270">
      <w:pPr>
        <w:rPr>
          <w:rFonts w:asciiTheme="majorHAnsi" w:eastAsiaTheme="majorEastAsia" w:hAnsiTheme="majorHAnsi" w:cstheme="majorBidi"/>
          <w:color w:val="2E74B5" w:themeColor="accent1" w:themeShade="BF"/>
          <w:sz w:val="32"/>
          <w:szCs w:val="32"/>
        </w:rPr>
      </w:pPr>
      <w:r>
        <w:br w:type="page"/>
      </w:r>
    </w:p>
    <w:p w14:paraId="6144B512" w14:textId="19804200" w:rsidR="00374CCC" w:rsidRPr="00374CCC" w:rsidRDefault="00374CCC" w:rsidP="006D3270">
      <w:pPr>
        <w:pStyle w:val="Heading1"/>
        <w:numPr>
          <w:ilvl w:val="0"/>
          <w:numId w:val="36"/>
        </w:numPr>
      </w:pPr>
      <w:bookmarkStart w:id="2" w:name="_Toc388275355"/>
      <w:r w:rsidRPr="00374CCC">
        <w:lastRenderedPageBreak/>
        <w:t>Executive summary</w:t>
      </w:r>
      <w:bookmarkEnd w:id="2"/>
    </w:p>
    <w:p w14:paraId="30B1CD6E" w14:textId="77777777" w:rsidR="003A1A08" w:rsidRDefault="003A1A08" w:rsidP="003A1A08">
      <w:pPr>
        <w:spacing w:after="0"/>
        <w:jc w:val="both"/>
      </w:pPr>
    </w:p>
    <w:p w14:paraId="22A0AF20" w14:textId="45D55A9C" w:rsidR="00502073" w:rsidRDefault="00502073" w:rsidP="00502073">
      <w:pPr>
        <w:spacing w:after="0"/>
        <w:rPr>
          <w:rFonts w:cs="Arial"/>
        </w:rPr>
      </w:pPr>
      <w:r w:rsidRPr="00502073">
        <w:rPr>
          <w:rFonts w:cs="Arial"/>
        </w:rPr>
        <w:t xml:space="preserve">The delivery of surgical services for children in the United Kingdom has changed in the last 20 years and there has been a significant decline in the number of children who have surgery performed in district general hospitals over this time (NCEPOD 2011). Several reports have identified the need for improved and consistent care for paediatric surgical patients and significant changes have resulted </w:t>
      </w:r>
      <w:r>
        <w:rPr>
          <w:rFonts w:cs="Arial"/>
        </w:rPr>
        <w:t>in</w:t>
      </w:r>
      <w:r w:rsidRPr="00502073">
        <w:rPr>
          <w:rFonts w:cs="Arial"/>
        </w:rPr>
        <w:t xml:space="preserve"> the way paediatric surgery is led and delivered (Every Child Matters 2003, the Children’s Plan 2007, the NHS Next Stage Review 2008, </w:t>
      </w:r>
      <w:proofErr w:type="gramStart"/>
      <w:r w:rsidRPr="00502073">
        <w:rPr>
          <w:rFonts w:cs="Arial"/>
        </w:rPr>
        <w:t>RCPCH</w:t>
      </w:r>
      <w:proofErr w:type="gramEnd"/>
      <w:r w:rsidRPr="00502073">
        <w:rPr>
          <w:rFonts w:cs="Arial"/>
        </w:rPr>
        <w:t xml:space="preserve"> 2013). Improvements include specialisation and centralisation of children’s surgical services and modifications to staff training. </w:t>
      </w:r>
      <w:r w:rsidR="003A1A08">
        <w:rPr>
          <w:rFonts w:cs="Arial"/>
        </w:rPr>
        <w:t xml:space="preserve">  </w:t>
      </w:r>
      <w:r w:rsidRPr="00502073">
        <w:rPr>
          <w:rFonts w:cs="Arial"/>
        </w:rPr>
        <w:t xml:space="preserve">Recommendations were made that surgeons and anaesthetists should not undertake occasional paediatric practice and that consultants who have responsibility for children need to maintain their competence in the management of paediatrics. </w:t>
      </w:r>
      <w:r w:rsidR="003A1A08">
        <w:rPr>
          <w:rFonts w:cs="Arial"/>
        </w:rPr>
        <w:t xml:space="preserve">  Provider clinical teams have raised concerns that the volumes of children having surgery in Northern Lincolnshire do not give critical mass to maintain the specific expertise required for operating on children.</w:t>
      </w:r>
    </w:p>
    <w:p w14:paraId="5029B592" w14:textId="77777777" w:rsidR="007849E5" w:rsidRDefault="007849E5" w:rsidP="00502073">
      <w:pPr>
        <w:spacing w:after="0"/>
        <w:rPr>
          <w:rFonts w:cs="Arial"/>
        </w:rPr>
      </w:pPr>
    </w:p>
    <w:p w14:paraId="752FF28F" w14:textId="77777777" w:rsidR="00374CCC" w:rsidRDefault="00502073" w:rsidP="00374CCC">
      <w:pPr>
        <w:spacing w:after="0"/>
        <w:rPr>
          <w:rFonts w:cs="Arial"/>
        </w:rPr>
      </w:pPr>
      <w:r w:rsidRPr="00502073">
        <w:rPr>
          <w:rFonts w:cs="Arial"/>
        </w:rPr>
        <w:t xml:space="preserve">Within Northern Lincolnshire there already </w:t>
      </w:r>
      <w:proofErr w:type="gramStart"/>
      <w:r w:rsidRPr="00502073">
        <w:rPr>
          <w:rFonts w:cs="Arial"/>
        </w:rPr>
        <w:t>exists</w:t>
      </w:r>
      <w:proofErr w:type="gramEnd"/>
      <w:r w:rsidRPr="00502073">
        <w:rPr>
          <w:rFonts w:cs="Arial"/>
        </w:rPr>
        <w:t xml:space="preserve"> robust mechanisms which ensure complex paediatric care needs are met by </w:t>
      </w:r>
      <w:r w:rsidR="007849E5">
        <w:rPr>
          <w:rFonts w:cs="Arial"/>
        </w:rPr>
        <w:t>a tertiary provider.</w:t>
      </w:r>
      <w:r w:rsidRPr="00502073">
        <w:rPr>
          <w:rFonts w:cs="Arial"/>
        </w:rPr>
        <w:t xml:space="preserve"> </w:t>
      </w:r>
      <w:r w:rsidR="003A1A08">
        <w:rPr>
          <w:rFonts w:cs="Arial"/>
        </w:rPr>
        <w:t xml:space="preserve"> </w:t>
      </w:r>
      <w:r w:rsidRPr="00502073">
        <w:rPr>
          <w:rFonts w:cs="Arial"/>
        </w:rPr>
        <w:t xml:space="preserve">This </w:t>
      </w:r>
      <w:r w:rsidR="007849E5">
        <w:rPr>
          <w:rFonts w:cs="Arial"/>
        </w:rPr>
        <w:t xml:space="preserve">option appraisal document </w:t>
      </w:r>
      <w:r w:rsidR="003A1A08">
        <w:rPr>
          <w:rFonts w:cs="Arial"/>
        </w:rPr>
        <w:t xml:space="preserve">in conjunction with the </w:t>
      </w:r>
      <w:proofErr w:type="spellStart"/>
      <w:r w:rsidR="003A1A08">
        <w:rPr>
          <w:rFonts w:cs="Arial"/>
        </w:rPr>
        <w:t>NLaG</w:t>
      </w:r>
      <w:proofErr w:type="spellEnd"/>
      <w:r w:rsidR="003A1A08">
        <w:rPr>
          <w:rFonts w:cs="Arial"/>
        </w:rPr>
        <w:t xml:space="preserve"> children’s surgery paper </w:t>
      </w:r>
      <w:r w:rsidR="00E2156A">
        <w:rPr>
          <w:rFonts w:cs="Arial"/>
        </w:rPr>
        <w:t>considers a range of options for addressing the quality concerns raised by provider clinicians.</w:t>
      </w:r>
      <w:bookmarkStart w:id="3" w:name="_Toc387404753"/>
    </w:p>
    <w:p w14:paraId="09EF99A4" w14:textId="77777777" w:rsidR="00374CCC" w:rsidRDefault="00374CCC" w:rsidP="00374CCC">
      <w:pPr>
        <w:spacing w:after="0"/>
        <w:rPr>
          <w:rFonts w:cs="Arial"/>
        </w:rPr>
      </w:pPr>
    </w:p>
    <w:p w14:paraId="2CC64D12" w14:textId="3D3EDC25" w:rsidR="00E51E23" w:rsidRPr="00E51E23" w:rsidRDefault="00E51E23" w:rsidP="00374CCC">
      <w:pPr>
        <w:pStyle w:val="Heading2"/>
        <w:numPr>
          <w:ilvl w:val="1"/>
          <w:numId w:val="36"/>
        </w:numPr>
      </w:pPr>
      <w:bookmarkStart w:id="4" w:name="_Toc388275356"/>
      <w:r w:rsidRPr="00E51E23">
        <w:t>Options being considered</w:t>
      </w:r>
      <w:bookmarkEnd w:id="3"/>
      <w:bookmarkEnd w:id="4"/>
    </w:p>
    <w:p w14:paraId="4E87654F" w14:textId="77D79013" w:rsidR="00E51E23" w:rsidRPr="00E51E23" w:rsidRDefault="00E51E23" w:rsidP="00E51E23">
      <w:r w:rsidRPr="00E51E23">
        <w:t xml:space="preserve">Commissioners are reviewing a range of options to determine which is right for their health communities for the long term.  This thinking takes into consideration the safety and quality aspects of the service, drawing on national and regional guidance and clinical best practice recommendations for </w:t>
      </w:r>
      <w:r>
        <w:t>surgery on Children</w:t>
      </w:r>
      <w:r w:rsidRPr="00E51E23">
        <w:t xml:space="preserve"> services where they are available.  </w:t>
      </w:r>
    </w:p>
    <w:p w14:paraId="3B466343" w14:textId="7A2FC8E0" w:rsidR="00E51E23" w:rsidRPr="00E51E23" w:rsidRDefault="00E51E23" w:rsidP="00E51E23">
      <w:r w:rsidRPr="00E51E23">
        <w:t>Considerations on the location of the service take into account the impact of provision in different locations according to access, deliverability and cost.</w:t>
      </w:r>
    </w:p>
    <w:p w14:paraId="165AD9D5" w14:textId="77777777" w:rsidR="00E51E23" w:rsidRPr="00E51E23" w:rsidRDefault="00E51E23" w:rsidP="00E51E23">
      <w:r w:rsidRPr="00E51E23">
        <w:t>The options being considered by commissioners are:</w:t>
      </w:r>
    </w:p>
    <w:p w14:paraId="366387B6" w14:textId="798CD9B5" w:rsidR="00E51E23" w:rsidRPr="00E51E23" w:rsidRDefault="003A1A08" w:rsidP="00E51E23">
      <w:pPr>
        <w:numPr>
          <w:ilvl w:val="0"/>
          <w:numId w:val="4"/>
        </w:numPr>
        <w:spacing w:before="300" w:after="0" w:line="240" w:lineRule="auto"/>
        <w:contextualSpacing/>
        <w:rPr>
          <w:rFonts w:eastAsia="Arial" w:cs="Arial"/>
          <w:bCs/>
          <w:lang w:eastAsia="en-GB"/>
        </w:rPr>
      </w:pPr>
      <w:r>
        <w:rPr>
          <w:rFonts w:eastAsia="Arial" w:cs="Arial"/>
          <w:bCs/>
          <w:lang w:eastAsia="en-GB"/>
        </w:rPr>
        <w:t>Do nothing</w:t>
      </w:r>
    </w:p>
    <w:p w14:paraId="235A27F6" w14:textId="4157FF19" w:rsidR="00E51E23" w:rsidRPr="00E51E23" w:rsidRDefault="003A1A08" w:rsidP="00E51E23">
      <w:pPr>
        <w:numPr>
          <w:ilvl w:val="0"/>
          <w:numId w:val="4"/>
        </w:numPr>
        <w:spacing w:before="300" w:after="0" w:line="240" w:lineRule="auto"/>
        <w:contextualSpacing/>
        <w:rPr>
          <w:rFonts w:eastAsia="Arial" w:cs="Arial"/>
          <w:bCs/>
          <w:lang w:eastAsia="en-GB"/>
        </w:rPr>
      </w:pPr>
      <w:r>
        <w:rPr>
          <w:rFonts w:eastAsia="Arial" w:cs="Arial"/>
          <w:bCs/>
          <w:lang w:eastAsia="en-GB"/>
        </w:rPr>
        <w:t>Rotate c</w:t>
      </w:r>
      <w:r w:rsidR="00AD11BC">
        <w:rPr>
          <w:rFonts w:eastAsia="Arial" w:cs="Arial"/>
          <w:bCs/>
          <w:lang w:eastAsia="en-GB"/>
        </w:rPr>
        <w:t>onsultants between both sites</w:t>
      </w:r>
      <w:r w:rsidR="00E51E23" w:rsidRPr="00E51E23">
        <w:rPr>
          <w:rFonts w:eastAsia="Arial" w:cs="Arial"/>
          <w:bCs/>
          <w:lang w:eastAsia="en-GB"/>
        </w:rPr>
        <w:t xml:space="preserve"> </w:t>
      </w:r>
      <w:r>
        <w:rPr>
          <w:rFonts w:eastAsia="Arial" w:cs="Arial"/>
          <w:bCs/>
          <w:lang w:eastAsia="en-GB"/>
        </w:rPr>
        <w:t>for specialties where there are insufficient volumes</w:t>
      </w:r>
    </w:p>
    <w:p w14:paraId="54BBCFD9" w14:textId="108E5C78" w:rsidR="00E51E23" w:rsidRPr="00E51E23" w:rsidRDefault="00AD11BC" w:rsidP="00E51E23">
      <w:pPr>
        <w:numPr>
          <w:ilvl w:val="0"/>
          <w:numId w:val="4"/>
        </w:numPr>
        <w:spacing w:before="300" w:after="0" w:line="240" w:lineRule="auto"/>
        <w:contextualSpacing/>
        <w:rPr>
          <w:rFonts w:eastAsia="Arial" w:cs="Arial"/>
          <w:bCs/>
          <w:lang w:eastAsia="en-GB"/>
        </w:rPr>
      </w:pPr>
      <w:r>
        <w:rPr>
          <w:rFonts w:eastAsia="Arial" w:cs="Arial"/>
          <w:bCs/>
          <w:lang w:eastAsia="en-GB"/>
        </w:rPr>
        <w:t>Rotational training programme with tertiary centre/providers</w:t>
      </w:r>
    </w:p>
    <w:p w14:paraId="44219C9C" w14:textId="4F02F315" w:rsidR="00E51E23" w:rsidRDefault="00E51E23" w:rsidP="00E51E23">
      <w:pPr>
        <w:numPr>
          <w:ilvl w:val="0"/>
          <w:numId w:val="4"/>
        </w:numPr>
        <w:spacing w:before="300" w:after="0" w:line="240" w:lineRule="auto"/>
        <w:contextualSpacing/>
        <w:rPr>
          <w:rFonts w:eastAsia="Arial" w:cs="Arial"/>
          <w:bCs/>
          <w:lang w:eastAsia="en-GB"/>
        </w:rPr>
      </w:pPr>
      <w:r w:rsidRPr="00E51E23">
        <w:rPr>
          <w:rFonts w:eastAsia="Arial" w:cs="Arial"/>
          <w:bCs/>
          <w:lang w:eastAsia="en-GB"/>
        </w:rPr>
        <w:t xml:space="preserve">Decommission the local service and send all </w:t>
      </w:r>
      <w:r>
        <w:rPr>
          <w:rFonts w:eastAsia="Arial" w:cs="Arial"/>
          <w:bCs/>
          <w:lang w:eastAsia="en-GB"/>
        </w:rPr>
        <w:t xml:space="preserve">Children’s </w:t>
      </w:r>
      <w:r w:rsidRPr="00E51E23">
        <w:rPr>
          <w:rFonts w:eastAsia="Arial" w:cs="Arial"/>
          <w:bCs/>
          <w:lang w:eastAsia="en-GB"/>
        </w:rPr>
        <w:t>surg</w:t>
      </w:r>
      <w:r>
        <w:rPr>
          <w:rFonts w:eastAsia="Arial" w:cs="Arial"/>
          <w:bCs/>
          <w:lang w:eastAsia="en-GB"/>
        </w:rPr>
        <w:t>ery</w:t>
      </w:r>
      <w:r w:rsidRPr="00E51E23">
        <w:rPr>
          <w:rFonts w:eastAsia="Arial" w:cs="Arial"/>
          <w:bCs/>
          <w:lang w:eastAsia="en-GB"/>
        </w:rPr>
        <w:t xml:space="preserve"> to tertiary centres</w:t>
      </w:r>
    </w:p>
    <w:p w14:paraId="2EF5F5B6" w14:textId="77777777" w:rsidR="001B53A1" w:rsidRPr="00E51E23" w:rsidRDefault="001B53A1" w:rsidP="001B53A1">
      <w:pPr>
        <w:spacing w:before="300" w:after="0" w:line="240" w:lineRule="auto"/>
        <w:ind w:left="720"/>
        <w:contextualSpacing/>
        <w:rPr>
          <w:rFonts w:eastAsia="Arial" w:cs="Arial"/>
          <w:bCs/>
          <w:lang w:eastAsia="en-GB"/>
        </w:rPr>
      </w:pPr>
    </w:p>
    <w:p w14:paraId="4E7A16A9" w14:textId="2EAD553E" w:rsidR="00374CCC" w:rsidRDefault="00374CCC" w:rsidP="00374CCC">
      <w:pPr>
        <w:pStyle w:val="Heading2"/>
        <w:numPr>
          <w:ilvl w:val="1"/>
          <w:numId w:val="36"/>
        </w:numPr>
      </w:pPr>
      <w:bookmarkStart w:id="5" w:name="_Toc388275357"/>
      <w:r>
        <w:t>Programme Board recommendation</w:t>
      </w:r>
      <w:bookmarkEnd w:id="5"/>
    </w:p>
    <w:p w14:paraId="7A93D3CD" w14:textId="7ABC91E2" w:rsidR="00374CCC" w:rsidRDefault="00374CCC" w:rsidP="001B53A1">
      <w:r>
        <w:t xml:space="preserve">The programme board met to discuss the options listed above, and to review them against the evaluation criteria that was agreed for use with large scale change.  The outcome of this meeting was that options 1 and 2 were not acceptable for quality </w:t>
      </w:r>
      <w:proofErr w:type="gramStart"/>
      <w:r>
        <w:t>reasons,</w:t>
      </w:r>
      <w:proofErr w:type="gramEnd"/>
      <w:r>
        <w:t xml:space="preserve"> however the programme board </w:t>
      </w:r>
      <w:r w:rsidR="001B53A1">
        <w:t>did not feel that options 3 or 4 offered an acceptable solution to the quality issues raised.  Two additional options were suggested by the programme board for additional work prior to any decisions being taken</w:t>
      </w:r>
      <w:r w:rsidRPr="00374CCC">
        <w:t>:</w:t>
      </w:r>
    </w:p>
    <w:p w14:paraId="18651B3E" w14:textId="46208C4B" w:rsidR="001B53A1" w:rsidRPr="001B53A1" w:rsidRDefault="001B53A1" w:rsidP="001B53A1">
      <w:pPr>
        <w:pStyle w:val="ListParagraph"/>
        <w:numPr>
          <w:ilvl w:val="0"/>
          <w:numId w:val="4"/>
        </w:numPr>
        <w:spacing w:before="0" w:line="240" w:lineRule="auto"/>
        <w:rPr>
          <w:rFonts w:asciiTheme="minorHAnsi" w:hAnsiTheme="minorHAnsi"/>
        </w:rPr>
      </w:pPr>
      <w:r w:rsidRPr="001B53A1">
        <w:rPr>
          <w:rFonts w:asciiTheme="minorHAnsi" w:hAnsiTheme="minorHAnsi"/>
        </w:rPr>
        <w:t>Centralise the children’s surgery on SGH site</w:t>
      </w:r>
    </w:p>
    <w:p w14:paraId="723D4095" w14:textId="17871F8A" w:rsidR="001B53A1" w:rsidRDefault="001B53A1" w:rsidP="001B53A1">
      <w:pPr>
        <w:numPr>
          <w:ilvl w:val="0"/>
          <w:numId w:val="4"/>
        </w:numPr>
        <w:spacing w:after="0" w:line="240" w:lineRule="auto"/>
        <w:contextualSpacing/>
        <w:rPr>
          <w:rFonts w:eastAsia="Arial" w:cs="Arial"/>
          <w:bCs/>
          <w:lang w:eastAsia="en-GB"/>
        </w:rPr>
      </w:pPr>
      <w:r w:rsidRPr="001B53A1">
        <w:rPr>
          <w:rFonts w:eastAsia="Arial" w:cs="Arial"/>
          <w:bCs/>
          <w:lang w:eastAsia="en-GB"/>
        </w:rPr>
        <w:t>Centralise children’s surgery on DPOW site</w:t>
      </w:r>
    </w:p>
    <w:p w14:paraId="4436EEC1" w14:textId="77777777" w:rsidR="006D3270" w:rsidRDefault="006D3270" w:rsidP="006D3270">
      <w:pPr>
        <w:spacing w:after="0" w:line="240" w:lineRule="auto"/>
        <w:ind w:left="720"/>
        <w:contextualSpacing/>
        <w:rPr>
          <w:rFonts w:eastAsia="Arial" w:cs="Arial"/>
          <w:bCs/>
          <w:lang w:eastAsia="en-GB"/>
        </w:rPr>
      </w:pPr>
    </w:p>
    <w:p w14:paraId="4995E6A2" w14:textId="77777777" w:rsidR="006D3270" w:rsidRPr="001B53A1" w:rsidRDefault="006D3270" w:rsidP="006D3270">
      <w:pPr>
        <w:spacing w:after="0" w:line="240" w:lineRule="auto"/>
        <w:ind w:left="720"/>
        <w:contextualSpacing/>
        <w:rPr>
          <w:rFonts w:eastAsia="Arial" w:cs="Arial"/>
          <w:bCs/>
          <w:lang w:eastAsia="en-GB"/>
        </w:rPr>
      </w:pPr>
    </w:p>
    <w:p w14:paraId="7236B932" w14:textId="6835AB75" w:rsidR="001B53A1" w:rsidRDefault="001B53A1" w:rsidP="001B53A1">
      <w:pPr>
        <w:pStyle w:val="Heading2"/>
        <w:numPr>
          <w:ilvl w:val="1"/>
          <w:numId w:val="36"/>
        </w:numPr>
      </w:pPr>
      <w:bookmarkStart w:id="6" w:name="_Toc388275358"/>
      <w:r>
        <w:lastRenderedPageBreak/>
        <w:t>Next steps</w:t>
      </w:r>
      <w:bookmarkEnd w:id="6"/>
    </w:p>
    <w:p w14:paraId="7623F334" w14:textId="77777777" w:rsidR="005777ED" w:rsidRDefault="00E04768" w:rsidP="001B53A1">
      <w:r w:rsidRPr="00E04768">
        <w:t xml:space="preserve">It has not been possible to undertake the full business case review for this service at this time, so this paper provides the outline options appraisal for discussion.  </w:t>
      </w:r>
      <w:r w:rsidR="001B53A1">
        <w:t xml:space="preserve">The programme board recommendation is that options 5 and 6 are worked up </w:t>
      </w:r>
      <w:r w:rsidR="006D3270">
        <w:t xml:space="preserve">in more detail </w:t>
      </w:r>
      <w:r w:rsidR="001B53A1">
        <w:t>to</w:t>
      </w:r>
      <w:r w:rsidR="006D3270">
        <w:t xml:space="preserve"> allow a formal </w:t>
      </w:r>
      <w:r w:rsidR="001B53A1">
        <w:t xml:space="preserve">review </w:t>
      </w:r>
      <w:r w:rsidR="006D3270">
        <w:t xml:space="preserve">of </w:t>
      </w:r>
      <w:r w:rsidR="001B53A1">
        <w:t>benefits and risks</w:t>
      </w:r>
      <w:r w:rsidR="006D3270">
        <w:t xml:space="preserve">.  </w:t>
      </w:r>
    </w:p>
    <w:p w14:paraId="5B2E569E" w14:textId="5E499888" w:rsidR="005777ED" w:rsidRDefault="005777ED" w:rsidP="001B53A1">
      <w:r>
        <w:t>The provider clinicians have requested advice from the Clinical Senate on the safety and validity of these options.</w:t>
      </w:r>
    </w:p>
    <w:p w14:paraId="72267E6F" w14:textId="5C35FCBD" w:rsidR="001B53A1" w:rsidRDefault="006D3270" w:rsidP="001B53A1">
      <w:r>
        <w:t xml:space="preserve">These will then be taken through a </w:t>
      </w:r>
      <w:r w:rsidR="001B53A1">
        <w:t xml:space="preserve">public </w:t>
      </w:r>
      <w:r>
        <w:t xml:space="preserve">engagement phase to gain input from the public, </w:t>
      </w:r>
      <w:r w:rsidR="00E04768">
        <w:t>patients and our stakeholders, and the full business case content will be prepared at that time.</w:t>
      </w:r>
    </w:p>
    <w:p w14:paraId="36C9C8AA" w14:textId="77777777" w:rsidR="005777ED" w:rsidRPr="001B53A1" w:rsidRDefault="005777ED" w:rsidP="001B53A1"/>
    <w:p w14:paraId="13A30C13" w14:textId="77777777" w:rsidR="006D3270" w:rsidRDefault="006D3270">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7112EFF1" w14:textId="3CAEB2DD" w:rsidR="006D3270" w:rsidRPr="003B541C" w:rsidRDefault="006D3270" w:rsidP="006D3270">
      <w:pPr>
        <w:pStyle w:val="Heading1"/>
      </w:pPr>
      <w:bookmarkStart w:id="7" w:name="_Toc388003792"/>
      <w:bookmarkStart w:id="8" w:name="_Toc388275359"/>
      <w:r>
        <w:lastRenderedPageBreak/>
        <w:t>3. Evaluating the options</w:t>
      </w:r>
      <w:bookmarkEnd w:id="7"/>
      <w:bookmarkEnd w:id="8"/>
    </w:p>
    <w:p w14:paraId="7E8BF5D8" w14:textId="77777777" w:rsidR="006D3270" w:rsidRDefault="006D3270" w:rsidP="006D3270">
      <w:pPr>
        <w:spacing w:after="0" w:line="240" w:lineRule="auto"/>
      </w:pPr>
      <w:r>
        <w:t>Commissioners will use a range of information to consider the options including evidence around risks and benefits (as documented in this options appraisal), evaluation criteria and equality impact assessments.</w:t>
      </w:r>
    </w:p>
    <w:p w14:paraId="5A636511" w14:textId="77777777" w:rsidR="006D3270" w:rsidRDefault="006D3270" w:rsidP="006D3270">
      <w:pPr>
        <w:spacing w:after="0" w:line="240" w:lineRule="auto"/>
      </w:pPr>
    </w:p>
    <w:p w14:paraId="322911EC" w14:textId="77777777" w:rsidR="006D3270" w:rsidRDefault="006D3270" w:rsidP="006D3270">
      <w:pPr>
        <w:spacing w:after="0" w:line="240" w:lineRule="auto"/>
      </w:pPr>
      <w:r>
        <w:t>At the start of the programme commissioners developed an evaluation criteria to use as part of the decision making process to highlight benefits and dis-benefits with any significant service change areas.  These criteria are shown below:</w:t>
      </w:r>
    </w:p>
    <w:p w14:paraId="6CA14EEB" w14:textId="77777777" w:rsidR="006D3270" w:rsidRDefault="006D3270" w:rsidP="006D3270">
      <w:pPr>
        <w:spacing w:after="0" w:line="240" w:lineRule="auto"/>
      </w:pPr>
    </w:p>
    <w:p w14:paraId="035D7274" w14:textId="15108BE0" w:rsidR="006D3270" w:rsidRDefault="006D3270" w:rsidP="006D3270">
      <w:pPr>
        <w:pStyle w:val="Heading4"/>
      </w:pPr>
      <w:r>
        <w:t>Table 1 - Healthy Lives, Healthy Futures Evaluation Criteria</w:t>
      </w:r>
    </w:p>
    <w:tbl>
      <w:tblPr>
        <w:tblStyle w:val="TableGrid"/>
        <w:tblW w:w="0" w:type="auto"/>
        <w:tblLook w:val="04A0" w:firstRow="1" w:lastRow="0" w:firstColumn="1" w:lastColumn="0" w:noHBand="0" w:noVBand="1"/>
      </w:tblPr>
      <w:tblGrid>
        <w:gridCol w:w="2122"/>
        <w:gridCol w:w="6894"/>
      </w:tblGrid>
      <w:tr w:rsidR="006D3270" w14:paraId="5621D7F6" w14:textId="77777777" w:rsidTr="00462037">
        <w:tc>
          <w:tcPr>
            <w:tcW w:w="2122" w:type="dxa"/>
            <w:shd w:val="clear" w:color="auto" w:fill="767171" w:themeFill="background2" w:themeFillShade="80"/>
          </w:tcPr>
          <w:p w14:paraId="32FC80F7" w14:textId="77777777" w:rsidR="006D3270" w:rsidRPr="00D74CC1" w:rsidRDefault="006D3270" w:rsidP="00462037">
            <w:pPr>
              <w:rPr>
                <w:color w:val="FFFFFF" w:themeColor="background1"/>
                <w:sz w:val="18"/>
                <w:szCs w:val="18"/>
              </w:rPr>
            </w:pPr>
            <w:r w:rsidRPr="00D74CC1">
              <w:rPr>
                <w:color w:val="FFFFFF" w:themeColor="background1"/>
                <w:sz w:val="18"/>
                <w:szCs w:val="18"/>
              </w:rPr>
              <w:t>Criteria</w:t>
            </w:r>
          </w:p>
        </w:tc>
        <w:tc>
          <w:tcPr>
            <w:tcW w:w="6894" w:type="dxa"/>
            <w:shd w:val="clear" w:color="auto" w:fill="767171" w:themeFill="background2" w:themeFillShade="80"/>
          </w:tcPr>
          <w:p w14:paraId="1BEC5FBF" w14:textId="77777777" w:rsidR="006D3270" w:rsidRPr="00D74CC1" w:rsidRDefault="006D3270" w:rsidP="00462037">
            <w:pPr>
              <w:rPr>
                <w:color w:val="FFFFFF" w:themeColor="background1"/>
                <w:sz w:val="18"/>
                <w:szCs w:val="18"/>
              </w:rPr>
            </w:pPr>
            <w:r w:rsidRPr="00D74CC1">
              <w:rPr>
                <w:color w:val="FFFFFF" w:themeColor="background1"/>
                <w:sz w:val="18"/>
                <w:szCs w:val="18"/>
              </w:rPr>
              <w:t>Indicator</w:t>
            </w:r>
          </w:p>
        </w:tc>
      </w:tr>
      <w:tr w:rsidR="006D3270" w14:paraId="6B8DACC0" w14:textId="77777777" w:rsidTr="00462037">
        <w:tc>
          <w:tcPr>
            <w:tcW w:w="2122" w:type="dxa"/>
          </w:tcPr>
          <w:p w14:paraId="6B66CD55" w14:textId="77777777" w:rsidR="006D3270" w:rsidRPr="00D74CC1" w:rsidRDefault="006D3270" w:rsidP="00462037">
            <w:pPr>
              <w:rPr>
                <w:sz w:val="18"/>
                <w:szCs w:val="18"/>
              </w:rPr>
            </w:pPr>
            <w:r w:rsidRPr="00D74CC1">
              <w:rPr>
                <w:sz w:val="18"/>
                <w:szCs w:val="18"/>
              </w:rPr>
              <w:t>Quality of care</w:t>
            </w:r>
          </w:p>
        </w:tc>
        <w:tc>
          <w:tcPr>
            <w:tcW w:w="6894" w:type="dxa"/>
          </w:tcPr>
          <w:p w14:paraId="61E03555" w14:textId="77777777" w:rsidR="006D3270" w:rsidRPr="00D74CC1" w:rsidRDefault="006D3270" w:rsidP="00462037">
            <w:pPr>
              <w:numPr>
                <w:ilvl w:val="0"/>
                <w:numId w:val="1"/>
              </w:numPr>
              <w:rPr>
                <w:sz w:val="18"/>
                <w:szCs w:val="18"/>
              </w:rPr>
            </w:pPr>
            <w:r w:rsidRPr="00D74CC1">
              <w:rPr>
                <w:sz w:val="18"/>
                <w:szCs w:val="18"/>
              </w:rPr>
              <w:t>Impact on premature / avoidable deaths</w:t>
            </w:r>
          </w:p>
          <w:p w14:paraId="716AD6AB" w14:textId="77777777" w:rsidR="006D3270" w:rsidRPr="00D74CC1" w:rsidRDefault="006D3270" w:rsidP="00462037">
            <w:pPr>
              <w:numPr>
                <w:ilvl w:val="0"/>
                <w:numId w:val="1"/>
              </w:numPr>
              <w:rPr>
                <w:sz w:val="18"/>
                <w:szCs w:val="18"/>
              </w:rPr>
            </w:pPr>
            <w:r w:rsidRPr="00D74CC1">
              <w:rPr>
                <w:sz w:val="18"/>
                <w:szCs w:val="18"/>
              </w:rPr>
              <w:t xml:space="preserve">Impact on staffing levels </w:t>
            </w:r>
          </w:p>
          <w:p w14:paraId="2ABA4154" w14:textId="77777777" w:rsidR="006D3270" w:rsidRPr="00D74CC1" w:rsidRDefault="006D3270" w:rsidP="00462037">
            <w:pPr>
              <w:numPr>
                <w:ilvl w:val="0"/>
                <w:numId w:val="1"/>
              </w:numPr>
              <w:rPr>
                <w:sz w:val="18"/>
                <w:szCs w:val="18"/>
              </w:rPr>
            </w:pPr>
            <w:r w:rsidRPr="00D74CC1">
              <w:rPr>
                <w:sz w:val="18"/>
                <w:szCs w:val="18"/>
              </w:rPr>
              <w:t>Patient experience e.g. complaints and feedback</w:t>
            </w:r>
          </w:p>
          <w:p w14:paraId="4668F9E0" w14:textId="77777777" w:rsidR="006D3270" w:rsidRPr="00D74CC1" w:rsidRDefault="006D3270" w:rsidP="00462037">
            <w:pPr>
              <w:numPr>
                <w:ilvl w:val="0"/>
                <w:numId w:val="1"/>
              </w:numPr>
              <w:rPr>
                <w:sz w:val="18"/>
                <w:szCs w:val="18"/>
              </w:rPr>
            </w:pPr>
            <w:r w:rsidRPr="00D74CC1">
              <w:rPr>
                <w:sz w:val="18"/>
                <w:szCs w:val="18"/>
              </w:rPr>
              <w:t>Deaths in place of choice / place of residence (if applicable)</w:t>
            </w:r>
          </w:p>
          <w:p w14:paraId="4446CF5B" w14:textId="77777777" w:rsidR="006D3270" w:rsidRPr="00D74CC1" w:rsidRDefault="006D3270" w:rsidP="00462037">
            <w:pPr>
              <w:numPr>
                <w:ilvl w:val="0"/>
                <w:numId w:val="1"/>
              </w:numPr>
              <w:rPr>
                <w:sz w:val="18"/>
                <w:szCs w:val="18"/>
              </w:rPr>
            </w:pPr>
            <w:r w:rsidRPr="00D74CC1">
              <w:rPr>
                <w:sz w:val="18"/>
                <w:szCs w:val="18"/>
              </w:rPr>
              <w:t xml:space="preserve">Patient safety </w:t>
            </w:r>
            <w:r w:rsidRPr="00D74CC1">
              <w:rPr>
                <w:sz w:val="18"/>
                <w:szCs w:val="18"/>
                <w:lang w:val="en-US"/>
              </w:rPr>
              <w:t>– conforming with best practice / guidelines</w:t>
            </w:r>
          </w:p>
        </w:tc>
      </w:tr>
      <w:tr w:rsidR="006D3270" w14:paraId="44AA8F38" w14:textId="77777777" w:rsidTr="00462037">
        <w:tc>
          <w:tcPr>
            <w:tcW w:w="2122" w:type="dxa"/>
          </w:tcPr>
          <w:p w14:paraId="352921A9" w14:textId="77777777" w:rsidR="006D3270" w:rsidRPr="00D74CC1" w:rsidRDefault="006D3270" w:rsidP="00462037">
            <w:pPr>
              <w:rPr>
                <w:sz w:val="18"/>
                <w:szCs w:val="18"/>
              </w:rPr>
            </w:pPr>
            <w:r w:rsidRPr="00D74CC1">
              <w:rPr>
                <w:sz w:val="18"/>
                <w:szCs w:val="18"/>
              </w:rPr>
              <w:t>Access to care</w:t>
            </w:r>
          </w:p>
        </w:tc>
        <w:tc>
          <w:tcPr>
            <w:tcW w:w="6894" w:type="dxa"/>
          </w:tcPr>
          <w:p w14:paraId="05FD170E" w14:textId="77777777" w:rsidR="006D3270" w:rsidRPr="00D74CC1" w:rsidRDefault="006D3270" w:rsidP="00462037">
            <w:pPr>
              <w:numPr>
                <w:ilvl w:val="0"/>
                <w:numId w:val="1"/>
              </w:numPr>
              <w:tabs>
                <w:tab w:val="num" w:pos="1440"/>
              </w:tabs>
              <w:rPr>
                <w:sz w:val="18"/>
                <w:szCs w:val="18"/>
              </w:rPr>
            </w:pPr>
            <w:r w:rsidRPr="00D74CC1">
              <w:rPr>
                <w:sz w:val="18"/>
                <w:szCs w:val="18"/>
              </w:rPr>
              <w:t>Impact on population weighted average travel time</w:t>
            </w:r>
          </w:p>
          <w:p w14:paraId="596A3293" w14:textId="77777777" w:rsidR="006D3270" w:rsidRPr="00D74CC1" w:rsidRDefault="006D3270" w:rsidP="00462037">
            <w:pPr>
              <w:numPr>
                <w:ilvl w:val="0"/>
                <w:numId w:val="1"/>
              </w:numPr>
              <w:tabs>
                <w:tab w:val="num" w:pos="1440"/>
              </w:tabs>
              <w:rPr>
                <w:sz w:val="18"/>
                <w:szCs w:val="18"/>
              </w:rPr>
            </w:pPr>
            <w:r w:rsidRPr="00D74CC1">
              <w:rPr>
                <w:sz w:val="18"/>
                <w:szCs w:val="18"/>
              </w:rPr>
              <w:t>Feedback from patients and public – i.e. acceptability, willingness to travel</w:t>
            </w:r>
          </w:p>
          <w:p w14:paraId="5A231DF9" w14:textId="77777777" w:rsidR="006D3270" w:rsidRPr="00D74CC1" w:rsidRDefault="006D3270" w:rsidP="00462037">
            <w:pPr>
              <w:numPr>
                <w:ilvl w:val="0"/>
                <w:numId w:val="1"/>
              </w:numPr>
              <w:tabs>
                <w:tab w:val="num" w:pos="1440"/>
              </w:tabs>
              <w:rPr>
                <w:sz w:val="18"/>
                <w:szCs w:val="18"/>
              </w:rPr>
            </w:pPr>
            <w:r w:rsidRPr="00D74CC1">
              <w:rPr>
                <w:sz w:val="18"/>
                <w:szCs w:val="18"/>
              </w:rPr>
              <w:t>Proportion of visits/interventions delivered locally in the community or in patients’ homes</w:t>
            </w:r>
          </w:p>
          <w:p w14:paraId="1041BADE" w14:textId="77777777" w:rsidR="006D3270" w:rsidRPr="00D74CC1" w:rsidRDefault="006D3270" w:rsidP="00462037">
            <w:pPr>
              <w:numPr>
                <w:ilvl w:val="0"/>
                <w:numId w:val="1"/>
              </w:numPr>
              <w:tabs>
                <w:tab w:val="num" w:pos="1440"/>
              </w:tabs>
              <w:rPr>
                <w:sz w:val="18"/>
                <w:szCs w:val="18"/>
              </w:rPr>
            </w:pPr>
            <w:r w:rsidRPr="00D74CC1">
              <w:rPr>
                <w:sz w:val="18"/>
                <w:szCs w:val="18"/>
              </w:rPr>
              <w:t>Number of options available for service delivery to local patients (i.e. patient choice)</w:t>
            </w:r>
          </w:p>
        </w:tc>
      </w:tr>
      <w:tr w:rsidR="006D3270" w14:paraId="3CB750CD" w14:textId="77777777" w:rsidTr="00462037">
        <w:tc>
          <w:tcPr>
            <w:tcW w:w="2122" w:type="dxa"/>
          </w:tcPr>
          <w:p w14:paraId="5E453680" w14:textId="77777777" w:rsidR="006D3270" w:rsidRPr="00D74CC1" w:rsidRDefault="006D3270" w:rsidP="00462037">
            <w:pPr>
              <w:rPr>
                <w:sz w:val="18"/>
                <w:szCs w:val="18"/>
              </w:rPr>
            </w:pPr>
            <w:r w:rsidRPr="00D74CC1">
              <w:rPr>
                <w:sz w:val="18"/>
                <w:szCs w:val="18"/>
              </w:rPr>
              <w:t>Affordability</w:t>
            </w:r>
          </w:p>
        </w:tc>
        <w:tc>
          <w:tcPr>
            <w:tcW w:w="6894" w:type="dxa"/>
          </w:tcPr>
          <w:p w14:paraId="2048C091" w14:textId="77777777" w:rsidR="006D3270" w:rsidRPr="00D74CC1" w:rsidRDefault="006D3270" w:rsidP="00462037">
            <w:pPr>
              <w:numPr>
                <w:ilvl w:val="0"/>
                <w:numId w:val="1"/>
              </w:numPr>
              <w:tabs>
                <w:tab w:val="num" w:pos="1440"/>
              </w:tabs>
              <w:rPr>
                <w:sz w:val="18"/>
                <w:szCs w:val="18"/>
              </w:rPr>
            </w:pPr>
            <w:r w:rsidRPr="00D74CC1">
              <w:rPr>
                <w:sz w:val="18"/>
                <w:szCs w:val="18"/>
              </w:rPr>
              <w:t>Up front capital and other non-recurring costs required to implement reconfiguration</w:t>
            </w:r>
          </w:p>
          <w:p w14:paraId="22103C04" w14:textId="77777777" w:rsidR="006D3270" w:rsidRPr="00D74CC1" w:rsidRDefault="006D3270" w:rsidP="00462037">
            <w:pPr>
              <w:numPr>
                <w:ilvl w:val="0"/>
                <w:numId w:val="1"/>
              </w:numPr>
              <w:tabs>
                <w:tab w:val="num" w:pos="1440"/>
              </w:tabs>
              <w:rPr>
                <w:sz w:val="18"/>
                <w:szCs w:val="18"/>
              </w:rPr>
            </w:pPr>
            <w:r w:rsidRPr="00D74CC1">
              <w:rPr>
                <w:sz w:val="18"/>
                <w:szCs w:val="18"/>
              </w:rPr>
              <w:t xml:space="preserve">Assessment of </w:t>
            </w:r>
            <w:proofErr w:type="spellStart"/>
            <w:r w:rsidRPr="00D74CC1">
              <w:rPr>
                <w:sz w:val="18"/>
                <w:szCs w:val="18"/>
              </w:rPr>
              <w:t>ongoing</w:t>
            </w:r>
            <w:proofErr w:type="spellEnd"/>
            <w:r w:rsidRPr="00D74CC1">
              <w:rPr>
                <w:sz w:val="18"/>
                <w:szCs w:val="18"/>
              </w:rPr>
              <w:t xml:space="preserve"> financial viability of hospital sites</w:t>
            </w:r>
          </w:p>
          <w:p w14:paraId="63DB27EA" w14:textId="77777777" w:rsidR="006D3270" w:rsidRPr="00D74CC1" w:rsidRDefault="006D3270" w:rsidP="00462037">
            <w:pPr>
              <w:numPr>
                <w:ilvl w:val="0"/>
                <w:numId w:val="1"/>
              </w:numPr>
              <w:tabs>
                <w:tab w:val="num" w:pos="1440"/>
              </w:tabs>
              <w:rPr>
                <w:sz w:val="18"/>
                <w:szCs w:val="18"/>
              </w:rPr>
            </w:pPr>
            <w:r w:rsidRPr="00D74CC1">
              <w:rPr>
                <w:sz w:val="18"/>
                <w:szCs w:val="18"/>
              </w:rPr>
              <w:t>Assessment of affordability within commissioners allocations</w:t>
            </w:r>
          </w:p>
          <w:p w14:paraId="69971A44" w14:textId="77777777" w:rsidR="006D3270" w:rsidRPr="00D74CC1" w:rsidRDefault="006D3270" w:rsidP="00462037">
            <w:pPr>
              <w:numPr>
                <w:ilvl w:val="0"/>
                <w:numId w:val="1"/>
              </w:numPr>
              <w:tabs>
                <w:tab w:val="num" w:pos="1440"/>
              </w:tabs>
              <w:rPr>
                <w:sz w:val="18"/>
                <w:szCs w:val="18"/>
              </w:rPr>
            </w:pPr>
            <w:r w:rsidRPr="00D74CC1">
              <w:rPr>
                <w:sz w:val="18"/>
                <w:szCs w:val="18"/>
              </w:rPr>
              <w:t>Total value of each option incorporating future capital and revenue implications</w:t>
            </w:r>
          </w:p>
          <w:p w14:paraId="64D78FDF" w14:textId="77777777" w:rsidR="006D3270" w:rsidRPr="00D74CC1" w:rsidRDefault="006D3270" w:rsidP="00462037">
            <w:pPr>
              <w:numPr>
                <w:ilvl w:val="0"/>
                <w:numId w:val="1"/>
              </w:numPr>
              <w:tabs>
                <w:tab w:val="num" w:pos="1440"/>
              </w:tabs>
              <w:rPr>
                <w:sz w:val="18"/>
                <w:szCs w:val="18"/>
              </w:rPr>
            </w:pPr>
            <w:r w:rsidRPr="00D74CC1">
              <w:rPr>
                <w:sz w:val="18"/>
                <w:szCs w:val="18"/>
              </w:rPr>
              <w:t>Assessment of payback period (if applicable)</w:t>
            </w:r>
          </w:p>
        </w:tc>
      </w:tr>
      <w:tr w:rsidR="006D3270" w14:paraId="4D588FF8" w14:textId="77777777" w:rsidTr="00462037">
        <w:tc>
          <w:tcPr>
            <w:tcW w:w="2122" w:type="dxa"/>
          </w:tcPr>
          <w:p w14:paraId="5FA3ACCD" w14:textId="77777777" w:rsidR="006D3270" w:rsidRPr="00D74CC1" w:rsidRDefault="006D3270" w:rsidP="00462037">
            <w:pPr>
              <w:rPr>
                <w:sz w:val="18"/>
                <w:szCs w:val="18"/>
              </w:rPr>
            </w:pPr>
            <w:r w:rsidRPr="00D74CC1">
              <w:rPr>
                <w:sz w:val="18"/>
                <w:szCs w:val="18"/>
              </w:rPr>
              <w:t>Deliverability</w:t>
            </w:r>
          </w:p>
        </w:tc>
        <w:tc>
          <w:tcPr>
            <w:tcW w:w="6894" w:type="dxa"/>
          </w:tcPr>
          <w:p w14:paraId="252916A1" w14:textId="77777777" w:rsidR="006D3270" w:rsidRPr="00D74CC1" w:rsidRDefault="006D3270" w:rsidP="00462037">
            <w:pPr>
              <w:numPr>
                <w:ilvl w:val="0"/>
                <w:numId w:val="1"/>
              </w:numPr>
              <w:tabs>
                <w:tab w:val="num" w:pos="1440"/>
              </w:tabs>
              <w:rPr>
                <w:sz w:val="18"/>
                <w:szCs w:val="18"/>
              </w:rPr>
            </w:pPr>
            <w:r w:rsidRPr="00D74CC1">
              <w:rPr>
                <w:sz w:val="18"/>
                <w:szCs w:val="18"/>
              </w:rPr>
              <w:t>Workforce experience/quality (attractiveness for employment)</w:t>
            </w:r>
          </w:p>
          <w:p w14:paraId="3455F661" w14:textId="77777777" w:rsidR="006D3270" w:rsidRPr="00D74CC1" w:rsidRDefault="006D3270" w:rsidP="00462037">
            <w:pPr>
              <w:numPr>
                <w:ilvl w:val="0"/>
                <w:numId w:val="1"/>
              </w:numPr>
              <w:tabs>
                <w:tab w:val="num" w:pos="1440"/>
              </w:tabs>
              <w:rPr>
                <w:sz w:val="18"/>
                <w:szCs w:val="18"/>
              </w:rPr>
            </w:pPr>
            <w:r w:rsidRPr="00D74CC1">
              <w:rPr>
                <w:sz w:val="18"/>
                <w:szCs w:val="18"/>
              </w:rPr>
              <w:t>Assessment of ease of delivering option in terms of public and stakeholder acceptability</w:t>
            </w:r>
          </w:p>
          <w:p w14:paraId="60D9C38C" w14:textId="77777777" w:rsidR="006D3270" w:rsidRPr="00D74CC1" w:rsidRDefault="006D3270" w:rsidP="00462037">
            <w:pPr>
              <w:numPr>
                <w:ilvl w:val="0"/>
                <w:numId w:val="1"/>
              </w:numPr>
              <w:tabs>
                <w:tab w:val="num" w:pos="1440"/>
              </w:tabs>
              <w:rPr>
                <w:sz w:val="18"/>
                <w:szCs w:val="18"/>
              </w:rPr>
            </w:pPr>
            <w:r w:rsidRPr="00D74CC1">
              <w:rPr>
                <w:sz w:val="18"/>
                <w:szCs w:val="18"/>
              </w:rPr>
              <w:t>Assessment of ease of creating required capacity shifts within timescales (workforce and physical facilities)</w:t>
            </w:r>
          </w:p>
          <w:p w14:paraId="1D2FC9AC" w14:textId="77777777" w:rsidR="006D3270" w:rsidRPr="00D74CC1" w:rsidRDefault="006D3270" w:rsidP="00462037">
            <w:pPr>
              <w:numPr>
                <w:ilvl w:val="0"/>
                <w:numId w:val="1"/>
              </w:numPr>
              <w:tabs>
                <w:tab w:val="num" w:pos="1440"/>
              </w:tabs>
              <w:rPr>
                <w:sz w:val="18"/>
                <w:szCs w:val="18"/>
              </w:rPr>
            </w:pPr>
            <w:r w:rsidRPr="00D74CC1">
              <w:rPr>
                <w:sz w:val="18"/>
                <w:szCs w:val="18"/>
                <w:lang w:val="en-US"/>
              </w:rPr>
              <w:t>Degree of integration across acute, primary, community and mental health services</w:t>
            </w:r>
          </w:p>
        </w:tc>
      </w:tr>
    </w:tbl>
    <w:p w14:paraId="5997F7AE" w14:textId="77777777" w:rsidR="006D3270" w:rsidRDefault="006D3270" w:rsidP="006D3270">
      <w:pPr>
        <w:spacing w:after="0" w:line="240" w:lineRule="auto"/>
      </w:pPr>
    </w:p>
    <w:p w14:paraId="3605BF34" w14:textId="77777777" w:rsidR="006D3270" w:rsidRDefault="006D3270" w:rsidP="006D3270">
      <w:pPr>
        <w:spacing w:after="0" w:line="240" w:lineRule="auto"/>
      </w:pPr>
      <w:r>
        <w:t>Commissioners agree that quality of care should be the highest priority when it comes to decisions about service provision.  However it is important to balance the other elements of the criteria to ensure that our services are maintained with the right level of skilled workforce, at locations that are accessible for patients, and in a way that uses the scarce resources as efficiently as possible.</w:t>
      </w:r>
    </w:p>
    <w:p w14:paraId="15850470" w14:textId="77777777" w:rsidR="006D3270" w:rsidRDefault="006D3270" w:rsidP="006D3270">
      <w:pPr>
        <w:spacing w:after="0" w:line="240" w:lineRule="auto"/>
      </w:pPr>
    </w:p>
    <w:p w14:paraId="2B07E84C" w14:textId="77777777" w:rsidR="006D3270" w:rsidRDefault="006D3270" w:rsidP="006D3270">
      <w:pPr>
        <w:spacing w:after="0" w:line="240" w:lineRule="auto"/>
      </w:pPr>
      <w:r>
        <w:t>As part of the engagement processes patients and the public were asked about the evaluation criteria headings and how they would prioritise them.  Over 80% of people felt that quality of care should be rated the highest priority when considering service change ideas.  It has been agreed that the quality and safety criteria will be weighted accordingly when it comes to making decisions about changes to the service including hyper-acute stroke.</w:t>
      </w:r>
    </w:p>
    <w:p w14:paraId="69677A82" w14:textId="77777777" w:rsidR="006D3270" w:rsidRDefault="006D3270" w:rsidP="006D3270">
      <w:pPr>
        <w:spacing w:after="0" w:line="240" w:lineRule="auto"/>
      </w:pPr>
    </w:p>
    <w:p w14:paraId="41D3B155" w14:textId="4DC49E79" w:rsidR="006D3270" w:rsidRDefault="006D3270" w:rsidP="006D3270">
      <w:pPr>
        <w:spacing w:after="0" w:line="240" w:lineRule="auto"/>
      </w:pPr>
      <w:r>
        <w:t>The evaluation process has been documented in Appendix 2.</w:t>
      </w:r>
    </w:p>
    <w:p w14:paraId="7146D721" w14:textId="77777777" w:rsidR="006D3270" w:rsidRDefault="006D3270" w:rsidP="006D3270">
      <w:pPr>
        <w:spacing w:after="0" w:line="240" w:lineRule="auto"/>
      </w:pPr>
    </w:p>
    <w:p w14:paraId="664A4B3F" w14:textId="77777777" w:rsidR="00462037" w:rsidRDefault="00462037">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4B358B13" w14:textId="065D5821" w:rsidR="00462037" w:rsidRDefault="00462037" w:rsidP="00462037">
      <w:pPr>
        <w:pStyle w:val="Heading1"/>
      </w:pPr>
      <w:bookmarkStart w:id="9" w:name="_Toc388003793"/>
      <w:bookmarkStart w:id="10" w:name="_Toc388275360"/>
      <w:r>
        <w:lastRenderedPageBreak/>
        <w:t>4. Equality Impact Assessment (EQIA)</w:t>
      </w:r>
      <w:bookmarkEnd w:id="9"/>
      <w:bookmarkEnd w:id="10"/>
    </w:p>
    <w:p w14:paraId="602533EA" w14:textId="77777777" w:rsidR="00462037" w:rsidRDefault="00462037" w:rsidP="00462037">
      <w:pPr>
        <w:rPr>
          <w:bCs/>
        </w:rPr>
      </w:pPr>
      <w:r>
        <w:t>Commissioners are committed to achieving equality, celebrating diversity, promoting inclusion and embracing human rights as set out in the NHS Constitution, and in line with the public sector equality duty outlined in the Equality Act 2010.  This includes paying due regard to e</w:t>
      </w:r>
      <w:r>
        <w:rPr>
          <w:bCs/>
        </w:rPr>
        <w:t>liminating</w:t>
      </w:r>
      <w:r w:rsidRPr="00AD1F39">
        <w:rPr>
          <w:bCs/>
        </w:rPr>
        <w:t xml:space="preserve"> unlawful discrimination</w:t>
      </w:r>
      <w:r>
        <w:rPr>
          <w:bCs/>
        </w:rPr>
        <w:t>, advancing equality of opportunity and fostering good relationships between equality groups.</w:t>
      </w:r>
    </w:p>
    <w:p w14:paraId="0E4573F3" w14:textId="77777777" w:rsidR="00462037" w:rsidRDefault="00462037" w:rsidP="00462037">
      <w:r>
        <w:t>There are 9 “protected” characteristics that the Equality Act defines:</w:t>
      </w:r>
    </w:p>
    <w:p w14:paraId="197DDFE3" w14:textId="77777777" w:rsidR="00462037" w:rsidRPr="001B54F8" w:rsidRDefault="00462037" w:rsidP="00462037">
      <w:pPr>
        <w:pStyle w:val="Default"/>
        <w:numPr>
          <w:ilvl w:val="0"/>
          <w:numId w:val="2"/>
        </w:numPr>
        <w:ind w:right="-1"/>
        <w:jc w:val="both"/>
        <w:rPr>
          <w:rFonts w:asciiTheme="minorHAnsi" w:hAnsiTheme="minorHAnsi"/>
          <w:bCs/>
          <w:sz w:val="22"/>
          <w:szCs w:val="22"/>
        </w:rPr>
      </w:pPr>
      <w:r w:rsidRPr="001B54F8">
        <w:rPr>
          <w:rFonts w:asciiTheme="minorHAnsi" w:hAnsiTheme="minorHAnsi"/>
          <w:bCs/>
          <w:sz w:val="22"/>
          <w:szCs w:val="22"/>
        </w:rPr>
        <w:t>Age</w:t>
      </w:r>
    </w:p>
    <w:p w14:paraId="0D02BA32" w14:textId="77777777" w:rsidR="00462037" w:rsidRPr="001B54F8" w:rsidRDefault="00462037" w:rsidP="00462037">
      <w:pPr>
        <w:pStyle w:val="Default"/>
        <w:numPr>
          <w:ilvl w:val="0"/>
          <w:numId w:val="2"/>
        </w:numPr>
        <w:ind w:right="-1"/>
        <w:jc w:val="both"/>
        <w:rPr>
          <w:rFonts w:asciiTheme="minorHAnsi" w:hAnsiTheme="minorHAnsi"/>
          <w:bCs/>
          <w:sz w:val="22"/>
          <w:szCs w:val="22"/>
        </w:rPr>
      </w:pPr>
      <w:r w:rsidRPr="001B54F8">
        <w:rPr>
          <w:rFonts w:asciiTheme="minorHAnsi" w:hAnsiTheme="minorHAnsi"/>
          <w:bCs/>
          <w:sz w:val="22"/>
          <w:szCs w:val="22"/>
        </w:rPr>
        <w:t>Disability</w:t>
      </w:r>
    </w:p>
    <w:p w14:paraId="3CADC284" w14:textId="77777777" w:rsidR="00462037" w:rsidRPr="001B54F8" w:rsidRDefault="00462037" w:rsidP="00462037">
      <w:pPr>
        <w:pStyle w:val="Default"/>
        <w:numPr>
          <w:ilvl w:val="0"/>
          <w:numId w:val="2"/>
        </w:numPr>
        <w:ind w:right="-1"/>
        <w:jc w:val="both"/>
        <w:rPr>
          <w:rFonts w:asciiTheme="minorHAnsi" w:hAnsiTheme="minorHAnsi"/>
          <w:bCs/>
          <w:sz w:val="22"/>
          <w:szCs w:val="22"/>
        </w:rPr>
      </w:pPr>
      <w:r w:rsidRPr="001B54F8">
        <w:rPr>
          <w:rFonts w:asciiTheme="minorHAnsi" w:hAnsiTheme="minorHAnsi"/>
          <w:bCs/>
          <w:sz w:val="22"/>
          <w:szCs w:val="22"/>
        </w:rPr>
        <w:t>Gender re-assignment</w:t>
      </w:r>
    </w:p>
    <w:p w14:paraId="710C1E30" w14:textId="77777777" w:rsidR="00462037" w:rsidRPr="001B54F8" w:rsidRDefault="00462037" w:rsidP="00462037">
      <w:pPr>
        <w:pStyle w:val="Default"/>
        <w:numPr>
          <w:ilvl w:val="0"/>
          <w:numId w:val="2"/>
        </w:numPr>
        <w:ind w:right="-1"/>
        <w:jc w:val="both"/>
        <w:rPr>
          <w:rFonts w:asciiTheme="minorHAnsi" w:hAnsiTheme="minorHAnsi"/>
          <w:bCs/>
          <w:sz w:val="22"/>
          <w:szCs w:val="22"/>
        </w:rPr>
      </w:pPr>
      <w:r w:rsidRPr="001B54F8">
        <w:rPr>
          <w:rFonts w:asciiTheme="minorHAnsi" w:hAnsiTheme="minorHAnsi"/>
          <w:bCs/>
          <w:sz w:val="22"/>
          <w:szCs w:val="22"/>
        </w:rPr>
        <w:t>Marriage and Civil partnership</w:t>
      </w:r>
    </w:p>
    <w:p w14:paraId="78EF0847" w14:textId="77777777" w:rsidR="00462037" w:rsidRPr="001B54F8" w:rsidRDefault="00462037" w:rsidP="00462037">
      <w:pPr>
        <w:pStyle w:val="Default"/>
        <w:numPr>
          <w:ilvl w:val="0"/>
          <w:numId w:val="2"/>
        </w:numPr>
        <w:ind w:right="-1"/>
        <w:jc w:val="both"/>
        <w:rPr>
          <w:rFonts w:asciiTheme="minorHAnsi" w:hAnsiTheme="minorHAnsi"/>
          <w:bCs/>
          <w:sz w:val="22"/>
          <w:szCs w:val="22"/>
        </w:rPr>
      </w:pPr>
      <w:r w:rsidRPr="001B54F8">
        <w:rPr>
          <w:rFonts w:asciiTheme="minorHAnsi" w:hAnsiTheme="minorHAnsi"/>
          <w:bCs/>
          <w:sz w:val="22"/>
          <w:szCs w:val="22"/>
        </w:rPr>
        <w:t>Pregnancy and maternity</w:t>
      </w:r>
    </w:p>
    <w:p w14:paraId="051D7AEA" w14:textId="77777777" w:rsidR="00462037" w:rsidRPr="001B54F8" w:rsidRDefault="00462037" w:rsidP="00462037">
      <w:pPr>
        <w:pStyle w:val="Default"/>
        <w:numPr>
          <w:ilvl w:val="0"/>
          <w:numId w:val="2"/>
        </w:numPr>
        <w:ind w:right="-1"/>
        <w:jc w:val="both"/>
        <w:rPr>
          <w:rFonts w:asciiTheme="minorHAnsi" w:hAnsiTheme="minorHAnsi"/>
          <w:bCs/>
          <w:sz w:val="22"/>
          <w:szCs w:val="22"/>
        </w:rPr>
      </w:pPr>
      <w:r w:rsidRPr="001B54F8">
        <w:rPr>
          <w:rFonts w:asciiTheme="minorHAnsi" w:hAnsiTheme="minorHAnsi"/>
          <w:bCs/>
          <w:sz w:val="22"/>
          <w:szCs w:val="22"/>
        </w:rPr>
        <w:t>Race</w:t>
      </w:r>
    </w:p>
    <w:p w14:paraId="570124DE" w14:textId="77777777" w:rsidR="00462037" w:rsidRPr="001B54F8" w:rsidRDefault="00462037" w:rsidP="00462037">
      <w:pPr>
        <w:pStyle w:val="Default"/>
        <w:numPr>
          <w:ilvl w:val="0"/>
          <w:numId w:val="2"/>
        </w:numPr>
        <w:ind w:right="-1"/>
        <w:jc w:val="both"/>
        <w:rPr>
          <w:rFonts w:asciiTheme="minorHAnsi" w:hAnsiTheme="minorHAnsi"/>
          <w:bCs/>
          <w:sz w:val="22"/>
          <w:szCs w:val="22"/>
        </w:rPr>
      </w:pPr>
      <w:r w:rsidRPr="001B54F8">
        <w:rPr>
          <w:rFonts w:asciiTheme="minorHAnsi" w:hAnsiTheme="minorHAnsi"/>
          <w:bCs/>
          <w:sz w:val="22"/>
          <w:szCs w:val="22"/>
        </w:rPr>
        <w:t>Religion or belief</w:t>
      </w:r>
    </w:p>
    <w:p w14:paraId="61F04BE3" w14:textId="77777777" w:rsidR="00462037" w:rsidRPr="001B54F8" w:rsidRDefault="00462037" w:rsidP="00462037">
      <w:pPr>
        <w:pStyle w:val="Default"/>
        <w:numPr>
          <w:ilvl w:val="0"/>
          <w:numId w:val="2"/>
        </w:numPr>
        <w:ind w:right="-1"/>
        <w:jc w:val="both"/>
        <w:rPr>
          <w:rFonts w:asciiTheme="minorHAnsi" w:hAnsiTheme="minorHAnsi"/>
          <w:bCs/>
          <w:sz w:val="22"/>
          <w:szCs w:val="22"/>
        </w:rPr>
      </w:pPr>
      <w:r w:rsidRPr="001B54F8">
        <w:rPr>
          <w:rFonts w:asciiTheme="minorHAnsi" w:hAnsiTheme="minorHAnsi"/>
          <w:bCs/>
          <w:sz w:val="22"/>
          <w:szCs w:val="22"/>
        </w:rPr>
        <w:t>Sex</w:t>
      </w:r>
    </w:p>
    <w:p w14:paraId="5A9C2B3D" w14:textId="77777777" w:rsidR="00462037" w:rsidRDefault="00462037" w:rsidP="00462037">
      <w:pPr>
        <w:pStyle w:val="Default"/>
        <w:numPr>
          <w:ilvl w:val="0"/>
          <w:numId w:val="2"/>
        </w:numPr>
        <w:ind w:right="-1"/>
        <w:jc w:val="both"/>
        <w:rPr>
          <w:rFonts w:asciiTheme="minorHAnsi" w:hAnsiTheme="minorHAnsi"/>
          <w:bCs/>
          <w:sz w:val="22"/>
          <w:szCs w:val="22"/>
        </w:rPr>
      </w:pPr>
      <w:r w:rsidRPr="001B54F8">
        <w:rPr>
          <w:rFonts w:asciiTheme="minorHAnsi" w:hAnsiTheme="minorHAnsi"/>
          <w:bCs/>
          <w:sz w:val="22"/>
          <w:szCs w:val="22"/>
        </w:rPr>
        <w:t xml:space="preserve">Sexual orientation </w:t>
      </w:r>
    </w:p>
    <w:p w14:paraId="3433B2F4" w14:textId="77777777" w:rsidR="00462037" w:rsidRDefault="00462037" w:rsidP="00462037">
      <w:pPr>
        <w:pStyle w:val="Default"/>
        <w:ind w:left="720" w:right="-1"/>
        <w:jc w:val="both"/>
        <w:rPr>
          <w:rFonts w:asciiTheme="minorHAnsi" w:hAnsiTheme="minorHAnsi"/>
          <w:bCs/>
          <w:sz w:val="22"/>
          <w:szCs w:val="22"/>
        </w:rPr>
      </w:pPr>
    </w:p>
    <w:p w14:paraId="3E6514C8" w14:textId="77777777" w:rsidR="00462037" w:rsidRDefault="00462037" w:rsidP="00462037">
      <w:pPr>
        <w:pStyle w:val="Default"/>
        <w:ind w:right="-1"/>
        <w:rPr>
          <w:rFonts w:asciiTheme="minorHAnsi" w:hAnsiTheme="minorHAnsi"/>
          <w:bCs/>
          <w:sz w:val="22"/>
          <w:szCs w:val="22"/>
        </w:rPr>
      </w:pPr>
      <w:r w:rsidRPr="00B24A1A">
        <w:rPr>
          <w:rFonts w:asciiTheme="minorHAnsi" w:hAnsiTheme="minorHAnsi" w:cstheme="minorBidi"/>
          <w:color w:val="auto"/>
          <w:sz w:val="22"/>
          <w:szCs w:val="22"/>
        </w:rPr>
        <w:t xml:space="preserve">In line with work undertaken as part of the health needs analysis, Commissioners will also give </w:t>
      </w:r>
      <w:r>
        <w:rPr>
          <w:rFonts w:asciiTheme="minorHAnsi" w:hAnsiTheme="minorHAnsi" w:cstheme="minorBidi"/>
          <w:color w:val="auto"/>
          <w:sz w:val="22"/>
          <w:szCs w:val="22"/>
        </w:rPr>
        <w:t>consideration to people from differing s</w:t>
      </w:r>
      <w:r w:rsidRPr="001B54F8">
        <w:rPr>
          <w:rFonts w:asciiTheme="minorHAnsi" w:hAnsiTheme="minorHAnsi"/>
          <w:bCs/>
          <w:sz w:val="22"/>
          <w:szCs w:val="22"/>
        </w:rPr>
        <w:t>ocio economic groups / backgrounds (health inequalities)</w:t>
      </w:r>
      <w:r>
        <w:rPr>
          <w:rFonts w:asciiTheme="minorHAnsi" w:hAnsiTheme="minorHAnsi"/>
          <w:bCs/>
          <w:sz w:val="22"/>
          <w:szCs w:val="22"/>
        </w:rPr>
        <w:t xml:space="preserve">.   </w:t>
      </w:r>
    </w:p>
    <w:p w14:paraId="46DB03D7" w14:textId="77777777" w:rsidR="00462037" w:rsidRDefault="00462037" w:rsidP="00462037">
      <w:pPr>
        <w:pStyle w:val="Default"/>
        <w:ind w:right="-1"/>
        <w:rPr>
          <w:rFonts w:asciiTheme="minorHAnsi" w:hAnsiTheme="minorHAnsi"/>
          <w:bCs/>
          <w:sz w:val="22"/>
          <w:szCs w:val="22"/>
        </w:rPr>
      </w:pPr>
    </w:p>
    <w:p w14:paraId="5B2F1802" w14:textId="2158C39E" w:rsidR="00462037" w:rsidRDefault="00462037" w:rsidP="00462037">
      <w:pPr>
        <w:pStyle w:val="Heading2"/>
      </w:pPr>
      <w:bookmarkStart w:id="11" w:name="_Toc388003794"/>
      <w:bookmarkStart w:id="12" w:name="_Toc388275361"/>
      <w:r>
        <w:t>4.1 Equality data</w:t>
      </w:r>
      <w:bookmarkEnd w:id="11"/>
      <w:bookmarkEnd w:id="12"/>
    </w:p>
    <w:p w14:paraId="38B8FAD0" w14:textId="77777777" w:rsidR="00462037" w:rsidRDefault="00462037" w:rsidP="00462037">
      <w:r>
        <w:t>The demographic data for the protected groups is shown below.</w:t>
      </w:r>
    </w:p>
    <w:p w14:paraId="2B7AE198" w14:textId="1C69A9E8" w:rsidR="00462037" w:rsidRDefault="00462037" w:rsidP="00462037">
      <w:pPr>
        <w:pStyle w:val="Heading4"/>
      </w:pPr>
      <w:r>
        <w:t>Table 2 – Age distribution of CCG populations 2011</w:t>
      </w:r>
    </w:p>
    <w:tbl>
      <w:tblPr>
        <w:tblStyle w:val="TableGrid"/>
        <w:tblW w:w="0" w:type="auto"/>
        <w:tblLook w:val="04A0" w:firstRow="1" w:lastRow="0" w:firstColumn="1" w:lastColumn="0" w:noHBand="0" w:noVBand="1"/>
      </w:tblPr>
      <w:tblGrid>
        <w:gridCol w:w="2405"/>
        <w:gridCol w:w="851"/>
        <w:gridCol w:w="708"/>
        <w:gridCol w:w="851"/>
        <w:gridCol w:w="850"/>
        <w:gridCol w:w="851"/>
        <w:gridCol w:w="847"/>
        <w:gridCol w:w="673"/>
        <w:gridCol w:w="980"/>
      </w:tblGrid>
      <w:tr w:rsidR="00462037" w14:paraId="5A1B04F8" w14:textId="77777777" w:rsidTr="00462037">
        <w:tc>
          <w:tcPr>
            <w:tcW w:w="2405" w:type="dxa"/>
            <w:vMerge w:val="restart"/>
            <w:shd w:val="clear" w:color="auto" w:fill="767171" w:themeFill="background2" w:themeFillShade="80"/>
          </w:tcPr>
          <w:p w14:paraId="242D4A81"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CCG</w:t>
            </w:r>
          </w:p>
        </w:tc>
        <w:tc>
          <w:tcPr>
            <w:tcW w:w="5631" w:type="dxa"/>
            <w:gridSpan w:val="7"/>
            <w:shd w:val="clear" w:color="auto" w:fill="767171" w:themeFill="background2" w:themeFillShade="80"/>
          </w:tcPr>
          <w:p w14:paraId="788FF8DF"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Age band (years)</w:t>
            </w:r>
          </w:p>
        </w:tc>
        <w:tc>
          <w:tcPr>
            <w:tcW w:w="980" w:type="dxa"/>
            <w:vMerge w:val="restart"/>
            <w:shd w:val="clear" w:color="auto" w:fill="767171" w:themeFill="background2" w:themeFillShade="80"/>
          </w:tcPr>
          <w:p w14:paraId="464B8430"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All ages</w:t>
            </w:r>
          </w:p>
        </w:tc>
      </w:tr>
      <w:tr w:rsidR="00462037" w14:paraId="686CD092" w14:textId="77777777" w:rsidTr="00462037">
        <w:tc>
          <w:tcPr>
            <w:tcW w:w="2405" w:type="dxa"/>
            <w:vMerge/>
            <w:shd w:val="clear" w:color="auto" w:fill="767171" w:themeFill="background2" w:themeFillShade="80"/>
          </w:tcPr>
          <w:p w14:paraId="599A8EA3" w14:textId="77777777" w:rsidR="00462037" w:rsidRPr="00527C4A" w:rsidRDefault="00462037" w:rsidP="00462037">
            <w:pPr>
              <w:rPr>
                <w:color w:val="FFFFFF" w:themeColor="background1"/>
                <w:sz w:val="18"/>
                <w:szCs w:val="18"/>
              </w:rPr>
            </w:pPr>
          </w:p>
        </w:tc>
        <w:tc>
          <w:tcPr>
            <w:tcW w:w="851" w:type="dxa"/>
            <w:shd w:val="clear" w:color="auto" w:fill="767171" w:themeFill="background2" w:themeFillShade="80"/>
            <w:vAlign w:val="center"/>
          </w:tcPr>
          <w:p w14:paraId="195ED650"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0 - 4</w:t>
            </w:r>
          </w:p>
        </w:tc>
        <w:tc>
          <w:tcPr>
            <w:tcW w:w="708" w:type="dxa"/>
            <w:shd w:val="clear" w:color="auto" w:fill="767171" w:themeFill="background2" w:themeFillShade="80"/>
            <w:vAlign w:val="center"/>
          </w:tcPr>
          <w:p w14:paraId="66507F65"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5 - 16</w:t>
            </w:r>
          </w:p>
        </w:tc>
        <w:tc>
          <w:tcPr>
            <w:tcW w:w="851" w:type="dxa"/>
            <w:shd w:val="clear" w:color="auto" w:fill="767171" w:themeFill="background2" w:themeFillShade="80"/>
            <w:vAlign w:val="center"/>
          </w:tcPr>
          <w:p w14:paraId="393438B5"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17 - 18</w:t>
            </w:r>
          </w:p>
        </w:tc>
        <w:tc>
          <w:tcPr>
            <w:tcW w:w="850" w:type="dxa"/>
            <w:shd w:val="clear" w:color="auto" w:fill="767171" w:themeFill="background2" w:themeFillShade="80"/>
            <w:vAlign w:val="center"/>
          </w:tcPr>
          <w:p w14:paraId="23704AA0"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19 - 49</w:t>
            </w:r>
          </w:p>
        </w:tc>
        <w:tc>
          <w:tcPr>
            <w:tcW w:w="851" w:type="dxa"/>
            <w:shd w:val="clear" w:color="auto" w:fill="767171" w:themeFill="background2" w:themeFillShade="80"/>
            <w:vAlign w:val="center"/>
          </w:tcPr>
          <w:p w14:paraId="25EBB1EB"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50 - 64</w:t>
            </w:r>
          </w:p>
        </w:tc>
        <w:tc>
          <w:tcPr>
            <w:tcW w:w="847" w:type="dxa"/>
            <w:shd w:val="clear" w:color="auto" w:fill="767171" w:themeFill="background2" w:themeFillShade="80"/>
            <w:vAlign w:val="center"/>
          </w:tcPr>
          <w:p w14:paraId="5E155D62"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65 - 74</w:t>
            </w:r>
          </w:p>
        </w:tc>
        <w:tc>
          <w:tcPr>
            <w:tcW w:w="673" w:type="dxa"/>
            <w:shd w:val="clear" w:color="auto" w:fill="767171" w:themeFill="background2" w:themeFillShade="80"/>
            <w:vAlign w:val="center"/>
          </w:tcPr>
          <w:p w14:paraId="74AC70B5"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75+</w:t>
            </w:r>
          </w:p>
        </w:tc>
        <w:tc>
          <w:tcPr>
            <w:tcW w:w="980" w:type="dxa"/>
            <w:vMerge/>
            <w:shd w:val="clear" w:color="auto" w:fill="767171" w:themeFill="background2" w:themeFillShade="80"/>
          </w:tcPr>
          <w:p w14:paraId="166CD67A" w14:textId="77777777" w:rsidR="00462037" w:rsidRPr="00527C4A" w:rsidRDefault="00462037" w:rsidP="00462037">
            <w:pPr>
              <w:rPr>
                <w:color w:val="FFFFFF" w:themeColor="background1"/>
                <w:sz w:val="18"/>
                <w:szCs w:val="18"/>
              </w:rPr>
            </w:pPr>
          </w:p>
        </w:tc>
      </w:tr>
      <w:tr w:rsidR="00462037" w14:paraId="54F72294" w14:textId="77777777" w:rsidTr="00462037">
        <w:tc>
          <w:tcPr>
            <w:tcW w:w="2405" w:type="dxa"/>
            <w:vMerge w:val="restart"/>
            <w:vAlign w:val="bottom"/>
          </w:tcPr>
          <w:p w14:paraId="318A7178" w14:textId="77777777" w:rsidR="00462037" w:rsidRPr="00527C4A" w:rsidRDefault="00462037" w:rsidP="00462037">
            <w:pPr>
              <w:rPr>
                <w:sz w:val="18"/>
                <w:szCs w:val="18"/>
              </w:rPr>
            </w:pPr>
            <w:r w:rsidRPr="00527C4A">
              <w:rPr>
                <w:sz w:val="18"/>
                <w:szCs w:val="18"/>
              </w:rPr>
              <w:t xml:space="preserve">North Lincolnshire </w:t>
            </w:r>
          </w:p>
        </w:tc>
        <w:tc>
          <w:tcPr>
            <w:tcW w:w="851" w:type="dxa"/>
            <w:vAlign w:val="center"/>
          </w:tcPr>
          <w:p w14:paraId="272FC8CF" w14:textId="77777777" w:rsidR="00462037" w:rsidRPr="00527C4A" w:rsidRDefault="00462037" w:rsidP="00462037">
            <w:pPr>
              <w:jc w:val="center"/>
              <w:rPr>
                <w:sz w:val="18"/>
                <w:szCs w:val="18"/>
              </w:rPr>
            </w:pPr>
            <w:r w:rsidRPr="00527C4A">
              <w:rPr>
                <w:sz w:val="18"/>
                <w:szCs w:val="18"/>
              </w:rPr>
              <w:t>10221</w:t>
            </w:r>
          </w:p>
        </w:tc>
        <w:tc>
          <w:tcPr>
            <w:tcW w:w="708" w:type="dxa"/>
            <w:vAlign w:val="center"/>
          </w:tcPr>
          <w:p w14:paraId="6F377A39" w14:textId="77777777" w:rsidR="00462037" w:rsidRPr="00527C4A" w:rsidRDefault="00462037" w:rsidP="00462037">
            <w:pPr>
              <w:jc w:val="center"/>
              <w:rPr>
                <w:sz w:val="18"/>
                <w:szCs w:val="18"/>
              </w:rPr>
            </w:pPr>
            <w:r w:rsidRPr="00527C4A">
              <w:rPr>
                <w:sz w:val="18"/>
                <w:szCs w:val="18"/>
              </w:rPr>
              <w:t>23140</w:t>
            </w:r>
          </w:p>
        </w:tc>
        <w:tc>
          <w:tcPr>
            <w:tcW w:w="851" w:type="dxa"/>
            <w:vAlign w:val="center"/>
          </w:tcPr>
          <w:p w14:paraId="3E58D26B" w14:textId="77777777" w:rsidR="00462037" w:rsidRPr="00527C4A" w:rsidRDefault="00462037" w:rsidP="00462037">
            <w:pPr>
              <w:jc w:val="center"/>
              <w:rPr>
                <w:sz w:val="18"/>
                <w:szCs w:val="18"/>
              </w:rPr>
            </w:pPr>
            <w:r w:rsidRPr="00527C4A">
              <w:rPr>
                <w:sz w:val="18"/>
                <w:szCs w:val="18"/>
              </w:rPr>
              <w:t>4199</w:t>
            </w:r>
          </w:p>
        </w:tc>
        <w:tc>
          <w:tcPr>
            <w:tcW w:w="850" w:type="dxa"/>
            <w:vAlign w:val="center"/>
          </w:tcPr>
          <w:p w14:paraId="708D3A7F" w14:textId="77777777" w:rsidR="00462037" w:rsidRPr="00527C4A" w:rsidRDefault="00462037" w:rsidP="00462037">
            <w:pPr>
              <w:jc w:val="center"/>
              <w:rPr>
                <w:sz w:val="18"/>
                <w:szCs w:val="18"/>
              </w:rPr>
            </w:pPr>
            <w:r w:rsidRPr="00527C4A">
              <w:rPr>
                <w:sz w:val="18"/>
                <w:szCs w:val="18"/>
              </w:rPr>
              <w:t>65584</w:t>
            </w:r>
          </w:p>
        </w:tc>
        <w:tc>
          <w:tcPr>
            <w:tcW w:w="851" w:type="dxa"/>
            <w:vAlign w:val="center"/>
          </w:tcPr>
          <w:p w14:paraId="7509FBFD" w14:textId="77777777" w:rsidR="00462037" w:rsidRPr="00527C4A" w:rsidRDefault="00462037" w:rsidP="00462037">
            <w:pPr>
              <w:jc w:val="center"/>
              <w:rPr>
                <w:sz w:val="18"/>
                <w:szCs w:val="18"/>
              </w:rPr>
            </w:pPr>
            <w:r w:rsidRPr="00527C4A">
              <w:rPr>
                <w:sz w:val="18"/>
                <w:szCs w:val="18"/>
              </w:rPr>
              <w:t>34056</w:t>
            </w:r>
          </w:p>
        </w:tc>
        <w:tc>
          <w:tcPr>
            <w:tcW w:w="847" w:type="dxa"/>
            <w:vAlign w:val="center"/>
          </w:tcPr>
          <w:p w14:paraId="1B1521CF" w14:textId="77777777" w:rsidR="00462037" w:rsidRPr="00527C4A" w:rsidRDefault="00462037" w:rsidP="00462037">
            <w:pPr>
              <w:jc w:val="center"/>
              <w:rPr>
                <w:sz w:val="18"/>
                <w:szCs w:val="18"/>
              </w:rPr>
            </w:pPr>
            <w:r w:rsidRPr="00527C4A">
              <w:rPr>
                <w:sz w:val="18"/>
                <w:szCs w:val="18"/>
              </w:rPr>
              <w:t>16440</w:t>
            </w:r>
          </w:p>
        </w:tc>
        <w:tc>
          <w:tcPr>
            <w:tcW w:w="673" w:type="dxa"/>
            <w:vAlign w:val="center"/>
          </w:tcPr>
          <w:p w14:paraId="14BEB048" w14:textId="77777777" w:rsidR="00462037" w:rsidRPr="00527C4A" w:rsidRDefault="00462037" w:rsidP="00462037">
            <w:pPr>
              <w:jc w:val="center"/>
              <w:rPr>
                <w:sz w:val="18"/>
                <w:szCs w:val="18"/>
              </w:rPr>
            </w:pPr>
            <w:r w:rsidRPr="00527C4A">
              <w:rPr>
                <w:sz w:val="18"/>
                <w:szCs w:val="18"/>
              </w:rPr>
              <w:t>13876</w:t>
            </w:r>
          </w:p>
        </w:tc>
        <w:tc>
          <w:tcPr>
            <w:tcW w:w="980" w:type="dxa"/>
            <w:vAlign w:val="center"/>
          </w:tcPr>
          <w:p w14:paraId="727D88D4" w14:textId="77777777" w:rsidR="00462037" w:rsidRPr="00527C4A" w:rsidRDefault="00462037" w:rsidP="00462037">
            <w:pPr>
              <w:jc w:val="center"/>
              <w:rPr>
                <w:sz w:val="18"/>
                <w:szCs w:val="18"/>
              </w:rPr>
            </w:pPr>
            <w:r w:rsidRPr="00527C4A">
              <w:rPr>
                <w:sz w:val="18"/>
                <w:szCs w:val="18"/>
              </w:rPr>
              <w:t>167516</w:t>
            </w:r>
          </w:p>
        </w:tc>
      </w:tr>
      <w:tr w:rsidR="00462037" w14:paraId="0AD7D64E" w14:textId="77777777" w:rsidTr="00462037">
        <w:tc>
          <w:tcPr>
            <w:tcW w:w="2405" w:type="dxa"/>
            <w:vMerge/>
            <w:vAlign w:val="bottom"/>
          </w:tcPr>
          <w:p w14:paraId="27F66175" w14:textId="77777777" w:rsidR="00462037" w:rsidRPr="00527C4A" w:rsidRDefault="00462037" w:rsidP="00462037">
            <w:pPr>
              <w:rPr>
                <w:sz w:val="18"/>
                <w:szCs w:val="18"/>
              </w:rPr>
            </w:pPr>
          </w:p>
        </w:tc>
        <w:tc>
          <w:tcPr>
            <w:tcW w:w="851" w:type="dxa"/>
            <w:vAlign w:val="center"/>
          </w:tcPr>
          <w:p w14:paraId="3205893E" w14:textId="77777777" w:rsidR="00462037" w:rsidRPr="00527C4A" w:rsidRDefault="00462037" w:rsidP="00462037">
            <w:pPr>
              <w:jc w:val="center"/>
              <w:rPr>
                <w:sz w:val="18"/>
                <w:szCs w:val="18"/>
              </w:rPr>
            </w:pPr>
            <w:r w:rsidRPr="00527C4A">
              <w:rPr>
                <w:sz w:val="18"/>
                <w:szCs w:val="18"/>
              </w:rPr>
              <w:t>6%</w:t>
            </w:r>
          </w:p>
        </w:tc>
        <w:tc>
          <w:tcPr>
            <w:tcW w:w="708" w:type="dxa"/>
            <w:vAlign w:val="center"/>
          </w:tcPr>
          <w:p w14:paraId="196ECACB" w14:textId="77777777" w:rsidR="00462037" w:rsidRPr="00527C4A" w:rsidRDefault="00462037" w:rsidP="00462037">
            <w:pPr>
              <w:jc w:val="center"/>
              <w:rPr>
                <w:sz w:val="18"/>
                <w:szCs w:val="18"/>
              </w:rPr>
            </w:pPr>
            <w:r w:rsidRPr="00527C4A">
              <w:rPr>
                <w:sz w:val="18"/>
                <w:szCs w:val="18"/>
              </w:rPr>
              <w:t>14%</w:t>
            </w:r>
          </w:p>
        </w:tc>
        <w:tc>
          <w:tcPr>
            <w:tcW w:w="851" w:type="dxa"/>
            <w:vAlign w:val="center"/>
          </w:tcPr>
          <w:p w14:paraId="4A669B39" w14:textId="77777777" w:rsidR="00462037" w:rsidRPr="00527C4A" w:rsidRDefault="00462037" w:rsidP="00462037">
            <w:pPr>
              <w:jc w:val="center"/>
              <w:rPr>
                <w:sz w:val="18"/>
                <w:szCs w:val="18"/>
              </w:rPr>
            </w:pPr>
            <w:r w:rsidRPr="00527C4A">
              <w:rPr>
                <w:sz w:val="18"/>
                <w:szCs w:val="18"/>
              </w:rPr>
              <w:t>3%</w:t>
            </w:r>
          </w:p>
        </w:tc>
        <w:tc>
          <w:tcPr>
            <w:tcW w:w="850" w:type="dxa"/>
            <w:vAlign w:val="center"/>
          </w:tcPr>
          <w:p w14:paraId="5D5DAC80" w14:textId="77777777" w:rsidR="00462037" w:rsidRPr="00527C4A" w:rsidRDefault="00462037" w:rsidP="00462037">
            <w:pPr>
              <w:jc w:val="center"/>
              <w:rPr>
                <w:sz w:val="18"/>
                <w:szCs w:val="18"/>
              </w:rPr>
            </w:pPr>
            <w:r w:rsidRPr="00527C4A">
              <w:rPr>
                <w:sz w:val="18"/>
                <w:szCs w:val="18"/>
              </w:rPr>
              <w:t>39%</w:t>
            </w:r>
          </w:p>
        </w:tc>
        <w:tc>
          <w:tcPr>
            <w:tcW w:w="851" w:type="dxa"/>
            <w:vAlign w:val="center"/>
          </w:tcPr>
          <w:p w14:paraId="6DAF9FAF" w14:textId="77777777" w:rsidR="00462037" w:rsidRPr="00527C4A" w:rsidRDefault="00462037" w:rsidP="00462037">
            <w:pPr>
              <w:jc w:val="center"/>
              <w:rPr>
                <w:sz w:val="18"/>
                <w:szCs w:val="18"/>
              </w:rPr>
            </w:pPr>
            <w:r w:rsidRPr="00527C4A">
              <w:rPr>
                <w:sz w:val="18"/>
                <w:szCs w:val="18"/>
              </w:rPr>
              <w:t>20%</w:t>
            </w:r>
          </w:p>
        </w:tc>
        <w:tc>
          <w:tcPr>
            <w:tcW w:w="847" w:type="dxa"/>
            <w:vAlign w:val="center"/>
          </w:tcPr>
          <w:p w14:paraId="058E0014" w14:textId="77777777" w:rsidR="00462037" w:rsidRPr="00527C4A" w:rsidRDefault="00462037" w:rsidP="00462037">
            <w:pPr>
              <w:jc w:val="center"/>
              <w:rPr>
                <w:sz w:val="18"/>
                <w:szCs w:val="18"/>
              </w:rPr>
            </w:pPr>
            <w:r w:rsidRPr="00527C4A">
              <w:rPr>
                <w:sz w:val="18"/>
                <w:szCs w:val="18"/>
              </w:rPr>
              <w:t>10%</w:t>
            </w:r>
          </w:p>
        </w:tc>
        <w:tc>
          <w:tcPr>
            <w:tcW w:w="673" w:type="dxa"/>
            <w:vAlign w:val="center"/>
          </w:tcPr>
          <w:p w14:paraId="33A5AA5A" w14:textId="77777777" w:rsidR="00462037" w:rsidRPr="00527C4A" w:rsidRDefault="00462037" w:rsidP="00462037">
            <w:pPr>
              <w:jc w:val="center"/>
              <w:rPr>
                <w:sz w:val="18"/>
                <w:szCs w:val="18"/>
              </w:rPr>
            </w:pPr>
            <w:r w:rsidRPr="00527C4A">
              <w:rPr>
                <w:sz w:val="18"/>
                <w:szCs w:val="18"/>
              </w:rPr>
              <w:t>8%</w:t>
            </w:r>
          </w:p>
        </w:tc>
        <w:tc>
          <w:tcPr>
            <w:tcW w:w="980" w:type="dxa"/>
            <w:vAlign w:val="center"/>
          </w:tcPr>
          <w:p w14:paraId="7585032D" w14:textId="77777777" w:rsidR="00462037" w:rsidRPr="00527C4A" w:rsidRDefault="00462037" w:rsidP="00462037">
            <w:pPr>
              <w:jc w:val="center"/>
              <w:rPr>
                <w:sz w:val="18"/>
                <w:szCs w:val="18"/>
              </w:rPr>
            </w:pPr>
            <w:r w:rsidRPr="00527C4A">
              <w:rPr>
                <w:sz w:val="18"/>
                <w:szCs w:val="18"/>
              </w:rPr>
              <w:t>100%</w:t>
            </w:r>
          </w:p>
        </w:tc>
      </w:tr>
      <w:tr w:rsidR="00462037" w14:paraId="5FBA693F" w14:textId="77777777" w:rsidTr="00462037">
        <w:tc>
          <w:tcPr>
            <w:tcW w:w="2405" w:type="dxa"/>
            <w:vMerge w:val="restart"/>
            <w:vAlign w:val="bottom"/>
          </w:tcPr>
          <w:p w14:paraId="154512AE" w14:textId="77777777" w:rsidR="00462037" w:rsidRPr="00527C4A" w:rsidRDefault="00462037" w:rsidP="00462037">
            <w:pPr>
              <w:rPr>
                <w:sz w:val="18"/>
                <w:szCs w:val="18"/>
              </w:rPr>
            </w:pPr>
            <w:r>
              <w:rPr>
                <w:sz w:val="18"/>
                <w:szCs w:val="18"/>
              </w:rPr>
              <w:t>N</w:t>
            </w:r>
            <w:r w:rsidRPr="00527C4A">
              <w:rPr>
                <w:sz w:val="18"/>
                <w:szCs w:val="18"/>
              </w:rPr>
              <w:t xml:space="preserve">orth East Lincolnshire </w:t>
            </w:r>
          </w:p>
        </w:tc>
        <w:tc>
          <w:tcPr>
            <w:tcW w:w="851" w:type="dxa"/>
            <w:vAlign w:val="center"/>
          </w:tcPr>
          <w:p w14:paraId="15EA545C" w14:textId="77777777" w:rsidR="00462037" w:rsidRPr="00527C4A" w:rsidRDefault="00462037" w:rsidP="00462037">
            <w:pPr>
              <w:jc w:val="center"/>
              <w:rPr>
                <w:sz w:val="18"/>
                <w:szCs w:val="18"/>
              </w:rPr>
            </w:pPr>
            <w:r w:rsidRPr="00527C4A">
              <w:rPr>
                <w:sz w:val="18"/>
                <w:szCs w:val="18"/>
              </w:rPr>
              <w:t>10001</w:t>
            </w:r>
          </w:p>
        </w:tc>
        <w:tc>
          <w:tcPr>
            <w:tcW w:w="708" w:type="dxa"/>
            <w:vAlign w:val="center"/>
          </w:tcPr>
          <w:p w14:paraId="59B31B45" w14:textId="77777777" w:rsidR="00462037" w:rsidRPr="00527C4A" w:rsidRDefault="00462037" w:rsidP="00462037">
            <w:pPr>
              <w:jc w:val="center"/>
              <w:rPr>
                <w:sz w:val="18"/>
                <w:szCs w:val="18"/>
              </w:rPr>
            </w:pPr>
            <w:r w:rsidRPr="00527C4A">
              <w:rPr>
                <w:sz w:val="18"/>
                <w:szCs w:val="18"/>
              </w:rPr>
              <w:t>22215</w:t>
            </w:r>
          </w:p>
        </w:tc>
        <w:tc>
          <w:tcPr>
            <w:tcW w:w="851" w:type="dxa"/>
            <w:vAlign w:val="center"/>
          </w:tcPr>
          <w:p w14:paraId="472A1BB4" w14:textId="77777777" w:rsidR="00462037" w:rsidRPr="00527C4A" w:rsidRDefault="00462037" w:rsidP="00462037">
            <w:pPr>
              <w:jc w:val="center"/>
              <w:rPr>
                <w:sz w:val="18"/>
                <w:szCs w:val="18"/>
              </w:rPr>
            </w:pPr>
            <w:r w:rsidRPr="00527C4A">
              <w:rPr>
                <w:sz w:val="18"/>
                <w:szCs w:val="18"/>
              </w:rPr>
              <w:t>4225</w:t>
            </w:r>
          </w:p>
        </w:tc>
        <w:tc>
          <w:tcPr>
            <w:tcW w:w="850" w:type="dxa"/>
            <w:vAlign w:val="center"/>
          </w:tcPr>
          <w:p w14:paraId="3575A8F9" w14:textId="77777777" w:rsidR="00462037" w:rsidRPr="00527C4A" w:rsidRDefault="00462037" w:rsidP="00462037">
            <w:pPr>
              <w:jc w:val="center"/>
              <w:rPr>
                <w:sz w:val="18"/>
                <w:szCs w:val="18"/>
              </w:rPr>
            </w:pPr>
            <w:r w:rsidRPr="00527C4A">
              <w:rPr>
                <w:sz w:val="18"/>
                <w:szCs w:val="18"/>
              </w:rPr>
              <w:t>64212</w:t>
            </w:r>
          </w:p>
        </w:tc>
        <w:tc>
          <w:tcPr>
            <w:tcW w:w="851" w:type="dxa"/>
            <w:vAlign w:val="center"/>
          </w:tcPr>
          <w:p w14:paraId="7DE03776" w14:textId="77777777" w:rsidR="00462037" w:rsidRPr="00527C4A" w:rsidRDefault="00462037" w:rsidP="00462037">
            <w:pPr>
              <w:jc w:val="center"/>
              <w:rPr>
                <w:sz w:val="18"/>
                <w:szCs w:val="18"/>
              </w:rPr>
            </w:pPr>
            <w:r w:rsidRPr="00527C4A">
              <w:rPr>
                <w:sz w:val="18"/>
                <w:szCs w:val="18"/>
              </w:rPr>
              <w:t>30569</w:t>
            </w:r>
          </w:p>
        </w:tc>
        <w:tc>
          <w:tcPr>
            <w:tcW w:w="847" w:type="dxa"/>
            <w:vAlign w:val="center"/>
          </w:tcPr>
          <w:p w14:paraId="1DBCB65C" w14:textId="77777777" w:rsidR="00462037" w:rsidRPr="00527C4A" w:rsidRDefault="00462037" w:rsidP="00462037">
            <w:pPr>
              <w:jc w:val="center"/>
              <w:rPr>
                <w:sz w:val="18"/>
                <w:szCs w:val="18"/>
              </w:rPr>
            </w:pPr>
            <w:r w:rsidRPr="00527C4A">
              <w:rPr>
                <w:sz w:val="18"/>
                <w:szCs w:val="18"/>
              </w:rPr>
              <w:t>14870</w:t>
            </w:r>
          </w:p>
        </w:tc>
        <w:tc>
          <w:tcPr>
            <w:tcW w:w="673" w:type="dxa"/>
            <w:vAlign w:val="center"/>
          </w:tcPr>
          <w:p w14:paraId="6BACB113" w14:textId="77777777" w:rsidR="00462037" w:rsidRPr="00527C4A" w:rsidRDefault="00462037" w:rsidP="00462037">
            <w:pPr>
              <w:jc w:val="center"/>
              <w:rPr>
                <w:sz w:val="18"/>
                <w:szCs w:val="18"/>
              </w:rPr>
            </w:pPr>
            <w:r w:rsidRPr="00527C4A">
              <w:rPr>
                <w:sz w:val="18"/>
                <w:szCs w:val="18"/>
              </w:rPr>
              <w:t>13643</w:t>
            </w:r>
          </w:p>
        </w:tc>
        <w:tc>
          <w:tcPr>
            <w:tcW w:w="980" w:type="dxa"/>
            <w:vAlign w:val="center"/>
          </w:tcPr>
          <w:p w14:paraId="5B1214F2" w14:textId="77777777" w:rsidR="00462037" w:rsidRPr="00527C4A" w:rsidRDefault="00462037" w:rsidP="00462037">
            <w:pPr>
              <w:jc w:val="center"/>
              <w:rPr>
                <w:sz w:val="18"/>
                <w:szCs w:val="18"/>
              </w:rPr>
            </w:pPr>
            <w:r w:rsidRPr="00527C4A">
              <w:rPr>
                <w:sz w:val="18"/>
                <w:szCs w:val="18"/>
              </w:rPr>
              <w:t>159735</w:t>
            </w:r>
          </w:p>
        </w:tc>
      </w:tr>
      <w:tr w:rsidR="00462037" w14:paraId="5C865A9C" w14:textId="77777777" w:rsidTr="00462037">
        <w:tc>
          <w:tcPr>
            <w:tcW w:w="2405" w:type="dxa"/>
            <w:vMerge/>
            <w:vAlign w:val="bottom"/>
          </w:tcPr>
          <w:p w14:paraId="0D646DDB" w14:textId="77777777" w:rsidR="00462037" w:rsidRPr="00527C4A" w:rsidRDefault="00462037" w:rsidP="00462037">
            <w:pPr>
              <w:rPr>
                <w:sz w:val="18"/>
                <w:szCs w:val="18"/>
              </w:rPr>
            </w:pPr>
          </w:p>
        </w:tc>
        <w:tc>
          <w:tcPr>
            <w:tcW w:w="851" w:type="dxa"/>
            <w:vAlign w:val="center"/>
          </w:tcPr>
          <w:p w14:paraId="60D72779" w14:textId="77777777" w:rsidR="00462037" w:rsidRPr="00527C4A" w:rsidRDefault="00462037" w:rsidP="00462037">
            <w:pPr>
              <w:jc w:val="center"/>
              <w:rPr>
                <w:sz w:val="18"/>
                <w:szCs w:val="18"/>
              </w:rPr>
            </w:pPr>
            <w:r w:rsidRPr="00527C4A">
              <w:rPr>
                <w:sz w:val="18"/>
                <w:szCs w:val="18"/>
              </w:rPr>
              <w:t>6%</w:t>
            </w:r>
          </w:p>
        </w:tc>
        <w:tc>
          <w:tcPr>
            <w:tcW w:w="708" w:type="dxa"/>
            <w:vAlign w:val="center"/>
          </w:tcPr>
          <w:p w14:paraId="391240A6" w14:textId="77777777" w:rsidR="00462037" w:rsidRPr="00527C4A" w:rsidRDefault="00462037" w:rsidP="00462037">
            <w:pPr>
              <w:jc w:val="center"/>
              <w:rPr>
                <w:sz w:val="18"/>
                <w:szCs w:val="18"/>
              </w:rPr>
            </w:pPr>
            <w:r w:rsidRPr="00527C4A">
              <w:rPr>
                <w:sz w:val="18"/>
                <w:szCs w:val="18"/>
              </w:rPr>
              <w:t>14%</w:t>
            </w:r>
          </w:p>
        </w:tc>
        <w:tc>
          <w:tcPr>
            <w:tcW w:w="851" w:type="dxa"/>
            <w:vAlign w:val="center"/>
          </w:tcPr>
          <w:p w14:paraId="0C46E52B" w14:textId="77777777" w:rsidR="00462037" w:rsidRPr="00527C4A" w:rsidRDefault="00462037" w:rsidP="00462037">
            <w:pPr>
              <w:jc w:val="center"/>
              <w:rPr>
                <w:sz w:val="18"/>
                <w:szCs w:val="18"/>
              </w:rPr>
            </w:pPr>
            <w:r w:rsidRPr="00527C4A">
              <w:rPr>
                <w:sz w:val="18"/>
                <w:szCs w:val="18"/>
              </w:rPr>
              <w:t>3%</w:t>
            </w:r>
          </w:p>
        </w:tc>
        <w:tc>
          <w:tcPr>
            <w:tcW w:w="850" w:type="dxa"/>
            <w:vAlign w:val="center"/>
          </w:tcPr>
          <w:p w14:paraId="16D25354" w14:textId="77777777" w:rsidR="00462037" w:rsidRPr="00527C4A" w:rsidRDefault="00462037" w:rsidP="00462037">
            <w:pPr>
              <w:jc w:val="center"/>
              <w:rPr>
                <w:sz w:val="18"/>
                <w:szCs w:val="18"/>
              </w:rPr>
            </w:pPr>
            <w:r w:rsidRPr="00527C4A">
              <w:rPr>
                <w:sz w:val="18"/>
                <w:szCs w:val="18"/>
              </w:rPr>
              <w:t>40%</w:t>
            </w:r>
          </w:p>
        </w:tc>
        <w:tc>
          <w:tcPr>
            <w:tcW w:w="851" w:type="dxa"/>
            <w:vAlign w:val="center"/>
          </w:tcPr>
          <w:p w14:paraId="1DD3738B" w14:textId="77777777" w:rsidR="00462037" w:rsidRPr="00527C4A" w:rsidRDefault="00462037" w:rsidP="00462037">
            <w:pPr>
              <w:jc w:val="center"/>
              <w:rPr>
                <w:sz w:val="18"/>
                <w:szCs w:val="18"/>
              </w:rPr>
            </w:pPr>
            <w:r w:rsidRPr="00527C4A">
              <w:rPr>
                <w:sz w:val="18"/>
                <w:szCs w:val="18"/>
              </w:rPr>
              <w:t>19%</w:t>
            </w:r>
          </w:p>
        </w:tc>
        <w:tc>
          <w:tcPr>
            <w:tcW w:w="847" w:type="dxa"/>
            <w:vAlign w:val="center"/>
          </w:tcPr>
          <w:p w14:paraId="54044D8C" w14:textId="77777777" w:rsidR="00462037" w:rsidRPr="00527C4A" w:rsidRDefault="00462037" w:rsidP="00462037">
            <w:pPr>
              <w:jc w:val="center"/>
              <w:rPr>
                <w:sz w:val="18"/>
                <w:szCs w:val="18"/>
              </w:rPr>
            </w:pPr>
            <w:r w:rsidRPr="00527C4A">
              <w:rPr>
                <w:sz w:val="18"/>
                <w:szCs w:val="18"/>
              </w:rPr>
              <w:t>9%</w:t>
            </w:r>
          </w:p>
        </w:tc>
        <w:tc>
          <w:tcPr>
            <w:tcW w:w="673" w:type="dxa"/>
            <w:vAlign w:val="center"/>
          </w:tcPr>
          <w:p w14:paraId="441FDA96" w14:textId="77777777" w:rsidR="00462037" w:rsidRPr="00527C4A" w:rsidRDefault="00462037" w:rsidP="00462037">
            <w:pPr>
              <w:jc w:val="center"/>
              <w:rPr>
                <w:sz w:val="18"/>
                <w:szCs w:val="18"/>
              </w:rPr>
            </w:pPr>
            <w:r w:rsidRPr="00527C4A">
              <w:rPr>
                <w:sz w:val="18"/>
                <w:szCs w:val="18"/>
              </w:rPr>
              <w:t>9%</w:t>
            </w:r>
          </w:p>
        </w:tc>
        <w:tc>
          <w:tcPr>
            <w:tcW w:w="980" w:type="dxa"/>
            <w:vAlign w:val="center"/>
          </w:tcPr>
          <w:p w14:paraId="15118775" w14:textId="77777777" w:rsidR="00462037" w:rsidRPr="00527C4A" w:rsidRDefault="00462037" w:rsidP="00462037">
            <w:pPr>
              <w:jc w:val="center"/>
              <w:rPr>
                <w:sz w:val="18"/>
                <w:szCs w:val="18"/>
              </w:rPr>
            </w:pPr>
            <w:r w:rsidRPr="00527C4A">
              <w:rPr>
                <w:sz w:val="18"/>
                <w:szCs w:val="18"/>
              </w:rPr>
              <w:t>100%</w:t>
            </w:r>
          </w:p>
        </w:tc>
      </w:tr>
      <w:tr w:rsidR="00462037" w14:paraId="75ABC064" w14:textId="77777777" w:rsidTr="00462037">
        <w:tc>
          <w:tcPr>
            <w:tcW w:w="2405" w:type="dxa"/>
            <w:vMerge w:val="restart"/>
            <w:vAlign w:val="bottom"/>
          </w:tcPr>
          <w:p w14:paraId="294EFAF9" w14:textId="77777777" w:rsidR="00462037" w:rsidRPr="00527C4A" w:rsidRDefault="00462037" w:rsidP="00462037">
            <w:pPr>
              <w:rPr>
                <w:sz w:val="18"/>
                <w:szCs w:val="18"/>
              </w:rPr>
            </w:pPr>
            <w:r w:rsidRPr="00527C4A">
              <w:rPr>
                <w:sz w:val="18"/>
                <w:szCs w:val="18"/>
              </w:rPr>
              <w:t xml:space="preserve">Lincolnshire East </w:t>
            </w:r>
          </w:p>
        </w:tc>
        <w:tc>
          <w:tcPr>
            <w:tcW w:w="851" w:type="dxa"/>
            <w:vAlign w:val="center"/>
          </w:tcPr>
          <w:p w14:paraId="55FEF64D" w14:textId="77777777" w:rsidR="00462037" w:rsidRPr="00527C4A" w:rsidRDefault="00462037" w:rsidP="00462037">
            <w:pPr>
              <w:jc w:val="center"/>
              <w:rPr>
                <w:sz w:val="18"/>
                <w:szCs w:val="18"/>
              </w:rPr>
            </w:pPr>
            <w:r w:rsidRPr="00527C4A">
              <w:rPr>
                <w:sz w:val="18"/>
                <w:szCs w:val="18"/>
              </w:rPr>
              <w:t>11282</w:t>
            </w:r>
          </w:p>
        </w:tc>
        <w:tc>
          <w:tcPr>
            <w:tcW w:w="708" w:type="dxa"/>
            <w:vAlign w:val="center"/>
          </w:tcPr>
          <w:p w14:paraId="313BCBA1" w14:textId="77777777" w:rsidR="00462037" w:rsidRPr="00527C4A" w:rsidRDefault="00462037" w:rsidP="00462037">
            <w:pPr>
              <w:jc w:val="center"/>
              <w:rPr>
                <w:sz w:val="18"/>
                <w:szCs w:val="18"/>
              </w:rPr>
            </w:pPr>
            <w:r w:rsidRPr="00527C4A">
              <w:rPr>
                <w:sz w:val="18"/>
                <w:szCs w:val="18"/>
              </w:rPr>
              <w:t>28047</w:t>
            </w:r>
          </w:p>
        </w:tc>
        <w:tc>
          <w:tcPr>
            <w:tcW w:w="851" w:type="dxa"/>
            <w:vAlign w:val="center"/>
          </w:tcPr>
          <w:p w14:paraId="5DFFA94B" w14:textId="77777777" w:rsidR="00462037" w:rsidRPr="00527C4A" w:rsidRDefault="00462037" w:rsidP="00462037">
            <w:pPr>
              <w:jc w:val="center"/>
              <w:rPr>
                <w:sz w:val="18"/>
                <w:szCs w:val="18"/>
              </w:rPr>
            </w:pPr>
            <w:r w:rsidRPr="00527C4A">
              <w:rPr>
                <w:sz w:val="18"/>
                <w:szCs w:val="18"/>
              </w:rPr>
              <w:t>5326</w:t>
            </w:r>
          </w:p>
        </w:tc>
        <w:tc>
          <w:tcPr>
            <w:tcW w:w="850" w:type="dxa"/>
            <w:vAlign w:val="center"/>
          </w:tcPr>
          <w:p w14:paraId="340E78DD" w14:textId="77777777" w:rsidR="00462037" w:rsidRPr="00527C4A" w:rsidRDefault="00462037" w:rsidP="00462037">
            <w:pPr>
              <w:jc w:val="center"/>
              <w:rPr>
                <w:sz w:val="18"/>
                <w:szCs w:val="18"/>
              </w:rPr>
            </w:pPr>
            <w:r w:rsidRPr="00527C4A">
              <w:rPr>
                <w:sz w:val="18"/>
                <w:szCs w:val="18"/>
              </w:rPr>
              <w:t>78463</w:t>
            </w:r>
          </w:p>
        </w:tc>
        <w:tc>
          <w:tcPr>
            <w:tcW w:w="851" w:type="dxa"/>
            <w:vAlign w:val="center"/>
          </w:tcPr>
          <w:p w14:paraId="2A3F8F3A" w14:textId="77777777" w:rsidR="00462037" w:rsidRPr="00527C4A" w:rsidRDefault="00462037" w:rsidP="00462037">
            <w:pPr>
              <w:jc w:val="center"/>
              <w:rPr>
                <w:sz w:val="18"/>
                <w:szCs w:val="18"/>
              </w:rPr>
            </w:pPr>
            <w:r w:rsidRPr="00527C4A">
              <w:rPr>
                <w:sz w:val="18"/>
                <w:szCs w:val="18"/>
              </w:rPr>
              <w:t>49874</w:t>
            </w:r>
          </w:p>
        </w:tc>
        <w:tc>
          <w:tcPr>
            <w:tcW w:w="847" w:type="dxa"/>
            <w:vAlign w:val="center"/>
          </w:tcPr>
          <w:p w14:paraId="63666ED9" w14:textId="77777777" w:rsidR="00462037" w:rsidRPr="00527C4A" w:rsidRDefault="00462037" w:rsidP="00462037">
            <w:pPr>
              <w:jc w:val="center"/>
              <w:rPr>
                <w:sz w:val="18"/>
                <w:szCs w:val="18"/>
              </w:rPr>
            </w:pPr>
            <w:r w:rsidRPr="00527C4A">
              <w:rPr>
                <w:sz w:val="18"/>
                <w:szCs w:val="18"/>
              </w:rPr>
              <w:t>30292</w:t>
            </w:r>
          </w:p>
        </w:tc>
        <w:tc>
          <w:tcPr>
            <w:tcW w:w="673" w:type="dxa"/>
            <w:vAlign w:val="center"/>
          </w:tcPr>
          <w:p w14:paraId="6BB75F4F" w14:textId="77777777" w:rsidR="00462037" w:rsidRPr="00527C4A" w:rsidRDefault="00462037" w:rsidP="00462037">
            <w:pPr>
              <w:jc w:val="center"/>
              <w:rPr>
                <w:sz w:val="18"/>
                <w:szCs w:val="18"/>
              </w:rPr>
            </w:pPr>
            <w:r w:rsidRPr="00527C4A">
              <w:rPr>
                <w:sz w:val="18"/>
                <w:szCs w:val="18"/>
              </w:rPr>
              <w:t>24487</w:t>
            </w:r>
          </w:p>
        </w:tc>
        <w:tc>
          <w:tcPr>
            <w:tcW w:w="980" w:type="dxa"/>
            <w:vAlign w:val="center"/>
          </w:tcPr>
          <w:p w14:paraId="74D049CA" w14:textId="77777777" w:rsidR="00462037" w:rsidRPr="00527C4A" w:rsidRDefault="00462037" w:rsidP="00462037">
            <w:pPr>
              <w:jc w:val="center"/>
              <w:rPr>
                <w:sz w:val="18"/>
                <w:szCs w:val="18"/>
              </w:rPr>
            </w:pPr>
            <w:r w:rsidRPr="00527C4A">
              <w:rPr>
                <w:sz w:val="18"/>
                <w:szCs w:val="18"/>
              </w:rPr>
              <w:t>227771</w:t>
            </w:r>
          </w:p>
        </w:tc>
      </w:tr>
      <w:tr w:rsidR="00462037" w14:paraId="79F40193" w14:textId="77777777" w:rsidTr="00462037">
        <w:tc>
          <w:tcPr>
            <w:tcW w:w="2405" w:type="dxa"/>
            <w:vMerge/>
            <w:vAlign w:val="bottom"/>
          </w:tcPr>
          <w:p w14:paraId="5900BFD3" w14:textId="77777777" w:rsidR="00462037" w:rsidRPr="00527C4A" w:rsidRDefault="00462037" w:rsidP="00462037">
            <w:pPr>
              <w:rPr>
                <w:sz w:val="18"/>
                <w:szCs w:val="18"/>
              </w:rPr>
            </w:pPr>
          </w:p>
        </w:tc>
        <w:tc>
          <w:tcPr>
            <w:tcW w:w="851" w:type="dxa"/>
            <w:vAlign w:val="center"/>
          </w:tcPr>
          <w:p w14:paraId="0CCBF977" w14:textId="77777777" w:rsidR="00462037" w:rsidRPr="00527C4A" w:rsidRDefault="00462037" w:rsidP="00462037">
            <w:pPr>
              <w:jc w:val="center"/>
              <w:rPr>
                <w:sz w:val="18"/>
                <w:szCs w:val="18"/>
              </w:rPr>
            </w:pPr>
            <w:r w:rsidRPr="00527C4A">
              <w:rPr>
                <w:sz w:val="18"/>
                <w:szCs w:val="18"/>
              </w:rPr>
              <w:t>5%</w:t>
            </w:r>
          </w:p>
        </w:tc>
        <w:tc>
          <w:tcPr>
            <w:tcW w:w="708" w:type="dxa"/>
            <w:vAlign w:val="center"/>
          </w:tcPr>
          <w:p w14:paraId="082E0EB8" w14:textId="77777777" w:rsidR="00462037" w:rsidRPr="00527C4A" w:rsidRDefault="00462037" w:rsidP="00462037">
            <w:pPr>
              <w:jc w:val="center"/>
              <w:rPr>
                <w:sz w:val="18"/>
                <w:szCs w:val="18"/>
              </w:rPr>
            </w:pPr>
            <w:r w:rsidRPr="00527C4A">
              <w:rPr>
                <w:sz w:val="18"/>
                <w:szCs w:val="18"/>
              </w:rPr>
              <w:t>12%</w:t>
            </w:r>
          </w:p>
        </w:tc>
        <w:tc>
          <w:tcPr>
            <w:tcW w:w="851" w:type="dxa"/>
            <w:vAlign w:val="center"/>
          </w:tcPr>
          <w:p w14:paraId="69F75D11" w14:textId="77777777" w:rsidR="00462037" w:rsidRPr="00527C4A" w:rsidRDefault="00462037" w:rsidP="00462037">
            <w:pPr>
              <w:jc w:val="center"/>
              <w:rPr>
                <w:sz w:val="18"/>
                <w:szCs w:val="18"/>
              </w:rPr>
            </w:pPr>
            <w:r w:rsidRPr="00527C4A">
              <w:rPr>
                <w:sz w:val="18"/>
                <w:szCs w:val="18"/>
              </w:rPr>
              <w:t>2%</w:t>
            </w:r>
          </w:p>
        </w:tc>
        <w:tc>
          <w:tcPr>
            <w:tcW w:w="850" w:type="dxa"/>
            <w:vAlign w:val="center"/>
          </w:tcPr>
          <w:p w14:paraId="51BA462B" w14:textId="77777777" w:rsidR="00462037" w:rsidRPr="00527C4A" w:rsidRDefault="00462037" w:rsidP="00462037">
            <w:pPr>
              <w:jc w:val="center"/>
              <w:rPr>
                <w:sz w:val="18"/>
                <w:szCs w:val="18"/>
              </w:rPr>
            </w:pPr>
            <w:r w:rsidRPr="00527C4A">
              <w:rPr>
                <w:sz w:val="18"/>
                <w:szCs w:val="18"/>
              </w:rPr>
              <w:t>34%</w:t>
            </w:r>
          </w:p>
        </w:tc>
        <w:tc>
          <w:tcPr>
            <w:tcW w:w="851" w:type="dxa"/>
            <w:vAlign w:val="center"/>
          </w:tcPr>
          <w:p w14:paraId="7222B629" w14:textId="77777777" w:rsidR="00462037" w:rsidRPr="00527C4A" w:rsidRDefault="00462037" w:rsidP="00462037">
            <w:pPr>
              <w:jc w:val="center"/>
              <w:rPr>
                <w:sz w:val="18"/>
                <w:szCs w:val="18"/>
              </w:rPr>
            </w:pPr>
            <w:r w:rsidRPr="00527C4A">
              <w:rPr>
                <w:sz w:val="18"/>
                <w:szCs w:val="18"/>
              </w:rPr>
              <w:t>22%</w:t>
            </w:r>
          </w:p>
        </w:tc>
        <w:tc>
          <w:tcPr>
            <w:tcW w:w="847" w:type="dxa"/>
            <w:vAlign w:val="center"/>
          </w:tcPr>
          <w:p w14:paraId="38B33B3B" w14:textId="77777777" w:rsidR="00462037" w:rsidRPr="00527C4A" w:rsidRDefault="00462037" w:rsidP="00462037">
            <w:pPr>
              <w:jc w:val="center"/>
              <w:rPr>
                <w:sz w:val="18"/>
                <w:szCs w:val="18"/>
              </w:rPr>
            </w:pPr>
            <w:r w:rsidRPr="00527C4A">
              <w:rPr>
                <w:sz w:val="18"/>
                <w:szCs w:val="18"/>
              </w:rPr>
              <w:t>13%</w:t>
            </w:r>
          </w:p>
        </w:tc>
        <w:tc>
          <w:tcPr>
            <w:tcW w:w="673" w:type="dxa"/>
            <w:vAlign w:val="center"/>
          </w:tcPr>
          <w:p w14:paraId="4EF4157B" w14:textId="77777777" w:rsidR="00462037" w:rsidRPr="00527C4A" w:rsidRDefault="00462037" w:rsidP="00462037">
            <w:pPr>
              <w:jc w:val="center"/>
              <w:rPr>
                <w:sz w:val="18"/>
                <w:szCs w:val="18"/>
              </w:rPr>
            </w:pPr>
            <w:r w:rsidRPr="00527C4A">
              <w:rPr>
                <w:sz w:val="18"/>
                <w:szCs w:val="18"/>
              </w:rPr>
              <w:t>11%</w:t>
            </w:r>
          </w:p>
        </w:tc>
        <w:tc>
          <w:tcPr>
            <w:tcW w:w="980" w:type="dxa"/>
            <w:vAlign w:val="center"/>
          </w:tcPr>
          <w:p w14:paraId="04E901BA" w14:textId="77777777" w:rsidR="00462037" w:rsidRPr="00527C4A" w:rsidRDefault="00462037" w:rsidP="00462037">
            <w:pPr>
              <w:jc w:val="center"/>
              <w:rPr>
                <w:sz w:val="18"/>
                <w:szCs w:val="18"/>
              </w:rPr>
            </w:pPr>
            <w:r w:rsidRPr="00527C4A">
              <w:rPr>
                <w:sz w:val="18"/>
                <w:szCs w:val="18"/>
              </w:rPr>
              <w:t>100%</w:t>
            </w:r>
          </w:p>
        </w:tc>
      </w:tr>
      <w:tr w:rsidR="00462037" w14:paraId="5E9B7F32" w14:textId="77777777" w:rsidTr="00462037">
        <w:tc>
          <w:tcPr>
            <w:tcW w:w="2405" w:type="dxa"/>
            <w:vMerge w:val="restart"/>
            <w:vAlign w:val="bottom"/>
          </w:tcPr>
          <w:p w14:paraId="20ED6FC5" w14:textId="77777777" w:rsidR="00462037" w:rsidRPr="00527C4A" w:rsidRDefault="00462037" w:rsidP="00462037">
            <w:pPr>
              <w:rPr>
                <w:sz w:val="18"/>
                <w:szCs w:val="18"/>
              </w:rPr>
            </w:pPr>
            <w:r w:rsidRPr="00527C4A">
              <w:rPr>
                <w:sz w:val="18"/>
                <w:szCs w:val="18"/>
              </w:rPr>
              <w:t xml:space="preserve">East Riding of Yorkshire </w:t>
            </w:r>
          </w:p>
        </w:tc>
        <w:tc>
          <w:tcPr>
            <w:tcW w:w="851" w:type="dxa"/>
            <w:vAlign w:val="center"/>
          </w:tcPr>
          <w:p w14:paraId="4FE5ACB6" w14:textId="77777777" w:rsidR="00462037" w:rsidRPr="00527C4A" w:rsidRDefault="00462037" w:rsidP="00462037">
            <w:pPr>
              <w:jc w:val="center"/>
              <w:rPr>
                <w:sz w:val="18"/>
                <w:szCs w:val="18"/>
              </w:rPr>
            </w:pPr>
            <w:r w:rsidRPr="00527C4A">
              <w:rPr>
                <w:sz w:val="18"/>
                <w:szCs w:val="18"/>
              </w:rPr>
              <w:t>15402</w:t>
            </w:r>
          </w:p>
        </w:tc>
        <w:tc>
          <w:tcPr>
            <w:tcW w:w="708" w:type="dxa"/>
            <w:vAlign w:val="center"/>
          </w:tcPr>
          <w:p w14:paraId="391F9B48" w14:textId="77777777" w:rsidR="00462037" w:rsidRPr="00527C4A" w:rsidRDefault="00462037" w:rsidP="00462037">
            <w:pPr>
              <w:jc w:val="center"/>
              <w:rPr>
                <w:sz w:val="18"/>
                <w:szCs w:val="18"/>
              </w:rPr>
            </w:pPr>
            <w:r w:rsidRPr="00527C4A">
              <w:rPr>
                <w:sz w:val="18"/>
                <w:szCs w:val="18"/>
              </w:rPr>
              <w:t>40393</w:t>
            </w:r>
          </w:p>
        </w:tc>
        <w:tc>
          <w:tcPr>
            <w:tcW w:w="851" w:type="dxa"/>
            <w:vAlign w:val="center"/>
          </w:tcPr>
          <w:p w14:paraId="0C94F8D8" w14:textId="77777777" w:rsidR="00462037" w:rsidRPr="00527C4A" w:rsidRDefault="00462037" w:rsidP="00462037">
            <w:pPr>
              <w:jc w:val="center"/>
              <w:rPr>
                <w:sz w:val="18"/>
                <w:szCs w:val="18"/>
              </w:rPr>
            </w:pPr>
            <w:r w:rsidRPr="00527C4A">
              <w:rPr>
                <w:sz w:val="18"/>
                <w:szCs w:val="18"/>
              </w:rPr>
              <w:t>7909</w:t>
            </w:r>
          </w:p>
        </w:tc>
        <w:tc>
          <w:tcPr>
            <w:tcW w:w="850" w:type="dxa"/>
            <w:vAlign w:val="center"/>
          </w:tcPr>
          <w:p w14:paraId="4A1B2839" w14:textId="77777777" w:rsidR="00462037" w:rsidRPr="00527C4A" w:rsidRDefault="00462037" w:rsidP="00462037">
            <w:pPr>
              <w:jc w:val="center"/>
              <w:rPr>
                <w:sz w:val="18"/>
                <w:szCs w:val="18"/>
              </w:rPr>
            </w:pPr>
            <w:r w:rsidRPr="00527C4A">
              <w:rPr>
                <w:sz w:val="18"/>
                <w:szCs w:val="18"/>
              </w:rPr>
              <w:t>113019</w:t>
            </w:r>
          </w:p>
        </w:tc>
        <w:tc>
          <w:tcPr>
            <w:tcW w:w="851" w:type="dxa"/>
            <w:vAlign w:val="center"/>
          </w:tcPr>
          <w:p w14:paraId="0EE2DD90" w14:textId="77777777" w:rsidR="00462037" w:rsidRPr="00527C4A" w:rsidRDefault="00462037" w:rsidP="00462037">
            <w:pPr>
              <w:jc w:val="center"/>
              <w:rPr>
                <w:sz w:val="18"/>
                <w:szCs w:val="18"/>
              </w:rPr>
            </w:pPr>
            <w:r w:rsidRPr="00527C4A">
              <w:rPr>
                <w:sz w:val="18"/>
                <w:szCs w:val="18"/>
              </w:rPr>
              <w:t>68652</w:t>
            </w:r>
          </w:p>
        </w:tc>
        <w:tc>
          <w:tcPr>
            <w:tcW w:w="847" w:type="dxa"/>
            <w:vAlign w:val="center"/>
          </w:tcPr>
          <w:p w14:paraId="305AA266" w14:textId="77777777" w:rsidR="00462037" w:rsidRPr="00527C4A" w:rsidRDefault="00462037" w:rsidP="00462037">
            <w:pPr>
              <w:jc w:val="center"/>
              <w:rPr>
                <w:sz w:val="18"/>
                <w:szCs w:val="18"/>
              </w:rPr>
            </w:pPr>
            <w:r w:rsidRPr="00527C4A">
              <w:rPr>
                <w:sz w:val="18"/>
                <w:szCs w:val="18"/>
              </w:rPr>
              <w:t>36818</w:t>
            </w:r>
          </w:p>
        </w:tc>
        <w:tc>
          <w:tcPr>
            <w:tcW w:w="673" w:type="dxa"/>
            <w:vAlign w:val="center"/>
          </w:tcPr>
          <w:p w14:paraId="2014E8AA" w14:textId="77777777" w:rsidR="00462037" w:rsidRPr="00527C4A" w:rsidRDefault="00462037" w:rsidP="00462037">
            <w:pPr>
              <w:jc w:val="center"/>
              <w:rPr>
                <w:sz w:val="18"/>
                <w:szCs w:val="18"/>
              </w:rPr>
            </w:pPr>
            <w:r w:rsidRPr="00527C4A">
              <w:rPr>
                <w:sz w:val="18"/>
                <w:szCs w:val="18"/>
              </w:rPr>
              <w:t>31193</w:t>
            </w:r>
          </w:p>
        </w:tc>
        <w:tc>
          <w:tcPr>
            <w:tcW w:w="980" w:type="dxa"/>
            <w:vAlign w:val="center"/>
          </w:tcPr>
          <w:p w14:paraId="5D2E91C8" w14:textId="77777777" w:rsidR="00462037" w:rsidRPr="00527C4A" w:rsidRDefault="00462037" w:rsidP="00462037">
            <w:pPr>
              <w:jc w:val="center"/>
              <w:rPr>
                <w:sz w:val="18"/>
                <w:szCs w:val="18"/>
              </w:rPr>
            </w:pPr>
            <w:r w:rsidRPr="00527C4A">
              <w:rPr>
                <w:sz w:val="18"/>
                <w:szCs w:val="18"/>
              </w:rPr>
              <w:t>313386</w:t>
            </w:r>
          </w:p>
        </w:tc>
      </w:tr>
      <w:tr w:rsidR="00462037" w14:paraId="240AD5FB" w14:textId="77777777" w:rsidTr="00462037">
        <w:tc>
          <w:tcPr>
            <w:tcW w:w="2405" w:type="dxa"/>
            <w:vMerge/>
          </w:tcPr>
          <w:p w14:paraId="0E6B7D54" w14:textId="77777777" w:rsidR="00462037" w:rsidRPr="00527C4A" w:rsidRDefault="00462037" w:rsidP="00462037">
            <w:pPr>
              <w:rPr>
                <w:sz w:val="18"/>
                <w:szCs w:val="18"/>
              </w:rPr>
            </w:pPr>
          </w:p>
        </w:tc>
        <w:tc>
          <w:tcPr>
            <w:tcW w:w="851" w:type="dxa"/>
            <w:vAlign w:val="center"/>
          </w:tcPr>
          <w:p w14:paraId="4CB3C307" w14:textId="77777777" w:rsidR="00462037" w:rsidRPr="00527C4A" w:rsidRDefault="00462037" w:rsidP="00462037">
            <w:pPr>
              <w:jc w:val="center"/>
              <w:rPr>
                <w:sz w:val="18"/>
                <w:szCs w:val="18"/>
              </w:rPr>
            </w:pPr>
            <w:r w:rsidRPr="00527C4A">
              <w:rPr>
                <w:sz w:val="18"/>
                <w:szCs w:val="18"/>
              </w:rPr>
              <w:t>5%</w:t>
            </w:r>
          </w:p>
        </w:tc>
        <w:tc>
          <w:tcPr>
            <w:tcW w:w="708" w:type="dxa"/>
            <w:vAlign w:val="center"/>
          </w:tcPr>
          <w:p w14:paraId="274DB045" w14:textId="77777777" w:rsidR="00462037" w:rsidRPr="00527C4A" w:rsidRDefault="00462037" w:rsidP="00462037">
            <w:pPr>
              <w:jc w:val="center"/>
              <w:rPr>
                <w:sz w:val="18"/>
                <w:szCs w:val="18"/>
              </w:rPr>
            </w:pPr>
            <w:r w:rsidRPr="00527C4A">
              <w:rPr>
                <w:sz w:val="18"/>
                <w:szCs w:val="18"/>
              </w:rPr>
              <w:t>13%</w:t>
            </w:r>
          </w:p>
        </w:tc>
        <w:tc>
          <w:tcPr>
            <w:tcW w:w="851" w:type="dxa"/>
            <w:vAlign w:val="center"/>
          </w:tcPr>
          <w:p w14:paraId="6A7020E7" w14:textId="77777777" w:rsidR="00462037" w:rsidRPr="00527C4A" w:rsidRDefault="00462037" w:rsidP="00462037">
            <w:pPr>
              <w:jc w:val="center"/>
              <w:rPr>
                <w:sz w:val="18"/>
                <w:szCs w:val="18"/>
              </w:rPr>
            </w:pPr>
            <w:r w:rsidRPr="00527C4A">
              <w:rPr>
                <w:sz w:val="18"/>
                <w:szCs w:val="18"/>
              </w:rPr>
              <w:t>3%</w:t>
            </w:r>
          </w:p>
        </w:tc>
        <w:tc>
          <w:tcPr>
            <w:tcW w:w="850" w:type="dxa"/>
            <w:vAlign w:val="center"/>
          </w:tcPr>
          <w:p w14:paraId="6AAB35F3" w14:textId="77777777" w:rsidR="00462037" w:rsidRPr="00527C4A" w:rsidRDefault="00462037" w:rsidP="00462037">
            <w:pPr>
              <w:jc w:val="center"/>
              <w:rPr>
                <w:sz w:val="18"/>
                <w:szCs w:val="18"/>
              </w:rPr>
            </w:pPr>
            <w:r w:rsidRPr="00527C4A">
              <w:rPr>
                <w:sz w:val="18"/>
                <w:szCs w:val="18"/>
              </w:rPr>
              <w:t>36%</w:t>
            </w:r>
          </w:p>
        </w:tc>
        <w:tc>
          <w:tcPr>
            <w:tcW w:w="851" w:type="dxa"/>
            <w:vAlign w:val="center"/>
          </w:tcPr>
          <w:p w14:paraId="4541AB08" w14:textId="77777777" w:rsidR="00462037" w:rsidRPr="00527C4A" w:rsidRDefault="00462037" w:rsidP="00462037">
            <w:pPr>
              <w:jc w:val="center"/>
              <w:rPr>
                <w:sz w:val="18"/>
                <w:szCs w:val="18"/>
              </w:rPr>
            </w:pPr>
            <w:r w:rsidRPr="00527C4A">
              <w:rPr>
                <w:sz w:val="18"/>
                <w:szCs w:val="18"/>
              </w:rPr>
              <w:t>22%</w:t>
            </w:r>
          </w:p>
        </w:tc>
        <w:tc>
          <w:tcPr>
            <w:tcW w:w="847" w:type="dxa"/>
            <w:vAlign w:val="center"/>
          </w:tcPr>
          <w:p w14:paraId="034B2023" w14:textId="77777777" w:rsidR="00462037" w:rsidRPr="00527C4A" w:rsidRDefault="00462037" w:rsidP="00462037">
            <w:pPr>
              <w:jc w:val="center"/>
              <w:rPr>
                <w:sz w:val="18"/>
                <w:szCs w:val="18"/>
              </w:rPr>
            </w:pPr>
            <w:r w:rsidRPr="00527C4A">
              <w:rPr>
                <w:sz w:val="18"/>
                <w:szCs w:val="18"/>
              </w:rPr>
              <w:t>12%</w:t>
            </w:r>
          </w:p>
        </w:tc>
        <w:tc>
          <w:tcPr>
            <w:tcW w:w="673" w:type="dxa"/>
            <w:vAlign w:val="center"/>
          </w:tcPr>
          <w:p w14:paraId="741C841A" w14:textId="77777777" w:rsidR="00462037" w:rsidRPr="00527C4A" w:rsidRDefault="00462037" w:rsidP="00462037">
            <w:pPr>
              <w:jc w:val="center"/>
              <w:rPr>
                <w:sz w:val="18"/>
                <w:szCs w:val="18"/>
              </w:rPr>
            </w:pPr>
            <w:r w:rsidRPr="00527C4A">
              <w:rPr>
                <w:sz w:val="18"/>
                <w:szCs w:val="18"/>
              </w:rPr>
              <w:t>10%</w:t>
            </w:r>
          </w:p>
        </w:tc>
        <w:tc>
          <w:tcPr>
            <w:tcW w:w="980" w:type="dxa"/>
            <w:vAlign w:val="center"/>
          </w:tcPr>
          <w:p w14:paraId="0504CBCB" w14:textId="77777777" w:rsidR="00462037" w:rsidRPr="00527C4A" w:rsidRDefault="00462037" w:rsidP="00462037">
            <w:pPr>
              <w:jc w:val="center"/>
              <w:rPr>
                <w:sz w:val="18"/>
                <w:szCs w:val="18"/>
              </w:rPr>
            </w:pPr>
            <w:r w:rsidRPr="00527C4A">
              <w:rPr>
                <w:sz w:val="18"/>
                <w:szCs w:val="18"/>
              </w:rPr>
              <w:t>100%</w:t>
            </w:r>
          </w:p>
        </w:tc>
      </w:tr>
      <w:tr w:rsidR="00462037" w14:paraId="1AA907BF" w14:textId="77777777" w:rsidTr="00462037">
        <w:tc>
          <w:tcPr>
            <w:tcW w:w="2405" w:type="dxa"/>
            <w:vMerge w:val="restart"/>
            <w:vAlign w:val="bottom"/>
          </w:tcPr>
          <w:p w14:paraId="4EBFD09B" w14:textId="77777777" w:rsidR="00462037" w:rsidRPr="00527C4A" w:rsidRDefault="00462037" w:rsidP="00462037">
            <w:pPr>
              <w:rPr>
                <w:sz w:val="18"/>
                <w:szCs w:val="18"/>
              </w:rPr>
            </w:pPr>
            <w:r w:rsidRPr="00527C4A">
              <w:rPr>
                <w:sz w:val="18"/>
                <w:szCs w:val="18"/>
              </w:rPr>
              <w:t xml:space="preserve">Lincolnshire West </w:t>
            </w:r>
          </w:p>
        </w:tc>
        <w:tc>
          <w:tcPr>
            <w:tcW w:w="851" w:type="dxa"/>
            <w:vAlign w:val="center"/>
          </w:tcPr>
          <w:p w14:paraId="2FB29CA8" w14:textId="77777777" w:rsidR="00462037" w:rsidRPr="00527C4A" w:rsidRDefault="00462037" w:rsidP="00462037">
            <w:pPr>
              <w:jc w:val="center"/>
              <w:rPr>
                <w:sz w:val="18"/>
                <w:szCs w:val="18"/>
              </w:rPr>
            </w:pPr>
            <w:r w:rsidRPr="00527C4A">
              <w:rPr>
                <w:sz w:val="18"/>
                <w:szCs w:val="18"/>
              </w:rPr>
              <w:t>12358</w:t>
            </w:r>
          </w:p>
        </w:tc>
        <w:tc>
          <w:tcPr>
            <w:tcW w:w="708" w:type="dxa"/>
            <w:vAlign w:val="center"/>
          </w:tcPr>
          <w:p w14:paraId="7230A468" w14:textId="77777777" w:rsidR="00462037" w:rsidRPr="00527C4A" w:rsidRDefault="00462037" w:rsidP="00462037">
            <w:pPr>
              <w:jc w:val="center"/>
              <w:rPr>
                <w:sz w:val="18"/>
                <w:szCs w:val="18"/>
              </w:rPr>
            </w:pPr>
            <w:r w:rsidRPr="00527C4A">
              <w:rPr>
                <w:sz w:val="18"/>
                <w:szCs w:val="18"/>
              </w:rPr>
              <w:t>28864</w:t>
            </w:r>
          </w:p>
        </w:tc>
        <w:tc>
          <w:tcPr>
            <w:tcW w:w="851" w:type="dxa"/>
            <w:vAlign w:val="center"/>
          </w:tcPr>
          <w:p w14:paraId="4F201FA5" w14:textId="77777777" w:rsidR="00462037" w:rsidRPr="00527C4A" w:rsidRDefault="00462037" w:rsidP="00462037">
            <w:pPr>
              <w:jc w:val="center"/>
              <w:rPr>
                <w:sz w:val="18"/>
                <w:szCs w:val="18"/>
              </w:rPr>
            </w:pPr>
            <w:r w:rsidRPr="00527C4A">
              <w:rPr>
                <w:sz w:val="18"/>
                <w:szCs w:val="18"/>
              </w:rPr>
              <w:t>5800</w:t>
            </w:r>
          </w:p>
        </w:tc>
        <w:tc>
          <w:tcPr>
            <w:tcW w:w="850" w:type="dxa"/>
            <w:vAlign w:val="center"/>
          </w:tcPr>
          <w:p w14:paraId="1E6ACC25" w14:textId="77777777" w:rsidR="00462037" w:rsidRPr="00527C4A" w:rsidRDefault="00462037" w:rsidP="00462037">
            <w:pPr>
              <w:jc w:val="center"/>
              <w:rPr>
                <w:sz w:val="18"/>
                <w:szCs w:val="18"/>
              </w:rPr>
            </w:pPr>
            <w:r w:rsidRPr="00527C4A">
              <w:rPr>
                <w:sz w:val="18"/>
                <w:szCs w:val="18"/>
              </w:rPr>
              <w:t>94218</w:t>
            </w:r>
          </w:p>
        </w:tc>
        <w:tc>
          <w:tcPr>
            <w:tcW w:w="851" w:type="dxa"/>
            <w:vAlign w:val="center"/>
          </w:tcPr>
          <w:p w14:paraId="02265AB2" w14:textId="77777777" w:rsidR="00462037" w:rsidRPr="00527C4A" w:rsidRDefault="00462037" w:rsidP="00462037">
            <w:pPr>
              <w:jc w:val="center"/>
              <w:rPr>
                <w:sz w:val="18"/>
                <w:szCs w:val="18"/>
              </w:rPr>
            </w:pPr>
            <w:r w:rsidRPr="00527C4A">
              <w:rPr>
                <w:sz w:val="18"/>
                <w:szCs w:val="18"/>
              </w:rPr>
              <w:t>42854</w:t>
            </w:r>
          </w:p>
        </w:tc>
        <w:tc>
          <w:tcPr>
            <w:tcW w:w="847" w:type="dxa"/>
            <w:vAlign w:val="center"/>
          </w:tcPr>
          <w:p w14:paraId="14721B6F" w14:textId="77777777" w:rsidR="00462037" w:rsidRPr="00527C4A" w:rsidRDefault="00462037" w:rsidP="00462037">
            <w:pPr>
              <w:jc w:val="center"/>
              <w:rPr>
                <w:sz w:val="18"/>
                <w:szCs w:val="18"/>
              </w:rPr>
            </w:pPr>
            <w:r w:rsidRPr="00527C4A">
              <w:rPr>
                <w:sz w:val="18"/>
                <w:szCs w:val="18"/>
              </w:rPr>
              <w:t>22228</w:t>
            </w:r>
          </w:p>
        </w:tc>
        <w:tc>
          <w:tcPr>
            <w:tcW w:w="673" w:type="dxa"/>
            <w:vAlign w:val="center"/>
          </w:tcPr>
          <w:p w14:paraId="789330B6" w14:textId="77777777" w:rsidR="00462037" w:rsidRPr="00527C4A" w:rsidRDefault="00462037" w:rsidP="00462037">
            <w:pPr>
              <w:jc w:val="center"/>
              <w:rPr>
                <w:sz w:val="18"/>
                <w:szCs w:val="18"/>
              </w:rPr>
            </w:pPr>
            <w:r w:rsidRPr="00527C4A">
              <w:rPr>
                <w:sz w:val="18"/>
                <w:szCs w:val="18"/>
              </w:rPr>
              <w:t>18931</w:t>
            </w:r>
          </w:p>
        </w:tc>
        <w:tc>
          <w:tcPr>
            <w:tcW w:w="980" w:type="dxa"/>
            <w:vAlign w:val="center"/>
          </w:tcPr>
          <w:p w14:paraId="41C0C096" w14:textId="77777777" w:rsidR="00462037" w:rsidRPr="00527C4A" w:rsidRDefault="00462037" w:rsidP="00462037">
            <w:pPr>
              <w:jc w:val="center"/>
              <w:rPr>
                <w:sz w:val="18"/>
                <w:szCs w:val="18"/>
              </w:rPr>
            </w:pPr>
            <w:r w:rsidRPr="00527C4A">
              <w:rPr>
                <w:sz w:val="18"/>
                <w:szCs w:val="18"/>
              </w:rPr>
              <w:t>225253</w:t>
            </w:r>
          </w:p>
        </w:tc>
      </w:tr>
      <w:tr w:rsidR="00462037" w14:paraId="660EE7AB" w14:textId="77777777" w:rsidTr="00462037">
        <w:tc>
          <w:tcPr>
            <w:tcW w:w="2405" w:type="dxa"/>
            <w:vMerge/>
          </w:tcPr>
          <w:p w14:paraId="619AE847" w14:textId="77777777" w:rsidR="00462037" w:rsidRPr="00527C4A" w:rsidRDefault="00462037" w:rsidP="00462037">
            <w:pPr>
              <w:rPr>
                <w:sz w:val="18"/>
                <w:szCs w:val="18"/>
              </w:rPr>
            </w:pPr>
          </w:p>
        </w:tc>
        <w:tc>
          <w:tcPr>
            <w:tcW w:w="851" w:type="dxa"/>
            <w:vAlign w:val="center"/>
          </w:tcPr>
          <w:p w14:paraId="0ECDC6FC" w14:textId="77777777" w:rsidR="00462037" w:rsidRPr="00527C4A" w:rsidRDefault="00462037" w:rsidP="00462037">
            <w:pPr>
              <w:jc w:val="center"/>
              <w:rPr>
                <w:sz w:val="18"/>
                <w:szCs w:val="18"/>
              </w:rPr>
            </w:pPr>
            <w:r w:rsidRPr="00527C4A">
              <w:rPr>
                <w:sz w:val="18"/>
                <w:szCs w:val="18"/>
              </w:rPr>
              <w:t>5%</w:t>
            </w:r>
          </w:p>
        </w:tc>
        <w:tc>
          <w:tcPr>
            <w:tcW w:w="708" w:type="dxa"/>
            <w:vAlign w:val="center"/>
          </w:tcPr>
          <w:p w14:paraId="07576733" w14:textId="77777777" w:rsidR="00462037" w:rsidRPr="00527C4A" w:rsidRDefault="00462037" w:rsidP="00462037">
            <w:pPr>
              <w:jc w:val="center"/>
              <w:rPr>
                <w:sz w:val="18"/>
                <w:szCs w:val="18"/>
              </w:rPr>
            </w:pPr>
            <w:r w:rsidRPr="00527C4A">
              <w:rPr>
                <w:sz w:val="18"/>
                <w:szCs w:val="18"/>
              </w:rPr>
              <w:t>13%</w:t>
            </w:r>
          </w:p>
        </w:tc>
        <w:tc>
          <w:tcPr>
            <w:tcW w:w="851" w:type="dxa"/>
            <w:vAlign w:val="center"/>
          </w:tcPr>
          <w:p w14:paraId="3F1EC51A" w14:textId="77777777" w:rsidR="00462037" w:rsidRPr="00527C4A" w:rsidRDefault="00462037" w:rsidP="00462037">
            <w:pPr>
              <w:jc w:val="center"/>
              <w:rPr>
                <w:sz w:val="18"/>
                <w:szCs w:val="18"/>
              </w:rPr>
            </w:pPr>
            <w:r w:rsidRPr="00527C4A">
              <w:rPr>
                <w:sz w:val="18"/>
                <w:szCs w:val="18"/>
              </w:rPr>
              <w:t>3%</w:t>
            </w:r>
          </w:p>
        </w:tc>
        <w:tc>
          <w:tcPr>
            <w:tcW w:w="850" w:type="dxa"/>
            <w:vAlign w:val="center"/>
          </w:tcPr>
          <w:p w14:paraId="1A7C4B6B" w14:textId="77777777" w:rsidR="00462037" w:rsidRPr="00527C4A" w:rsidRDefault="00462037" w:rsidP="00462037">
            <w:pPr>
              <w:jc w:val="center"/>
              <w:rPr>
                <w:sz w:val="18"/>
                <w:szCs w:val="18"/>
              </w:rPr>
            </w:pPr>
            <w:r w:rsidRPr="00527C4A">
              <w:rPr>
                <w:sz w:val="18"/>
                <w:szCs w:val="18"/>
              </w:rPr>
              <w:t>42%</w:t>
            </w:r>
          </w:p>
        </w:tc>
        <w:tc>
          <w:tcPr>
            <w:tcW w:w="851" w:type="dxa"/>
            <w:vAlign w:val="center"/>
          </w:tcPr>
          <w:p w14:paraId="2D65FA99" w14:textId="77777777" w:rsidR="00462037" w:rsidRPr="00527C4A" w:rsidRDefault="00462037" w:rsidP="00462037">
            <w:pPr>
              <w:jc w:val="center"/>
              <w:rPr>
                <w:sz w:val="18"/>
                <w:szCs w:val="18"/>
              </w:rPr>
            </w:pPr>
            <w:r w:rsidRPr="00527C4A">
              <w:rPr>
                <w:sz w:val="18"/>
                <w:szCs w:val="18"/>
              </w:rPr>
              <w:t>19%</w:t>
            </w:r>
          </w:p>
        </w:tc>
        <w:tc>
          <w:tcPr>
            <w:tcW w:w="847" w:type="dxa"/>
            <w:vAlign w:val="center"/>
          </w:tcPr>
          <w:p w14:paraId="3C4B984C" w14:textId="77777777" w:rsidR="00462037" w:rsidRPr="00527C4A" w:rsidRDefault="00462037" w:rsidP="00462037">
            <w:pPr>
              <w:jc w:val="center"/>
              <w:rPr>
                <w:sz w:val="18"/>
                <w:szCs w:val="18"/>
              </w:rPr>
            </w:pPr>
            <w:r w:rsidRPr="00527C4A">
              <w:rPr>
                <w:sz w:val="18"/>
                <w:szCs w:val="18"/>
              </w:rPr>
              <w:t>10%</w:t>
            </w:r>
          </w:p>
        </w:tc>
        <w:tc>
          <w:tcPr>
            <w:tcW w:w="673" w:type="dxa"/>
            <w:vAlign w:val="center"/>
          </w:tcPr>
          <w:p w14:paraId="3B1E77D9" w14:textId="77777777" w:rsidR="00462037" w:rsidRPr="00527C4A" w:rsidRDefault="00462037" w:rsidP="00462037">
            <w:pPr>
              <w:jc w:val="center"/>
              <w:rPr>
                <w:sz w:val="18"/>
                <w:szCs w:val="18"/>
              </w:rPr>
            </w:pPr>
            <w:r w:rsidRPr="00527C4A">
              <w:rPr>
                <w:sz w:val="18"/>
                <w:szCs w:val="18"/>
              </w:rPr>
              <w:t>8%</w:t>
            </w:r>
          </w:p>
        </w:tc>
        <w:tc>
          <w:tcPr>
            <w:tcW w:w="980" w:type="dxa"/>
            <w:vAlign w:val="center"/>
          </w:tcPr>
          <w:p w14:paraId="1AE88A50" w14:textId="77777777" w:rsidR="00462037" w:rsidRPr="00527C4A" w:rsidRDefault="00462037" w:rsidP="00462037">
            <w:pPr>
              <w:jc w:val="center"/>
              <w:rPr>
                <w:sz w:val="18"/>
                <w:szCs w:val="18"/>
              </w:rPr>
            </w:pPr>
            <w:r w:rsidRPr="00527C4A">
              <w:rPr>
                <w:sz w:val="18"/>
                <w:szCs w:val="18"/>
              </w:rPr>
              <w:t>100%</w:t>
            </w:r>
          </w:p>
        </w:tc>
      </w:tr>
    </w:tbl>
    <w:p w14:paraId="64DA6555" w14:textId="77777777" w:rsidR="00462037" w:rsidRPr="00527C4A" w:rsidRDefault="00462037" w:rsidP="00462037">
      <w:pPr>
        <w:rPr>
          <w:sz w:val="16"/>
          <w:szCs w:val="16"/>
        </w:rPr>
      </w:pPr>
      <w:r w:rsidRPr="00527C4A">
        <w:rPr>
          <w:sz w:val="16"/>
          <w:szCs w:val="16"/>
        </w:rPr>
        <w:t xml:space="preserve">Source: Office for National Statistics (ONS) mid-2011 Census based population estimates for Clinical Commissioning Groups. </w:t>
      </w:r>
    </w:p>
    <w:p w14:paraId="296E6265" w14:textId="04B7FCDE" w:rsidR="00462037" w:rsidRDefault="00462037" w:rsidP="00462037">
      <w:pPr>
        <w:pStyle w:val="Heading4"/>
      </w:pPr>
      <w:r>
        <w:t>Table 3 – Age and sex distribution of CCG populations 2011</w:t>
      </w:r>
    </w:p>
    <w:tbl>
      <w:tblPr>
        <w:tblStyle w:val="TableGrid"/>
        <w:tblW w:w="0" w:type="auto"/>
        <w:tblLook w:val="04A0" w:firstRow="1" w:lastRow="0" w:firstColumn="1" w:lastColumn="0" w:noHBand="0" w:noVBand="1"/>
      </w:tblPr>
      <w:tblGrid>
        <w:gridCol w:w="2405"/>
        <w:gridCol w:w="851"/>
        <w:gridCol w:w="708"/>
        <w:gridCol w:w="851"/>
        <w:gridCol w:w="850"/>
        <w:gridCol w:w="851"/>
        <w:gridCol w:w="847"/>
        <w:gridCol w:w="673"/>
        <w:gridCol w:w="980"/>
      </w:tblGrid>
      <w:tr w:rsidR="00462037" w14:paraId="1CE36348" w14:textId="77777777" w:rsidTr="00462037">
        <w:tc>
          <w:tcPr>
            <w:tcW w:w="2405" w:type="dxa"/>
            <w:vMerge w:val="restart"/>
            <w:shd w:val="clear" w:color="auto" w:fill="767171" w:themeFill="background2" w:themeFillShade="80"/>
          </w:tcPr>
          <w:p w14:paraId="0AC1817B"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CCG</w:t>
            </w:r>
          </w:p>
        </w:tc>
        <w:tc>
          <w:tcPr>
            <w:tcW w:w="5631" w:type="dxa"/>
            <w:gridSpan w:val="7"/>
            <w:shd w:val="clear" w:color="auto" w:fill="767171" w:themeFill="background2" w:themeFillShade="80"/>
          </w:tcPr>
          <w:p w14:paraId="3C90F56B"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Age band (years)</w:t>
            </w:r>
          </w:p>
        </w:tc>
        <w:tc>
          <w:tcPr>
            <w:tcW w:w="980" w:type="dxa"/>
            <w:vMerge w:val="restart"/>
            <w:shd w:val="clear" w:color="auto" w:fill="767171" w:themeFill="background2" w:themeFillShade="80"/>
          </w:tcPr>
          <w:p w14:paraId="2023EA62"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All ages</w:t>
            </w:r>
          </w:p>
        </w:tc>
      </w:tr>
      <w:tr w:rsidR="00462037" w14:paraId="7A4FA6CC" w14:textId="77777777" w:rsidTr="00462037">
        <w:tc>
          <w:tcPr>
            <w:tcW w:w="2405" w:type="dxa"/>
            <w:vMerge/>
            <w:shd w:val="clear" w:color="auto" w:fill="767171" w:themeFill="background2" w:themeFillShade="80"/>
          </w:tcPr>
          <w:p w14:paraId="5A64850A" w14:textId="77777777" w:rsidR="00462037" w:rsidRPr="00527C4A" w:rsidRDefault="00462037" w:rsidP="00462037">
            <w:pPr>
              <w:rPr>
                <w:color w:val="FFFFFF" w:themeColor="background1"/>
                <w:sz w:val="18"/>
                <w:szCs w:val="18"/>
              </w:rPr>
            </w:pPr>
          </w:p>
        </w:tc>
        <w:tc>
          <w:tcPr>
            <w:tcW w:w="851" w:type="dxa"/>
            <w:shd w:val="clear" w:color="auto" w:fill="767171" w:themeFill="background2" w:themeFillShade="80"/>
            <w:vAlign w:val="center"/>
          </w:tcPr>
          <w:p w14:paraId="5D50C033"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0 - 4</w:t>
            </w:r>
          </w:p>
        </w:tc>
        <w:tc>
          <w:tcPr>
            <w:tcW w:w="708" w:type="dxa"/>
            <w:shd w:val="clear" w:color="auto" w:fill="767171" w:themeFill="background2" w:themeFillShade="80"/>
            <w:vAlign w:val="center"/>
          </w:tcPr>
          <w:p w14:paraId="7DEA501F"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5 - 16</w:t>
            </w:r>
          </w:p>
        </w:tc>
        <w:tc>
          <w:tcPr>
            <w:tcW w:w="851" w:type="dxa"/>
            <w:shd w:val="clear" w:color="auto" w:fill="767171" w:themeFill="background2" w:themeFillShade="80"/>
            <w:vAlign w:val="center"/>
          </w:tcPr>
          <w:p w14:paraId="2110AF2C"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17 - 18</w:t>
            </w:r>
          </w:p>
        </w:tc>
        <w:tc>
          <w:tcPr>
            <w:tcW w:w="850" w:type="dxa"/>
            <w:shd w:val="clear" w:color="auto" w:fill="767171" w:themeFill="background2" w:themeFillShade="80"/>
            <w:vAlign w:val="center"/>
          </w:tcPr>
          <w:p w14:paraId="181CF2D8"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19 - 49</w:t>
            </w:r>
          </w:p>
        </w:tc>
        <w:tc>
          <w:tcPr>
            <w:tcW w:w="851" w:type="dxa"/>
            <w:shd w:val="clear" w:color="auto" w:fill="767171" w:themeFill="background2" w:themeFillShade="80"/>
            <w:vAlign w:val="center"/>
          </w:tcPr>
          <w:p w14:paraId="299D035D"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50 - 64</w:t>
            </w:r>
          </w:p>
        </w:tc>
        <w:tc>
          <w:tcPr>
            <w:tcW w:w="847" w:type="dxa"/>
            <w:shd w:val="clear" w:color="auto" w:fill="767171" w:themeFill="background2" w:themeFillShade="80"/>
            <w:vAlign w:val="center"/>
          </w:tcPr>
          <w:p w14:paraId="0796D7C9"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65 - 74</w:t>
            </w:r>
          </w:p>
        </w:tc>
        <w:tc>
          <w:tcPr>
            <w:tcW w:w="673" w:type="dxa"/>
            <w:shd w:val="clear" w:color="auto" w:fill="767171" w:themeFill="background2" w:themeFillShade="80"/>
            <w:vAlign w:val="center"/>
          </w:tcPr>
          <w:p w14:paraId="40E0FB0F"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75+</w:t>
            </w:r>
          </w:p>
        </w:tc>
        <w:tc>
          <w:tcPr>
            <w:tcW w:w="980" w:type="dxa"/>
            <w:vMerge/>
            <w:shd w:val="clear" w:color="auto" w:fill="767171" w:themeFill="background2" w:themeFillShade="80"/>
          </w:tcPr>
          <w:p w14:paraId="120C3B67" w14:textId="77777777" w:rsidR="00462037" w:rsidRPr="00527C4A" w:rsidRDefault="00462037" w:rsidP="00462037">
            <w:pPr>
              <w:rPr>
                <w:color w:val="FFFFFF" w:themeColor="background1"/>
                <w:sz w:val="18"/>
                <w:szCs w:val="18"/>
              </w:rPr>
            </w:pPr>
          </w:p>
        </w:tc>
      </w:tr>
      <w:tr w:rsidR="00462037" w14:paraId="7B73AA40" w14:textId="77777777" w:rsidTr="00462037">
        <w:tc>
          <w:tcPr>
            <w:tcW w:w="2405" w:type="dxa"/>
            <w:vAlign w:val="bottom"/>
          </w:tcPr>
          <w:p w14:paraId="5CBECBC8" w14:textId="77777777" w:rsidR="00462037" w:rsidRPr="00527C4A" w:rsidRDefault="00462037" w:rsidP="00462037">
            <w:pPr>
              <w:rPr>
                <w:sz w:val="18"/>
                <w:szCs w:val="18"/>
              </w:rPr>
            </w:pPr>
            <w:r w:rsidRPr="00527C4A">
              <w:rPr>
                <w:sz w:val="18"/>
                <w:szCs w:val="18"/>
              </w:rPr>
              <w:t xml:space="preserve">North Lincolnshire </w:t>
            </w:r>
          </w:p>
        </w:tc>
        <w:tc>
          <w:tcPr>
            <w:tcW w:w="851" w:type="dxa"/>
            <w:vAlign w:val="center"/>
          </w:tcPr>
          <w:p w14:paraId="1E9C923F" w14:textId="77777777" w:rsidR="00462037" w:rsidRPr="00527C4A" w:rsidRDefault="00462037" w:rsidP="00462037">
            <w:pPr>
              <w:jc w:val="center"/>
              <w:rPr>
                <w:sz w:val="18"/>
                <w:szCs w:val="18"/>
              </w:rPr>
            </w:pPr>
            <w:r w:rsidRPr="00527C4A">
              <w:rPr>
                <w:sz w:val="18"/>
                <w:szCs w:val="18"/>
              </w:rPr>
              <w:t>10221</w:t>
            </w:r>
          </w:p>
        </w:tc>
        <w:tc>
          <w:tcPr>
            <w:tcW w:w="708" w:type="dxa"/>
            <w:vAlign w:val="center"/>
          </w:tcPr>
          <w:p w14:paraId="77A34583" w14:textId="77777777" w:rsidR="00462037" w:rsidRPr="00527C4A" w:rsidRDefault="00462037" w:rsidP="00462037">
            <w:pPr>
              <w:jc w:val="center"/>
              <w:rPr>
                <w:sz w:val="18"/>
                <w:szCs w:val="18"/>
              </w:rPr>
            </w:pPr>
            <w:r w:rsidRPr="00527C4A">
              <w:rPr>
                <w:sz w:val="18"/>
                <w:szCs w:val="18"/>
              </w:rPr>
              <w:t>23140</w:t>
            </w:r>
          </w:p>
        </w:tc>
        <w:tc>
          <w:tcPr>
            <w:tcW w:w="851" w:type="dxa"/>
            <w:vAlign w:val="center"/>
          </w:tcPr>
          <w:p w14:paraId="4DAEAF7F" w14:textId="77777777" w:rsidR="00462037" w:rsidRPr="00527C4A" w:rsidRDefault="00462037" w:rsidP="00462037">
            <w:pPr>
              <w:jc w:val="center"/>
              <w:rPr>
                <w:sz w:val="18"/>
                <w:szCs w:val="18"/>
              </w:rPr>
            </w:pPr>
            <w:r w:rsidRPr="00527C4A">
              <w:rPr>
                <w:sz w:val="18"/>
                <w:szCs w:val="18"/>
              </w:rPr>
              <w:t>4199</w:t>
            </w:r>
          </w:p>
        </w:tc>
        <w:tc>
          <w:tcPr>
            <w:tcW w:w="850" w:type="dxa"/>
            <w:vAlign w:val="center"/>
          </w:tcPr>
          <w:p w14:paraId="418F6D2F" w14:textId="77777777" w:rsidR="00462037" w:rsidRPr="00527C4A" w:rsidRDefault="00462037" w:rsidP="00462037">
            <w:pPr>
              <w:jc w:val="center"/>
              <w:rPr>
                <w:sz w:val="18"/>
                <w:szCs w:val="18"/>
              </w:rPr>
            </w:pPr>
            <w:r w:rsidRPr="00527C4A">
              <w:rPr>
                <w:sz w:val="18"/>
                <w:szCs w:val="18"/>
              </w:rPr>
              <w:t>65584</w:t>
            </w:r>
          </w:p>
        </w:tc>
        <w:tc>
          <w:tcPr>
            <w:tcW w:w="851" w:type="dxa"/>
            <w:vAlign w:val="center"/>
          </w:tcPr>
          <w:p w14:paraId="365C79F1" w14:textId="77777777" w:rsidR="00462037" w:rsidRPr="00527C4A" w:rsidRDefault="00462037" w:rsidP="00462037">
            <w:pPr>
              <w:jc w:val="center"/>
              <w:rPr>
                <w:sz w:val="18"/>
                <w:szCs w:val="18"/>
              </w:rPr>
            </w:pPr>
            <w:r w:rsidRPr="00527C4A">
              <w:rPr>
                <w:sz w:val="18"/>
                <w:szCs w:val="18"/>
              </w:rPr>
              <w:t>34056</w:t>
            </w:r>
          </w:p>
        </w:tc>
        <w:tc>
          <w:tcPr>
            <w:tcW w:w="847" w:type="dxa"/>
            <w:vAlign w:val="center"/>
          </w:tcPr>
          <w:p w14:paraId="14BEF289" w14:textId="77777777" w:rsidR="00462037" w:rsidRPr="00527C4A" w:rsidRDefault="00462037" w:rsidP="00462037">
            <w:pPr>
              <w:jc w:val="center"/>
              <w:rPr>
                <w:sz w:val="18"/>
                <w:szCs w:val="18"/>
              </w:rPr>
            </w:pPr>
            <w:r w:rsidRPr="00527C4A">
              <w:rPr>
                <w:sz w:val="18"/>
                <w:szCs w:val="18"/>
              </w:rPr>
              <w:t>16440</w:t>
            </w:r>
          </w:p>
        </w:tc>
        <w:tc>
          <w:tcPr>
            <w:tcW w:w="673" w:type="dxa"/>
            <w:vAlign w:val="center"/>
          </w:tcPr>
          <w:p w14:paraId="7C6B3F64" w14:textId="77777777" w:rsidR="00462037" w:rsidRPr="00527C4A" w:rsidRDefault="00462037" w:rsidP="00462037">
            <w:pPr>
              <w:jc w:val="center"/>
              <w:rPr>
                <w:sz w:val="18"/>
                <w:szCs w:val="18"/>
              </w:rPr>
            </w:pPr>
            <w:r w:rsidRPr="00527C4A">
              <w:rPr>
                <w:sz w:val="18"/>
                <w:szCs w:val="18"/>
              </w:rPr>
              <w:t>13876</w:t>
            </w:r>
          </w:p>
        </w:tc>
        <w:tc>
          <w:tcPr>
            <w:tcW w:w="980" w:type="dxa"/>
            <w:vAlign w:val="center"/>
          </w:tcPr>
          <w:p w14:paraId="396BE66D" w14:textId="77777777" w:rsidR="00462037" w:rsidRPr="00527C4A" w:rsidRDefault="00462037" w:rsidP="00462037">
            <w:pPr>
              <w:jc w:val="center"/>
              <w:rPr>
                <w:sz w:val="18"/>
                <w:szCs w:val="18"/>
              </w:rPr>
            </w:pPr>
            <w:r w:rsidRPr="00527C4A">
              <w:rPr>
                <w:sz w:val="18"/>
                <w:szCs w:val="18"/>
              </w:rPr>
              <w:t>167516</w:t>
            </w:r>
          </w:p>
        </w:tc>
      </w:tr>
      <w:tr w:rsidR="00462037" w14:paraId="5D43E84F" w14:textId="77777777" w:rsidTr="00462037">
        <w:tc>
          <w:tcPr>
            <w:tcW w:w="2405" w:type="dxa"/>
            <w:vAlign w:val="bottom"/>
          </w:tcPr>
          <w:p w14:paraId="1F576478" w14:textId="77777777" w:rsidR="00462037" w:rsidRPr="00527C4A" w:rsidRDefault="00462037" w:rsidP="00462037">
            <w:pPr>
              <w:rPr>
                <w:sz w:val="18"/>
                <w:szCs w:val="18"/>
              </w:rPr>
            </w:pPr>
            <w:r w:rsidRPr="00527C4A">
              <w:rPr>
                <w:sz w:val="18"/>
                <w:szCs w:val="18"/>
              </w:rPr>
              <w:t>% male</w:t>
            </w:r>
          </w:p>
        </w:tc>
        <w:tc>
          <w:tcPr>
            <w:tcW w:w="851" w:type="dxa"/>
            <w:vAlign w:val="center"/>
          </w:tcPr>
          <w:p w14:paraId="76B615F3" w14:textId="77777777" w:rsidR="00462037" w:rsidRPr="00527C4A" w:rsidRDefault="00462037" w:rsidP="00462037">
            <w:pPr>
              <w:jc w:val="center"/>
              <w:rPr>
                <w:sz w:val="18"/>
                <w:szCs w:val="18"/>
              </w:rPr>
            </w:pPr>
            <w:r w:rsidRPr="00527C4A">
              <w:rPr>
                <w:sz w:val="18"/>
                <w:szCs w:val="18"/>
              </w:rPr>
              <w:t>51%</w:t>
            </w:r>
          </w:p>
        </w:tc>
        <w:tc>
          <w:tcPr>
            <w:tcW w:w="708" w:type="dxa"/>
            <w:vAlign w:val="center"/>
          </w:tcPr>
          <w:p w14:paraId="4274FA9F" w14:textId="77777777" w:rsidR="00462037" w:rsidRPr="00527C4A" w:rsidRDefault="00462037" w:rsidP="00462037">
            <w:pPr>
              <w:jc w:val="center"/>
              <w:rPr>
                <w:sz w:val="18"/>
                <w:szCs w:val="18"/>
              </w:rPr>
            </w:pPr>
            <w:r w:rsidRPr="00527C4A">
              <w:rPr>
                <w:sz w:val="18"/>
                <w:szCs w:val="18"/>
              </w:rPr>
              <w:t>51%</w:t>
            </w:r>
          </w:p>
        </w:tc>
        <w:tc>
          <w:tcPr>
            <w:tcW w:w="851" w:type="dxa"/>
            <w:vAlign w:val="center"/>
          </w:tcPr>
          <w:p w14:paraId="1CBF7C9B" w14:textId="77777777" w:rsidR="00462037" w:rsidRPr="00527C4A" w:rsidRDefault="00462037" w:rsidP="00462037">
            <w:pPr>
              <w:jc w:val="center"/>
              <w:rPr>
                <w:sz w:val="18"/>
                <w:szCs w:val="18"/>
              </w:rPr>
            </w:pPr>
            <w:r w:rsidRPr="00527C4A">
              <w:rPr>
                <w:sz w:val="18"/>
                <w:szCs w:val="18"/>
              </w:rPr>
              <w:t>52%</w:t>
            </w:r>
          </w:p>
        </w:tc>
        <w:tc>
          <w:tcPr>
            <w:tcW w:w="850" w:type="dxa"/>
            <w:vAlign w:val="center"/>
          </w:tcPr>
          <w:p w14:paraId="791C0DC9" w14:textId="77777777" w:rsidR="00462037" w:rsidRPr="00527C4A" w:rsidRDefault="00462037" w:rsidP="00462037">
            <w:pPr>
              <w:jc w:val="center"/>
              <w:rPr>
                <w:sz w:val="18"/>
                <w:szCs w:val="18"/>
              </w:rPr>
            </w:pPr>
            <w:r w:rsidRPr="00527C4A">
              <w:rPr>
                <w:sz w:val="18"/>
                <w:szCs w:val="18"/>
              </w:rPr>
              <w:t>50%</w:t>
            </w:r>
          </w:p>
        </w:tc>
        <w:tc>
          <w:tcPr>
            <w:tcW w:w="851" w:type="dxa"/>
            <w:vAlign w:val="center"/>
          </w:tcPr>
          <w:p w14:paraId="4449E329" w14:textId="77777777" w:rsidR="00462037" w:rsidRPr="00527C4A" w:rsidRDefault="00462037" w:rsidP="00462037">
            <w:pPr>
              <w:jc w:val="center"/>
              <w:rPr>
                <w:sz w:val="18"/>
                <w:szCs w:val="18"/>
              </w:rPr>
            </w:pPr>
            <w:r w:rsidRPr="00527C4A">
              <w:rPr>
                <w:sz w:val="18"/>
                <w:szCs w:val="18"/>
              </w:rPr>
              <w:t>50%</w:t>
            </w:r>
          </w:p>
        </w:tc>
        <w:tc>
          <w:tcPr>
            <w:tcW w:w="847" w:type="dxa"/>
            <w:vAlign w:val="center"/>
          </w:tcPr>
          <w:p w14:paraId="619C8192" w14:textId="77777777" w:rsidR="00462037" w:rsidRPr="00527C4A" w:rsidRDefault="00462037" w:rsidP="00462037">
            <w:pPr>
              <w:jc w:val="center"/>
              <w:rPr>
                <w:sz w:val="18"/>
                <w:szCs w:val="18"/>
              </w:rPr>
            </w:pPr>
            <w:r w:rsidRPr="00527C4A">
              <w:rPr>
                <w:sz w:val="18"/>
                <w:szCs w:val="18"/>
              </w:rPr>
              <w:t>49%</w:t>
            </w:r>
          </w:p>
        </w:tc>
        <w:tc>
          <w:tcPr>
            <w:tcW w:w="673" w:type="dxa"/>
            <w:vAlign w:val="center"/>
          </w:tcPr>
          <w:p w14:paraId="4C23AA89" w14:textId="77777777" w:rsidR="00462037" w:rsidRPr="00527C4A" w:rsidRDefault="00462037" w:rsidP="00462037">
            <w:pPr>
              <w:jc w:val="center"/>
              <w:rPr>
                <w:sz w:val="18"/>
                <w:szCs w:val="18"/>
              </w:rPr>
            </w:pPr>
            <w:r w:rsidRPr="00527C4A">
              <w:rPr>
                <w:sz w:val="18"/>
                <w:szCs w:val="18"/>
              </w:rPr>
              <w:t>40%</w:t>
            </w:r>
          </w:p>
        </w:tc>
        <w:tc>
          <w:tcPr>
            <w:tcW w:w="980" w:type="dxa"/>
            <w:vAlign w:val="center"/>
          </w:tcPr>
          <w:p w14:paraId="0F522436" w14:textId="77777777" w:rsidR="00462037" w:rsidRPr="00527C4A" w:rsidRDefault="00462037" w:rsidP="00462037">
            <w:pPr>
              <w:jc w:val="center"/>
              <w:rPr>
                <w:sz w:val="18"/>
                <w:szCs w:val="18"/>
              </w:rPr>
            </w:pPr>
            <w:r w:rsidRPr="00527C4A">
              <w:rPr>
                <w:sz w:val="18"/>
                <w:szCs w:val="18"/>
              </w:rPr>
              <w:t>49%</w:t>
            </w:r>
          </w:p>
        </w:tc>
      </w:tr>
      <w:tr w:rsidR="00462037" w14:paraId="04CA2EF5" w14:textId="77777777" w:rsidTr="00462037">
        <w:tc>
          <w:tcPr>
            <w:tcW w:w="2405" w:type="dxa"/>
            <w:vAlign w:val="bottom"/>
          </w:tcPr>
          <w:p w14:paraId="1133FD7D" w14:textId="77777777" w:rsidR="00462037" w:rsidRPr="00527C4A" w:rsidRDefault="00462037" w:rsidP="00462037">
            <w:pPr>
              <w:rPr>
                <w:sz w:val="18"/>
                <w:szCs w:val="18"/>
              </w:rPr>
            </w:pPr>
            <w:r w:rsidRPr="00527C4A">
              <w:rPr>
                <w:sz w:val="18"/>
                <w:szCs w:val="18"/>
              </w:rPr>
              <w:t xml:space="preserve">North East Lincolnshire </w:t>
            </w:r>
          </w:p>
        </w:tc>
        <w:tc>
          <w:tcPr>
            <w:tcW w:w="851" w:type="dxa"/>
            <w:vAlign w:val="center"/>
          </w:tcPr>
          <w:p w14:paraId="12904F46" w14:textId="77777777" w:rsidR="00462037" w:rsidRPr="00527C4A" w:rsidRDefault="00462037" w:rsidP="00462037">
            <w:pPr>
              <w:jc w:val="center"/>
              <w:rPr>
                <w:sz w:val="18"/>
                <w:szCs w:val="18"/>
              </w:rPr>
            </w:pPr>
            <w:r w:rsidRPr="00527C4A">
              <w:rPr>
                <w:sz w:val="18"/>
                <w:szCs w:val="18"/>
              </w:rPr>
              <w:t>10001</w:t>
            </w:r>
          </w:p>
        </w:tc>
        <w:tc>
          <w:tcPr>
            <w:tcW w:w="708" w:type="dxa"/>
            <w:vAlign w:val="center"/>
          </w:tcPr>
          <w:p w14:paraId="453DE002" w14:textId="77777777" w:rsidR="00462037" w:rsidRPr="00527C4A" w:rsidRDefault="00462037" w:rsidP="00462037">
            <w:pPr>
              <w:jc w:val="center"/>
              <w:rPr>
                <w:sz w:val="18"/>
                <w:szCs w:val="18"/>
              </w:rPr>
            </w:pPr>
            <w:r w:rsidRPr="00527C4A">
              <w:rPr>
                <w:sz w:val="18"/>
                <w:szCs w:val="18"/>
              </w:rPr>
              <w:t>22215</w:t>
            </w:r>
          </w:p>
        </w:tc>
        <w:tc>
          <w:tcPr>
            <w:tcW w:w="851" w:type="dxa"/>
            <w:vAlign w:val="center"/>
          </w:tcPr>
          <w:p w14:paraId="71C793AD" w14:textId="77777777" w:rsidR="00462037" w:rsidRPr="00527C4A" w:rsidRDefault="00462037" w:rsidP="00462037">
            <w:pPr>
              <w:jc w:val="center"/>
              <w:rPr>
                <w:sz w:val="18"/>
                <w:szCs w:val="18"/>
              </w:rPr>
            </w:pPr>
            <w:r w:rsidRPr="00527C4A">
              <w:rPr>
                <w:sz w:val="18"/>
                <w:szCs w:val="18"/>
              </w:rPr>
              <w:t>4225</w:t>
            </w:r>
          </w:p>
        </w:tc>
        <w:tc>
          <w:tcPr>
            <w:tcW w:w="850" w:type="dxa"/>
            <w:vAlign w:val="center"/>
          </w:tcPr>
          <w:p w14:paraId="107943B8" w14:textId="77777777" w:rsidR="00462037" w:rsidRPr="00527C4A" w:rsidRDefault="00462037" w:rsidP="00462037">
            <w:pPr>
              <w:jc w:val="center"/>
              <w:rPr>
                <w:sz w:val="18"/>
                <w:szCs w:val="18"/>
              </w:rPr>
            </w:pPr>
            <w:r w:rsidRPr="00527C4A">
              <w:rPr>
                <w:sz w:val="18"/>
                <w:szCs w:val="18"/>
              </w:rPr>
              <w:t>64212</w:t>
            </w:r>
          </w:p>
        </w:tc>
        <w:tc>
          <w:tcPr>
            <w:tcW w:w="851" w:type="dxa"/>
            <w:vAlign w:val="center"/>
          </w:tcPr>
          <w:p w14:paraId="1727A4AA" w14:textId="77777777" w:rsidR="00462037" w:rsidRPr="00527C4A" w:rsidRDefault="00462037" w:rsidP="00462037">
            <w:pPr>
              <w:jc w:val="center"/>
              <w:rPr>
                <w:sz w:val="18"/>
                <w:szCs w:val="18"/>
              </w:rPr>
            </w:pPr>
            <w:r w:rsidRPr="00527C4A">
              <w:rPr>
                <w:sz w:val="18"/>
                <w:szCs w:val="18"/>
              </w:rPr>
              <w:t>30569</w:t>
            </w:r>
          </w:p>
        </w:tc>
        <w:tc>
          <w:tcPr>
            <w:tcW w:w="847" w:type="dxa"/>
            <w:vAlign w:val="center"/>
          </w:tcPr>
          <w:p w14:paraId="66E4D7C9" w14:textId="77777777" w:rsidR="00462037" w:rsidRPr="00527C4A" w:rsidRDefault="00462037" w:rsidP="00462037">
            <w:pPr>
              <w:jc w:val="center"/>
              <w:rPr>
                <w:sz w:val="18"/>
                <w:szCs w:val="18"/>
              </w:rPr>
            </w:pPr>
            <w:r w:rsidRPr="00527C4A">
              <w:rPr>
                <w:sz w:val="18"/>
                <w:szCs w:val="18"/>
              </w:rPr>
              <w:t>14870</w:t>
            </w:r>
          </w:p>
        </w:tc>
        <w:tc>
          <w:tcPr>
            <w:tcW w:w="673" w:type="dxa"/>
            <w:vAlign w:val="center"/>
          </w:tcPr>
          <w:p w14:paraId="7437258A" w14:textId="77777777" w:rsidR="00462037" w:rsidRPr="00527C4A" w:rsidRDefault="00462037" w:rsidP="00462037">
            <w:pPr>
              <w:jc w:val="center"/>
              <w:rPr>
                <w:sz w:val="18"/>
                <w:szCs w:val="18"/>
              </w:rPr>
            </w:pPr>
            <w:r w:rsidRPr="00527C4A">
              <w:rPr>
                <w:sz w:val="18"/>
                <w:szCs w:val="18"/>
              </w:rPr>
              <w:t>13643</w:t>
            </w:r>
          </w:p>
        </w:tc>
        <w:tc>
          <w:tcPr>
            <w:tcW w:w="980" w:type="dxa"/>
            <w:vAlign w:val="center"/>
          </w:tcPr>
          <w:p w14:paraId="02A81214" w14:textId="77777777" w:rsidR="00462037" w:rsidRPr="00527C4A" w:rsidRDefault="00462037" w:rsidP="00462037">
            <w:pPr>
              <w:jc w:val="center"/>
              <w:rPr>
                <w:sz w:val="18"/>
                <w:szCs w:val="18"/>
              </w:rPr>
            </w:pPr>
            <w:r w:rsidRPr="00527C4A">
              <w:rPr>
                <w:sz w:val="18"/>
                <w:szCs w:val="18"/>
              </w:rPr>
              <w:t>159735</w:t>
            </w:r>
          </w:p>
        </w:tc>
      </w:tr>
      <w:tr w:rsidR="00462037" w14:paraId="295CAC00" w14:textId="77777777" w:rsidTr="00462037">
        <w:tc>
          <w:tcPr>
            <w:tcW w:w="2405" w:type="dxa"/>
            <w:vAlign w:val="bottom"/>
          </w:tcPr>
          <w:p w14:paraId="5B782E7E" w14:textId="77777777" w:rsidR="00462037" w:rsidRPr="00527C4A" w:rsidRDefault="00462037" w:rsidP="00462037">
            <w:pPr>
              <w:rPr>
                <w:sz w:val="18"/>
                <w:szCs w:val="18"/>
              </w:rPr>
            </w:pPr>
            <w:r w:rsidRPr="00527C4A">
              <w:rPr>
                <w:sz w:val="18"/>
                <w:szCs w:val="18"/>
              </w:rPr>
              <w:t>% male</w:t>
            </w:r>
          </w:p>
        </w:tc>
        <w:tc>
          <w:tcPr>
            <w:tcW w:w="851" w:type="dxa"/>
            <w:vAlign w:val="center"/>
          </w:tcPr>
          <w:p w14:paraId="2C9C7F2B" w14:textId="77777777" w:rsidR="00462037" w:rsidRPr="00527C4A" w:rsidRDefault="00462037" w:rsidP="00462037">
            <w:pPr>
              <w:jc w:val="center"/>
              <w:rPr>
                <w:sz w:val="18"/>
                <w:szCs w:val="18"/>
              </w:rPr>
            </w:pPr>
            <w:r w:rsidRPr="00527C4A">
              <w:rPr>
                <w:sz w:val="18"/>
                <w:szCs w:val="18"/>
              </w:rPr>
              <w:t>51%</w:t>
            </w:r>
          </w:p>
        </w:tc>
        <w:tc>
          <w:tcPr>
            <w:tcW w:w="708" w:type="dxa"/>
            <w:vAlign w:val="center"/>
          </w:tcPr>
          <w:p w14:paraId="0AC7524A" w14:textId="77777777" w:rsidR="00462037" w:rsidRPr="00527C4A" w:rsidRDefault="00462037" w:rsidP="00462037">
            <w:pPr>
              <w:jc w:val="center"/>
              <w:rPr>
                <w:sz w:val="18"/>
                <w:szCs w:val="18"/>
              </w:rPr>
            </w:pPr>
            <w:r w:rsidRPr="00527C4A">
              <w:rPr>
                <w:sz w:val="18"/>
                <w:szCs w:val="18"/>
              </w:rPr>
              <w:t>51%</w:t>
            </w:r>
          </w:p>
        </w:tc>
        <w:tc>
          <w:tcPr>
            <w:tcW w:w="851" w:type="dxa"/>
            <w:vAlign w:val="center"/>
          </w:tcPr>
          <w:p w14:paraId="1BACA72B" w14:textId="77777777" w:rsidR="00462037" w:rsidRPr="00527C4A" w:rsidRDefault="00462037" w:rsidP="00462037">
            <w:pPr>
              <w:jc w:val="center"/>
              <w:rPr>
                <w:sz w:val="18"/>
                <w:szCs w:val="18"/>
              </w:rPr>
            </w:pPr>
            <w:r w:rsidRPr="00527C4A">
              <w:rPr>
                <w:sz w:val="18"/>
                <w:szCs w:val="18"/>
              </w:rPr>
              <w:t>50%</w:t>
            </w:r>
          </w:p>
        </w:tc>
        <w:tc>
          <w:tcPr>
            <w:tcW w:w="850" w:type="dxa"/>
            <w:vAlign w:val="center"/>
          </w:tcPr>
          <w:p w14:paraId="4995DEA2" w14:textId="77777777" w:rsidR="00462037" w:rsidRPr="00527C4A" w:rsidRDefault="00462037" w:rsidP="00462037">
            <w:pPr>
              <w:jc w:val="center"/>
              <w:rPr>
                <w:sz w:val="18"/>
                <w:szCs w:val="18"/>
              </w:rPr>
            </w:pPr>
            <w:r w:rsidRPr="00527C4A">
              <w:rPr>
                <w:sz w:val="18"/>
                <w:szCs w:val="18"/>
              </w:rPr>
              <w:t>50%</w:t>
            </w:r>
          </w:p>
        </w:tc>
        <w:tc>
          <w:tcPr>
            <w:tcW w:w="851" w:type="dxa"/>
            <w:vAlign w:val="center"/>
          </w:tcPr>
          <w:p w14:paraId="158AC7AB" w14:textId="77777777" w:rsidR="00462037" w:rsidRPr="00527C4A" w:rsidRDefault="00462037" w:rsidP="00462037">
            <w:pPr>
              <w:jc w:val="center"/>
              <w:rPr>
                <w:sz w:val="18"/>
                <w:szCs w:val="18"/>
              </w:rPr>
            </w:pPr>
            <w:r w:rsidRPr="00527C4A">
              <w:rPr>
                <w:sz w:val="18"/>
                <w:szCs w:val="18"/>
              </w:rPr>
              <w:t>50%</w:t>
            </w:r>
          </w:p>
        </w:tc>
        <w:tc>
          <w:tcPr>
            <w:tcW w:w="847" w:type="dxa"/>
            <w:vAlign w:val="center"/>
          </w:tcPr>
          <w:p w14:paraId="081AA44C" w14:textId="77777777" w:rsidR="00462037" w:rsidRPr="00527C4A" w:rsidRDefault="00462037" w:rsidP="00462037">
            <w:pPr>
              <w:jc w:val="center"/>
              <w:rPr>
                <w:sz w:val="18"/>
                <w:szCs w:val="18"/>
              </w:rPr>
            </w:pPr>
            <w:r w:rsidRPr="00527C4A">
              <w:rPr>
                <w:sz w:val="18"/>
                <w:szCs w:val="18"/>
              </w:rPr>
              <w:t>48%</w:t>
            </w:r>
          </w:p>
        </w:tc>
        <w:tc>
          <w:tcPr>
            <w:tcW w:w="673" w:type="dxa"/>
            <w:vAlign w:val="center"/>
          </w:tcPr>
          <w:p w14:paraId="011D9B6E" w14:textId="77777777" w:rsidR="00462037" w:rsidRPr="00527C4A" w:rsidRDefault="00462037" w:rsidP="00462037">
            <w:pPr>
              <w:jc w:val="center"/>
              <w:rPr>
                <w:sz w:val="18"/>
                <w:szCs w:val="18"/>
              </w:rPr>
            </w:pPr>
            <w:r w:rsidRPr="00527C4A">
              <w:rPr>
                <w:sz w:val="18"/>
                <w:szCs w:val="18"/>
              </w:rPr>
              <w:t>41%</w:t>
            </w:r>
          </w:p>
        </w:tc>
        <w:tc>
          <w:tcPr>
            <w:tcW w:w="980" w:type="dxa"/>
            <w:vAlign w:val="center"/>
          </w:tcPr>
          <w:p w14:paraId="67E077B1" w14:textId="77777777" w:rsidR="00462037" w:rsidRPr="00527C4A" w:rsidRDefault="00462037" w:rsidP="00462037">
            <w:pPr>
              <w:jc w:val="center"/>
              <w:rPr>
                <w:sz w:val="18"/>
                <w:szCs w:val="18"/>
              </w:rPr>
            </w:pPr>
            <w:r w:rsidRPr="00527C4A">
              <w:rPr>
                <w:sz w:val="18"/>
                <w:szCs w:val="18"/>
              </w:rPr>
              <w:t>49%</w:t>
            </w:r>
          </w:p>
        </w:tc>
      </w:tr>
      <w:tr w:rsidR="00462037" w14:paraId="76C087B8" w14:textId="77777777" w:rsidTr="00462037">
        <w:tc>
          <w:tcPr>
            <w:tcW w:w="2405" w:type="dxa"/>
            <w:vAlign w:val="bottom"/>
          </w:tcPr>
          <w:p w14:paraId="633F541D" w14:textId="77777777" w:rsidR="00462037" w:rsidRPr="00527C4A" w:rsidRDefault="00462037" w:rsidP="00462037">
            <w:pPr>
              <w:rPr>
                <w:sz w:val="18"/>
                <w:szCs w:val="18"/>
              </w:rPr>
            </w:pPr>
            <w:r w:rsidRPr="00527C4A">
              <w:rPr>
                <w:sz w:val="18"/>
                <w:szCs w:val="18"/>
              </w:rPr>
              <w:t xml:space="preserve">Lincolnshire East </w:t>
            </w:r>
          </w:p>
        </w:tc>
        <w:tc>
          <w:tcPr>
            <w:tcW w:w="851" w:type="dxa"/>
            <w:vAlign w:val="center"/>
          </w:tcPr>
          <w:p w14:paraId="0F8ACDC1" w14:textId="77777777" w:rsidR="00462037" w:rsidRPr="00527C4A" w:rsidRDefault="00462037" w:rsidP="00462037">
            <w:pPr>
              <w:jc w:val="center"/>
              <w:rPr>
                <w:sz w:val="18"/>
                <w:szCs w:val="18"/>
              </w:rPr>
            </w:pPr>
            <w:r w:rsidRPr="00527C4A">
              <w:rPr>
                <w:sz w:val="18"/>
                <w:szCs w:val="18"/>
              </w:rPr>
              <w:t>11282</w:t>
            </w:r>
          </w:p>
        </w:tc>
        <w:tc>
          <w:tcPr>
            <w:tcW w:w="708" w:type="dxa"/>
            <w:vAlign w:val="center"/>
          </w:tcPr>
          <w:p w14:paraId="5B042A32" w14:textId="77777777" w:rsidR="00462037" w:rsidRPr="00527C4A" w:rsidRDefault="00462037" w:rsidP="00462037">
            <w:pPr>
              <w:jc w:val="center"/>
              <w:rPr>
                <w:sz w:val="18"/>
                <w:szCs w:val="18"/>
              </w:rPr>
            </w:pPr>
            <w:r w:rsidRPr="00527C4A">
              <w:rPr>
                <w:sz w:val="18"/>
                <w:szCs w:val="18"/>
              </w:rPr>
              <w:t>28047</w:t>
            </w:r>
          </w:p>
        </w:tc>
        <w:tc>
          <w:tcPr>
            <w:tcW w:w="851" w:type="dxa"/>
            <w:vAlign w:val="center"/>
          </w:tcPr>
          <w:p w14:paraId="49D3AC23" w14:textId="77777777" w:rsidR="00462037" w:rsidRPr="00527C4A" w:rsidRDefault="00462037" w:rsidP="00462037">
            <w:pPr>
              <w:jc w:val="center"/>
              <w:rPr>
                <w:sz w:val="18"/>
                <w:szCs w:val="18"/>
              </w:rPr>
            </w:pPr>
            <w:r w:rsidRPr="00527C4A">
              <w:rPr>
                <w:sz w:val="18"/>
                <w:szCs w:val="18"/>
              </w:rPr>
              <w:t>5326</w:t>
            </w:r>
          </w:p>
        </w:tc>
        <w:tc>
          <w:tcPr>
            <w:tcW w:w="850" w:type="dxa"/>
            <w:vAlign w:val="center"/>
          </w:tcPr>
          <w:p w14:paraId="587F8ABD" w14:textId="77777777" w:rsidR="00462037" w:rsidRPr="00527C4A" w:rsidRDefault="00462037" w:rsidP="00462037">
            <w:pPr>
              <w:jc w:val="center"/>
              <w:rPr>
                <w:sz w:val="18"/>
                <w:szCs w:val="18"/>
              </w:rPr>
            </w:pPr>
            <w:r w:rsidRPr="00527C4A">
              <w:rPr>
                <w:sz w:val="18"/>
                <w:szCs w:val="18"/>
              </w:rPr>
              <w:t>78463</w:t>
            </w:r>
          </w:p>
        </w:tc>
        <w:tc>
          <w:tcPr>
            <w:tcW w:w="851" w:type="dxa"/>
            <w:vAlign w:val="center"/>
          </w:tcPr>
          <w:p w14:paraId="2FFA4E33" w14:textId="77777777" w:rsidR="00462037" w:rsidRPr="00527C4A" w:rsidRDefault="00462037" w:rsidP="00462037">
            <w:pPr>
              <w:jc w:val="center"/>
              <w:rPr>
                <w:sz w:val="18"/>
                <w:szCs w:val="18"/>
              </w:rPr>
            </w:pPr>
            <w:r w:rsidRPr="00527C4A">
              <w:rPr>
                <w:sz w:val="18"/>
                <w:szCs w:val="18"/>
              </w:rPr>
              <w:t>49874</w:t>
            </w:r>
          </w:p>
        </w:tc>
        <w:tc>
          <w:tcPr>
            <w:tcW w:w="847" w:type="dxa"/>
            <w:vAlign w:val="center"/>
          </w:tcPr>
          <w:p w14:paraId="3096D6B1" w14:textId="77777777" w:rsidR="00462037" w:rsidRPr="00527C4A" w:rsidRDefault="00462037" w:rsidP="00462037">
            <w:pPr>
              <w:jc w:val="center"/>
              <w:rPr>
                <w:sz w:val="18"/>
                <w:szCs w:val="18"/>
              </w:rPr>
            </w:pPr>
            <w:r w:rsidRPr="00527C4A">
              <w:rPr>
                <w:sz w:val="18"/>
                <w:szCs w:val="18"/>
              </w:rPr>
              <w:t>30292</w:t>
            </w:r>
          </w:p>
        </w:tc>
        <w:tc>
          <w:tcPr>
            <w:tcW w:w="673" w:type="dxa"/>
            <w:vAlign w:val="center"/>
          </w:tcPr>
          <w:p w14:paraId="25B707D0" w14:textId="77777777" w:rsidR="00462037" w:rsidRPr="00527C4A" w:rsidRDefault="00462037" w:rsidP="00462037">
            <w:pPr>
              <w:jc w:val="center"/>
              <w:rPr>
                <w:sz w:val="18"/>
                <w:szCs w:val="18"/>
              </w:rPr>
            </w:pPr>
            <w:r w:rsidRPr="00527C4A">
              <w:rPr>
                <w:sz w:val="18"/>
                <w:szCs w:val="18"/>
              </w:rPr>
              <w:t>24487</w:t>
            </w:r>
          </w:p>
        </w:tc>
        <w:tc>
          <w:tcPr>
            <w:tcW w:w="980" w:type="dxa"/>
            <w:vAlign w:val="center"/>
          </w:tcPr>
          <w:p w14:paraId="79B38349" w14:textId="77777777" w:rsidR="00462037" w:rsidRPr="00527C4A" w:rsidRDefault="00462037" w:rsidP="00462037">
            <w:pPr>
              <w:jc w:val="center"/>
              <w:rPr>
                <w:sz w:val="18"/>
                <w:szCs w:val="18"/>
              </w:rPr>
            </w:pPr>
            <w:r w:rsidRPr="00527C4A">
              <w:rPr>
                <w:sz w:val="18"/>
                <w:szCs w:val="18"/>
              </w:rPr>
              <w:t>227771</w:t>
            </w:r>
          </w:p>
        </w:tc>
      </w:tr>
      <w:tr w:rsidR="00462037" w14:paraId="5512FD3B" w14:textId="77777777" w:rsidTr="00462037">
        <w:tc>
          <w:tcPr>
            <w:tcW w:w="2405" w:type="dxa"/>
            <w:vAlign w:val="bottom"/>
          </w:tcPr>
          <w:p w14:paraId="532395F4" w14:textId="77777777" w:rsidR="00462037" w:rsidRPr="00527C4A" w:rsidRDefault="00462037" w:rsidP="00462037">
            <w:pPr>
              <w:rPr>
                <w:sz w:val="18"/>
                <w:szCs w:val="18"/>
              </w:rPr>
            </w:pPr>
            <w:r w:rsidRPr="00527C4A">
              <w:rPr>
                <w:sz w:val="18"/>
                <w:szCs w:val="18"/>
              </w:rPr>
              <w:t>% male</w:t>
            </w:r>
          </w:p>
        </w:tc>
        <w:tc>
          <w:tcPr>
            <w:tcW w:w="851" w:type="dxa"/>
            <w:vAlign w:val="center"/>
          </w:tcPr>
          <w:p w14:paraId="173C9213" w14:textId="77777777" w:rsidR="00462037" w:rsidRPr="00527C4A" w:rsidRDefault="00462037" w:rsidP="00462037">
            <w:pPr>
              <w:jc w:val="center"/>
              <w:rPr>
                <w:sz w:val="18"/>
                <w:szCs w:val="18"/>
              </w:rPr>
            </w:pPr>
            <w:r w:rsidRPr="00527C4A">
              <w:rPr>
                <w:sz w:val="18"/>
                <w:szCs w:val="18"/>
              </w:rPr>
              <w:t>51%</w:t>
            </w:r>
          </w:p>
        </w:tc>
        <w:tc>
          <w:tcPr>
            <w:tcW w:w="708" w:type="dxa"/>
            <w:vAlign w:val="center"/>
          </w:tcPr>
          <w:p w14:paraId="09BCB3FA" w14:textId="77777777" w:rsidR="00462037" w:rsidRPr="00527C4A" w:rsidRDefault="00462037" w:rsidP="00462037">
            <w:pPr>
              <w:jc w:val="center"/>
              <w:rPr>
                <w:sz w:val="18"/>
                <w:szCs w:val="18"/>
              </w:rPr>
            </w:pPr>
            <w:r w:rsidRPr="00527C4A">
              <w:rPr>
                <w:sz w:val="18"/>
                <w:szCs w:val="18"/>
              </w:rPr>
              <w:t>51%</w:t>
            </w:r>
          </w:p>
        </w:tc>
        <w:tc>
          <w:tcPr>
            <w:tcW w:w="851" w:type="dxa"/>
            <w:vAlign w:val="center"/>
          </w:tcPr>
          <w:p w14:paraId="275145D4" w14:textId="77777777" w:rsidR="00462037" w:rsidRPr="00527C4A" w:rsidRDefault="00462037" w:rsidP="00462037">
            <w:pPr>
              <w:jc w:val="center"/>
              <w:rPr>
                <w:sz w:val="18"/>
                <w:szCs w:val="18"/>
              </w:rPr>
            </w:pPr>
            <w:r w:rsidRPr="00527C4A">
              <w:rPr>
                <w:sz w:val="18"/>
                <w:szCs w:val="18"/>
              </w:rPr>
              <w:t>52%</w:t>
            </w:r>
          </w:p>
        </w:tc>
        <w:tc>
          <w:tcPr>
            <w:tcW w:w="850" w:type="dxa"/>
            <w:vAlign w:val="center"/>
          </w:tcPr>
          <w:p w14:paraId="73F09ED8" w14:textId="77777777" w:rsidR="00462037" w:rsidRPr="00527C4A" w:rsidRDefault="00462037" w:rsidP="00462037">
            <w:pPr>
              <w:jc w:val="center"/>
              <w:rPr>
                <w:sz w:val="18"/>
                <w:szCs w:val="18"/>
              </w:rPr>
            </w:pPr>
            <w:r w:rsidRPr="00527C4A">
              <w:rPr>
                <w:sz w:val="18"/>
                <w:szCs w:val="18"/>
              </w:rPr>
              <w:t>49%</w:t>
            </w:r>
          </w:p>
        </w:tc>
        <w:tc>
          <w:tcPr>
            <w:tcW w:w="851" w:type="dxa"/>
            <w:vAlign w:val="center"/>
          </w:tcPr>
          <w:p w14:paraId="710AB396" w14:textId="77777777" w:rsidR="00462037" w:rsidRPr="00527C4A" w:rsidRDefault="00462037" w:rsidP="00462037">
            <w:pPr>
              <w:jc w:val="center"/>
              <w:rPr>
                <w:sz w:val="18"/>
                <w:szCs w:val="18"/>
              </w:rPr>
            </w:pPr>
            <w:r w:rsidRPr="00527C4A">
              <w:rPr>
                <w:sz w:val="18"/>
                <w:szCs w:val="18"/>
              </w:rPr>
              <w:t>49%</w:t>
            </w:r>
          </w:p>
        </w:tc>
        <w:tc>
          <w:tcPr>
            <w:tcW w:w="847" w:type="dxa"/>
            <w:vAlign w:val="center"/>
          </w:tcPr>
          <w:p w14:paraId="429869B8" w14:textId="77777777" w:rsidR="00462037" w:rsidRPr="00527C4A" w:rsidRDefault="00462037" w:rsidP="00462037">
            <w:pPr>
              <w:jc w:val="center"/>
              <w:rPr>
                <w:sz w:val="18"/>
                <w:szCs w:val="18"/>
              </w:rPr>
            </w:pPr>
            <w:r w:rsidRPr="00527C4A">
              <w:rPr>
                <w:sz w:val="18"/>
                <w:szCs w:val="18"/>
              </w:rPr>
              <w:t>50%</w:t>
            </w:r>
          </w:p>
        </w:tc>
        <w:tc>
          <w:tcPr>
            <w:tcW w:w="673" w:type="dxa"/>
            <w:vAlign w:val="center"/>
          </w:tcPr>
          <w:p w14:paraId="6C1C84CB" w14:textId="77777777" w:rsidR="00462037" w:rsidRPr="00527C4A" w:rsidRDefault="00462037" w:rsidP="00462037">
            <w:pPr>
              <w:jc w:val="center"/>
              <w:rPr>
                <w:sz w:val="18"/>
                <w:szCs w:val="18"/>
              </w:rPr>
            </w:pPr>
            <w:r w:rsidRPr="00527C4A">
              <w:rPr>
                <w:sz w:val="18"/>
                <w:szCs w:val="18"/>
              </w:rPr>
              <w:t>43%</w:t>
            </w:r>
          </w:p>
        </w:tc>
        <w:tc>
          <w:tcPr>
            <w:tcW w:w="980" w:type="dxa"/>
            <w:vAlign w:val="center"/>
          </w:tcPr>
          <w:p w14:paraId="1D1F4E7E" w14:textId="77777777" w:rsidR="00462037" w:rsidRPr="00527C4A" w:rsidRDefault="00462037" w:rsidP="00462037">
            <w:pPr>
              <w:jc w:val="center"/>
              <w:rPr>
                <w:sz w:val="18"/>
                <w:szCs w:val="18"/>
              </w:rPr>
            </w:pPr>
            <w:r w:rsidRPr="00527C4A">
              <w:rPr>
                <w:sz w:val="18"/>
                <w:szCs w:val="18"/>
              </w:rPr>
              <w:t>49%</w:t>
            </w:r>
          </w:p>
        </w:tc>
      </w:tr>
      <w:tr w:rsidR="00462037" w14:paraId="4EA57C14" w14:textId="77777777" w:rsidTr="00462037">
        <w:tc>
          <w:tcPr>
            <w:tcW w:w="2405" w:type="dxa"/>
            <w:vAlign w:val="bottom"/>
          </w:tcPr>
          <w:p w14:paraId="5489A8E2" w14:textId="77777777" w:rsidR="00462037" w:rsidRPr="00527C4A" w:rsidRDefault="00462037" w:rsidP="00462037">
            <w:pPr>
              <w:rPr>
                <w:sz w:val="18"/>
                <w:szCs w:val="18"/>
              </w:rPr>
            </w:pPr>
            <w:r w:rsidRPr="00527C4A">
              <w:rPr>
                <w:sz w:val="18"/>
                <w:szCs w:val="18"/>
              </w:rPr>
              <w:t xml:space="preserve">East Riding of Yorkshire </w:t>
            </w:r>
          </w:p>
        </w:tc>
        <w:tc>
          <w:tcPr>
            <w:tcW w:w="851" w:type="dxa"/>
            <w:vAlign w:val="center"/>
          </w:tcPr>
          <w:p w14:paraId="4020C7E2" w14:textId="77777777" w:rsidR="00462037" w:rsidRPr="00527C4A" w:rsidRDefault="00462037" w:rsidP="00462037">
            <w:pPr>
              <w:jc w:val="center"/>
              <w:rPr>
                <w:sz w:val="18"/>
                <w:szCs w:val="18"/>
              </w:rPr>
            </w:pPr>
            <w:r w:rsidRPr="00527C4A">
              <w:rPr>
                <w:sz w:val="18"/>
                <w:szCs w:val="18"/>
              </w:rPr>
              <w:t>15402</w:t>
            </w:r>
          </w:p>
        </w:tc>
        <w:tc>
          <w:tcPr>
            <w:tcW w:w="708" w:type="dxa"/>
            <w:vAlign w:val="center"/>
          </w:tcPr>
          <w:p w14:paraId="44A10484" w14:textId="77777777" w:rsidR="00462037" w:rsidRPr="00527C4A" w:rsidRDefault="00462037" w:rsidP="00462037">
            <w:pPr>
              <w:jc w:val="center"/>
              <w:rPr>
                <w:sz w:val="18"/>
                <w:szCs w:val="18"/>
              </w:rPr>
            </w:pPr>
            <w:r w:rsidRPr="00527C4A">
              <w:rPr>
                <w:sz w:val="18"/>
                <w:szCs w:val="18"/>
              </w:rPr>
              <w:t>40393</w:t>
            </w:r>
          </w:p>
        </w:tc>
        <w:tc>
          <w:tcPr>
            <w:tcW w:w="851" w:type="dxa"/>
            <w:vAlign w:val="center"/>
          </w:tcPr>
          <w:p w14:paraId="70370681" w14:textId="77777777" w:rsidR="00462037" w:rsidRPr="00527C4A" w:rsidRDefault="00462037" w:rsidP="00462037">
            <w:pPr>
              <w:jc w:val="center"/>
              <w:rPr>
                <w:sz w:val="18"/>
                <w:szCs w:val="18"/>
              </w:rPr>
            </w:pPr>
            <w:r w:rsidRPr="00527C4A">
              <w:rPr>
                <w:sz w:val="18"/>
                <w:szCs w:val="18"/>
              </w:rPr>
              <w:t>7909</w:t>
            </w:r>
          </w:p>
        </w:tc>
        <w:tc>
          <w:tcPr>
            <w:tcW w:w="850" w:type="dxa"/>
            <w:vAlign w:val="center"/>
          </w:tcPr>
          <w:p w14:paraId="0A0178CE" w14:textId="77777777" w:rsidR="00462037" w:rsidRPr="00527C4A" w:rsidRDefault="00462037" w:rsidP="00462037">
            <w:pPr>
              <w:jc w:val="center"/>
              <w:rPr>
                <w:sz w:val="18"/>
                <w:szCs w:val="18"/>
              </w:rPr>
            </w:pPr>
            <w:r w:rsidRPr="00527C4A">
              <w:rPr>
                <w:sz w:val="18"/>
                <w:szCs w:val="18"/>
              </w:rPr>
              <w:t>113019</w:t>
            </w:r>
          </w:p>
        </w:tc>
        <w:tc>
          <w:tcPr>
            <w:tcW w:w="851" w:type="dxa"/>
            <w:vAlign w:val="center"/>
          </w:tcPr>
          <w:p w14:paraId="758426B6" w14:textId="77777777" w:rsidR="00462037" w:rsidRPr="00527C4A" w:rsidRDefault="00462037" w:rsidP="00462037">
            <w:pPr>
              <w:jc w:val="center"/>
              <w:rPr>
                <w:sz w:val="18"/>
                <w:szCs w:val="18"/>
              </w:rPr>
            </w:pPr>
            <w:r w:rsidRPr="00527C4A">
              <w:rPr>
                <w:sz w:val="18"/>
                <w:szCs w:val="18"/>
              </w:rPr>
              <w:t>68652</w:t>
            </w:r>
          </w:p>
        </w:tc>
        <w:tc>
          <w:tcPr>
            <w:tcW w:w="847" w:type="dxa"/>
            <w:vAlign w:val="center"/>
          </w:tcPr>
          <w:p w14:paraId="69CE16F1" w14:textId="77777777" w:rsidR="00462037" w:rsidRPr="00527C4A" w:rsidRDefault="00462037" w:rsidP="00462037">
            <w:pPr>
              <w:jc w:val="center"/>
              <w:rPr>
                <w:sz w:val="18"/>
                <w:szCs w:val="18"/>
              </w:rPr>
            </w:pPr>
            <w:r w:rsidRPr="00527C4A">
              <w:rPr>
                <w:sz w:val="18"/>
                <w:szCs w:val="18"/>
              </w:rPr>
              <w:t>36818</w:t>
            </w:r>
          </w:p>
        </w:tc>
        <w:tc>
          <w:tcPr>
            <w:tcW w:w="673" w:type="dxa"/>
            <w:vAlign w:val="center"/>
          </w:tcPr>
          <w:p w14:paraId="2252FB16" w14:textId="77777777" w:rsidR="00462037" w:rsidRPr="00527C4A" w:rsidRDefault="00462037" w:rsidP="00462037">
            <w:pPr>
              <w:jc w:val="center"/>
              <w:rPr>
                <w:sz w:val="18"/>
                <w:szCs w:val="18"/>
              </w:rPr>
            </w:pPr>
            <w:r w:rsidRPr="00527C4A">
              <w:rPr>
                <w:sz w:val="18"/>
                <w:szCs w:val="18"/>
              </w:rPr>
              <w:t>31193</w:t>
            </w:r>
          </w:p>
        </w:tc>
        <w:tc>
          <w:tcPr>
            <w:tcW w:w="980" w:type="dxa"/>
            <w:vAlign w:val="center"/>
          </w:tcPr>
          <w:p w14:paraId="6477452B" w14:textId="77777777" w:rsidR="00462037" w:rsidRPr="00527C4A" w:rsidRDefault="00462037" w:rsidP="00462037">
            <w:pPr>
              <w:jc w:val="center"/>
              <w:rPr>
                <w:sz w:val="18"/>
                <w:szCs w:val="18"/>
              </w:rPr>
            </w:pPr>
            <w:r w:rsidRPr="00527C4A">
              <w:rPr>
                <w:sz w:val="18"/>
                <w:szCs w:val="18"/>
              </w:rPr>
              <w:t>313386</w:t>
            </w:r>
          </w:p>
        </w:tc>
      </w:tr>
      <w:tr w:rsidR="00462037" w14:paraId="73EEF1D4" w14:textId="77777777" w:rsidTr="00462037">
        <w:tc>
          <w:tcPr>
            <w:tcW w:w="2405" w:type="dxa"/>
          </w:tcPr>
          <w:p w14:paraId="3D95F5F7" w14:textId="77777777" w:rsidR="00462037" w:rsidRPr="00527C4A" w:rsidRDefault="00462037" w:rsidP="00462037">
            <w:pPr>
              <w:rPr>
                <w:sz w:val="18"/>
                <w:szCs w:val="18"/>
              </w:rPr>
            </w:pPr>
            <w:r w:rsidRPr="00527C4A">
              <w:rPr>
                <w:sz w:val="18"/>
                <w:szCs w:val="18"/>
              </w:rPr>
              <w:t>% male</w:t>
            </w:r>
          </w:p>
        </w:tc>
        <w:tc>
          <w:tcPr>
            <w:tcW w:w="851" w:type="dxa"/>
            <w:vAlign w:val="center"/>
          </w:tcPr>
          <w:p w14:paraId="3D09D162" w14:textId="77777777" w:rsidR="00462037" w:rsidRPr="00527C4A" w:rsidRDefault="00462037" w:rsidP="00462037">
            <w:pPr>
              <w:jc w:val="center"/>
              <w:rPr>
                <w:sz w:val="18"/>
                <w:szCs w:val="18"/>
              </w:rPr>
            </w:pPr>
            <w:r w:rsidRPr="00527C4A">
              <w:rPr>
                <w:sz w:val="18"/>
                <w:szCs w:val="18"/>
              </w:rPr>
              <w:t>51%</w:t>
            </w:r>
          </w:p>
        </w:tc>
        <w:tc>
          <w:tcPr>
            <w:tcW w:w="708" w:type="dxa"/>
            <w:vAlign w:val="center"/>
          </w:tcPr>
          <w:p w14:paraId="3CB26F79" w14:textId="77777777" w:rsidR="00462037" w:rsidRPr="00527C4A" w:rsidRDefault="00462037" w:rsidP="00462037">
            <w:pPr>
              <w:jc w:val="center"/>
              <w:rPr>
                <w:sz w:val="18"/>
                <w:szCs w:val="18"/>
              </w:rPr>
            </w:pPr>
            <w:r w:rsidRPr="00527C4A">
              <w:rPr>
                <w:sz w:val="18"/>
                <w:szCs w:val="18"/>
              </w:rPr>
              <w:t>51%</w:t>
            </w:r>
          </w:p>
        </w:tc>
        <w:tc>
          <w:tcPr>
            <w:tcW w:w="851" w:type="dxa"/>
            <w:vAlign w:val="center"/>
          </w:tcPr>
          <w:p w14:paraId="246B4AC0" w14:textId="77777777" w:rsidR="00462037" w:rsidRPr="00527C4A" w:rsidRDefault="00462037" w:rsidP="00462037">
            <w:pPr>
              <w:jc w:val="center"/>
              <w:rPr>
                <w:sz w:val="18"/>
                <w:szCs w:val="18"/>
              </w:rPr>
            </w:pPr>
            <w:r w:rsidRPr="00527C4A">
              <w:rPr>
                <w:sz w:val="18"/>
                <w:szCs w:val="18"/>
              </w:rPr>
              <w:t>52%</w:t>
            </w:r>
          </w:p>
        </w:tc>
        <w:tc>
          <w:tcPr>
            <w:tcW w:w="850" w:type="dxa"/>
            <w:vAlign w:val="center"/>
          </w:tcPr>
          <w:p w14:paraId="431F80C4" w14:textId="77777777" w:rsidR="00462037" w:rsidRPr="00527C4A" w:rsidRDefault="00462037" w:rsidP="00462037">
            <w:pPr>
              <w:jc w:val="center"/>
              <w:rPr>
                <w:sz w:val="18"/>
                <w:szCs w:val="18"/>
              </w:rPr>
            </w:pPr>
            <w:r w:rsidRPr="00527C4A">
              <w:rPr>
                <w:sz w:val="18"/>
                <w:szCs w:val="18"/>
              </w:rPr>
              <w:t>50%</w:t>
            </w:r>
          </w:p>
        </w:tc>
        <w:tc>
          <w:tcPr>
            <w:tcW w:w="851" w:type="dxa"/>
            <w:vAlign w:val="center"/>
          </w:tcPr>
          <w:p w14:paraId="2A9BB0F4" w14:textId="77777777" w:rsidR="00462037" w:rsidRPr="00527C4A" w:rsidRDefault="00462037" w:rsidP="00462037">
            <w:pPr>
              <w:jc w:val="center"/>
              <w:rPr>
                <w:sz w:val="18"/>
                <w:szCs w:val="18"/>
              </w:rPr>
            </w:pPr>
            <w:r w:rsidRPr="00527C4A">
              <w:rPr>
                <w:sz w:val="18"/>
                <w:szCs w:val="18"/>
              </w:rPr>
              <w:t>49%</w:t>
            </w:r>
          </w:p>
        </w:tc>
        <w:tc>
          <w:tcPr>
            <w:tcW w:w="847" w:type="dxa"/>
            <w:vAlign w:val="center"/>
          </w:tcPr>
          <w:p w14:paraId="31E03AA3" w14:textId="77777777" w:rsidR="00462037" w:rsidRPr="00527C4A" w:rsidRDefault="00462037" w:rsidP="00462037">
            <w:pPr>
              <w:jc w:val="center"/>
              <w:rPr>
                <w:sz w:val="18"/>
                <w:szCs w:val="18"/>
              </w:rPr>
            </w:pPr>
            <w:r w:rsidRPr="00527C4A">
              <w:rPr>
                <w:sz w:val="18"/>
                <w:szCs w:val="18"/>
              </w:rPr>
              <w:t>48%</w:t>
            </w:r>
          </w:p>
        </w:tc>
        <w:tc>
          <w:tcPr>
            <w:tcW w:w="673" w:type="dxa"/>
            <w:vAlign w:val="center"/>
          </w:tcPr>
          <w:p w14:paraId="02364953" w14:textId="77777777" w:rsidR="00462037" w:rsidRPr="00527C4A" w:rsidRDefault="00462037" w:rsidP="00462037">
            <w:pPr>
              <w:jc w:val="center"/>
              <w:rPr>
                <w:sz w:val="18"/>
                <w:szCs w:val="18"/>
              </w:rPr>
            </w:pPr>
            <w:r w:rsidRPr="00527C4A">
              <w:rPr>
                <w:sz w:val="18"/>
                <w:szCs w:val="18"/>
              </w:rPr>
              <w:t>41%</w:t>
            </w:r>
          </w:p>
        </w:tc>
        <w:tc>
          <w:tcPr>
            <w:tcW w:w="980" w:type="dxa"/>
            <w:vAlign w:val="center"/>
          </w:tcPr>
          <w:p w14:paraId="77A79AEA" w14:textId="77777777" w:rsidR="00462037" w:rsidRPr="00527C4A" w:rsidRDefault="00462037" w:rsidP="00462037">
            <w:pPr>
              <w:jc w:val="center"/>
              <w:rPr>
                <w:sz w:val="18"/>
                <w:szCs w:val="18"/>
              </w:rPr>
            </w:pPr>
            <w:r w:rsidRPr="00527C4A">
              <w:rPr>
                <w:sz w:val="18"/>
                <w:szCs w:val="18"/>
              </w:rPr>
              <w:t>49%</w:t>
            </w:r>
          </w:p>
        </w:tc>
      </w:tr>
      <w:tr w:rsidR="00462037" w14:paraId="617EA083" w14:textId="77777777" w:rsidTr="00462037">
        <w:tc>
          <w:tcPr>
            <w:tcW w:w="2405" w:type="dxa"/>
            <w:vAlign w:val="bottom"/>
          </w:tcPr>
          <w:p w14:paraId="30C0354C" w14:textId="77777777" w:rsidR="00462037" w:rsidRPr="00527C4A" w:rsidRDefault="00462037" w:rsidP="00462037">
            <w:pPr>
              <w:rPr>
                <w:sz w:val="18"/>
                <w:szCs w:val="18"/>
              </w:rPr>
            </w:pPr>
            <w:r w:rsidRPr="00527C4A">
              <w:rPr>
                <w:sz w:val="18"/>
                <w:szCs w:val="18"/>
              </w:rPr>
              <w:t xml:space="preserve">Lincolnshire West </w:t>
            </w:r>
          </w:p>
        </w:tc>
        <w:tc>
          <w:tcPr>
            <w:tcW w:w="851" w:type="dxa"/>
            <w:vAlign w:val="center"/>
          </w:tcPr>
          <w:p w14:paraId="58C97202" w14:textId="77777777" w:rsidR="00462037" w:rsidRPr="00527C4A" w:rsidRDefault="00462037" w:rsidP="00462037">
            <w:pPr>
              <w:jc w:val="center"/>
              <w:rPr>
                <w:sz w:val="18"/>
                <w:szCs w:val="18"/>
              </w:rPr>
            </w:pPr>
            <w:r w:rsidRPr="00527C4A">
              <w:rPr>
                <w:sz w:val="18"/>
                <w:szCs w:val="18"/>
              </w:rPr>
              <w:t>12358</w:t>
            </w:r>
          </w:p>
        </w:tc>
        <w:tc>
          <w:tcPr>
            <w:tcW w:w="708" w:type="dxa"/>
            <w:vAlign w:val="center"/>
          </w:tcPr>
          <w:p w14:paraId="4327A8EB" w14:textId="77777777" w:rsidR="00462037" w:rsidRPr="00527C4A" w:rsidRDefault="00462037" w:rsidP="00462037">
            <w:pPr>
              <w:jc w:val="center"/>
              <w:rPr>
                <w:sz w:val="18"/>
                <w:szCs w:val="18"/>
              </w:rPr>
            </w:pPr>
            <w:r w:rsidRPr="00527C4A">
              <w:rPr>
                <w:sz w:val="18"/>
                <w:szCs w:val="18"/>
              </w:rPr>
              <w:t>28864</w:t>
            </w:r>
          </w:p>
        </w:tc>
        <w:tc>
          <w:tcPr>
            <w:tcW w:w="851" w:type="dxa"/>
            <w:vAlign w:val="center"/>
          </w:tcPr>
          <w:p w14:paraId="63881251" w14:textId="77777777" w:rsidR="00462037" w:rsidRPr="00527C4A" w:rsidRDefault="00462037" w:rsidP="00462037">
            <w:pPr>
              <w:jc w:val="center"/>
              <w:rPr>
                <w:sz w:val="18"/>
                <w:szCs w:val="18"/>
              </w:rPr>
            </w:pPr>
            <w:r w:rsidRPr="00527C4A">
              <w:rPr>
                <w:sz w:val="18"/>
                <w:szCs w:val="18"/>
              </w:rPr>
              <w:t>5800</w:t>
            </w:r>
          </w:p>
        </w:tc>
        <w:tc>
          <w:tcPr>
            <w:tcW w:w="850" w:type="dxa"/>
            <w:vAlign w:val="center"/>
          </w:tcPr>
          <w:p w14:paraId="76338A2F" w14:textId="77777777" w:rsidR="00462037" w:rsidRPr="00527C4A" w:rsidRDefault="00462037" w:rsidP="00462037">
            <w:pPr>
              <w:jc w:val="center"/>
              <w:rPr>
                <w:sz w:val="18"/>
                <w:szCs w:val="18"/>
              </w:rPr>
            </w:pPr>
            <w:r w:rsidRPr="00527C4A">
              <w:rPr>
                <w:sz w:val="18"/>
                <w:szCs w:val="18"/>
              </w:rPr>
              <w:t>94218</w:t>
            </w:r>
          </w:p>
        </w:tc>
        <w:tc>
          <w:tcPr>
            <w:tcW w:w="851" w:type="dxa"/>
            <w:vAlign w:val="center"/>
          </w:tcPr>
          <w:p w14:paraId="32492855" w14:textId="77777777" w:rsidR="00462037" w:rsidRPr="00527C4A" w:rsidRDefault="00462037" w:rsidP="00462037">
            <w:pPr>
              <w:jc w:val="center"/>
              <w:rPr>
                <w:sz w:val="18"/>
                <w:szCs w:val="18"/>
              </w:rPr>
            </w:pPr>
            <w:r w:rsidRPr="00527C4A">
              <w:rPr>
                <w:sz w:val="18"/>
                <w:szCs w:val="18"/>
              </w:rPr>
              <w:t>42854</w:t>
            </w:r>
          </w:p>
        </w:tc>
        <w:tc>
          <w:tcPr>
            <w:tcW w:w="847" w:type="dxa"/>
            <w:vAlign w:val="center"/>
          </w:tcPr>
          <w:p w14:paraId="3B9D1713" w14:textId="77777777" w:rsidR="00462037" w:rsidRPr="00527C4A" w:rsidRDefault="00462037" w:rsidP="00462037">
            <w:pPr>
              <w:jc w:val="center"/>
              <w:rPr>
                <w:sz w:val="18"/>
                <w:szCs w:val="18"/>
              </w:rPr>
            </w:pPr>
            <w:r w:rsidRPr="00527C4A">
              <w:rPr>
                <w:sz w:val="18"/>
                <w:szCs w:val="18"/>
              </w:rPr>
              <w:t>22228</w:t>
            </w:r>
          </w:p>
        </w:tc>
        <w:tc>
          <w:tcPr>
            <w:tcW w:w="673" w:type="dxa"/>
            <w:vAlign w:val="center"/>
          </w:tcPr>
          <w:p w14:paraId="148B17B6" w14:textId="77777777" w:rsidR="00462037" w:rsidRPr="00527C4A" w:rsidRDefault="00462037" w:rsidP="00462037">
            <w:pPr>
              <w:jc w:val="center"/>
              <w:rPr>
                <w:sz w:val="18"/>
                <w:szCs w:val="18"/>
              </w:rPr>
            </w:pPr>
            <w:r w:rsidRPr="00527C4A">
              <w:rPr>
                <w:sz w:val="18"/>
                <w:szCs w:val="18"/>
              </w:rPr>
              <w:t>18931</w:t>
            </w:r>
          </w:p>
        </w:tc>
        <w:tc>
          <w:tcPr>
            <w:tcW w:w="980" w:type="dxa"/>
            <w:vAlign w:val="center"/>
          </w:tcPr>
          <w:p w14:paraId="3719527F" w14:textId="77777777" w:rsidR="00462037" w:rsidRPr="00527C4A" w:rsidRDefault="00462037" w:rsidP="00462037">
            <w:pPr>
              <w:jc w:val="center"/>
              <w:rPr>
                <w:sz w:val="18"/>
                <w:szCs w:val="18"/>
              </w:rPr>
            </w:pPr>
            <w:r w:rsidRPr="00527C4A">
              <w:rPr>
                <w:sz w:val="18"/>
                <w:szCs w:val="18"/>
              </w:rPr>
              <w:t>225253</w:t>
            </w:r>
          </w:p>
        </w:tc>
      </w:tr>
      <w:tr w:rsidR="00462037" w14:paraId="7B95F06F" w14:textId="77777777" w:rsidTr="00462037">
        <w:tc>
          <w:tcPr>
            <w:tcW w:w="2405" w:type="dxa"/>
          </w:tcPr>
          <w:p w14:paraId="51E09B47" w14:textId="77777777" w:rsidR="00462037" w:rsidRPr="00527C4A" w:rsidRDefault="00462037" w:rsidP="00462037">
            <w:pPr>
              <w:rPr>
                <w:sz w:val="18"/>
                <w:szCs w:val="18"/>
              </w:rPr>
            </w:pPr>
            <w:r w:rsidRPr="00527C4A">
              <w:rPr>
                <w:sz w:val="18"/>
                <w:szCs w:val="18"/>
              </w:rPr>
              <w:t>% male</w:t>
            </w:r>
          </w:p>
        </w:tc>
        <w:tc>
          <w:tcPr>
            <w:tcW w:w="851" w:type="dxa"/>
            <w:vAlign w:val="center"/>
          </w:tcPr>
          <w:p w14:paraId="30B1DCE5" w14:textId="77777777" w:rsidR="00462037" w:rsidRPr="00527C4A" w:rsidRDefault="00462037" w:rsidP="00462037">
            <w:pPr>
              <w:jc w:val="center"/>
              <w:rPr>
                <w:sz w:val="18"/>
                <w:szCs w:val="18"/>
              </w:rPr>
            </w:pPr>
            <w:r w:rsidRPr="00527C4A">
              <w:rPr>
                <w:sz w:val="18"/>
                <w:szCs w:val="18"/>
              </w:rPr>
              <w:t>52%</w:t>
            </w:r>
          </w:p>
        </w:tc>
        <w:tc>
          <w:tcPr>
            <w:tcW w:w="708" w:type="dxa"/>
            <w:vAlign w:val="center"/>
          </w:tcPr>
          <w:p w14:paraId="3273F876" w14:textId="77777777" w:rsidR="00462037" w:rsidRPr="00527C4A" w:rsidRDefault="00462037" w:rsidP="00462037">
            <w:pPr>
              <w:jc w:val="center"/>
              <w:rPr>
                <w:sz w:val="18"/>
                <w:szCs w:val="18"/>
              </w:rPr>
            </w:pPr>
            <w:r w:rsidRPr="00527C4A">
              <w:rPr>
                <w:sz w:val="18"/>
                <w:szCs w:val="18"/>
              </w:rPr>
              <w:t>51%</w:t>
            </w:r>
          </w:p>
        </w:tc>
        <w:tc>
          <w:tcPr>
            <w:tcW w:w="851" w:type="dxa"/>
            <w:vAlign w:val="center"/>
          </w:tcPr>
          <w:p w14:paraId="260F9458" w14:textId="77777777" w:rsidR="00462037" w:rsidRPr="00527C4A" w:rsidRDefault="00462037" w:rsidP="00462037">
            <w:pPr>
              <w:jc w:val="center"/>
              <w:rPr>
                <w:sz w:val="18"/>
                <w:szCs w:val="18"/>
              </w:rPr>
            </w:pPr>
            <w:r w:rsidRPr="00527C4A">
              <w:rPr>
                <w:sz w:val="18"/>
                <w:szCs w:val="18"/>
              </w:rPr>
              <w:t>49%</w:t>
            </w:r>
          </w:p>
        </w:tc>
        <w:tc>
          <w:tcPr>
            <w:tcW w:w="850" w:type="dxa"/>
            <w:vAlign w:val="center"/>
          </w:tcPr>
          <w:p w14:paraId="3EBAC6C4" w14:textId="77777777" w:rsidR="00462037" w:rsidRPr="00527C4A" w:rsidRDefault="00462037" w:rsidP="00462037">
            <w:pPr>
              <w:jc w:val="center"/>
              <w:rPr>
                <w:sz w:val="18"/>
                <w:szCs w:val="18"/>
              </w:rPr>
            </w:pPr>
            <w:r w:rsidRPr="00527C4A">
              <w:rPr>
                <w:sz w:val="18"/>
                <w:szCs w:val="18"/>
              </w:rPr>
              <w:t>49%</w:t>
            </w:r>
          </w:p>
        </w:tc>
        <w:tc>
          <w:tcPr>
            <w:tcW w:w="851" w:type="dxa"/>
            <w:vAlign w:val="center"/>
          </w:tcPr>
          <w:p w14:paraId="1E681C08" w14:textId="77777777" w:rsidR="00462037" w:rsidRPr="00527C4A" w:rsidRDefault="00462037" w:rsidP="00462037">
            <w:pPr>
              <w:jc w:val="center"/>
              <w:rPr>
                <w:sz w:val="18"/>
                <w:szCs w:val="18"/>
              </w:rPr>
            </w:pPr>
            <w:r w:rsidRPr="00527C4A">
              <w:rPr>
                <w:sz w:val="18"/>
                <w:szCs w:val="18"/>
              </w:rPr>
              <w:t>49%</w:t>
            </w:r>
          </w:p>
        </w:tc>
        <w:tc>
          <w:tcPr>
            <w:tcW w:w="847" w:type="dxa"/>
            <w:vAlign w:val="center"/>
          </w:tcPr>
          <w:p w14:paraId="1B0815AE" w14:textId="77777777" w:rsidR="00462037" w:rsidRPr="00527C4A" w:rsidRDefault="00462037" w:rsidP="00462037">
            <w:pPr>
              <w:jc w:val="center"/>
              <w:rPr>
                <w:sz w:val="18"/>
                <w:szCs w:val="18"/>
              </w:rPr>
            </w:pPr>
            <w:r w:rsidRPr="00527C4A">
              <w:rPr>
                <w:sz w:val="18"/>
                <w:szCs w:val="18"/>
              </w:rPr>
              <w:t>49%</w:t>
            </w:r>
          </w:p>
        </w:tc>
        <w:tc>
          <w:tcPr>
            <w:tcW w:w="673" w:type="dxa"/>
            <w:vAlign w:val="center"/>
          </w:tcPr>
          <w:p w14:paraId="20348596" w14:textId="77777777" w:rsidR="00462037" w:rsidRPr="00527C4A" w:rsidRDefault="00462037" w:rsidP="00462037">
            <w:pPr>
              <w:jc w:val="center"/>
              <w:rPr>
                <w:sz w:val="18"/>
                <w:szCs w:val="18"/>
              </w:rPr>
            </w:pPr>
            <w:r w:rsidRPr="00527C4A">
              <w:rPr>
                <w:sz w:val="18"/>
                <w:szCs w:val="18"/>
              </w:rPr>
              <w:t>42%</w:t>
            </w:r>
          </w:p>
        </w:tc>
        <w:tc>
          <w:tcPr>
            <w:tcW w:w="980" w:type="dxa"/>
            <w:vAlign w:val="center"/>
          </w:tcPr>
          <w:p w14:paraId="19F58903" w14:textId="77777777" w:rsidR="00462037" w:rsidRPr="00527C4A" w:rsidRDefault="00462037" w:rsidP="00462037">
            <w:pPr>
              <w:jc w:val="center"/>
              <w:rPr>
                <w:sz w:val="18"/>
                <w:szCs w:val="18"/>
              </w:rPr>
            </w:pPr>
            <w:r w:rsidRPr="00527C4A">
              <w:rPr>
                <w:sz w:val="18"/>
                <w:szCs w:val="18"/>
              </w:rPr>
              <w:t>49%</w:t>
            </w:r>
          </w:p>
        </w:tc>
      </w:tr>
    </w:tbl>
    <w:p w14:paraId="4235C2F1" w14:textId="77777777" w:rsidR="00462037" w:rsidRPr="00527C4A" w:rsidRDefault="00462037" w:rsidP="00462037">
      <w:pPr>
        <w:rPr>
          <w:sz w:val="16"/>
          <w:szCs w:val="16"/>
        </w:rPr>
      </w:pPr>
      <w:r w:rsidRPr="00527C4A">
        <w:rPr>
          <w:sz w:val="16"/>
          <w:szCs w:val="16"/>
        </w:rPr>
        <w:t xml:space="preserve">Source: Office for National Statistics (ONS) mid-2011 Census based population estimates for Clinical Commissioning Groups. </w:t>
      </w:r>
    </w:p>
    <w:p w14:paraId="238471B1" w14:textId="77777777" w:rsidR="00462037" w:rsidRDefault="00462037" w:rsidP="00462037"/>
    <w:p w14:paraId="2B0A5A7C" w14:textId="3472471F" w:rsidR="00462037" w:rsidRDefault="00462037" w:rsidP="00462037">
      <w:pPr>
        <w:pStyle w:val="Heading4"/>
      </w:pPr>
      <w:r>
        <w:lastRenderedPageBreak/>
        <w:t>Table 4 – Ethnicity by CCG population</w:t>
      </w:r>
    </w:p>
    <w:tbl>
      <w:tblPr>
        <w:tblStyle w:val="TableGrid"/>
        <w:tblW w:w="0" w:type="auto"/>
        <w:tblLayout w:type="fixed"/>
        <w:tblLook w:val="04A0" w:firstRow="1" w:lastRow="0" w:firstColumn="1" w:lastColumn="0" w:noHBand="0" w:noVBand="1"/>
      </w:tblPr>
      <w:tblGrid>
        <w:gridCol w:w="2122"/>
        <w:gridCol w:w="992"/>
        <w:gridCol w:w="992"/>
        <w:gridCol w:w="1276"/>
        <w:gridCol w:w="2126"/>
        <w:gridCol w:w="744"/>
        <w:gridCol w:w="764"/>
      </w:tblGrid>
      <w:tr w:rsidR="00462037" w:rsidRPr="00527C4A" w14:paraId="19CF6A36" w14:textId="77777777" w:rsidTr="00462037">
        <w:tc>
          <w:tcPr>
            <w:tcW w:w="2122" w:type="dxa"/>
            <w:vMerge w:val="restart"/>
            <w:shd w:val="clear" w:color="auto" w:fill="767171" w:themeFill="background2" w:themeFillShade="80"/>
          </w:tcPr>
          <w:p w14:paraId="473E0FF4"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CCG</w:t>
            </w:r>
          </w:p>
        </w:tc>
        <w:tc>
          <w:tcPr>
            <w:tcW w:w="6130" w:type="dxa"/>
            <w:gridSpan w:val="5"/>
            <w:shd w:val="clear" w:color="auto" w:fill="767171" w:themeFill="background2" w:themeFillShade="80"/>
          </w:tcPr>
          <w:p w14:paraId="32F6D35E" w14:textId="77777777" w:rsidR="00462037" w:rsidRPr="00527C4A" w:rsidRDefault="00462037" w:rsidP="00462037">
            <w:pPr>
              <w:jc w:val="center"/>
              <w:rPr>
                <w:color w:val="FFFFFF" w:themeColor="background1"/>
                <w:sz w:val="18"/>
                <w:szCs w:val="18"/>
              </w:rPr>
            </w:pPr>
            <w:r>
              <w:rPr>
                <w:color w:val="FFFFFF" w:themeColor="background1"/>
                <w:sz w:val="18"/>
                <w:szCs w:val="18"/>
              </w:rPr>
              <w:t>Ethnicity</w:t>
            </w:r>
          </w:p>
        </w:tc>
        <w:tc>
          <w:tcPr>
            <w:tcW w:w="764" w:type="dxa"/>
            <w:vMerge w:val="restart"/>
            <w:shd w:val="clear" w:color="auto" w:fill="767171" w:themeFill="background2" w:themeFillShade="80"/>
          </w:tcPr>
          <w:p w14:paraId="42177AD1"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All ages</w:t>
            </w:r>
          </w:p>
        </w:tc>
      </w:tr>
      <w:tr w:rsidR="00462037" w:rsidRPr="00527C4A" w14:paraId="60AC93DC" w14:textId="77777777" w:rsidTr="00462037">
        <w:tc>
          <w:tcPr>
            <w:tcW w:w="2122" w:type="dxa"/>
            <w:vMerge/>
            <w:shd w:val="clear" w:color="auto" w:fill="767171" w:themeFill="background2" w:themeFillShade="80"/>
          </w:tcPr>
          <w:p w14:paraId="452A5BA1" w14:textId="77777777" w:rsidR="00462037" w:rsidRPr="00527C4A" w:rsidRDefault="00462037" w:rsidP="00462037">
            <w:pPr>
              <w:rPr>
                <w:color w:val="FFFFFF" w:themeColor="background1"/>
                <w:sz w:val="18"/>
                <w:szCs w:val="18"/>
              </w:rPr>
            </w:pPr>
          </w:p>
        </w:tc>
        <w:tc>
          <w:tcPr>
            <w:tcW w:w="992" w:type="dxa"/>
            <w:shd w:val="clear" w:color="auto" w:fill="767171" w:themeFill="background2" w:themeFillShade="80"/>
          </w:tcPr>
          <w:p w14:paraId="050A0A4E" w14:textId="77777777" w:rsidR="00462037" w:rsidRPr="00453749" w:rsidRDefault="00462037" w:rsidP="00462037">
            <w:pPr>
              <w:jc w:val="center"/>
              <w:rPr>
                <w:color w:val="FFFFFF" w:themeColor="background1"/>
                <w:sz w:val="18"/>
                <w:szCs w:val="18"/>
              </w:rPr>
            </w:pPr>
            <w:r w:rsidRPr="00453749">
              <w:rPr>
                <w:color w:val="FFFFFF" w:themeColor="background1"/>
                <w:sz w:val="18"/>
                <w:szCs w:val="18"/>
              </w:rPr>
              <w:t>White</w:t>
            </w:r>
          </w:p>
        </w:tc>
        <w:tc>
          <w:tcPr>
            <w:tcW w:w="992" w:type="dxa"/>
            <w:shd w:val="clear" w:color="auto" w:fill="767171" w:themeFill="background2" w:themeFillShade="80"/>
          </w:tcPr>
          <w:p w14:paraId="6D3A0B81" w14:textId="77777777" w:rsidR="00462037" w:rsidRPr="00453749" w:rsidRDefault="00462037" w:rsidP="00462037">
            <w:pPr>
              <w:jc w:val="center"/>
              <w:rPr>
                <w:color w:val="FFFFFF" w:themeColor="background1"/>
                <w:sz w:val="18"/>
                <w:szCs w:val="18"/>
              </w:rPr>
            </w:pPr>
            <w:r w:rsidRPr="00453749">
              <w:rPr>
                <w:color w:val="FFFFFF" w:themeColor="background1"/>
                <w:sz w:val="18"/>
                <w:szCs w:val="18"/>
              </w:rPr>
              <w:t>Mixed</w:t>
            </w:r>
            <w:r>
              <w:rPr>
                <w:color w:val="FFFFFF" w:themeColor="background1"/>
                <w:sz w:val="18"/>
                <w:szCs w:val="18"/>
              </w:rPr>
              <w:t xml:space="preserve"> </w:t>
            </w:r>
            <w:r w:rsidRPr="00453749">
              <w:rPr>
                <w:color w:val="FFFFFF" w:themeColor="background1"/>
                <w:sz w:val="18"/>
                <w:szCs w:val="18"/>
              </w:rPr>
              <w:t>/</w:t>
            </w:r>
            <w:r>
              <w:rPr>
                <w:color w:val="FFFFFF" w:themeColor="background1"/>
                <w:sz w:val="18"/>
                <w:szCs w:val="18"/>
              </w:rPr>
              <w:t xml:space="preserve"> </w:t>
            </w:r>
            <w:r w:rsidRPr="00453749">
              <w:rPr>
                <w:color w:val="FFFFFF" w:themeColor="background1"/>
                <w:sz w:val="18"/>
                <w:szCs w:val="18"/>
              </w:rPr>
              <w:t>multiple</w:t>
            </w:r>
          </w:p>
        </w:tc>
        <w:tc>
          <w:tcPr>
            <w:tcW w:w="1276" w:type="dxa"/>
            <w:shd w:val="clear" w:color="auto" w:fill="767171" w:themeFill="background2" w:themeFillShade="80"/>
          </w:tcPr>
          <w:p w14:paraId="66D84467" w14:textId="77777777" w:rsidR="00462037" w:rsidRPr="00453749" w:rsidRDefault="00462037" w:rsidP="00462037">
            <w:pPr>
              <w:jc w:val="center"/>
              <w:rPr>
                <w:color w:val="FFFFFF" w:themeColor="background1"/>
                <w:sz w:val="18"/>
                <w:szCs w:val="18"/>
              </w:rPr>
            </w:pPr>
            <w:r w:rsidRPr="00453749">
              <w:rPr>
                <w:color w:val="FFFFFF" w:themeColor="background1"/>
                <w:sz w:val="18"/>
                <w:szCs w:val="18"/>
              </w:rPr>
              <w:t>Asian/Asian British</w:t>
            </w:r>
          </w:p>
        </w:tc>
        <w:tc>
          <w:tcPr>
            <w:tcW w:w="2126" w:type="dxa"/>
            <w:shd w:val="clear" w:color="auto" w:fill="767171" w:themeFill="background2" w:themeFillShade="80"/>
          </w:tcPr>
          <w:p w14:paraId="11C51D08" w14:textId="77777777" w:rsidR="00462037" w:rsidRPr="00453749" w:rsidRDefault="00462037" w:rsidP="00462037">
            <w:pPr>
              <w:jc w:val="center"/>
              <w:rPr>
                <w:color w:val="FFFFFF" w:themeColor="background1"/>
                <w:sz w:val="18"/>
                <w:szCs w:val="18"/>
              </w:rPr>
            </w:pPr>
            <w:r w:rsidRPr="00453749">
              <w:rPr>
                <w:color w:val="FFFFFF" w:themeColor="background1"/>
                <w:sz w:val="18"/>
                <w:szCs w:val="18"/>
              </w:rPr>
              <w:t>Black</w:t>
            </w:r>
            <w:r>
              <w:rPr>
                <w:color w:val="FFFFFF" w:themeColor="background1"/>
                <w:sz w:val="18"/>
                <w:szCs w:val="18"/>
              </w:rPr>
              <w:t xml:space="preserve"> </w:t>
            </w:r>
            <w:r w:rsidRPr="00453749">
              <w:rPr>
                <w:color w:val="FFFFFF" w:themeColor="background1"/>
                <w:sz w:val="18"/>
                <w:szCs w:val="18"/>
              </w:rPr>
              <w:t>/</w:t>
            </w:r>
            <w:r>
              <w:rPr>
                <w:color w:val="FFFFFF" w:themeColor="background1"/>
                <w:sz w:val="18"/>
                <w:szCs w:val="18"/>
              </w:rPr>
              <w:t xml:space="preserve"> </w:t>
            </w:r>
            <w:r w:rsidRPr="00453749">
              <w:rPr>
                <w:color w:val="FFFFFF" w:themeColor="background1"/>
                <w:sz w:val="18"/>
                <w:szCs w:val="18"/>
              </w:rPr>
              <w:t>African</w:t>
            </w:r>
            <w:r>
              <w:rPr>
                <w:color w:val="FFFFFF" w:themeColor="background1"/>
                <w:sz w:val="18"/>
                <w:szCs w:val="18"/>
              </w:rPr>
              <w:t xml:space="preserve"> </w:t>
            </w:r>
            <w:r w:rsidRPr="00453749">
              <w:rPr>
                <w:color w:val="FFFFFF" w:themeColor="background1"/>
                <w:sz w:val="18"/>
                <w:szCs w:val="18"/>
              </w:rPr>
              <w:t>/</w:t>
            </w:r>
            <w:r>
              <w:rPr>
                <w:color w:val="FFFFFF" w:themeColor="background1"/>
                <w:sz w:val="18"/>
                <w:szCs w:val="18"/>
              </w:rPr>
              <w:t xml:space="preserve"> </w:t>
            </w:r>
            <w:r w:rsidRPr="00453749">
              <w:rPr>
                <w:color w:val="FFFFFF" w:themeColor="background1"/>
                <w:sz w:val="18"/>
                <w:szCs w:val="18"/>
              </w:rPr>
              <w:t>Caribbean</w:t>
            </w:r>
            <w:r>
              <w:rPr>
                <w:color w:val="FFFFFF" w:themeColor="background1"/>
                <w:sz w:val="18"/>
                <w:szCs w:val="18"/>
              </w:rPr>
              <w:t xml:space="preserve"> </w:t>
            </w:r>
            <w:r w:rsidRPr="00453749">
              <w:rPr>
                <w:color w:val="FFFFFF" w:themeColor="background1"/>
                <w:sz w:val="18"/>
                <w:szCs w:val="18"/>
              </w:rPr>
              <w:t>/</w:t>
            </w:r>
            <w:r>
              <w:rPr>
                <w:color w:val="FFFFFF" w:themeColor="background1"/>
                <w:sz w:val="18"/>
                <w:szCs w:val="18"/>
              </w:rPr>
              <w:t xml:space="preserve"> </w:t>
            </w:r>
            <w:r w:rsidRPr="00453749">
              <w:rPr>
                <w:color w:val="FFFFFF" w:themeColor="background1"/>
                <w:sz w:val="18"/>
                <w:szCs w:val="18"/>
              </w:rPr>
              <w:t>Black British</w:t>
            </w:r>
          </w:p>
        </w:tc>
        <w:tc>
          <w:tcPr>
            <w:tcW w:w="744" w:type="dxa"/>
            <w:shd w:val="clear" w:color="auto" w:fill="767171" w:themeFill="background2" w:themeFillShade="80"/>
          </w:tcPr>
          <w:p w14:paraId="51F767D0" w14:textId="77777777" w:rsidR="00462037" w:rsidRPr="00453749" w:rsidRDefault="00462037" w:rsidP="00462037">
            <w:pPr>
              <w:jc w:val="center"/>
              <w:rPr>
                <w:color w:val="FFFFFF" w:themeColor="background1"/>
                <w:sz w:val="18"/>
                <w:szCs w:val="18"/>
              </w:rPr>
            </w:pPr>
            <w:r w:rsidRPr="00453749">
              <w:rPr>
                <w:color w:val="FFFFFF" w:themeColor="background1"/>
                <w:sz w:val="18"/>
                <w:szCs w:val="18"/>
              </w:rPr>
              <w:t>Other</w:t>
            </w:r>
          </w:p>
        </w:tc>
        <w:tc>
          <w:tcPr>
            <w:tcW w:w="764" w:type="dxa"/>
            <w:vMerge/>
            <w:shd w:val="clear" w:color="auto" w:fill="767171" w:themeFill="background2" w:themeFillShade="80"/>
          </w:tcPr>
          <w:p w14:paraId="1B568156" w14:textId="77777777" w:rsidR="00462037" w:rsidRPr="00527C4A" w:rsidRDefault="00462037" w:rsidP="00462037">
            <w:pPr>
              <w:jc w:val="center"/>
              <w:rPr>
                <w:color w:val="FFFFFF" w:themeColor="background1"/>
                <w:sz w:val="18"/>
                <w:szCs w:val="18"/>
              </w:rPr>
            </w:pPr>
          </w:p>
        </w:tc>
      </w:tr>
      <w:tr w:rsidR="00462037" w:rsidRPr="00527C4A" w14:paraId="12C7E26A" w14:textId="77777777" w:rsidTr="00462037">
        <w:tc>
          <w:tcPr>
            <w:tcW w:w="2122" w:type="dxa"/>
            <w:vMerge w:val="restart"/>
            <w:vAlign w:val="bottom"/>
          </w:tcPr>
          <w:p w14:paraId="57B15409" w14:textId="77777777" w:rsidR="00462037" w:rsidRPr="00527C4A" w:rsidRDefault="00462037" w:rsidP="00462037">
            <w:pPr>
              <w:rPr>
                <w:sz w:val="18"/>
                <w:szCs w:val="18"/>
              </w:rPr>
            </w:pPr>
            <w:r w:rsidRPr="00527C4A">
              <w:rPr>
                <w:sz w:val="18"/>
                <w:szCs w:val="18"/>
              </w:rPr>
              <w:t xml:space="preserve">North Lincolnshire </w:t>
            </w:r>
          </w:p>
        </w:tc>
        <w:tc>
          <w:tcPr>
            <w:tcW w:w="992" w:type="dxa"/>
          </w:tcPr>
          <w:p w14:paraId="48F1B370" w14:textId="77777777" w:rsidR="00462037" w:rsidRPr="00453749" w:rsidRDefault="00462037" w:rsidP="00462037">
            <w:pPr>
              <w:jc w:val="center"/>
              <w:rPr>
                <w:sz w:val="18"/>
                <w:szCs w:val="18"/>
              </w:rPr>
            </w:pPr>
            <w:r w:rsidRPr="00453749">
              <w:rPr>
                <w:sz w:val="18"/>
                <w:szCs w:val="18"/>
              </w:rPr>
              <w:t>160748</w:t>
            </w:r>
          </w:p>
        </w:tc>
        <w:tc>
          <w:tcPr>
            <w:tcW w:w="992" w:type="dxa"/>
          </w:tcPr>
          <w:p w14:paraId="7B7DA52D" w14:textId="77777777" w:rsidR="00462037" w:rsidRPr="00453749" w:rsidRDefault="00462037" w:rsidP="00462037">
            <w:pPr>
              <w:jc w:val="center"/>
              <w:rPr>
                <w:sz w:val="18"/>
                <w:szCs w:val="18"/>
              </w:rPr>
            </w:pPr>
            <w:r w:rsidRPr="00453749">
              <w:rPr>
                <w:sz w:val="18"/>
                <w:szCs w:val="18"/>
              </w:rPr>
              <w:t>1244</w:t>
            </w:r>
          </w:p>
        </w:tc>
        <w:tc>
          <w:tcPr>
            <w:tcW w:w="1276" w:type="dxa"/>
          </w:tcPr>
          <w:p w14:paraId="1E36B938" w14:textId="77777777" w:rsidR="00462037" w:rsidRPr="00453749" w:rsidRDefault="00462037" w:rsidP="00462037">
            <w:pPr>
              <w:jc w:val="center"/>
              <w:rPr>
                <w:sz w:val="18"/>
                <w:szCs w:val="18"/>
              </w:rPr>
            </w:pPr>
            <w:r w:rsidRPr="00453749">
              <w:rPr>
                <w:sz w:val="18"/>
                <w:szCs w:val="18"/>
              </w:rPr>
              <w:t>4549</w:t>
            </w:r>
          </w:p>
        </w:tc>
        <w:tc>
          <w:tcPr>
            <w:tcW w:w="2126" w:type="dxa"/>
          </w:tcPr>
          <w:p w14:paraId="346C5536" w14:textId="77777777" w:rsidR="00462037" w:rsidRPr="00453749" w:rsidRDefault="00462037" w:rsidP="00462037">
            <w:pPr>
              <w:jc w:val="center"/>
              <w:rPr>
                <w:sz w:val="18"/>
                <w:szCs w:val="18"/>
              </w:rPr>
            </w:pPr>
            <w:r w:rsidRPr="00453749">
              <w:rPr>
                <w:sz w:val="18"/>
                <w:szCs w:val="18"/>
              </w:rPr>
              <w:t>494</w:t>
            </w:r>
          </w:p>
        </w:tc>
        <w:tc>
          <w:tcPr>
            <w:tcW w:w="744" w:type="dxa"/>
          </w:tcPr>
          <w:p w14:paraId="3B0DD77A" w14:textId="77777777" w:rsidR="00462037" w:rsidRPr="00453749" w:rsidRDefault="00462037" w:rsidP="00462037">
            <w:pPr>
              <w:jc w:val="center"/>
              <w:rPr>
                <w:sz w:val="18"/>
                <w:szCs w:val="18"/>
              </w:rPr>
            </w:pPr>
            <w:r w:rsidRPr="00453749">
              <w:rPr>
                <w:sz w:val="18"/>
                <w:szCs w:val="18"/>
              </w:rPr>
              <w:t>411</w:t>
            </w:r>
          </w:p>
        </w:tc>
        <w:tc>
          <w:tcPr>
            <w:tcW w:w="764" w:type="dxa"/>
          </w:tcPr>
          <w:p w14:paraId="1D103B83" w14:textId="77777777" w:rsidR="00462037" w:rsidRPr="00453749" w:rsidRDefault="00462037" w:rsidP="00462037">
            <w:pPr>
              <w:jc w:val="center"/>
              <w:rPr>
                <w:sz w:val="18"/>
                <w:szCs w:val="18"/>
              </w:rPr>
            </w:pPr>
            <w:r w:rsidRPr="00453749">
              <w:rPr>
                <w:sz w:val="18"/>
                <w:szCs w:val="18"/>
              </w:rPr>
              <w:t>167446</w:t>
            </w:r>
          </w:p>
        </w:tc>
      </w:tr>
      <w:tr w:rsidR="00462037" w:rsidRPr="00527C4A" w14:paraId="7D426146" w14:textId="77777777" w:rsidTr="00462037">
        <w:tc>
          <w:tcPr>
            <w:tcW w:w="2122" w:type="dxa"/>
            <w:vMerge/>
            <w:vAlign w:val="bottom"/>
          </w:tcPr>
          <w:p w14:paraId="1945BD79" w14:textId="77777777" w:rsidR="00462037" w:rsidRPr="00527C4A" w:rsidRDefault="00462037" w:rsidP="00462037">
            <w:pPr>
              <w:rPr>
                <w:sz w:val="18"/>
                <w:szCs w:val="18"/>
              </w:rPr>
            </w:pPr>
          </w:p>
        </w:tc>
        <w:tc>
          <w:tcPr>
            <w:tcW w:w="992" w:type="dxa"/>
          </w:tcPr>
          <w:p w14:paraId="238290F1" w14:textId="77777777" w:rsidR="00462037" w:rsidRPr="00453749" w:rsidRDefault="00462037" w:rsidP="00462037">
            <w:pPr>
              <w:jc w:val="center"/>
              <w:rPr>
                <w:sz w:val="18"/>
                <w:szCs w:val="18"/>
              </w:rPr>
            </w:pPr>
            <w:r w:rsidRPr="00453749">
              <w:rPr>
                <w:sz w:val="18"/>
                <w:szCs w:val="18"/>
              </w:rPr>
              <w:t>96%</w:t>
            </w:r>
          </w:p>
        </w:tc>
        <w:tc>
          <w:tcPr>
            <w:tcW w:w="992" w:type="dxa"/>
          </w:tcPr>
          <w:p w14:paraId="62FF3A0D" w14:textId="77777777" w:rsidR="00462037" w:rsidRPr="00453749" w:rsidRDefault="00462037" w:rsidP="00462037">
            <w:pPr>
              <w:jc w:val="center"/>
              <w:rPr>
                <w:sz w:val="18"/>
                <w:szCs w:val="18"/>
              </w:rPr>
            </w:pPr>
            <w:r w:rsidRPr="00453749">
              <w:rPr>
                <w:sz w:val="18"/>
                <w:szCs w:val="18"/>
              </w:rPr>
              <w:t>1%</w:t>
            </w:r>
          </w:p>
        </w:tc>
        <w:tc>
          <w:tcPr>
            <w:tcW w:w="1276" w:type="dxa"/>
          </w:tcPr>
          <w:p w14:paraId="7462F004" w14:textId="77777777" w:rsidR="00462037" w:rsidRPr="00453749" w:rsidRDefault="00462037" w:rsidP="00462037">
            <w:pPr>
              <w:jc w:val="center"/>
              <w:rPr>
                <w:sz w:val="18"/>
                <w:szCs w:val="18"/>
              </w:rPr>
            </w:pPr>
            <w:r w:rsidRPr="00453749">
              <w:rPr>
                <w:sz w:val="18"/>
                <w:szCs w:val="18"/>
              </w:rPr>
              <w:t>3%</w:t>
            </w:r>
          </w:p>
        </w:tc>
        <w:tc>
          <w:tcPr>
            <w:tcW w:w="2126" w:type="dxa"/>
          </w:tcPr>
          <w:p w14:paraId="129ECDDB" w14:textId="77777777" w:rsidR="00462037" w:rsidRPr="00453749" w:rsidRDefault="00462037" w:rsidP="00462037">
            <w:pPr>
              <w:jc w:val="center"/>
              <w:rPr>
                <w:sz w:val="18"/>
                <w:szCs w:val="18"/>
              </w:rPr>
            </w:pPr>
            <w:r w:rsidRPr="00453749">
              <w:rPr>
                <w:sz w:val="18"/>
                <w:szCs w:val="18"/>
              </w:rPr>
              <w:t>0.3%</w:t>
            </w:r>
          </w:p>
        </w:tc>
        <w:tc>
          <w:tcPr>
            <w:tcW w:w="744" w:type="dxa"/>
          </w:tcPr>
          <w:p w14:paraId="714BFC88" w14:textId="77777777" w:rsidR="00462037" w:rsidRPr="00453749" w:rsidRDefault="00462037" w:rsidP="00462037">
            <w:pPr>
              <w:jc w:val="center"/>
              <w:rPr>
                <w:sz w:val="18"/>
                <w:szCs w:val="18"/>
              </w:rPr>
            </w:pPr>
            <w:r w:rsidRPr="00453749">
              <w:rPr>
                <w:sz w:val="18"/>
                <w:szCs w:val="18"/>
              </w:rPr>
              <w:t>0.2%</w:t>
            </w:r>
          </w:p>
        </w:tc>
        <w:tc>
          <w:tcPr>
            <w:tcW w:w="764" w:type="dxa"/>
          </w:tcPr>
          <w:p w14:paraId="0B23F388" w14:textId="77777777" w:rsidR="00462037" w:rsidRPr="00453749" w:rsidRDefault="00462037" w:rsidP="00462037">
            <w:pPr>
              <w:jc w:val="center"/>
              <w:rPr>
                <w:sz w:val="18"/>
                <w:szCs w:val="18"/>
              </w:rPr>
            </w:pPr>
            <w:r w:rsidRPr="00453749">
              <w:rPr>
                <w:sz w:val="18"/>
                <w:szCs w:val="18"/>
              </w:rPr>
              <w:t>100%</w:t>
            </w:r>
          </w:p>
        </w:tc>
      </w:tr>
      <w:tr w:rsidR="00462037" w:rsidRPr="00527C4A" w14:paraId="08D60C1C" w14:textId="77777777" w:rsidTr="00462037">
        <w:tc>
          <w:tcPr>
            <w:tcW w:w="2122" w:type="dxa"/>
            <w:vMerge w:val="restart"/>
            <w:vAlign w:val="bottom"/>
          </w:tcPr>
          <w:p w14:paraId="769AB575" w14:textId="77777777" w:rsidR="00462037" w:rsidRPr="00527C4A" w:rsidRDefault="00462037" w:rsidP="00462037">
            <w:pPr>
              <w:rPr>
                <w:sz w:val="18"/>
                <w:szCs w:val="18"/>
              </w:rPr>
            </w:pPr>
            <w:r w:rsidRPr="00527C4A">
              <w:rPr>
                <w:sz w:val="18"/>
                <w:szCs w:val="18"/>
              </w:rPr>
              <w:t xml:space="preserve">North East Lincolnshire </w:t>
            </w:r>
          </w:p>
        </w:tc>
        <w:tc>
          <w:tcPr>
            <w:tcW w:w="992" w:type="dxa"/>
          </w:tcPr>
          <w:p w14:paraId="28305399" w14:textId="77777777" w:rsidR="00462037" w:rsidRPr="00453749" w:rsidRDefault="00462037" w:rsidP="00462037">
            <w:pPr>
              <w:jc w:val="center"/>
              <w:rPr>
                <w:sz w:val="18"/>
                <w:szCs w:val="18"/>
              </w:rPr>
            </w:pPr>
            <w:r w:rsidRPr="00453749">
              <w:rPr>
                <w:sz w:val="18"/>
                <w:szCs w:val="18"/>
              </w:rPr>
              <w:t>155421</w:t>
            </w:r>
          </w:p>
        </w:tc>
        <w:tc>
          <w:tcPr>
            <w:tcW w:w="992" w:type="dxa"/>
          </w:tcPr>
          <w:p w14:paraId="6103E56E" w14:textId="77777777" w:rsidR="00462037" w:rsidRPr="00453749" w:rsidRDefault="00462037" w:rsidP="00462037">
            <w:pPr>
              <w:jc w:val="center"/>
              <w:rPr>
                <w:sz w:val="18"/>
                <w:szCs w:val="18"/>
              </w:rPr>
            </w:pPr>
            <w:r w:rsidRPr="00453749">
              <w:rPr>
                <w:sz w:val="18"/>
                <w:szCs w:val="18"/>
              </w:rPr>
              <w:t>1186</w:t>
            </w:r>
          </w:p>
        </w:tc>
        <w:tc>
          <w:tcPr>
            <w:tcW w:w="1276" w:type="dxa"/>
          </w:tcPr>
          <w:p w14:paraId="6D85866C" w14:textId="77777777" w:rsidR="00462037" w:rsidRPr="00453749" w:rsidRDefault="00462037" w:rsidP="00462037">
            <w:pPr>
              <w:jc w:val="center"/>
              <w:rPr>
                <w:sz w:val="18"/>
                <w:szCs w:val="18"/>
              </w:rPr>
            </w:pPr>
            <w:r w:rsidRPr="00453749">
              <w:rPr>
                <w:sz w:val="18"/>
                <w:szCs w:val="18"/>
              </w:rPr>
              <w:t>2129</w:t>
            </w:r>
          </w:p>
        </w:tc>
        <w:tc>
          <w:tcPr>
            <w:tcW w:w="2126" w:type="dxa"/>
          </w:tcPr>
          <w:p w14:paraId="3682D8CB" w14:textId="77777777" w:rsidR="00462037" w:rsidRPr="00453749" w:rsidRDefault="00462037" w:rsidP="00462037">
            <w:pPr>
              <w:jc w:val="center"/>
              <w:rPr>
                <w:sz w:val="18"/>
                <w:szCs w:val="18"/>
              </w:rPr>
            </w:pPr>
            <w:r w:rsidRPr="00453749">
              <w:rPr>
                <w:sz w:val="18"/>
                <w:szCs w:val="18"/>
              </w:rPr>
              <w:t>411</w:t>
            </w:r>
          </w:p>
        </w:tc>
        <w:tc>
          <w:tcPr>
            <w:tcW w:w="744" w:type="dxa"/>
          </w:tcPr>
          <w:p w14:paraId="54C3AB74" w14:textId="77777777" w:rsidR="00462037" w:rsidRPr="00453749" w:rsidRDefault="00462037" w:rsidP="00462037">
            <w:pPr>
              <w:jc w:val="center"/>
              <w:rPr>
                <w:sz w:val="18"/>
                <w:szCs w:val="18"/>
              </w:rPr>
            </w:pPr>
            <w:r w:rsidRPr="00453749">
              <w:rPr>
                <w:sz w:val="18"/>
                <w:szCs w:val="18"/>
              </w:rPr>
              <w:t>469</w:t>
            </w:r>
          </w:p>
        </w:tc>
        <w:tc>
          <w:tcPr>
            <w:tcW w:w="764" w:type="dxa"/>
          </w:tcPr>
          <w:p w14:paraId="71955475" w14:textId="77777777" w:rsidR="00462037" w:rsidRPr="00453749" w:rsidRDefault="00462037" w:rsidP="00462037">
            <w:pPr>
              <w:jc w:val="center"/>
              <w:rPr>
                <w:sz w:val="18"/>
                <w:szCs w:val="18"/>
              </w:rPr>
            </w:pPr>
            <w:r w:rsidRPr="00453749">
              <w:rPr>
                <w:sz w:val="18"/>
                <w:szCs w:val="18"/>
              </w:rPr>
              <w:t>159616</w:t>
            </w:r>
          </w:p>
        </w:tc>
      </w:tr>
      <w:tr w:rsidR="00462037" w:rsidRPr="00527C4A" w14:paraId="7576F8CB" w14:textId="77777777" w:rsidTr="00462037">
        <w:tc>
          <w:tcPr>
            <w:tcW w:w="2122" w:type="dxa"/>
            <w:vMerge/>
            <w:vAlign w:val="bottom"/>
          </w:tcPr>
          <w:p w14:paraId="169B4E8A" w14:textId="77777777" w:rsidR="00462037" w:rsidRPr="00527C4A" w:rsidRDefault="00462037" w:rsidP="00462037">
            <w:pPr>
              <w:rPr>
                <w:sz w:val="18"/>
                <w:szCs w:val="18"/>
              </w:rPr>
            </w:pPr>
          </w:p>
        </w:tc>
        <w:tc>
          <w:tcPr>
            <w:tcW w:w="992" w:type="dxa"/>
          </w:tcPr>
          <w:p w14:paraId="5F20B8BB" w14:textId="77777777" w:rsidR="00462037" w:rsidRPr="00453749" w:rsidRDefault="00462037" w:rsidP="00462037">
            <w:pPr>
              <w:jc w:val="center"/>
              <w:rPr>
                <w:sz w:val="18"/>
                <w:szCs w:val="18"/>
              </w:rPr>
            </w:pPr>
            <w:r w:rsidRPr="00453749">
              <w:rPr>
                <w:sz w:val="18"/>
                <w:szCs w:val="18"/>
              </w:rPr>
              <w:t>97%</w:t>
            </w:r>
          </w:p>
        </w:tc>
        <w:tc>
          <w:tcPr>
            <w:tcW w:w="992" w:type="dxa"/>
          </w:tcPr>
          <w:p w14:paraId="055BCB68" w14:textId="77777777" w:rsidR="00462037" w:rsidRPr="00453749" w:rsidRDefault="00462037" w:rsidP="00462037">
            <w:pPr>
              <w:jc w:val="center"/>
              <w:rPr>
                <w:sz w:val="18"/>
                <w:szCs w:val="18"/>
              </w:rPr>
            </w:pPr>
            <w:r w:rsidRPr="00453749">
              <w:rPr>
                <w:sz w:val="18"/>
                <w:szCs w:val="18"/>
              </w:rPr>
              <w:t>1%</w:t>
            </w:r>
          </w:p>
        </w:tc>
        <w:tc>
          <w:tcPr>
            <w:tcW w:w="1276" w:type="dxa"/>
          </w:tcPr>
          <w:p w14:paraId="2D9716B8" w14:textId="77777777" w:rsidR="00462037" w:rsidRPr="00453749" w:rsidRDefault="00462037" w:rsidP="00462037">
            <w:pPr>
              <w:jc w:val="center"/>
              <w:rPr>
                <w:sz w:val="18"/>
                <w:szCs w:val="18"/>
              </w:rPr>
            </w:pPr>
            <w:r w:rsidRPr="00453749">
              <w:rPr>
                <w:sz w:val="18"/>
                <w:szCs w:val="18"/>
              </w:rPr>
              <w:t>1%</w:t>
            </w:r>
          </w:p>
        </w:tc>
        <w:tc>
          <w:tcPr>
            <w:tcW w:w="2126" w:type="dxa"/>
          </w:tcPr>
          <w:p w14:paraId="184F64B1" w14:textId="77777777" w:rsidR="00462037" w:rsidRPr="00453749" w:rsidRDefault="00462037" w:rsidP="00462037">
            <w:pPr>
              <w:jc w:val="center"/>
              <w:rPr>
                <w:sz w:val="18"/>
                <w:szCs w:val="18"/>
              </w:rPr>
            </w:pPr>
            <w:r w:rsidRPr="00453749">
              <w:rPr>
                <w:sz w:val="18"/>
                <w:szCs w:val="18"/>
              </w:rPr>
              <w:t>0.3%</w:t>
            </w:r>
          </w:p>
        </w:tc>
        <w:tc>
          <w:tcPr>
            <w:tcW w:w="744" w:type="dxa"/>
          </w:tcPr>
          <w:p w14:paraId="38D69798" w14:textId="77777777" w:rsidR="00462037" w:rsidRPr="00453749" w:rsidRDefault="00462037" w:rsidP="00462037">
            <w:pPr>
              <w:jc w:val="center"/>
              <w:rPr>
                <w:sz w:val="18"/>
                <w:szCs w:val="18"/>
              </w:rPr>
            </w:pPr>
            <w:r w:rsidRPr="00453749">
              <w:rPr>
                <w:sz w:val="18"/>
                <w:szCs w:val="18"/>
              </w:rPr>
              <w:t>0.3%</w:t>
            </w:r>
          </w:p>
        </w:tc>
        <w:tc>
          <w:tcPr>
            <w:tcW w:w="764" w:type="dxa"/>
          </w:tcPr>
          <w:p w14:paraId="1B826C07" w14:textId="77777777" w:rsidR="00462037" w:rsidRPr="00453749" w:rsidRDefault="00462037" w:rsidP="00462037">
            <w:pPr>
              <w:jc w:val="center"/>
              <w:rPr>
                <w:sz w:val="18"/>
                <w:szCs w:val="18"/>
              </w:rPr>
            </w:pPr>
            <w:r w:rsidRPr="00453749">
              <w:rPr>
                <w:sz w:val="18"/>
                <w:szCs w:val="18"/>
              </w:rPr>
              <w:t>100%</w:t>
            </w:r>
          </w:p>
        </w:tc>
      </w:tr>
      <w:tr w:rsidR="00462037" w:rsidRPr="00527C4A" w14:paraId="0EF163C7" w14:textId="77777777" w:rsidTr="00462037">
        <w:tc>
          <w:tcPr>
            <w:tcW w:w="2122" w:type="dxa"/>
            <w:vMerge w:val="restart"/>
            <w:vAlign w:val="bottom"/>
          </w:tcPr>
          <w:p w14:paraId="7033830C" w14:textId="77777777" w:rsidR="00462037" w:rsidRPr="00527C4A" w:rsidRDefault="00462037" w:rsidP="00462037">
            <w:pPr>
              <w:rPr>
                <w:sz w:val="18"/>
                <w:szCs w:val="18"/>
              </w:rPr>
            </w:pPr>
            <w:r w:rsidRPr="00527C4A">
              <w:rPr>
                <w:sz w:val="18"/>
                <w:szCs w:val="18"/>
              </w:rPr>
              <w:t xml:space="preserve">Lincolnshire East </w:t>
            </w:r>
          </w:p>
        </w:tc>
        <w:tc>
          <w:tcPr>
            <w:tcW w:w="992" w:type="dxa"/>
          </w:tcPr>
          <w:p w14:paraId="03375494" w14:textId="77777777" w:rsidR="00462037" w:rsidRPr="00453749" w:rsidRDefault="00462037" w:rsidP="00462037">
            <w:pPr>
              <w:jc w:val="center"/>
              <w:rPr>
                <w:sz w:val="18"/>
                <w:szCs w:val="18"/>
              </w:rPr>
            </w:pPr>
            <w:r w:rsidRPr="00453749">
              <w:rPr>
                <w:sz w:val="18"/>
                <w:szCs w:val="18"/>
              </w:rPr>
              <w:t>327789</w:t>
            </w:r>
          </w:p>
        </w:tc>
        <w:tc>
          <w:tcPr>
            <w:tcW w:w="992" w:type="dxa"/>
          </w:tcPr>
          <w:p w14:paraId="7CB476EC" w14:textId="77777777" w:rsidR="00462037" w:rsidRPr="00453749" w:rsidRDefault="00462037" w:rsidP="00462037">
            <w:pPr>
              <w:jc w:val="center"/>
              <w:rPr>
                <w:sz w:val="18"/>
                <w:szCs w:val="18"/>
              </w:rPr>
            </w:pPr>
            <w:r w:rsidRPr="00453749">
              <w:rPr>
                <w:sz w:val="18"/>
                <w:szCs w:val="18"/>
              </w:rPr>
              <w:t>2301</w:t>
            </w:r>
          </w:p>
        </w:tc>
        <w:tc>
          <w:tcPr>
            <w:tcW w:w="1276" w:type="dxa"/>
          </w:tcPr>
          <w:p w14:paraId="32432EAE" w14:textId="77777777" w:rsidR="00462037" w:rsidRPr="00453749" w:rsidRDefault="00462037" w:rsidP="00462037">
            <w:pPr>
              <w:jc w:val="center"/>
              <w:rPr>
                <w:sz w:val="18"/>
                <w:szCs w:val="18"/>
              </w:rPr>
            </w:pPr>
            <w:r w:rsidRPr="00453749">
              <w:rPr>
                <w:sz w:val="18"/>
                <w:szCs w:val="18"/>
              </w:rPr>
              <w:t>2961</w:t>
            </w:r>
          </w:p>
        </w:tc>
        <w:tc>
          <w:tcPr>
            <w:tcW w:w="2126" w:type="dxa"/>
          </w:tcPr>
          <w:p w14:paraId="566285D4" w14:textId="77777777" w:rsidR="00462037" w:rsidRPr="00453749" w:rsidRDefault="00462037" w:rsidP="00462037">
            <w:pPr>
              <w:jc w:val="center"/>
              <w:rPr>
                <w:sz w:val="18"/>
                <w:szCs w:val="18"/>
              </w:rPr>
            </w:pPr>
            <w:r w:rsidRPr="00453749">
              <w:rPr>
                <w:sz w:val="18"/>
                <w:szCs w:val="18"/>
              </w:rPr>
              <w:t>598</w:t>
            </w:r>
          </w:p>
        </w:tc>
        <w:tc>
          <w:tcPr>
            <w:tcW w:w="744" w:type="dxa"/>
          </w:tcPr>
          <w:p w14:paraId="1CB4EDD6" w14:textId="77777777" w:rsidR="00462037" w:rsidRPr="00453749" w:rsidRDefault="00462037" w:rsidP="00462037">
            <w:pPr>
              <w:jc w:val="center"/>
              <w:rPr>
                <w:sz w:val="18"/>
                <w:szCs w:val="18"/>
              </w:rPr>
            </w:pPr>
            <w:r w:rsidRPr="00453749">
              <w:rPr>
                <w:sz w:val="18"/>
                <w:szCs w:val="18"/>
              </w:rPr>
              <w:t>530</w:t>
            </w:r>
          </w:p>
        </w:tc>
        <w:tc>
          <w:tcPr>
            <w:tcW w:w="764" w:type="dxa"/>
          </w:tcPr>
          <w:p w14:paraId="6414D9B8" w14:textId="77777777" w:rsidR="00462037" w:rsidRPr="00453749" w:rsidRDefault="00462037" w:rsidP="00462037">
            <w:pPr>
              <w:jc w:val="center"/>
              <w:rPr>
                <w:sz w:val="18"/>
                <w:szCs w:val="18"/>
              </w:rPr>
            </w:pPr>
            <w:r w:rsidRPr="00453749">
              <w:rPr>
                <w:sz w:val="18"/>
                <w:szCs w:val="18"/>
              </w:rPr>
              <w:t>334179</w:t>
            </w:r>
          </w:p>
        </w:tc>
      </w:tr>
      <w:tr w:rsidR="00462037" w:rsidRPr="00527C4A" w14:paraId="37242992" w14:textId="77777777" w:rsidTr="00462037">
        <w:tc>
          <w:tcPr>
            <w:tcW w:w="2122" w:type="dxa"/>
            <w:vMerge/>
            <w:vAlign w:val="bottom"/>
          </w:tcPr>
          <w:p w14:paraId="5D8D8D67" w14:textId="77777777" w:rsidR="00462037" w:rsidRPr="00527C4A" w:rsidRDefault="00462037" w:rsidP="00462037">
            <w:pPr>
              <w:rPr>
                <w:sz w:val="18"/>
                <w:szCs w:val="18"/>
              </w:rPr>
            </w:pPr>
          </w:p>
        </w:tc>
        <w:tc>
          <w:tcPr>
            <w:tcW w:w="992" w:type="dxa"/>
          </w:tcPr>
          <w:p w14:paraId="1A768688" w14:textId="77777777" w:rsidR="00462037" w:rsidRPr="00453749" w:rsidRDefault="00462037" w:rsidP="00462037">
            <w:pPr>
              <w:jc w:val="center"/>
              <w:rPr>
                <w:sz w:val="18"/>
                <w:szCs w:val="18"/>
              </w:rPr>
            </w:pPr>
            <w:r w:rsidRPr="00453749">
              <w:rPr>
                <w:sz w:val="18"/>
                <w:szCs w:val="18"/>
              </w:rPr>
              <w:t>98%</w:t>
            </w:r>
          </w:p>
        </w:tc>
        <w:tc>
          <w:tcPr>
            <w:tcW w:w="992" w:type="dxa"/>
          </w:tcPr>
          <w:p w14:paraId="5013C847" w14:textId="77777777" w:rsidR="00462037" w:rsidRPr="00453749" w:rsidRDefault="00462037" w:rsidP="00462037">
            <w:pPr>
              <w:jc w:val="center"/>
              <w:rPr>
                <w:sz w:val="18"/>
                <w:szCs w:val="18"/>
              </w:rPr>
            </w:pPr>
            <w:r w:rsidRPr="00453749">
              <w:rPr>
                <w:sz w:val="18"/>
                <w:szCs w:val="18"/>
              </w:rPr>
              <w:t>1%</w:t>
            </w:r>
          </w:p>
        </w:tc>
        <w:tc>
          <w:tcPr>
            <w:tcW w:w="1276" w:type="dxa"/>
          </w:tcPr>
          <w:p w14:paraId="21F72077" w14:textId="77777777" w:rsidR="00462037" w:rsidRPr="00453749" w:rsidRDefault="00462037" w:rsidP="00462037">
            <w:pPr>
              <w:jc w:val="center"/>
              <w:rPr>
                <w:sz w:val="18"/>
                <w:szCs w:val="18"/>
              </w:rPr>
            </w:pPr>
            <w:r w:rsidRPr="00453749">
              <w:rPr>
                <w:sz w:val="18"/>
                <w:szCs w:val="18"/>
              </w:rPr>
              <w:t>1%</w:t>
            </w:r>
          </w:p>
        </w:tc>
        <w:tc>
          <w:tcPr>
            <w:tcW w:w="2126" w:type="dxa"/>
          </w:tcPr>
          <w:p w14:paraId="20A53273" w14:textId="77777777" w:rsidR="00462037" w:rsidRPr="00453749" w:rsidRDefault="00462037" w:rsidP="00462037">
            <w:pPr>
              <w:jc w:val="center"/>
              <w:rPr>
                <w:sz w:val="18"/>
                <w:szCs w:val="18"/>
              </w:rPr>
            </w:pPr>
            <w:r w:rsidRPr="00453749">
              <w:rPr>
                <w:sz w:val="18"/>
                <w:szCs w:val="18"/>
              </w:rPr>
              <w:t>0.2%</w:t>
            </w:r>
          </w:p>
        </w:tc>
        <w:tc>
          <w:tcPr>
            <w:tcW w:w="744" w:type="dxa"/>
          </w:tcPr>
          <w:p w14:paraId="7C8D289C" w14:textId="77777777" w:rsidR="00462037" w:rsidRPr="00453749" w:rsidRDefault="00462037" w:rsidP="00462037">
            <w:pPr>
              <w:jc w:val="center"/>
              <w:rPr>
                <w:sz w:val="18"/>
                <w:szCs w:val="18"/>
              </w:rPr>
            </w:pPr>
            <w:r w:rsidRPr="00453749">
              <w:rPr>
                <w:sz w:val="18"/>
                <w:szCs w:val="18"/>
              </w:rPr>
              <w:t>0.2%</w:t>
            </w:r>
          </w:p>
        </w:tc>
        <w:tc>
          <w:tcPr>
            <w:tcW w:w="764" w:type="dxa"/>
          </w:tcPr>
          <w:p w14:paraId="4E5BE9C6" w14:textId="77777777" w:rsidR="00462037" w:rsidRPr="00453749" w:rsidRDefault="00462037" w:rsidP="00462037">
            <w:pPr>
              <w:jc w:val="center"/>
              <w:rPr>
                <w:sz w:val="18"/>
                <w:szCs w:val="18"/>
              </w:rPr>
            </w:pPr>
            <w:r w:rsidRPr="00453749">
              <w:rPr>
                <w:sz w:val="18"/>
                <w:szCs w:val="18"/>
              </w:rPr>
              <w:t>100%</w:t>
            </w:r>
          </w:p>
        </w:tc>
      </w:tr>
      <w:tr w:rsidR="00462037" w:rsidRPr="00527C4A" w14:paraId="00388AE5" w14:textId="77777777" w:rsidTr="00462037">
        <w:tc>
          <w:tcPr>
            <w:tcW w:w="2122" w:type="dxa"/>
            <w:vMerge w:val="restart"/>
            <w:vAlign w:val="bottom"/>
          </w:tcPr>
          <w:p w14:paraId="015B9B50" w14:textId="77777777" w:rsidR="00462037" w:rsidRPr="00527C4A" w:rsidRDefault="00462037" w:rsidP="00462037">
            <w:pPr>
              <w:rPr>
                <w:sz w:val="18"/>
                <w:szCs w:val="18"/>
              </w:rPr>
            </w:pPr>
            <w:r w:rsidRPr="00527C4A">
              <w:rPr>
                <w:sz w:val="18"/>
                <w:szCs w:val="18"/>
              </w:rPr>
              <w:t xml:space="preserve">East Riding of Yorkshire </w:t>
            </w:r>
          </w:p>
        </w:tc>
        <w:tc>
          <w:tcPr>
            <w:tcW w:w="992" w:type="dxa"/>
          </w:tcPr>
          <w:p w14:paraId="3261F44D" w14:textId="77777777" w:rsidR="00462037" w:rsidRPr="00453749" w:rsidRDefault="00462037" w:rsidP="00462037">
            <w:pPr>
              <w:jc w:val="center"/>
              <w:rPr>
                <w:sz w:val="18"/>
                <w:szCs w:val="18"/>
              </w:rPr>
            </w:pPr>
            <w:r w:rsidRPr="00453749">
              <w:rPr>
                <w:sz w:val="18"/>
                <w:szCs w:val="18"/>
              </w:rPr>
              <w:t>134314</w:t>
            </w:r>
          </w:p>
        </w:tc>
        <w:tc>
          <w:tcPr>
            <w:tcW w:w="992" w:type="dxa"/>
          </w:tcPr>
          <w:p w14:paraId="72E5F634" w14:textId="77777777" w:rsidR="00462037" w:rsidRPr="00453749" w:rsidRDefault="00462037" w:rsidP="00462037">
            <w:pPr>
              <w:jc w:val="center"/>
              <w:rPr>
                <w:sz w:val="18"/>
                <w:szCs w:val="18"/>
              </w:rPr>
            </w:pPr>
            <w:r w:rsidRPr="00453749">
              <w:rPr>
                <w:sz w:val="18"/>
                <w:szCs w:val="18"/>
              </w:rPr>
              <w:t>937</w:t>
            </w:r>
          </w:p>
        </w:tc>
        <w:tc>
          <w:tcPr>
            <w:tcW w:w="1276" w:type="dxa"/>
          </w:tcPr>
          <w:p w14:paraId="7B231220" w14:textId="77777777" w:rsidR="00462037" w:rsidRPr="00453749" w:rsidRDefault="00462037" w:rsidP="00462037">
            <w:pPr>
              <w:jc w:val="center"/>
              <w:rPr>
                <w:sz w:val="18"/>
                <w:szCs w:val="18"/>
              </w:rPr>
            </w:pPr>
            <w:r w:rsidRPr="00453749">
              <w:rPr>
                <w:sz w:val="18"/>
                <w:szCs w:val="18"/>
              </w:rPr>
              <w:t>789</w:t>
            </w:r>
          </w:p>
        </w:tc>
        <w:tc>
          <w:tcPr>
            <w:tcW w:w="2126" w:type="dxa"/>
          </w:tcPr>
          <w:p w14:paraId="0B7B4725" w14:textId="77777777" w:rsidR="00462037" w:rsidRPr="00453749" w:rsidRDefault="00462037" w:rsidP="00462037">
            <w:pPr>
              <w:jc w:val="center"/>
              <w:rPr>
                <w:sz w:val="18"/>
                <w:szCs w:val="18"/>
              </w:rPr>
            </w:pPr>
            <w:r w:rsidRPr="00453749">
              <w:rPr>
                <w:sz w:val="18"/>
                <w:szCs w:val="18"/>
              </w:rPr>
              <w:t>264</w:t>
            </w:r>
          </w:p>
        </w:tc>
        <w:tc>
          <w:tcPr>
            <w:tcW w:w="744" w:type="dxa"/>
          </w:tcPr>
          <w:p w14:paraId="1365111D" w14:textId="77777777" w:rsidR="00462037" w:rsidRPr="00453749" w:rsidRDefault="00462037" w:rsidP="00462037">
            <w:pPr>
              <w:jc w:val="center"/>
              <w:rPr>
                <w:sz w:val="18"/>
                <w:szCs w:val="18"/>
              </w:rPr>
            </w:pPr>
            <w:r w:rsidRPr="00453749">
              <w:rPr>
                <w:sz w:val="18"/>
                <w:szCs w:val="18"/>
              </w:rPr>
              <w:t>97</w:t>
            </w:r>
          </w:p>
        </w:tc>
        <w:tc>
          <w:tcPr>
            <w:tcW w:w="764" w:type="dxa"/>
          </w:tcPr>
          <w:p w14:paraId="274E41A1" w14:textId="77777777" w:rsidR="00462037" w:rsidRPr="00453749" w:rsidRDefault="00462037" w:rsidP="00462037">
            <w:pPr>
              <w:jc w:val="center"/>
              <w:rPr>
                <w:sz w:val="18"/>
                <w:szCs w:val="18"/>
              </w:rPr>
            </w:pPr>
            <w:r w:rsidRPr="00453749">
              <w:rPr>
                <w:sz w:val="18"/>
                <w:szCs w:val="18"/>
              </w:rPr>
              <w:t>136401</w:t>
            </w:r>
          </w:p>
        </w:tc>
      </w:tr>
      <w:tr w:rsidR="00462037" w:rsidRPr="00527C4A" w14:paraId="0988A0F8" w14:textId="77777777" w:rsidTr="00462037">
        <w:tc>
          <w:tcPr>
            <w:tcW w:w="2122" w:type="dxa"/>
            <w:vMerge/>
          </w:tcPr>
          <w:p w14:paraId="143518A9" w14:textId="77777777" w:rsidR="00462037" w:rsidRPr="00527C4A" w:rsidRDefault="00462037" w:rsidP="00462037">
            <w:pPr>
              <w:rPr>
                <w:sz w:val="18"/>
                <w:szCs w:val="18"/>
              </w:rPr>
            </w:pPr>
          </w:p>
        </w:tc>
        <w:tc>
          <w:tcPr>
            <w:tcW w:w="992" w:type="dxa"/>
          </w:tcPr>
          <w:p w14:paraId="53FFB7FA" w14:textId="77777777" w:rsidR="00462037" w:rsidRPr="00453749" w:rsidRDefault="00462037" w:rsidP="00462037">
            <w:pPr>
              <w:jc w:val="center"/>
              <w:rPr>
                <w:sz w:val="18"/>
                <w:szCs w:val="18"/>
              </w:rPr>
            </w:pPr>
            <w:r w:rsidRPr="00453749">
              <w:rPr>
                <w:sz w:val="18"/>
                <w:szCs w:val="18"/>
              </w:rPr>
              <w:t>98%</w:t>
            </w:r>
          </w:p>
        </w:tc>
        <w:tc>
          <w:tcPr>
            <w:tcW w:w="992" w:type="dxa"/>
          </w:tcPr>
          <w:p w14:paraId="1441DCF4" w14:textId="77777777" w:rsidR="00462037" w:rsidRPr="00453749" w:rsidRDefault="00462037" w:rsidP="00462037">
            <w:pPr>
              <w:jc w:val="center"/>
              <w:rPr>
                <w:sz w:val="18"/>
                <w:szCs w:val="18"/>
              </w:rPr>
            </w:pPr>
            <w:r w:rsidRPr="00453749">
              <w:rPr>
                <w:sz w:val="18"/>
                <w:szCs w:val="18"/>
              </w:rPr>
              <w:t>1%</w:t>
            </w:r>
          </w:p>
        </w:tc>
        <w:tc>
          <w:tcPr>
            <w:tcW w:w="1276" w:type="dxa"/>
          </w:tcPr>
          <w:p w14:paraId="3DC62E3E" w14:textId="77777777" w:rsidR="00462037" w:rsidRPr="00453749" w:rsidRDefault="00462037" w:rsidP="00462037">
            <w:pPr>
              <w:jc w:val="center"/>
              <w:rPr>
                <w:sz w:val="18"/>
                <w:szCs w:val="18"/>
              </w:rPr>
            </w:pPr>
            <w:r w:rsidRPr="00453749">
              <w:rPr>
                <w:sz w:val="18"/>
                <w:szCs w:val="18"/>
              </w:rPr>
              <w:t>1%</w:t>
            </w:r>
          </w:p>
        </w:tc>
        <w:tc>
          <w:tcPr>
            <w:tcW w:w="2126" w:type="dxa"/>
          </w:tcPr>
          <w:p w14:paraId="76E8E3CD" w14:textId="77777777" w:rsidR="00462037" w:rsidRPr="00453749" w:rsidRDefault="00462037" w:rsidP="00462037">
            <w:pPr>
              <w:jc w:val="center"/>
              <w:rPr>
                <w:sz w:val="18"/>
                <w:szCs w:val="18"/>
              </w:rPr>
            </w:pPr>
            <w:r w:rsidRPr="00453749">
              <w:rPr>
                <w:sz w:val="18"/>
                <w:szCs w:val="18"/>
              </w:rPr>
              <w:t>0.2%</w:t>
            </w:r>
          </w:p>
        </w:tc>
        <w:tc>
          <w:tcPr>
            <w:tcW w:w="744" w:type="dxa"/>
          </w:tcPr>
          <w:p w14:paraId="5F782329" w14:textId="77777777" w:rsidR="00462037" w:rsidRPr="00453749" w:rsidRDefault="00462037" w:rsidP="00462037">
            <w:pPr>
              <w:jc w:val="center"/>
              <w:rPr>
                <w:sz w:val="18"/>
                <w:szCs w:val="18"/>
              </w:rPr>
            </w:pPr>
            <w:r w:rsidRPr="00453749">
              <w:rPr>
                <w:sz w:val="18"/>
                <w:szCs w:val="18"/>
              </w:rPr>
              <w:t>0.1%</w:t>
            </w:r>
          </w:p>
        </w:tc>
        <w:tc>
          <w:tcPr>
            <w:tcW w:w="764" w:type="dxa"/>
          </w:tcPr>
          <w:p w14:paraId="1EE9C71F" w14:textId="77777777" w:rsidR="00462037" w:rsidRPr="00453749" w:rsidRDefault="00462037" w:rsidP="00462037">
            <w:pPr>
              <w:jc w:val="center"/>
              <w:rPr>
                <w:sz w:val="18"/>
                <w:szCs w:val="18"/>
              </w:rPr>
            </w:pPr>
            <w:r w:rsidRPr="00453749">
              <w:rPr>
                <w:sz w:val="18"/>
                <w:szCs w:val="18"/>
              </w:rPr>
              <w:t>100%</w:t>
            </w:r>
          </w:p>
        </w:tc>
      </w:tr>
      <w:tr w:rsidR="00462037" w:rsidRPr="00527C4A" w14:paraId="6FAF69A9" w14:textId="77777777" w:rsidTr="00462037">
        <w:tc>
          <w:tcPr>
            <w:tcW w:w="2122" w:type="dxa"/>
            <w:vMerge w:val="restart"/>
            <w:vAlign w:val="bottom"/>
          </w:tcPr>
          <w:p w14:paraId="5994001E" w14:textId="77777777" w:rsidR="00462037" w:rsidRPr="00527C4A" w:rsidRDefault="00462037" w:rsidP="00462037">
            <w:pPr>
              <w:rPr>
                <w:sz w:val="18"/>
                <w:szCs w:val="18"/>
              </w:rPr>
            </w:pPr>
            <w:r w:rsidRPr="00527C4A">
              <w:rPr>
                <w:sz w:val="18"/>
                <w:szCs w:val="18"/>
              </w:rPr>
              <w:t xml:space="preserve">Lincolnshire West </w:t>
            </w:r>
          </w:p>
        </w:tc>
        <w:tc>
          <w:tcPr>
            <w:tcW w:w="992" w:type="dxa"/>
          </w:tcPr>
          <w:p w14:paraId="1DD55751" w14:textId="77777777" w:rsidR="00462037" w:rsidRPr="00453749" w:rsidRDefault="00462037" w:rsidP="00462037">
            <w:pPr>
              <w:jc w:val="center"/>
              <w:rPr>
                <w:sz w:val="18"/>
                <w:szCs w:val="18"/>
              </w:rPr>
            </w:pPr>
            <w:r w:rsidRPr="00453749">
              <w:rPr>
                <w:sz w:val="18"/>
                <w:szCs w:val="18"/>
              </w:rPr>
              <w:t>87600</w:t>
            </w:r>
          </w:p>
        </w:tc>
        <w:tc>
          <w:tcPr>
            <w:tcW w:w="992" w:type="dxa"/>
          </w:tcPr>
          <w:p w14:paraId="1C837ECB" w14:textId="77777777" w:rsidR="00462037" w:rsidRPr="00453749" w:rsidRDefault="00462037" w:rsidP="00462037">
            <w:pPr>
              <w:jc w:val="center"/>
              <w:rPr>
                <w:sz w:val="18"/>
                <w:szCs w:val="18"/>
              </w:rPr>
            </w:pPr>
            <w:r w:rsidRPr="00453749">
              <w:rPr>
                <w:sz w:val="18"/>
                <w:szCs w:val="18"/>
              </w:rPr>
              <w:t>630</w:t>
            </w:r>
          </w:p>
        </w:tc>
        <w:tc>
          <w:tcPr>
            <w:tcW w:w="1276" w:type="dxa"/>
          </w:tcPr>
          <w:p w14:paraId="7BA3E658" w14:textId="77777777" w:rsidR="00462037" w:rsidRPr="00453749" w:rsidRDefault="00462037" w:rsidP="00462037">
            <w:pPr>
              <w:jc w:val="center"/>
              <w:rPr>
                <w:sz w:val="18"/>
                <w:szCs w:val="18"/>
              </w:rPr>
            </w:pPr>
            <w:r w:rsidRPr="00453749">
              <w:rPr>
                <w:sz w:val="18"/>
                <w:szCs w:val="18"/>
              </w:rPr>
              <w:t>728</w:t>
            </w:r>
          </w:p>
        </w:tc>
        <w:tc>
          <w:tcPr>
            <w:tcW w:w="2126" w:type="dxa"/>
          </w:tcPr>
          <w:p w14:paraId="59C8AB70" w14:textId="77777777" w:rsidR="00462037" w:rsidRPr="00453749" w:rsidRDefault="00462037" w:rsidP="00462037">
            <w:pPr>
              <w:jc w:val="center"/>
              <w:rPr>
                <w:sz w:val="18"/>
                <w:szCs w:val="18"/>
              </w:rPr>
            </w:pPr>
            <w:r w:rsidRPr="00453749">
              <w:rPr>
                <w:sz w:val="18"/>
                <w:szCs w:val="18"/>
              </w:rPr>
              <w:t>224</w:t>
            </w:r>
          </w:p>
        </w:tc>
        <w:tc>
          <w:tcPr>
            <w:tcW w:w="744" w:type="dxa"/>
          </w:tcPr>
          <w:p w14:paraId="0265D011" w14:textId="77777777" w:rsidR="00462037" w:rsidRPr="00453749" w:rsidRDefault="00462037" w:rsidP="00462037">
            <w:pPr>
              <w:jc w:val="center"/>
              <w:rPr>
                <w:sz w:val="18"/>
                <w:szCs w:val="18"/>
              </w:rPr>
            </w:pPr>
            <w:r w:rsidRPr="00453749">
              <w:rPr>
                <w:sz w:val="18"/>
                <w:szCs w:val="18"/>
              </w:rPr>
              <w:t>68</w:t>
            </w:r>
          </w:p>
        </w:tc>
        <w:tc>
          <w:tcPr>
            <w:tcW w:w="764" w:type="dxa"/>
          </w:tcPr>
          <w:p w14:paraId="16EBD0A1" w14:textId="77777777" w:rsidR="00462037" w:rsidRPr="00453749" w:rsidRDefault="00462037" w:rsidP="00462037">
            <w:pPr>
              <w:jc w:val="center"/>
              <w:rPr>
                <w:sz w:val="18"/>
                <w:szCs w:val="18"/>
              </w:rPr>
            </w:pPr>
            <w:r w:rsidRPr="00453749">
              <w:rPr>
                <w:sz w:val="18"/>
                <w:szCs w:val="18"/>
              </w:rPr>
              <w:t>89250</w:t>
            </w:r>
          </w:p>
        </w:tc>
      </w:tr>
      <w:tr w:rsidR="00462037" w:rsidRPr="00527C4A" w14:paraId="0C0562F3" w14:textId="77777777" w:rsidTr="00462037">
        <w:tc>
          <w:tcPr>
            <w:tcW w:w="2122" w:type="dxa"/>
            <w:vMerge/>
          </w:tcPr>
          <w:p w14:paraId="37755994" w14:textId="77777777" w:rsidR="00462037" w:rsidRPr="00527C4A" w:rsidRDefault="00462037" w:rsidP="00462037">
            <w:pPr>
              <w:rPr>
                <w:sz w:val="18"/>
                <w:szCs w:val="18"/>
              </w:rPr>
            </w:pPr>
          </w:p>
        </w:tc>
        <w:tc>
          <w:tcPr>
            <w:tcW w:w="992" w:type="dxa"/>
          </w:tcPr>
          <w:p w14:paraId="2BFA4CDF" w14:textId="77777777" w:rsidR="00462037" w:rsidRPr="00453749" w:rsidRDefault="00462037" w:rsidP="00462037">
            <w:pPr>
              <w:jc w:val="center"/>
              <w:rPr>
                <w:sz w:val="18"/>
                <w:szCs w:val="18"/>
              </w:rPr>
            </w:pPr>
            <w:r w:rsidRPr="00453749">
              <w:rPr>
                <w:sz w:val="18"/>
                <w:szCs w:val="18"/>
              </w:rPr>
              <w:t>98%</w:t>
            </w:r>
          </w:p>
        </w:tc>
        <w:tc>
          <w:tcPr>
            <w:tcW w:w="992" w:type="dxa"/>
          </w:tcPr>
          <w:p w14:paraId="3C63D324" w14:textId="77777777" w:rsidR="00462037" w:rsidRPr="00453749" w:rsidRDefault="00462037" w:rsidP="00462037">
            <w:pPr>
              <w:jc w:val="center"/>
              <w:rPr>
                <w:sz w:val="18"/>
                <w:szCs w:val="18"/>
              </w:rPr>
            </w:pPr>
            <w:r w:rsidRPr="00453749">
              <w:rPr>
                <w:sz w:val="18"/>
                <w:szCs w:val="18"/>
              </w:rPr>
              <w:t>1%</w:t>
            </w:r>
          </w:p>
        </w:tc>
        <w:tc>
          <w:tcPr>
            <w:tcW w:w="1276" w:type="dxa"/>
          </w:tcPr>
          <w:p w14:paraId="5CA7D488" w14:textId="77777777" w:rsidR="00462037" w:rsidRPr="00453749" w:rsidRDefault="00462037" w:rsidP="00462037">
            <w:pPr>
              <w:jc w:val="center"/>
              <w:rPr>
                <w:sz w:val="18"/>
                <w:szCs w:val="18"/>
              </w:rPr>
            </w:pPr>
            <w:r w:rsidRPr="00453749">
              <w:rPr>
                <w:sz w:val="18"/>
                <w:szCs w:val="18"/>
              </w:rPr>
              <w:t>1%</w:t>
            </w:r>
          </w:p>
        </w:tc>
        <w:tc>
          <w:tcPr>
            <w:tcW w:w="2126" w:type="dxa"/>
          </w:tcPr>
          <w:p w14:paraId="2D91580C" w14:textId="77777777" w:rsidR="00462037" w:rsidRPr="00453749" w:rsidRDefault="00462037" w:rsidP="00462037">
            <w:pPr>
              <w:jc w:val="center"/>
              <w:rPr>
                <w:sz w:val="18"/>
                <w:szCs w:val="18"/>
              </w:rPr>
            </w:pPr>
            <w:r w:rsidRPr="00453749">
              <w:rPr>
                <w:sz w:val="18"/>
                <w:szCs w:val="18"/>
              </w:rPr>
              <w:t>0.3%</w:t>
            </w:r>
          </w:p>
        </w:tc>
        <w:tc>
          <w:tcPr>
            <w:tcW w:w="744" w:type="dxa"/>
          </w:tcPr>
          <w:p w14:paraId="3BEB9AC1" w14:textId="77777777" w:rsidR="00462037" w:rsidRPr="00453749" w:rsidRDefault="00462037" w:rsidP="00462037">
            <w:pPr>
              <w:jc w:val="center"/>
              <w:rPr>
                <w:sz w:val="18"/>
                <w:szCs w:val="18"/>
              </w:rPr>
            </w:pPr>
            <w:r w:rsidRPr="00453749">
              <w:rPr>
                <w:sz w:val="18"/>
                <w:szCs w:val="18"/>
              </w:rPr>
              <w:t>0.1%</w:t>
            </w:r>
          </w:p>
        </w:tc>
        <w:tc>
          <w:tcPr>
            <w:tcW w:w="764" w:type="dxa"/>
          </w:tcPr>
          <w:p w14:paraId="589CA226" w14:textId="77777777" w:rsidR="00462037" w:rsidRPr="00453749" w:rsidRDefault="00462037" w:rsidP="00462037">
            <w:pPr>
              <w:jc w:val="center"/>
              <w:rPr>
                <w:sz w:val="18"/>
                <w:szCs w:val="18"/>
              </w:rPr>
            </w:pPr>
            <w:r w:rsidRPr="00453749">
              <w:rPr>
                <w:sz w:val="18"/>
                <w:szCs w:val="18"/>
              </w:rPr>
              <w:t>100%</w:t>
            </w:r>
          </w:p>
        </w:tc>
      </w:tr>
    </w:tbl>
    <w:p w14:paraId="45B1C145" w14:textId="77777777" w:rsidR="00462037" w:rsidRPr="00527C4A" w:rsidRDefault="00462037" w:rsidP="00462037">
      <w:pPr>
        <w:rPr>
          <w:sz w:val="16"/>
          <w:szCs w:val="16"/>
        </w:rPr>
      </w:pPr>
      <w:r w:rsidRPr="00527C4A">
        <w:rPr>
          <w:sz w:val="16"/>
          <w:szCs w:val="16"/>
        </w:rPr>
        <w:t xml:space="preserve">Source: Office for National Statistics (ONS) mid-2011 Census based population estimates for Clinical Commissioning Groups. </w:t>
      </w:r>
    </w:p>
    <w:p w14:paraId="4F50485C" w14:textId="0DABDCD7" w:rsidR="00462037" w:rsidRDefault="00462037" w:rsidP="00462037">
      <w:pPr>
        <w:pStyle w:val="Heading4"/>
      </w:pPr>
      <w:r>
        <w:t>Table 5 – Religion / belief distribution of CCG populations 2011</w:t>
      </w:r>
    </w:p>
    <w:tbl>
      <w:tblPr>
        <w:tblStyle w:val="TableGrid"/>
        <w:tblW w:w="9310" w:type="dxa"/>
        <w:tblLayout w:type="fixed"/>
        <w:tblLook w:val="04A0" w:firstRow="1" w:lastRow="0" w:firstColumn="1" w:lastColumn="0" w:noHBand="0" w:noVBand="1"/>
      </w:tblPr>
      <w:tblGrid>
        <w:gridCol w:w="1413"/>
        <w:gridCol w:w="709"/>
        <w:gridCol w:w="954"/>
        <w:gridCol w:w="954"/>
        <w:gridCol w:w="743"/>
        <w:gridCol w:w="709"/>
        <w:gridCol w:w="851"/>
        <w:gridCol w:w="709"/>
        <w:gridCol w:w="709"/>
        <w:gridCol w:w="708"/>
        <w:gridCol w:w="851"/>
      </w:tblGrid>
      <w:tr w:rsidR="00462037" w:rsidRPr="00527C4A" w14:paraId="36BDFFCD" w14:textId="77777777" w:rsidTr="00462037">
        <w:tc>
          <w:tcPr>
            <w:tcW w:w="1413" w:type="dxa"/>
            <w:vMerge w:val="restart"/>
            <w:shd w:val="clear" w:color="auto" w:fill="767171" w:themeFill="background2" w:themeFillShade="80"/>
          </w:tcPr>
          <w:p w14:paraId="55F4D886" w14:textId="77777777" w:rsidR="00462037" w:rsidRPr="00527C4A" w:rsidRDefault="00462037" w:rsidP="00462037">
            <w:pPr>
              <w:jc w:val="center"/>
              <w:rPr>
                <w:color w:val="FFFFFF" w:themeColor="background1"/>
                <w:sz w:val="18"/>
                <w:szCs w:val="18"/>
              </w:rPr>
            </w:pPr>
            <w:r w:rsidRPr="00527C4A">
              <w:rPr>
                <w:color w:val="FFFFFF" w:themeColor="background1"/>
                <w:sz w:val="18"/>
                <w:szCs w:val="18"/>
              </w:rPr>
              <w:t>CCG</w:t>
            </w:r>
          </w:p>
        </w:tc>
        <w:tc>
          <w:tcPr>
            <w:tcW w:w="7046" w:type="dxa"/>
            <w:gridSpan w:val="9"/>
            <w:shd w:val="clear" w:color="auto" w:fill="767171" w:themeFill="background2" w:themeFillShade="80"/>
          </w:tcPr>
          <w:p w14:paraId="2D23641F" w14:textId="77777777" w:rsidR="00462037" w:rsidRPr="00527C4A" w:rsidRDefault="00462037" w:rsidP="00462037">
            <w:pPr>
              <w:jc w:val="center"/>
              <w:rPr>
                <w:color w:val="FFFFFF" w:themeColor="background1"/>
                <w:sz w:val="18"/>
                <w:szCs w:val="18"/>
              </w:rPr>
            </w:pPr>
            <w:r>
              <w:rPr>
                <w:color w:val="FFFFFF" w:themeColor="background1"/>
                <w:sz w:val="18"/>
                <w:szCs w:val="18"/>
              </w:rPr>
              <w:t>Religion</w:t>
            </w:r>
          </w:p>
        </w:tc>
        <w:tc>
          <w:tcPr>
            <w:tcW w:w="851" w:type="dxa"/>
            <w:shd w:val="clear" w:color="auto" w:fill="767171" w:themeFill="background2" w:themeFillShade="80"/>
          </w:tcPr>
          <w:p w14:paraId="41C4D220" w14:textId="77777777" w:rsidR="00462037" w:rsidRPr="00527C4A" w:rsidRDefault="00462037" w:rsidP="00462037">
            <w:pPr>
              <w:jc w:val="center"/>
              <w:rPr>
                <w:color w:val="FFFFFF" w:themeColor="background1"/>
                <w:sz w:val="18"/>
                <w:szCs w:val="18"/>
              </w:rPr>
            </w:pPr>
          </w:p>
        </w:tc>
      </w:tr>
      <w:tr w:rsidR="00462037" w:rsidRPr="00527C4A" w14:paraId="3A717492" w14:textId="77777777" w:rsidTr="00462037">
        <w:tc>
          <w:tcPr>
            <w:tcW w:w="1413" w:type="dxa"/>
            <w:vMerge/>
            <w:shd w:val="clear" w:color="auto" w:fill="767171" w:themeFill="background2" w:themeFillShade="80"/>
          </w:tcPr>
          <w:p w14:paraId="320B1DB6" w14:textId="77777777" w:rsidR="00462037" w:rsidRPr="00527C4A" w:rsidRDefault="00462037" w:rsidP="00462037">
            <w:pPr>
              <w:rPr>
                <w:color w:val="FFFFFF" w:themeColor="background1"/>
                <w:sz w:val="18"/>
                <w:szCs w:val="18"/>
              </w:rPr>
            </w:pPr>
          </w:p>
        </w:tc>
        <w:tc>
          <w:tcPr>
            <w:tcW w:w="709" w:type="dxa"/>
            <w:shd w:val="clear" w:color="auto" w:fill="767171" w:themeFill="background2" w:themeFillShade="80"/>
          </w:tcPr>
          <w:p w14:paraId="6F7F9878" w14:textId="77777777" w:rsidR="00462037" w:rsidRPr="00453749" w:rsidRDefault="00462037" w:rsidP="00462037">
            <w:pPr>
              <w:jc w:val="center"/>
              <w:rPr>
                <w:color w:val="FFFFFF" w:themeColor="background1"/>
                <w:sz w:val="18"/>
                <w:szCs w:val="18"/>
              </w:rPr>
            </w:pPr>
            <w:r>
              <w:rPr>
                <w:color w:val="FFFFFF" w:themeColor="background1"/>
                <w:sz w:val="18"/>
                <w:szCs w:val="18"/>
              </w:rPr>
              <w:t>None</w:t>
            </w:r>
          </w:p>
        </w:tc>
        <w:tc>
          <w:tcPr>
            <w:tcW w:w="954" w:type="dxa"/>
            <w:shd w:val="clear" w:color="auto" w:fill="767171" w:themeFill="background2" w:themeFillShade="80"/>
          </w:tcPr>
          <w:p w14:paraId="0D092D22" w14:textId="77777777" w:rsidR="00462037" w:rsidRPr="00453749" w:rsidRDefault="00462037" w:rsidP="00462037">
            <w:pPr>
              <w:jc w:val="center"/>
              <w:rPr>
                <w:color w:val="FFFFFF" w:themeColor="background1"/>
                <w:sz w:val="18"/>
                <w:szCs w:val="18"/>
              </w:rPr>
            </w:pPr>
            <w:r>
              <w:rPr>
                <w:color w:val="FFFFFF" w:themeColor="background1"/>
                <w:sz w:val="18"/>
                <w:szCs w:val="18"/>
              </w:rPr>
              <w:t>Christian</w:t>
            </w:r>
          </w:p>
        </w:tc>
        <w:tc>
          <w:tcPr>
            <w:tcW w:w="954" w:type="dxa"/>
            <w:shd w:val="clear" w:color="auto" w:fill="767171" w:themeFill="background2" w:themeFillShade="80"/>
          </w:tcPr>
          <w:p w14:paraId="34151671" w14:textId="77777777" w:rsidR="00462037" w:rsidRPr="00453749" w:rsidRDefault="00462037" w:rsidP="00462037">
            <w:pPr>
              <w:jc w:val="center"/>
              <w:rPr>
                <w:color w:val="FFFFFF" w:themeColor="background1"/>
                <w:sz w:val="18"/>
                <w:szCs w:val="18"/>
              </w:rPr>
            </w:pPr>
            <w:r>
              <w:rPr>
                <w:color w:val="FFFFFF" w:themeColor="background1"/>
                <w:sz w:val="18"/>
                <w:szCs w:val="18"/>
              </w:rPr>
              <w:t>Buddhist</w:t>
            </w:r>
          </w:p>
        </w:tc>
        <w:tc>
          <w:tcPr>
            <w:tcW w:w="743" w:type="dxa"/>
            <w:shd w:val="clear" w:color="auto" w:fill="767171" w:themeFill="background2" w:themeFillShade="80"/>
          </w:tcPr>
          <w:p w14:paraId="280AC385" w14:textId="77777777" w:rsidR="00462037" w:rsidRPr="00453749" w:rsidRDefault="00462037" w:rsidP="00462037">
            <w:pPr>
              <w:jc w:val="center"/>
              <w:rPr>
                <w:color w:val="FFFFFF" w:themeColor="background1"/>
                <w:sz w:val="18"/>
                <w:szCs w:val="18"/>
              </w:rPr>
            </w:pPr>
            <w:r>
              <w:rPr>
                <w:color w:val="FFFFFF" w:themeColor="background1"/>
                <w:sz w:val="18"/>
                <w:szCs w:val="18"/>
              </w:rPr>
              <w:t>Hindu</w:t>
            </w:r>
          </w:p>
        </w:tc>
        <w:tc>
          <w:tcPr>
            <w:tcW w:w="709" w:type="dxa"/>
            <w:shd w:val="clear" w:color="auto" w:fill="767171" w:themeFill="background2" w:themeFillShade="80"/>
          </w:tcPr>
          <w:p w14:paraId="3FFB9052" w14:textId="77777777" w:rsidR="00462037" w:rsidRPr="00453749" w:rsidRDefault="00462037" w:rsidP="00462037">
            <w:pPr>
              <w:jc w:val="center"/>
              <w:rPr>
                <w:color w:val="FFFFFF" w:themeColor="background1"/>
                <w:sz w:val="18"/>
                <w:szCs w:val="18"/>
              </w:rPr>
            </w:pPr>
            <w:r>
              <w:rPr>
                <w:color w:val="FFFFFF" w:themeColor="background1"/>
                <w:sz w:val="18"/>
                <w:szCs w:val="18"/>
              </w:rPr>
              <w:t>Jewish</w:t>
            </w:r>
          </w:p>
        </w:tc>
        <w:tc>
          <w:tcPr>
            <w:tcW w:w="851" w:type="dxa"/>
            <w:shd w:val="clear" w:color="auto" w:fill="767171" w:themeFill="background2" w:themeFillShade="80"/>
          </w:tcPr>
          <w:p w14:paraId="30DC6CD0" w14:textId="77777777" w:rsidR="00462037" w:rsidRPr="00453749" w:rsidRDefault="00462037" w:rsidP="00462037">
            <w:pPr>
              <w:jc w:val="center"/>
              <w:rPr>
                <w:color w:val="FFFFFF" w:themeColor="background1"/>
                <w:sz w:val="18"/>
                <w:szCs w:val="18"/>
              </w:rPr>
            </w:pPr>
            <w:r>
              <w:rPr>
                <w:color w:val="FFFFFF" w:themeColor="background1"/>
                <w:sz w:val="18"/>
                <w:szCs w:val="18"/>
              </w:rPr>
              <w:t>Muslim</w:t>
            </w:r>
          </w:p>
        </w:tc>
        <w:tc>
          <w:tcPr>
            <w:tcW w:w="709" w:type="dxa"/>
            <w:shd w:val="clear" w:color="auto" w:fill="767171" w:themeFill="background2" w:themeFillShade="80"/>
          </w:tcPr>
          <w:p w14:paraId="134724EF" w14:textId="77777777" w:rsidR="00462037" w:rsidRPr="00527C4A" w:rsidRDefault="00462037" w:rsidP="00462037">
            <w:pPr>
              <w:jc w:val="center"/>
              <w:rPr>
                <w:color w:val="FFFFFF" w:themeColor="background1"/>
                <w:sz w:val="18"/>
                <w:szCs w:val="18"/>
              </w:rPr>
            </w:pPr>
            <w:r>
              <w:rPr>
                <w:color w:val="FFFFFF" w:themeColor="background1"/>
                <w:sz w:val="18"/>
                <w:szCs w:val="18"/>
              </w:rPr>
              <w:t>Sikh</w:t>
            </w:r>
          </w:p>
        </w:tc>
        <w:tc>
          <w:tcPr>
            <w:tcW w:w="709" w:type="dxa"/>
            <w:shd w:val="clear" w:color="auto" w:fill="767171" w:themeFill="background2" w:themeFillShade="80"/>
          </w:tcPr>
          <w:p w14:paraId="2B608F3C" w14:textId="77777777" w:rsidR="00462037" w:rsidRPr="00527C4A" w:rsidRDefault="00462037" w:rsidP="00462037">
            <w:pPr>
              <w:jc w:val="center"/>
              <w:rPr>
                <w:color w:val="FFFFFF" w:themeColor="background1"/>
                <w:sz w:val="18"/>
                <w:szCs w:val="18"/>
              </w:rPr>
            </w:pPr>
            <w:r>
              <w:rPr>
                <w:color w:val="FFFFFF" w:themeColor="background1"/>
                <w:sz w:val="18"/>
                <w:szCs w:val="18"/>
              </w:rPr>
              <w:t>Other</w:t>
            </w:r>
          </w:p>
        </w:tc>
        <w:tc>
          <w:tcPr>
            <w:tcW w:w="708" w:type="dxa"/>
            <w:shd w:val="clear" w:color="auto" w:fill="767171" w:themeFill="background2" w:themeFillShade="80"/>
          </w:tcPr>
          <w:p w14:paraId="3263C34B" w14:textId="77777777" w:rsidR="00462037" w:rsidRDefault="00462037" w:rsidP="00462037">
            <w:pPr>
              <w:jc w:val="center"/>
              <w:rPr>
                <w:color w:val="FFFFFF" w:themeColor="background1"/>
                <w:sz w:val="18"/>
                <w:szCs w:val="18"/>
              </w:rPr>
            </w:pPr>
            <w:r>
              <w:rPr>
                <w:color w:val="FFFFFF" w:themeColor="background1"/>
                <w:sz w:val="18"/>
                <w:szCs w:val="18"/>
              </w:rPr>
              <w:t>Not stated</w:t>
            </w:r>
          </w:p>
        </w:tc>
        <w:tc>
          <w:tcPr>
            <w:tcW w:w="851" w:type="dxa"/>
            <w:shd w:val="clear" w:color="auto" w:fill="767171" w:themeFill="background2" w:themeFillShade="80"/>
          </w:tcPr>
          <w:p w14:paraId="3847ED90" w14:textId="77777777" w:rsidR="00462037" w:rsidRDefault="00462037" w:rsidP="00462037">
            <w:pPr>
              <w:jc w:val="center"/>
              <w:rPr>
                <w:color w:val="FFFFFF" w:themeColor="background1"/>
                <w:sz w:val="18"/>
                <w:szCs w:val="18"/>
              </w:rPr>
            </w:pPr>
            <w:r>
              <w:rPr>
                <w:color w:val="FFFFFF" w:themeColor="background1"/>
                <w:sz w:val="18"/>
                <w:szCs w:val="18"/>
              </w:rPr>
              <w:t>Total</w:t>
            </w:r>
          </w:p>
        </w:tc>
      </w:tr>
      <w:tr w:rsidR="00462037" w:rsidRPr="00527C4A" w14:paraId="72E87094" w14:textId="77777777" w:rsidTr="00462037">
        <w:tc>
          <w:tcPr>
            <w:tcW w:w="1413" w:type="dxa"/>
            <w:vMerge w:val="restart"/>
            <w:vAlign w:val="bottom"/>
          </w:tcPr>
          <w:p w14:paraId="2D91D4EA" w14:textId="77777777" w:rsidR="00462037" w:rsidRPr="00527C4A" w:rsidRDefault="00462037" w:rsidP="00462037">
            <w:pPr>
              <w:rPr>
                <w:sz w:val="18"/>
                <w:szCs w:val="18"/>
              </w:rPr>
            </w:pPr>
            <w:r w:rsidRPr="00527C4A">
              <w:rPr>
                <w:sz w:val="18"/>
                <w:szCs w:val="18"/>
              </w:rPr>
              <w:t xml:space="preserve">North Lincolnshire </w:t>
            </w:r>
          </w:p>
        </w:tc>
        <w:tc>
          <w:tcPr>
            <w:tcW w:w="709" w:type="dxa"/>
          </w:tcPr>
          <w:p w14:paraId="4EA1E09C" w14:textId="77777777" w:rsidR="00462037" w:rsidRPr="00453749" w:rsidRDefault="00462037" w:rsidP="00462037">
            <w:pPr>
              <w:jc w:val="center"/>
              <w:rPr>
                <w:sz w:val="18"/>
                <w:szCs w:val="18"/>
              </w:rPr>
            </w:pPr>
            <w:r w:rsidRPr="00453749">
              <w:rPr>
                <w:sz w:val="18"/>
                <w:szCs w:val="18"/>
              </w:rPr>
              <w:t>40176</w:t>
            </w:r>
          </w:p>
        </w:tc>
        <w:tc>
          <w:tcPr>
            <w:tcW w:w="954" w:type="dxa"/>
          </w:tcPr>
          <w:p w14:paraId="3332A514" w14:textId="77777777" w:rsidR="00462037" w:rsidRPr="00453749" w:rsidRDefault="00462037" w:rsidP="00462037">
            <w:pPr>
              <w:jc w:val="center"/>
              <w:rPr>
                <w:sz w:val="18"/>
                <w:szCs w:val="18"/>
              </w:rPr>
            </w:pPr>
            <w:r w:rsidRPr="00453749">
              <w:rPr>
                <w:sz w:val="18"/>
                <w:szCs w:val="18"/>
              </w:rPr>
              <w:t>110554</w:t>
            </w:r>
          </w:p>
        </w:tc>
        <w:tc>
          <w:tcPr>
            <w:tcW w:w="954" w:type="dxa"/>
          </w:tcPr>
          <w:p w14:paraId="38F3B307" w14:textId="77777777" w:rsidR="00462037" w:rsidRPr="00453749" w:rsidRDefault="00462037" w:rsidP="00462037">
            <w:pPr>
              <w:jc w:val="center"/>
              <w:rPr>
                <w:sz w:val="18"/>
                <w:szCs w:val="18"/>
              </w:rPr>
            </w:pPr>
            <w:r w:rsidRPr="00453749">
              <w:rPr>
                <w:sz w:val="18"/>
                <w:szCs w:val="18"/>
              </w:rPr>
              <w:t>381</w:t>
            </w:r>
          </w:p>
        </w:tc>
        <w:tc>
          <w:tcPr>
            <w:tcW w:w="743" w:type="dxa"/>
          </w:tcPr>
          <w:p w14:paraId="7827E74F" w14:textId="77777777" w:rsidR="00462037" w:rsidRPr="00453749" w:rsidRDefault="00462037" w:rsidP="00462037">
            <w:pPr>
              <w:jc w:val="center"/>
              <w:rPr>
                <w:sz w:val="18"/>
                <w:szCs w:val="18"/>
              </w:rPr>
            </w:pPr>
            <w:r w:rsidRPr="00453749">
              <w:rPr>
                <w:sz w:val="18"/>
                <w:szCs w:val="18"/>
              </w:rPr>
              <w:t>445</w:t>
            </w:r>
          </w:p>
        </w:tc>
        <w:tc>
          <w:tcPr>
            <w:tcW w:w="709" w:type="dxa"/>
          </w:tcPr>
          <w:p w14:paraId="2DE1C4C0" w14:textId="77777777" w:rsidR="00462037" w:rsidRPr="00453749" w:rsidRDefault="00462037" w:rsidP="00462037">
            <w:pPr>
              <w:jc w:val="center"/>
              <w:rPr>
                <w:sz w:val="18"/>
                <w:szCs w:val="18"/>
              </w:rPr>
            </w:pPr>
            <w:r w:rsidRPr="00453749">
              <w:rPr>
                <w:sz w:val="18"/>
                <w:szCs w:val="18"/>
              </w:rPr>
              <w:t>48</w:t>
            </w:r>
          </w:p>
        </w:tc>
        <w:tc>
          <w:tcPr>
            <w:tcW w:w="851" w:type="dxa"/>
          </w:tcPr>
          <w:p w14:paraId="4945C7C0" w14:textId="77777777" w:rsidR="00462037" w:rsidRPr="00453749" w:rsidRDefault="00462037" w:rsidP="00462037">
            <w:pPr>
              <w:jc w:val="center"/>
              <w:rPr>
                <w:sz w:val="18"/>
                <w:szCs w:val="18"/>
              </w:rPr>
            </w:pPr>
            <w:r w:rsidRPr="00453749">
              <w:rPr>
                <w:sz w:val="18"/>
                <w:szCs w:val="18"/>
              </w:rPr>
              <w:t>3024</w:t>
            </w:r>
          </w:p>
        </w:tc>
        <w:tc>
          <w:tcPr>
            <w:tcW w:w="709" w:type="dxa"/>
          </w:tcPr>
          <w:p w14:paraId="150CEDF7" w14:textId="77777777" w:rsidR="00462037" w:rsidRPr="00453749" w:rsidRDefault="00462037" w:rsidP="00462037">
            <w:pPr>
              <w:jc w:val="center"/>
              <w:rPr>
                <w:sz w:val="18"/>
                <w:szCs w:val="18"/>
              </w:rPr>
            </w:pPr>
            <w:r w:rsidRPr="00453749">
              <w:rPr>
                <w:sz w:val="18"/>
                <w:szCs w:val="18"/>
              </w:rPr>
              <w:t>538</w:t>
            </w:r>
          </w:p>
        </w:tc>
        <w:tc>
          <w:tcPr>
            <w:tcW w:w="709" w:type="dxa"/>
          </w:tcPr>
          <w:p w14:paraId="2C11CEB6" w14:textId="77777777" w:rsidR="00462037" w:rsidRPr="00453749" w:rsidRDefault="00462037" w:rsidP="00462037">
            <w:pPr>
              <w:jc w:val="center"/>
              <w:rPr>
                <w:sz w:val="18"/>
                <w:szCs w:val="18"/>
              </w:rPr>
            </w:pPr>
            <w:r w:rsidRPr="00453749">
              <w:rPr>
                <w:sz w:val="18"/>
                <w:szCs w:val="18"/>
              </w:rPr>
              <w:t>417</w:t>
            </w:r>
          </w:p>
        </w:tc>
        <w:tc>
          <w:tcPr>
            <w:tcW w:w="708" w:type="dxa"/>
          </w:tcPr>
          <w:p w14:paraId="4233D583" w14:textId="77777777" w:rsidR="00462037" w:rsidRPr="00453749" w:rsidRDefault="00462037" w:rsidP="00462037">
            <w:pPr>
              <w:jc w:val="center"/>
              <w:rPr>
                <w:sz w:val="18"/>
                <w:szCs w:val="18"/>
              </w:rPr>
            </w:pPr>
            <w:r w:rsidRPr="00453749">
              <w:rPr>
                <w:sz w:val="18"/>
                <w:szCs w:val="18"/>
              </w:rPr>
              <w:t>11863</w:t>
            </w:r>
          </w:p>
        </w:tc>
        <w:tc>
          <w:tcPr>
            <w:tcW w:w="851" w:type="dxa"/>
          </w:tcPr>
          <w:p w14:paraId="5992E1AC" w14:textId="77777777" w:rsidR="00462037" w:rsidRPr="00453749" w:rsidRDefault="00462037" w:rsidP="00462037">
            <w:pPr>
              <w:jc w:val="center"/>
              <w:rPr>
                <w:sz w:val="18"/>
                <w:szCs w:val="18"/>
              </w:rPr>
            </w:pPr>
            <w:r w:rsidRPr="00453749">
              <w:rPr>
                <w:sz w:val="18"/>
                <w:szCs w:val="18"/>
              </w:rPr>
              <w:t>167446</w:t>
            </w:r>
          </w:p>
        </w:tc>
      </w:tr>
      <w:tr w:rsidR="00462037" w:rsidRPr="00527C4A" w14:paraId="46CCC2E7" w14:textId="77777777" w:rsidTr="00462037">
        <w:tc>
          <w:tcPr>
            <w:tcW w:w="1413" w:type="dxa"/>
            <w:vMerge/>
            <w:vAlign w:val="bottom"/>
          </w:tcPr>
          <w:p w14:paraId="5A33C996" w14:textId="77777777" w:rsidR="00462037" w:rsidRPr="00527C4A" w:rsidRDefault="00462037" w:rsidP="00462037">
            <w:pPr>
              <w:rPr>
                <w:sz w:val="18"/>
                <w:szCs w:val="18"/>
              </w:rPr>
            </w:pPr>
          </w:p>
        </w:tc>
        <w:tc>
          <w:tcPr>
            <w:tcW w:w="709" w:type="dxa"/>
          </w:tcPr>
          <w:p w14:paraId="0FC96805" w14:textId="77777777" w:rsidR="00462037" w:rsidRPr="00453749" w:rsidRDefault="00462037" w:rsidP="00462037">
            <w:pPr>
              <w:jc w:val="center"/>
              <w:rPr>
                <w:sz w:val="18"/>
                <w:szCs w:val="18"/>
              </w:rPr>
            </w:pPr>
            <w:r w:rsidRPr="00453749">
              <w:rPr>
                <w:sz w:val="18"/>
                <w:szCs w:val="18"/>
              </w:rPr>
              <w:t>24%</w:t>
            </w:r>
          </w:p>
        </w:tc>
        <w:tc>
          <w:tcPr>
            <w:tcW w:w="954" w:type="dxa"/>
          </w:tcPr>
          <w:p w14:paraId="3CA84A34" w14:textId="77777777" w:rsidR="00462037" w:rsidRPr="00453749" w:rsidRDefault="00462037" w:rsidP="00462037">
            <w:pPr>
              <w:jc w:val="center"/>
              <w:rPr>
                <w:sz w:val="18"/>
                <w:szCs w:val="18"/>
              </w:rPr>
            </w:pPr>
            <w:r w:rsidRPr="00453749">
              <w:rPr>
                <w:sz w:val="18"/>
                <w:szCs w:val="18"/>
              </w:rPr>
              <w:t>66%</w:t>
            </w:r>
          </w:p>
        </w:tc>
        <w:tc>
          <w:tcPr>
            <w:tcW w:w="954" w:type="dxa"/>
          </w:tcPr>
          <w:p w14:paraId="1F33842F" w14:textId="77777777" w:rsidR="00462037" w:rsidRPr="00453749" w:rsidRDefault="00462037" w:rsidP="00462037">
            <w:pPr>
              <w:jc w:val="center"/>
              <w:rPr>
                <w:sz w:val="18"/>
                <w:szCs w:val="18"/>
              </w:rPr>
            </w:pPr>
            <w:r w:rsidRPr="00453749">
              <w:rPr>
                <w:sz w:val="18"/>
                <w:szCs w:val="18"/>
              </w:rPr>
              <w:t>0.2%</w:t>
            </w:r>
          </w:p>
        </w:tc>
        <w:tc>
          <w:tcPr>
            <w:tcW w:w="743" w:type="dxa"/>
          </w:tcPr>
          <w:p w14:paraId="1662CA01" w14:textId="77777777" w:rsidR="00462037" w:rsidRPr="00453749" w:rsidRDefault="00462037" w:rsidP="00462037">
            <w:pPr>
              <w:jc w:val="center"/>
              <w:rPr>
                <w:sz w:val="18"/>
                <w:szCs w:val="18"/>
              </w:rPr>
            </w:pPr>
            <w:r w:rsidRPr="00453749">
              <w:rPr>
                <w:sz w:val="18"/>
                <w:szCs w:val="18"/>
              </w:rPr>
              <w:t>0.3%</w:t>
            </w:r>
          </w:p>
        </w:tc>
        <w:tc>
          <w:tcPr>
            <w:tcW w:w="709" w:type="dxa"/>
          </w:tcPr>
          <w:p w14:paraId="66EC546A" w14:textId="77777777" w:rsidR="00462037" w:rsidRPr="00453749" w:rsidRDefault="00462037" w:rsidP="00462037">
            <w:pPr>
              <w:jc w:val="center"/>
              <w:rPr>
                <w:sz w:val="18"/>
                <w:szCs w:val="18"/>
              </w:rPr>
            </w:pPr>
            <w:r w:rsidRPr="00453749">
              <w:rPr>
                <w:sz w:val="18"/>
                <w:szCs w:val="18"/>
              </w:rPr>
              <w:t>0%</w:t>
            </w:r>
          </w:p>
        </w:tc>
        <w:tc>
          <w:tcPr>
            <w:tcW w:w="851" w:type="dxa"/>
          </w:tcPr>
          <w:p w14:paraId="136F4E5D" w14:textId="77777777" w:rsidR="00462037" w:rsidRPr="00453749" w:rsidRDefault="00462037" w:rsidP="00462037">
            <w:pPr>
              <w:jc w:val="center"/>
              <w:rPr>
                <w:sz w:val="18"/>
                <w:szCs w:val="18"/>
              </w:rPr>
            </w:pPr>
            <w:r w:rsidRPr="00453749">
              <w:rPr>
                <w:sz w:val="18"/>
                <w:szCs w:val="18"/>
              </w:rPr>
              <w:t>2%</w:t>
            </w:r>
          </w:p>
        </w:tc>
        <w:tc>
          <w:tcPr>
            <w:tcW w:w="709" w:type="dxa"/>
          </w:tcPr>
          <w:p w14:paraId="301DEFD2" w14:textId="77777777" w:rsidR="00462037" w:rsidRPr="00453749" w:rsidRDefault="00462037" w:rsidP="00462037">
            <w:pPr>
              <w:jc w:val="center"/>
              <w:rPr>
                <w:sz w:val="18"/>
                <w:szCs w:val="18"/>
              </w:rPr>
            </w:pPr>
            <w:r w:rsidRPr="00453749">
              <w:rPr>
                <w:sz w:val="18"/>
                <w:szCs w:val="18"/>
              </w:rPr>
              <w:t>0.3%</w:t>
            </w:r>
          </w:p>
        </w:tc>
        <w:tc>
          <w:tcPr>
            <w:tcW w:w="709" w:type="dxa"/>
          </w:tcPr>
          <w:p w14:paraId="0786214F" w14:textId="77777777" w:rsidR="00462037" w:rsidRPr="00453749" w:rsidRDefault="00462037" w:rsidP="00462037">
            <w:pPr>
              <w:jc w:val="center"/>
              <w:rPr>
                <w:sz w:val="18"/>
                <w:szCs w:val="18"/>
              </w:rPr>
            </w:pPr>
            <w:r w:rsidRPr="00453749">
              <w:rPr>
                <w:sz w:val="18"/>
                <w:szCs w:val="18"/>
              </w:rPr>
              <w:t>0.2%</w:t>
            </w:r>
          </w:p>
        </w:tc>
        <w:tc>
          <w:tcPr>
            <w:tcW w:w="708" w:type="dxa"/>
          </w:tcPr>
          <w:p w14:paraId="3FB89B42" w14:textId="77777777" w:rsidR="00462037" w:rsidRPr="00453749" w:rsidRDefault="00462037" w:rsidP="00462037">
            <w:pPr>
              <w:jc w:val="center"/>
              <w:rPr>
                <w:sz w:val="18"/>
                <w:szCs w:val="18"/>
              </w:rPr>
            </w:pPr>
            <w:r w:rsidRPr="00453749">
              <w:rPr>
                <w:sz w:val="18"/>
                <w:szCs w:val="18"/>
              </w:rPr>
              <w:t>7%</w:t>
            </w:r>
          </w:p>
        </w:tc>
        <w:tc>
          <w:tcPr>
            <w:tcW w:w="851" w:type="dxa"/>
          </w:tcPr>
          <w:p w14:paraId="2828F85D" w14:textId="77777777" w:rsidR="00462037" w:rsidRPr="00453749" w:rsidRDefault="00462037" w:rsidP="00462037">
            <w:pPr>
              <w:jc w:val="center"/>
              <w:rPr>
                <w:sz w:val="18"/>
                <w:szCs w:val="18"/>
              </w:rPr>
            </w:pPr>
            <w:r w:rsidRPr="00453749">
              <w:rPr>
                <w:sz w:val="18"/>
                <w:szCs w:val="18"/>
              </w:rPr>
              <w:t>100%</w:t>
            </w:r>
          </w:p>
        </w:tc>
      </w:tr>
      <w:tr w:rsidR="00462037" w:rsidRPr="00527C4A" w14:paraId="56301B64" w14:textId="77777777" w:rsidTr="00462037">
        <w:tc>
          <w:tcPr>
            <w:tcW w:w="1413" w:type="dxa"/>
            <w:vMerge w:val="restart"/>
            <w:vAlign w:val="bottom"/>
          </w:tcPr>
          <w:p w14:paraId="385DFDD2" w14:textId="77777777" w:rsidR="00462037" w:rsidRPr="00527C4A" w:rsidRDefault="00462037" w:rsidP="00462037">
            <w:pPr>
              <w:rPr>
                <w:sz w:val="18"/>
                <w:szCs w:val="18"/>
              </w:rPr>
            </w:pPr>
            <w:r w:rsidRPr="00527C4A">
              <w:rPr>
                <w:sz w:val="18"/>
                <w:szCs w:val="18"/>
              </w:rPr>
              <w:t xml:space="preserve">North East Lincolnshire </w:t>
            </w:r>
          </w:p>
        </w:tc>
        <w:tc>
          <w:tcPr>
            <w:tcW w:w="709" w:type="dxa"/>
          </w:tcPr>
          <w:p w14:paraId="08DF3C55" w14:textId="77777777" w:rsidR="00462037" w:rsidRPr="00453749" w:rsidRDefault="00462037" w:rsidP="00462037">
            <w:pPr>
              <w:jc w:val="center"/>
              <w:rPr>
                <w:sz w:val="18"/>
                <w:szCs w:val="18"/>
              </w:rPr>
            </w:pPr>
            <w:r w:rsidRPr="00453749">
              <w:rPr>
                <w:sz w:val="18"/>
                <w:szCs w:val="18"/>
              </w:rPr>
              <w:t>48476</w:t>
            </w:r>
          </w:p>
        </w:tc>
        <w:tc>
          <w:tcPr>
            <w:tcW w:w="954" w:type="dxa"/>
          </w:tcPr>
          <w:p w14:paraId="771A3096" w14:textId="77777777" w:rsidR="00462037" w:rsidRPr="00453749" w:rsidRDefault="00462037" w:rsidP="00462037">
            <w:pPr>
              <w:jc w:val="center"/>
              <w:rPr>
                <w:sz w:val="18"/>
                <w:szCs w:val="18"/>
              </w:rPr>
            </w:pPr>
            <w:r w:rsidRPr="00453749">
              <w:rPr>
                <w:sz w:val="18"/>
                <w:szCs w:val="18"/>
              </w:rPr>
              <w:t>96836</w:t>
            </w:r>
          </w:p>
        </w:tc>
        <w:tc>
          <w:tcPr>
            <w:tcW w:w="954" w:type="dxa"/>
          </w:tcPr>
          <w:p w14:paraId="42C6F509" w14:textId="77777777" w:rsidR="00462037" w:rsidRPr="00453749" w:rsidRDefault="00462037" w:rsidP="00462037">
            <w:pPr>
              <w:jc w:val="center"/>
              <w:rPr>
                <w:sz w:val="18"/>
                <w:szCs w:val="18"/>
              </w:rPr>
            </w:pPr>
            <w:r w:rsidRPr="00453749">
              <w:rPr>
                <w:sz w:val="18"/>
                <w:szCs w:val="18"/>
              </w:rPr>
              <w:t>347</w:t>
            </w:r>
          </w:p>
        </w:tc>
        <w:tc>
          <w:tcPr>
            <w:tcW w:w="743" w:type="dxa"/>
          </w:tcPr>
          <w:p w14:paraId="65B32E90" w14:textId="77777777" w:rsidR="00462037" w:rsidRPr="00453749" w:rsidRDefault="00462037" w:rsidP="00462037">
            <w:pPr>
              <w:jc w:val="center"/>
              <w:rPr>
                <w:sz w:val="18"/>
                <w:szCs w:val="18"/>
              </w:rPr>
            </w:pPr>
            <w:r w:rsidRPr="00453749">
              <w:rPr>
                <w:sz w:val="18"/>
                <w:szCs w:val="18"/>
              </w:rPr>
              <w:t>386</w:t>
            </w:r>
          </w:p>
        </w:tc>
        <w:tc>
          <w:tcPr>
            <w:tcW w:w="709" w:type="dxa"/>
          </w:tcPr>
          <w:p w14:paraId="260E316A" w14:textId="77777777" w:rsidR="00462037" w:rsidRPr="00453749" w:rsidRDefault="00462037" w:rsidP="00462037">
            <w:pPr>
              <w:jc w:val="center"/>
              <w:rPr>
                <w:sz w:val="18"/>
                <w:szCs w:val="18"/>
              </w:rPr>
            </w:pPr>
            <w:r w:rsidRPr="00453749">
              <w:rPr>
                <w:sz w:val="18"/>
                <w:szCs w:val="18"/>
              </w:rPr>
              <w:t>64</w:t>
            </w:r>
          </w:p>
        </w:tc>
        <w:tc>
          <w:tcPr>
            <w:tcW w:w="851" w:type="dxa"/>
          </w:tcPr>
          <w:p w14:paraId="098A86F4" w14:textId="77777777" w:rsidR="00462037" w:rsidRPr="00453749" w:rsidRDefault="00462037" w:rsidP="00462037">
            <w:pPr>
              <w:jc w:val="center"/>
              <w:rPr>
                <w:sz w:val="18"/>
                <w:szCs w:val="18"/>
              </w:rPr>
            </w:pPr>
            <w:r w:rsidRPr="00453749">
              <w:rPr>
                <w:sz w:val="18"/>
                <w:szCs w:val="18"/>
              </w:rPr>
              <w:t>1332</w:t>
            </w:r>
          </w:p>
        </w:tc>
        <w:tc>
          <w:tcPr>
            <w:tcW w:w="709" w:type="dxa"/>
          </w:tcPr>
          <w:p w14:paraId="2267F125" w14:textId="77777777" w:rsidR="00462037" w:rsidRPr="00453749" w:rsidRDefault="00462037" w:rsidP="00462037">
            <w:pPr>
              <w:jc w:val="center"/>
              <w:rPr>
                <w:sz w:val="18"/>
                <w:szCs w:val="18"/>
              </w:rPr>
            </w:pPr>
            <w:r w:rsidRPr="00453749">
              <w:rPr>
                <w:sz w:val="18"/>
                <w:szCs w:val="18"/>
              </w:rPr>
              <w:t>158</w:t>
            </w:r>
          </w:p>
        </w:tc>
        <w:tc>
          <w:tcPr>
            <w:tcW w:w="709" w:type="dxa"/>
          </w:tcPr>
          <w:p w14:paraId="089ADC41" w14:textId="77777777" w:rsidR="00462037" w:rsidRPr="00453749" w:rsidRDefault="00462037" w:rsidP="00462037">
            <w:pPr>
              <w:jc w:val="center"/>
              <w:rPr>
                <w:sz w:val="18"/>
                <w:szCs w:val="18"/>
              </w:rPr>
            </w:pPr>
            <w:r w:rsidRPr="00453749">
              <w:rPr>
                <w:sz w:val="18"/>
                <w:szCs w:val="18"/>
              </w:rPr>
              <w:t>533</w:t>
            </w:r>
          </w:p>
        </w:tc>
        <w:tc>
          <w:tcPr>
            <w:tcW w:w="708" w:type="dxa"/>
          </w:tcPr>
          <w:p w14:paraId="38006BDA" w14:textId="77777777" w:rsidR="00462037" w:rsidRPr="00453749" w:rsidRDefault="00462037" w:rsidP="00462037">
            <w:pPr>
              <w:jc w:val="center"/>
              <w:rPr>
                <w:sz w:val="18"/>
                <w:szCs w:val="18"/>
              </w:rPr>
            </w:pPr>
            <w:r w:rsidRPr="00453749">
              <w:rPr>
                <w:sz w:val="18"/>
                <w:szCs w:val="18"/>
              </w:rPr>
              <w:t>11484</w:t>
            </w:r>
          </w:p>
        </w:tc>
        <w:tc>
          <w:tcPr>
            <w:tcW w:w="851" w:type="dxa"/>
          </w:tcPr>
          <w:p w14:paraId="0336538E" w14:textId="77777777" w:rsidR="00462037" w:rsidRPr="00453749" w:rsidRDefault="00462037" w:rsidP="00462037">
            <w:pPr>
              <w:jc w:val="center"/>
              <w:rPr>
                <w:sz w:val="18"/>
                <w:szCs w:val="18"/>
              </w:rPr>
            </w:pPr>
            <w:r w:rsidRPr="00453749">
              <w:rPr>
                <w:sz w:val="18"/>
                <w:szCs w:val="18"/>
              </w:rPr>
              <w:t>159616</w:t>
            </w:r>
          </w:p>
        </w:tc>
      </w:tr>
      <w:tr w:rsidR="00462037" w:rsidRPr="00527C4A" w14:paraId="2D112D23" w14:textId="77777777" w:rsidTr="00462037">
        <w:tc>
          <w:tcPr>
            <w:tcW w:w="1413" w:type="dxa"/>
            <w:vMerge/>
            <w:vAlign w:val="bottom"/>
          </w:tcPr>
          <w:p w14:paraId="0E97BD00" w14:textId="77777777" w:rsidR="00462037" w:rsidRPr="00527C4A" w:rsidRDefault="00462037" w:rsidP="00462037">
            <w:pPr>
              <w:rPr>
                <w:sz w:val="18"/>
                <w:szCs w:val="18"/>
              </w:rPr>
            </w:pPr>
          </w:p>
        </w:tc>
        <w:tc>
          <w:tcPr>
            <w:tcW w:w="709" w:type="dxa"/>
          </w:tcPr>
          <w:p w14:paraId="6E3A622B" w14:textId="77777777" w:rsidR="00462037" w:rsidRPr="00453749" w:rsidRDefault="00462037" w:rsidP="00462037">
            <w:pPr>
              <w:jc w:val="center"/>
              <w:rPr>
                <w:sz w:val="18"/>
                <w:szCs w:val="18"/>
              </w:rPr>
            </w:pPr>
            <w:r w:rsidRPr="00453749">
              <w:rPr>
                <w:sz w:val="18"/>
                <w:szCs w:val="18"/>
              </w:rPr>
              <w:t>30%</w:t>
            </w:r>
          </w:p>
        </w:tc>
        <w:tc>
          <w:tcPr>
            <w:tcW w:w="954" w:type="dxa"/>
          </w:tcPr>
          <w:p w14:paraId="50D4FC2A" w14:textId="77777777" w:rsidR="00462037" w:rsidRPr="00453749" w:rsidRDefault="00462037" w:rsidP="00462037">
            <w:pPr>
              <w:jc w:val="center"/>
              <w:rPr>
                <w:sz w:val="18"/>
                <w:szCs w:val="18"/>
              </w:rPr>
            </w:pPr>
            <w:r w:rsidRPr="00453749">
              <w:rPr>
                <w:sz w:val="18"/>
                <w:szCs w:val="18"/>
              </w:rPr>
              <w:t>61%</w:t>
            </w:r>
          </w:p>
        </w:tc>
        <w:tc>
          <w:tcPr>
            <w:tcW w:w="954" w:type="dxa"/>
          </w:tcPr>
          <w:p w14:paraId="15DAAA82" w14:textId="77777777" w:rsidR="00462037" w:rsidRPr="00453749" w:rsidRDefault="00462037" w:rsidP="00462037">
            <w:pPr>
              <w:jc w:val="center"/>
              <w:rPr>
                <w:sz w:val="18"/>
                <w:szCs w:val="18"/>
              </w:rPr>
            </w:pPr>
            <w:r w:rsidRPr="00453749">
              <w:rPr>
                <w:sz w:val="18"/>
                <w:szCs w:val="18"/>
              </w:rPr>
              <w:t>0.2%</w:t>
            </w:r>
          </w:p>
        </w:tc>
        <w:tc>
          <w:tcPr>
            <w:tcW w:w="743" w:type="dxa"/>
          </w:tcPr>
          <w:p w14:paraId="00CBE924" w14:textId="77777777" w:rsidR="00462037" w:rsidRPr="00453749" w:rsidRDefault="00462037" w:rsidP="00462037">
            <w:pPr>
              <w:jc w:val="center"/>
              <w:rPr>
                <w:sz w:val="18"/>
                <w:szCs w:val="18"/>
              </w:rPr>
            </w:pPr>
            <w:r w:rsidRPr="00453749">
              <w:rPr>
                <w:sz w:val="18"/>
                <w:szCs w:val="18"/>
              </w:rPr>
              <w:t>0.2%</w:t>
            </w:r>
          </w:p>
        </w:tc>
        <w:tc>
          <w:tcPr>
            <w:tcW w:w="709" w:type="dxa"/>
          </w:tcPr>
          <w:p w14:paraId="29BBA820" w14:textId="77777777" w:rsidR="00462037" w:rsidRPr="00453749" w:rsidRDefault="00462037" w:rsidP="00462037">
            <w:pPr>
              <w:jc w:val="center"/>
              <w:rPr>
                <w:sz w:val="18"/>
                <w:szCs w:val="18"/>
              </w:rPr>
            </w:pPr>
            <w:r w:rsidRPr="00453749">
              <w:rPr>
                <w:sz w:val="18"/>
                <w:szCs w:val="18"/>
              </w:rPr>
              <w:t>0.0%</w:t>
            </w:r>
          </w:p>
        </w:tc>
        <w:tc>
          <w:tcPr>
            <w:tcW w:w="851" w:type="dxa"/>
          </w:tcPr>
          <w:p w14:paraId="1F2DA740" w14:textId="77777777" w:rsidR="00462037" w:rsidRPr="00453749" w:rsidRDefault="00462037" w:rsidP="00462037">
            <w:pPr>
              <w:jc w:val="center"/>
              <w:rPr>
                <w:sz w:val="18"/>
                <w:szCs w:val="18"/>
              </w:rPr>
            </w:pPr>
            <w:r w:rsidRPr="00453749">
              <w:rPr>
                <w:sz w:val="18"/>
                <w:szCs w:val="18"/>
              </w:rPr>
              <w:t>1%</w:t>
            </w:r>
          </w:p>
        </w:tc>
        <w:tc>
          <w:tcPr>
            <w:tcW w:w="709" w:type="dxa"/>
          </w:tcPr>
          <w:p w14:paraId="3575F624" w14:textId="77777777" w:rsidR="00462037" w:rsidRPr="00453749" w:rsidRDefault="00462037" w:rsidP="00462037">
            <w:pPr>
              <w:jc w:val="center"/>
              <w:rPr>
                <w:sz w:val="18"/>
                <w:szCs w:val="18"/>
              </w:rPr>
            </w:pPr>
            <w:r w:rsidRPr="00453749">
              <w:rPr>
                <w:sz w:val="18"/>
                <w:szCs w:val="18"/>
              </w:rPr>
              <w:t>0.1%</w:t>
            </w:r>
          </w:p>
        </w:tc>
        <w:tc>
          <w:tcPr>
            <w:tcW w:w="709" w:type="dxa"/>
          </w:tcPr>
          <w:p w14:paraId="09708189" w14:textId="77777777" w:rsidR="00462037" w:rsidRPr="00453749" w:rsidRDefault="00462037" w:rsidP="00462037">
            <w:pPr>
              <w:jc w:val="center"/>
              <w:rPr>
                <w:sz w:val="18"/>
                <w:szCs w:val="18"/>
              </w:rPr>
            </w:pPr>
            <w:r w:rsidRPr="00453749">
              <w:rPr>
                <w:sz w:val="18"/>
                <w:szCs w:val="18"/>
              </w:rPr>
              <w:t>0.3%</w:t>
            </w:r>
          </w:p>
        </w:tc>
        <w:tc>
          <w:tcPr>
            <w:tcW w:w="708" w:type="dxa"/>
          </w:tcPr>
          <w:p w14:paraId="3C261446" w14:textId="77777777" w:rsidR="00462037" w:rsidRPr="00453749" w:rsidRDefault="00462037" w:rsidP="00462037">
            <w:pPr>
              <w:jc w:val="center"/>
              <w:rPr>
                <w:sz w:val="18"/>
                <w:szCs w:val="18"/>
              </w:rPr>
            </w:pPr>
            <w:r w:rsidRPr="00453749">
              <w:rPr>
                <w:sz w:val="18"/>
                <w:szCs w:val="18"/>
              </w:rPr>
              <w:t>7%</w:t>
            </w:r>
          </w:p>
        </w:tc>
        <w:tc>
          <w:tcPr>
            <w:tcW w:w="851" w:type="dxa"/>
          </w:tcPr>
          <w:p w14:paraId="1BE4A16A" w14:textId="77777777" w:rsidR="00462037" w:rsidRPr="00453749" w:rsidRDefault="00462037" w:rsidP="00462037">
            <w:pPr>
              <w:jc w:val="center"/>
              <w:rPr>
                <w:sz w:val="18"/>
                <w:szCs w:val="18"/>
              </w:rPr>
            </w:pPr>
            <w:r w:rsidRPr="00453749">
              <w:rPr>
                <w:sz w:val="18"/>
                <w:szCs w:val="18"/>
              </w:rPr>
              <w:t>100%</w:t>
            </w:r>
          </w:p>
        </w:tc>
      </w:tr>
      <w:tr w:rsidR="00462037" w:rsidRPr="00527C4A" w14:paraId="7FFDE978" w14:textId="77777777" w:rsidTr="00462037">
        <w:tc>
          <w:tcPr>
            <w:tcW w:w="1413" w:type="dxa"/>
            <w:vMerge w:val="restart"/>
            <w:vAlign w:val="bottom"/>
          </w:tcPr>
          <w:p w14:paraId="06FD5216" w14:textId="77777777" w:rsidR="00462037" w:rsidRPr="00527C4A" w:rsidRDefault="00462037" w:rsidP="00462037">
            <w:pPr>
              <w:rPr>
                <w:sz w:val="18"/>
                <w:szCs w:val="18"/>
              </w:rPr>
            </w:pPr>
            <w:r w:rsidRPr="00527C4A">
              <w:rPr>
                <w:sz w:val="18"/>
                <w:szCs w:val="18"/>
              </w:rPr>
              <w:t xml:space="preserve">Lincolnshire East </w:t>
            </w:r>
          </w:p>
        </w:tc>
        <w:tc>
          <w:tcPr>
            <w:tcW w:w="709" w:type="dxa"/>
          </w:tcPr>
          <w:p w14:paraId="3F42DC93" w14:textId="77777777" w:rsidR="00462037" w:rsidRPr="00453749" w:rsidRDefault="00462037" w:rsidP="00462037">
            <w:pPr>
              <w:jc w:val="center"/>
              <w:rPr>
                <w:sz w:val="18"/>
                <w:szCs w:val="18"/>
              </w:rPr>
            </w:pPr>
            <w:r w:rsidRPr="00453749">
              <w:rPr>
                <w:sz w:val="18"/>
                <w:szCs w:val="18"/>
              </w:rPr>
              <w:t>78296</w:t>
            </w:r>
          </w:p>
        </w:tc>
        <w:tc>
          <w:tcPr>
            <w:tcW w:w="954" w:type="dxa"/>
          </w:tcPr>
          <w:p w14:paraId="0314D14B" w14:textId="77777777" w:rsidR="00462037" w:rsidRPr="00453749" w:rsidRDefault="00462037" w:rsidP="00462037">
            <w:pPr>
              <w:jc w:val="center"/>
              <w:rPr>
                <w:sz w:val="18"/>
                <w:szCs w:val="18"/>
              </w:rPr>
            </w:pPr>
            <w:r w:rsidRPr="00453749">
              <w:rPr>
                <w:sz w:val="18"/>
                <w:szCs w:val="18"/>
              </w:rPr>
              <w:t>227343</w:t>
            </w:r>
          </w:p>
        </w:tc>
        <w:tc>
          <w:tcPr>
            <w:tcW w:w="954" w:type="dxa"/>
          </w:tcPr>
          <w:p w14:paraId="50ADCE36" w14:textId="77777777" w:rsidR="00462037" w:rsidRPr="00453749" w:rsidRDefault="00462037" w:rsidP="00462037">
            <w:pPr>
              <w:jc w:val="center"/>
              <w:rPr>
                <w:sz w:val="18"/>
                <w:szCs w:val="18"/>
              </w:rPr>
            </w:pPr>
            <w:r w:rsidRPr="00453749">
              <w:rPr>
                <w:sz w:val="18"/>
                <w:szCs w:val="18"/>
              </w:rPr>
              <w:t>702</w:t>
            </w:r>
          </w:p>
        </w:tc>
        <w:tc>
          <w:tcPr>
            <w:tcW w:w="743" w:type="dxa"/>
          </w:tcPr>
          <w:p w14:paraId="36CCCEA7" w14:textId="77777777" w:rsidR="00462037" w:rsidRPr="00453749" w:rsidRDefault="00462037" w:rsidP="00462037">
            <w:pPr>
              <w:jc w:val="center"/>
              <w:rPr>
                <w:sz w:val="18"/>
                <w:szCs w:val="18"/>
              </w:rPr>
            </w:pPr>
            <w:r w:rsidRPr="00453749">
              <w:rPr>
                <w:sz w:val="18"/>
                <w:szCs w:val="18"/>
              </w:rPr>
              <w:t>607</w:t>
            </w:r>
          </w:p>
        </w:tc>
        <w:tc>
          <w:tcPr>
            <w:tcW w:w="709" w:type="dxa"/>
          </w:tcPr>
          <w:p w14:paraId="6A20AFC3" w14:textId="77777777" w:rsidR="00462037" w:rsidRPr="00453749" w:rsidRDefault="00462037" w:rsidP="00462037">
            <w:pPr>
              <w:jc w:val="center"/>
              <w:rPr>
                <w:sz w:val="18"/>
                <w:szCs w:val="18"/>
              </w:rPr>
            </w:pPr>
            <w:r w:rsidRPr="00453749">
              <w:rPr>
                <w:sz w:val="18"/>
                <w:szCs w:val="18"/>
              </w:rPr>
              <w:t>337</w:t>
            </w:r>
          </w:p>
        </w:tc>
        <w:tc>
          <w:tcPr>
            <w:tcW w:w="851" w:type="dxa"/>
          </w:tcPr>
          <w:p w14:paraId="0303B68B" w14:textId="77777777" w:rsidR="00462037" w:rsidRPr="00453749" w:rsidRDefault="00462037" w:rsidP="00462037">
            <w:pPr>
              <w:jc w:val="center"/>
              <w:rPr>
                <w:sz w:val="18"/>
                <w:szCs w:val="18"/>
              </w:rPr>
            </w:pPr>
            <w:r w:rsidRPr="00453749">
              <w:rPr>
                <w:sz w:val="18"/>
                <w:szCs w:val="18"/>
              </w:rPr>
              <w:t>1309</w:t>
            </w:r>
          </w:p>
        </w:tc>
        <w:tc>
          <w:tcPr>
            <w:tcW w:w="709" w:type="dxa"/>
          </w:tcPr>
          <w:p w14:paraId="407E98C9" w14:textId="77777777" w:rsidR="00462037" w:rsidRPr="00453749" w:rsidRDefault="00462037" w:rsidP="00462037">
            <w:pPr>
              <w:jc w:val="center"/>
              <w:rPr>
                <w:sz w:val="18"/>
                <w:szCs w:val="18"/>
              </w:rPr>
            </w:pPr>
            <w:r w:rsidRPr="00453749">
              <w:rPr>
                <w:sz w:val="18"/>
                <w:szCs w:val="18"/>
              </w:rPr>
              <w:t>174</w:t>
            </w:r>
          </w:p>
        </w:tc>
        <w:tc>
          <w:tcPr>
            <w:tcW w:w="709" w:type="dxa"/>
          </w:tcPr>
          <w:p w14:paraId="53B829E4" w14:textId="77777777" w:rsidR="00462037" w:rsidRPr="00453749" w:rsidRDefault="00462037" w:rsidP="00462037">
            <w:pPr>
              <w:jc w:val="center"/>
              <w:rPr>
                <w:sz w:val="18"/>
                <w:szCs w:val="18"/>
              </w:rPr>
            </w:pPr>
            <w:r w:rsidRPr="00453749">
              <w:rPr>
                <w:sz w:val="18"/>
                <w:szCs w:val="18"/>
              </w:rPr>
              <w:t>863</w:t>
            </w:r>
          </w:p>
        </w:tc>
        <w:tc>
          <w:tcPr>
            <w:tcW w:w="708" w:type="dxa"/>
          </w:tcPr>
          <w:p w14:paraId="5B2BFC9F" w14:textId="77777777" w:rsidR="00462037" w:rsidRPr="00453749" w:rsidRDefault="00462037" w:rsidP="00462037">
            <w:pPr>
              <w:jc w:val="center"/>
              <w:rPr>
                <w:sz w:val="18"/>
                <w:szCs w:val="18"/>
              </w:rPr>
            </w:pPr>
            <w:r w:rsidRPr="00453749">
              <w:rPr>
                <w:sz w:val="18"/>
                <w:szCs w:val="18"/>
              </w:rPr>
              <w:t>24548</w:t>
            </w:r>
          </w:p>
        </w:tc>
        <w:tc>
          <w:tcPr>
            <w:tcW w:w="851" w:type="dxa"/>
          </w:tcPr>
          <w:p w14:paraId="41875613" w14:textId="77777777" w:rsidR="00462037" w:rsidRPr="00453749" w:rsidRDefault="00462037" w:rsidP="00462037">
            <w:pPr>
              <w:jc w:val="center"/>
              <w:rPr>
                <w:sz w:val="18"/>
                <w:szCs w:val="18"/>
              </w:rPr>
            </w:pPr>
            <w:r w:rsidRPr="00453749">
              <w:rPr>
                <w:sz w:val="18"/>
                <w:szCs w:val="18"/>
              </w:rPr>
              <w:t>334179</w:t>
            </w:r>
          </w:p>
        </w:tc>
      </w:tr>
      <w:tr w:rsidR="00462037" w:rsidRPr="00527C4A" w14:paraId="143A06C2" w14:textId="77777777" w:rsidTr="00462037">
        <w:tc>
          <w:tcPr>
            <w:tcW w:w="1413" w:type="dxa"/>
            <w:vMerge/>
            <w:vAlign w:val="bottom"/>
          </w:tcPr>
          <w:p w14:paraId="4AF2A73D" w14:textId="77777777" w:rsidR="00462037" w:rsidRPr="00527C4A" w:rsidRDefault="00462037" w:rsidP="00462037">
            <w:pPr>
              <w:rPr>
                <w:sz w:val="18"/>
                <w:szCs w:val="18"/>
              </w:rPr>
            </w:pPr>
          </w:p>
        </w:tc>
        <w:tc>
          <w:tcPr>
            <w:tcW w:w="709" w:type="dxa"/>
          </w:tcPr>
          <w:p w14:paraId="5A06B8BC" w14:textId="77777777" w:rsidR="00462037" w:rsidRPr="00453749" w:rsidRDefault="00462037" w:rsidP="00462037">
            <w:pPr>
              <w:jc w:val="center"/>
              <w:rPr>
                <w:sz w:val="18"/>
                <w:szCs w:val="18"/>
              </w:rPr>
            </w:pPr>
            <w:r w:rsidRPr="00453749">
              <w:rPr>
                <w:sz w:val="18"/>
                <w:szCs w:val="18"/>
              </w:rPr>
              <w:t>23%</w:t>
            </w:r>
          </w:p>
        </w:tc>
        <w:tc>
          <w:tcPr>
            <w:tcW w:w="954" w:type="dxa"/>
          </w:tcPr>
          <w:p w14:paraId="4EE9DB83" w14:textId="77777777" w:rsidR="00462037" w:rsidRPr="00453749" w:rsidRDefault="00462037" w:rsidP="00462037">
            <w:pPr>
              <w:jc w:val="center"/>
              <w:rPr>
                <w:sz w:val="18"/>
                <w:szCs w:val="18"/>
              </w:rPr>
            </w:pPr>
            <w:r w:rsidRPr="00453749">
              <w:rPr>
                <w:sz w:val="18"/>
                <w:szCs w:val="18"/>
              </w:rPr>
              <w:t>68%</w:t>
            </w:r>
          </w:p>
        </w:tc>
        <w:tc>
          <w:tcPr>
            <w:tcW w:w="954" w:type="dxa"/>
          </w:tcPr>
          <w:p w14:paraId="7C971AE9" w14:textId="77777777" w:rsidR="00462037" w:rsidRPr="00453749" w:rsidRDefault="00462037" w:rsidP="00462037">
            <w:pPr>
              <w:jc w:val="center"/>
              <w:rPr>
                <w:sz w:val="18"/>
                <w:szCs w:val="18"/>
              </w:rPr>
            </w:pPr>
            <w:r w:rsidRPr="00453749">
              <w:rPr>
                <w:sz w:val="18"/>
                <w:szCs w:val="18"/>
              </w:rPr>
              <w:t>0.2%</w:t>
            </w:r>
          </w:p>
        </w:tc>
        <w:tc>
          <w:tcPr>
            <w:tcW w:w="743" w:type="dxa"/>
          </w:tcPr>
          <w:p w14:paraId="4BF0532E" w14:textId="77777777" w:rsidR="00462037" w:rsidRPr="00453749" w:rsidRDefault="00462037" w:rsidP="00462037">
            <w:pPr>
              <w:jc w:val="center"/>
              <w:rPr>
                <w:sz w:val="18"/>
                <w:szCs w:val="18"/>
              </w:rPr>
            </w:pPr>
            <w:r w:rsidRPr="00453749">
              <w:rPr>
                <w:sz w:val="18"/>
                <w:szCs w:val="18"/>
              </w:rPr>
              <w:t>0.2%</w:t>
            </w:r>
          </w:p>
        </w:tc>
        <w:tc>
          <w:tcPr>
            <w:tcW w:w="709" w:type="dxa"/>
          </w:tcPr>
          <w:p w14:paraId="5DB3F356" w14:textId="77777777" w:rsidR="00462037" w:rsidRPr="00453749" w:rsidRDefault="00462037" w:rsidP="00462037">
            <w:pPr>
              <w:jc w:val="center"/>
              <w:rPr>
                <w:sz w:val="18"/>
                <w:szCs w:val="18"/>
              </w:rPr>
            </w:pPr>
            <w:r w:rsidRPr="00453749">
              <w:rPr>
                <w:sz w:val="18"/>
                <w:szCs w:val="18"/>
              </w:rPr>
              <w:t>0.1%</w:t>
            </w:r>
          </w:p>
        </w:tc>
        <w:tc>
          <w:tcPr>
            <w:tcW w:w="851" w:type="dxa"/>
          </w:tcPr>
          <w:p w14:paraId="5B8B0C19" w14:textId="77777777" w:rsidR="00462037" w:rsidRPr="00453749" w:rsidRDefault="00462037" w:rsidP="00462037">
            <w:pPr>
              <w:jc w:val="center"/>
              <w:rPr>
                <w:sz w:val="18"/>
                <w:szCs w:val="18"/>
              </w:rPr>
            </w:pPr>
            <w:r w:rsidRPr="00453749">
              <w:rPr>
                <w:sz w:val="18"/>
                <w:szCs w:val="18"/>
              </w:rPr>
              <w:t>0.4%</w:t>
            </w:r>
          </w:p>
        </w:tc>
        <w:tc>
          <w:tcPr>
            <w:tcW w:w="709" w:type="dxa"/>
          </w:tcPr>
          <w:p w14:paraId="005BFD78" w14:textId="77777777" w:rsidR="00462037" w:rsidRPr="00453749" w:rsidRDefault="00462037" w:rsidP="00462037">
            <w:pPr>
              <w:jc w:val="center"/>
              <w:rPr>
                <w:sz w:val="18"/>
                <w:szCs w:val="18"/>
              </w:rPr>
            </w:pPr>
            <w:r w:rsidRPr="00453749">
              <w:rPr>
                <w:sz w:val="18"/>
                <w:szCs w:val="18"/>
              </w:rPr>
              <w:t>0.1%</w:t>
            </w:r>
          </w:p>
        </w:tc>
        <w:tc>
          <w:tcPr>
            <w:tcW w:w="709" w:type="dxa"/>
          </w:tcPr>
          <w:p w14:paraId="641784A9" w14:textId="77777777" w:rsidR="00462037" w:rsidRPr="00453749" w:rsidRDefault="00462037" w:rsidP="00462037">
            <w:pPr>
              <w:jc w:val="center"/>
              <w:rPr>
                <w:sz w:val="18"/>
                <w:szCs w:val="18"/>
              </w:rPr>
            </w:pPr>
            <w:r w:rsidRPr="00453749">
              <w:rPr>
                <w:sz w:val="18"/>
                <w:szCs w:val="18"/>
              </w:rPr>
              <w:t>0.3%</w:t>
            </w:r>
          </w:p>
        </w:tc>
        <w:tc>
          <w:tcPr>
            <w:tcW w:w="708" w:type="dxa"/>
          </w:tcPr>
          <w:p w14:paraId="75493DB4" w14:textId="77777777" w:rsidR="00462037" w:rsidRPr="00453749" w:rsidRDefault="00462037" w:rsidP="00462037">
            <w:pPr>
              <w:jc w:val="center"/>
              <w:rPr>
                <w:sz w:val="18"/>
                <w:szCs w:val="18"/>
              </w:rPr>
            </w:pPr>
            <w:r w:rsidRPr="00453749">
              <w:rPr>
                <w:sz w:val="18"/>
                <w:szCs w:val="18"/>
              </w:rPr>
              <w:t>7%</w:t>
            </w:r>
          </w:p>
        </w:tc>
        <w:tc>
          <w:tcPr>
            <w:tcW w:w="851" w:type="dxa"/>
          </w:tcPr>
          <w:p w14:paraId="15D129B7" w14:textId="77777777" w:rsidR="00462037" w:rsidRPr="00453749" w:rsidRDefault="00462037" w:rsidP="00462037">
            <w:pPr>
              <w:jc w:val="center"/>
              <w:rPr>
                <w:sz w:val="18"/>
                <w:szCs w:val="18"/>
              </w:rPr>
            </w:pPr>
            <w:r w:rsidRPr="00453749">
              <w:rPr>
                <w:sz w:val="18"/>
                <w:szCs w:val="18"/>
              </w:rPr>
              <w:t>100%</w:t>
            </w:r>
          </w:p>
        </w:tc>
      </w:tr>
      <w:tr w:rsidR="00462037" w:rsidRPr="00527C4A" w14:paraId="36E03156" w14:textId="77777777" w:rsidTr="00462037">
        <w:tc>
          <w:tcPr>
            <w:tcW w:w="1413" w:type="dxa"/>
            <w:vMerge w:val="restart"/>
            <w:vAlign w:val="bottom"/>
          </w:tcPr>
          <w:p w14:paraId="1121F993" w14:textId="77777777" w:rsidR="00462037" w:rsidRPr="00527C4A" w:rsidRDefault="00462037" w:rsidP="00462037">
            <w:pPr>
              <w:rPr>
                <w:sz w:val="18"/>
                <w:szCs w:val="18"/>
              </w:rPr>
            </w:pPr>
            <w:r w:rsidRPr="00527C4A">
              <w:rPr>
                <w:sz w:val="18"/>
                <w:szCs w:val="18"/>
              </w:rPr>
              <w:t xml:space="preserve">East Riding of Yorkshire </w:t>
            </w:r>
          </w:p>
        </w:tc>
        <w:tc>
          <w:tcPr>
            <w:tcW w:w="709" w:type="dxa"/>
          </w:tcPr>
          <w:p w14:paraId="5F703F9D" w14:textId="77777777" w:rsidR="00462037" w:rsidRPr="00453749" w:rsidRDefault="00462037" w:rsidP="00462037">
            <w:pPr>
              <w:jc w:val="center"/>
              <w:rPr>
                <w:sz w:val="18"/>
                <w:szCs w:val="18"/>
              </w:rPr>
            </w:pPr>
            <w:r w:rsidRPr="00453749">
              <w:rPr>
                <w:sz w:val="18"/>
                <w:szCs w:val="18"/>
              </w:rPr>
              <w:t>31196</w:t>
            </w:r>
          </w:p>
        </w:tc>
        <w:tc>
          <w:tcPr>
            <w:tcW w:w="954" w:type="dxa"/>
          </w:tcPr>
          <w:p w14:paraId="70454140" w14:textId="77777777" w:rsidR="00462037" w:rsidRPr="00453749" w:rsidRDefault="00462037" w:rsidP="00462037">
            <w:pPr>
              <w:jc w:val="center"/>
              <w:rPr>
                <w:sz w:val="18"/>
                <w:szCs w:val="18"/>
              </w:rPr>
            </w:pPr>
            <w:r w:rsidRPr="00453749">
              <w:rPr>
                <w:sz w:val="18"/>
                <w:szCs w:val="18"/>
              </w:rPr>
              <w:t>93691</w:t>
            </w:r>
          </w:p>
        </w:tc>
        <w:tc>
          <w:tcPr>
            <w:tcW w:w="954" w:type="dxa"/>
          </w:tcPr>
          <w:p w14:paraId="2BE51E93" w14:textId="77777777" w:rsidR="00462037" w:rsidRPr="00453749" w:rsidRDefault="00462037" w:rsidP="00462037">
            <w:pPr>
              <w:jc w:val="center"/>
              <w:rPr>
                <w:sz w:val="18"/>
                <w:szCs w:val="18"/>
              </w:rPr>
            </w:pPr>
            <w:r w:rsidRPr="00453749">
              <w:rPr>
                <w:sz w:val="18"/>
                <w:szCs w:val="18"/>
              </w:rPr>
              <w:t>226</w:t>
            </w:r>
          </w:p>
        </w:tc>
        <w:tc>
          <w:tcPr>
            <w:tcW w:w="743" w:type="dxa"/>
          </w:tcPr>
          <w:p w14:paraId="0FD2BDA7" w14:textId="77777777" w:rsidR="00462037" w:rsidRPr="00453749" w:rsidRDefault="00462037" w:rsidP="00462037">
            <w:pPr>
              <w:jc w:val="center"/>
              <w:rPr>
                <w:sz w:val="18"/>
                <w:szCs w:val="18"/>
              </w:rPr>
            </w:pPr>
            <w:r w:rsidRPr="00453749">
              <w:rPr>
                <w:sz w:val="18"/>
                <w:szCs w:val="18"/>
              </w:rPr>
              <w:t>126</w:t>
            </w:r>
          </w:p>
        </w:tc>
        <w:tc>
          <w:tcPr>
            <w:tcW w:w="709" w:type="dxa"/>
          </w:tcPr>
          <w:p w14:paraId="22C277C0" w14:textId="77777777" w:rsidR="00462037" w:rsidRPr="00453749" w:rsidRDefault="00462037" w:rsidP="00462037">
            <w:pPr>
              <w:jc w:val="center"/>
              <w:rPr>
                <w:sz w:val="18"/>
                <w:szCs w:val="18"/>
              </w:rPr>
            </w:pPr>
            <w:r w:rsidRPr="00453749">
              <w:rPr>
                <w:sz w:val="18"/>
                <w:szCs w:val="18"/>
              </w:rPr>
              <w:t>84</w:t>
            </w:r>
          </w:p>
        </w:tc>
        <w:tc>
          <w:tcPr>
            <w:tcW w:w="851" w:type="dxa"/>
          </w:tcPr>
          <w:p w14:paraId="1978D08D" w14:textId="77777777" w:rsidR="00462037" w:rsidRPr="00453749" w:rsidRDefault="00462037" w:rsidP="00462037">
            <w:pPr>
              <w:jc w:val="center"/>
              <w:rPr>
                <w:sz w:val="18"/>
                <w:szCs w:val="18"/>
              </w:rPr>
            </w:pPr>
            <w:r w:rsidRPr="00453749">
              <w:rPr>
                <w:sz w:val="18"/>
                <w:szCs w:val="18"/>
              </w:rPr>
              <w:t>366</w:t>
            </w:r>
          </w:p>
        </w:tc>
        <w:tc>
          <w:tcPr>
            <w:tcW w:w="709" w:type="dxa"/>
          </w:tcPr>
          <w:p w14:paraId="4AE575DB" w14:textId="77777777" w:rsidR="00462037" w:rsidRPr="00453749" w:rsidRDefault="00462037" w:rsidP="00462037">
            <w:pPr>
              <w:jc w:val="center"/>
              <w:rPr>
                <w:sz w:val="18"/>
                <w:szCs w:val="18"/>
              </w:rPr>
            </w:pPr>
            <w:r w:rsidRPr="00453749">
              <w:rPr>
                <w:sz w:val="18"/>
                <w:szCs w:val="18"/>
              </w:rPr>
              <w:t>49</w:t>
            </w:r>
          </w:p>
        </w:tc>
        <w:tc>
          <w:tcPr>
            <w:tcW w:w="709" w:type="dxa"/>
          </w:tcPr>
          <w:p w14:paraId="5FE73B15" w14:textId="77777777" w:rsidR="00462037" w:rsidRPr="00453749" w:rsidRDefault="00462037" w:rsidP="00462037">
            <w:pPr>
              <w:jc w:val="center"/>
              <w:rPr>
                <w:sz w:val="18"/>
                <w:szCs w:val="18"/>
              </w:rPr>
            </w:pPr>
            <w:r w:rsidRPr="00453749">
              <w:rPr>
                <w:sz w:val="18"/>
                <w:szCs w:val="18"/>
              </w:rPr>
              <w:t>565</w:t>
            </w:r>
          </w:p>
        </w:tc>
        <w:tc>
          <w:tcPr>
            <w:tcW w:w="708" w:type="dxa"/>
          </w:tcPr>
          <w:p w14:paraId="44D27D61" w14:textId="77777777" w:rsidR="00462037" w:rsidRPr="00453749" w:rsidRDefault="00462037" w:rsidP="00462037">
            <w:pPr>
              <w:jc w:val="center"/>
              <w:rPr>
                <w:sz w:val="18"/>
                <w:szCs w:val="18"/>
              </w:rPr>
            </w:pPr>
            <w:r w:rsidRPr="00453749">
              <w:rPr>
                <w:sz w:val="18"/>
                <w:szCs w:val="18"/>
              </w:rPr>
              <w:t>10098</w:t>
            </w:r>
          </w:p>
        </w:tc>
        <w:tc>
          <w:tcPr>
            <w:tcW w:w="851" w:type="dxa"/>
          </w:tcPr>
          <w:p w14:paraId="5A20C987" w14:textId="77777777" w:rsidR="00462037" w:rsidRPr="00453749" w:rsidRDefault="00462037" w:rsidP="00462037">
            <w:pPr>
              <w:jc w:val="center"/>
              <w:rPr>
                <w:sz w:val="18"/>
                <w:szCs w:val="18"/>
              </w:rPr>
            </w:pPr>
            <w:r w:rsidRPr="00453749">
              <w:rPr>
                <w:sz w:val="18"/>
                <w:szCs w:val="18"/>
              </w:rPr>
              <w:t>136401</w:t>
            </w:r>
          </w:p>
        </w:tc>
      </w:tr>
      <w:tr w:rsidR="00462037" w:rsidRPr="00527C4A" w14:paraId="4C2827BB" w14:textId="77777777" w:rsidTr="00462037">
        <w:tc>
          <w:tcPr>
            <w:tcW w:w="1413" w:type="dxa"/>
            <w:vMerge/>
          </w:tcPr>
          <w:p w14:paraId="51D17C4B" w14:textId="77777777" w:rsidR="00462037" w:rsidRPr="00527C4A" w:rsidRDefault="00462037" w:rsidP="00462037">
            <w:pPr>
              <w:rPr>
                <w:sz w:val="18"/>
                <w:szCs w:val="18"/>
              </w:rPr>
            </w:pPr>
          </w:p>
        </w:tc>
        <w:tc>
          <w:tcPr>
            <w:tcW w:w="709" w:type="dxa"/>
          </w:tcPr>
          <w:p w14:paraId="6C9A3118" w14:textId="77777777" w:rsidR="00462037" w:rsidRPr="00453749" w:rsidRDefault="00462037" w:rsidP="00462037">
            <w:pPr>
              <w:jc w:val="center"/>
              <w:rPr>
                <w:sz w:val="18"/>
                <w:szCs w:val="18"/>
              </w:rPr>
            </w:pPr>
            <w:r w:rsidRPr="00453749">
              <w:rPr>
                <w:sz w:val="18"/>
                <w:szCs w:val="18"/>
              </w:rPr>
              <w:t>23%</w:t>
            </w:r>
          </w:p>
        </w:tc>
        <w:tc>
          <w:tcPr>
            <w:tcW w:w="954" w:type="dxa"/>
          </w:tcPr>
          <w:p w14:paraId="725A5C7A" w14:textId="77777777" w:rsidR="00462037" w:rsidRPr="00453749" w:rsidRDefault="00462037" w:rsidP="00462037">
            <w:pPr>
              <w:jc w:val="center"/>
              <w:rPr>
                <w:sz w:val="18"/>
                <w:szCs w:val="18"/>
              </w:rPr>
            </w:pPr>
            <w:r w:rsidRPr="00453749">
              <w:rPr>
                <w:sz w:val="18"/>
                <w:szCs w:val="18"/>
              </w:rPr>
              <w:t>69%</w:t>
            </w:r>
          </w:p>
        </w:tc>
        <w:tc>
          <w:tcPr>
            <w:tcW w:w="954" w:type="dxa"/>
          </w:tcPr>
          <w:p w14:paraId="0F9AB0C8" w14:textId="77777777" w:rsidR="00462037" w:rsidRPr="00453749" w:rsidRDefault="00462037" w:rsidP="00462037">
            <w:pPr>
              <w:jc w:val="center"/>
              <w:rPr>
                <w:sz w:val="18"/>
                <w:szCs w:val="18"/>
              </w:rPr>
            </w:pPr>
            <w:r w:rsidRPr="00453749">
              <w:rPr>
                <w:sz w:val="18"/>
                <w:szCs w:val="18"/>
              </w:rPr>
              <w:t>0.2%</w:t>
            </w:r>
          </w:p>
        </w:tc>
        <w:tc>
          <w:tcPr>
            <w:tcW w:w="743" w:type="dxa"/>
          </w:tcPr>
          <w:p w14:paraId="3C7C90E5" w14:textId="77777777" w:rsidR="00462037" w:rsidRPr="00453749" w:rsidRDefault="00462037" w:rsidP="00462037">
            <w:pPr>
              <w:jc w:val="center"/>
              <w:rPr>
                <w:sz w:val="18"/>
                <w:szCs w:val="18"/>
              </w:rPr>
            </w:pPr>
            <w:r w:rsidRPr="00453749">
              <w:rPr>
                <w:sz w:val="18"/>
                <w:szCs w:val="18"/>
              </w:rPr>
              <w:t>0.1%</w:t>
            </w:r>
          </w:p>
        </w:tc>
        <w:tc>
          <w:tcPr>
            <w:tcW w:w="709" w:type="dxa"/>
          </w:tcPr>
          <w:p w14:paraId="11CF696D" w14:textId="77777777" w:rsidR="00462037" w:rsidRPr="00453749" w:rsidRDefault="00462037" w:rsidP="00462037">
            <w:pPr>
              <w:jc w:val="center"/>
              <w:rPr>
                <w:sz w:val="18"/>
                <w:szCs w:val="18"/>
              </w:rPr>
            </w:pPr>
            <w:r w:rsidRPr="00453749">
              <w:rPr>
                <w:sz w:val="18"/>
                <w:szCs w:val="18"/>
              </w:rPr>
              <w:t>0.1%</w:t>
            </w:r>
          </w:p>
        </w:tc>
        <w:tc>
          <w:tcPr>
            <w:tcW w:w="851" w:type="dxa"/>
          </w:tcPr>
          <w:p w14:paraId="5D0C31F8" w14:textId="77777777" w:rsidR="00462037" w:rsidRPr="00453749" w:rsidRDefault="00462037" w:rsidP="00462037">
            <w:pPr>
              <w:jc w:val="center"/>
              <w:rPr>
                <w:sz w:val="18"/>
                <w:szCs w:val="18"/>
              </w:rPr>
            </w:pPr>
            <w:r w:rsidRPr="00453749">
              <w:rPr>
                <w:sz w:val="18"/>
                <w:szCs w:val="18"/>
              </w:rPr>
              <w:t>0.3%</w:t>
            </w:r>
          </w:p>
        </w:tc>
        <w:tc>
          <w:tcPr>
            <w:tcW w:w="709" w:type="dxa"/>
          </w:tcPr>
          <w:p w14:paraId="37E5D9DA" w14:textId="77777777" w:rsidR="00462037" w:rsidRPr="00453749" w:rsidRDefault="00462037" w:rsidP="00462037">
            <w:pPr>
              <w:jc w:val="center"/>
              <w:rPr>
                <w:sz w:val="18"/>
                <w:szCs w:val="18"/>
              </w:rPr>
            </w:pPr>
            <w:r w:rsidRPr="00453749">
              <w:rPr>
                <w:sz w:val="18"/>
                <w:szCs w:val="18"/>
              </w:rPr>
              <w:t>0.0%</w:t>
            </w:r>
          </w:p>
        </w:tc>
        <w:tc>
          <w:tcPr>
            <w:tcW w:w="709" w:type="dxa"/>
          </w:tcPr>
          <w:p w14:paraId="07E3431C" w14:textId="77777777" w:rsidR="00462037" w:rsidRPr="00453749" w:rsidRDefault="00462037" w:rsidP="00462037">
            <w:pPr>
              <w:jc w:val="center"/>
              <w:rPr>
                <w:sz w:val="18"/>
                <w:szCs w:val="18"/>
              </w:rPr>
            </w:pPr>
            <w:r w:rsidRPr="00453749">
              <w:rPr>
                <w:sz w:val="18"/>
                <w:szCs w:val="18"/>
              </w:rPr>
              <w:t>0.4%</w:t>
            </w:r>
          </w:p>
        </w:tc>
        <w:tc>
          <w:tcPr>
            <w:tcW w:w="708" w:type="dxa"/>
          </w:tcPr>
          <w:p w14:paraId="34924484" w14:textId="77777777" w:rsidR="00462037" w:rsidRPr="00453749" w:rsidRDefault="00462037" w:rsidP="00462037">
            <w:pPr>
              <w:jc w:val="center"/>
              <w:rPr>
                <w:sz w:val="18"/>
                <w:szCs w:val="18"/>
              </w:rPr>
            </w:pPr>
            <w:r w:rsidRPr="00453749">
              <w:rPr>
                <w:sz w:val="18"/>
                <w:szCs w:val="18"/>
              </w:rPr>
              <w:t>7%</w:t>
            </w:r>
          </w:p>
        </w:tc>
        <w:tc>
          <w:tcPr>
            <w:tcW w:w="851" w:type="dxa"/>
          </w:tcPr>
          <w:p w14:paraId="6A5B5065" w14:textId="77777777" w:rsidR="00462037" w:rsidRPr="00453749" w:rsidRDefault="00462037" w:rsidP="00462037">
            <w:pPr>
              <w:jc w:val="center"/>
              <w:rPr>
                <w:sz w:val="18"/>
                <w:szCs w:val="18"/>
              </w:rPr>
            </w:pPr>
            <w:r w:rsidRPr="00453749">
              <w:rPr>
                <w:sz w:val="18"/>
                <w:szCs w:val="18"/>
              </w:rPr>
              <w:t>100%</w:t>
            </w:r>
          </w:p>
        </w:tc>
      </w:tr>
      <w:tr w:rsidR="00462037" w:rsidRPr="00527C4A" w14:paraId="3B1AF8A7" w14:textId="77777777" w:rsidTr="00462037">
        <w:tc>
          <w:tcPr>
            <w:tcW w:w="1413" w:type="dxa"/>
            <w:vMerge w:val="restart"/>
            <w:vAlign w:val="bottom"/>
          </w:tcPr>
          <w:p w14:paraId="3B890022" w14:textId="77777777" w:rsidR="00462037" w:rsidRPr="00527C4A" w:rsidRDefault="00462037" w:rsidP="00462037">
            <w:pPr>
              <w:rPr>
                <w:sz w:val="18"/>
                <w:szCs w:val="18"/>
              </w:rPr>
            </w:pPr>
            <w:r w:rsidRPr="00527C4A">
              <w:rPr>
                <w:sz w:val="18"/>
                <w:szCs w:val="18"/>
              </w:rPr>
              <w:t xml:space="preserve">Lincolnshire West </w:t>
            </w:r>
          </w:p>
        </w:tc>
        <w:tc>
          <w:tcPr>
            <w:tcW w:w="709" w:type="dxa"/>
          </w:tcPr>
          <w:p w14:paraId="11D6F1F8" w14:textId="77777777" w:rsidR="00462037" w:rsidRPr="00453749" w:rsidRDefault="00462037" w:rsidP="00462037">
            <w:pPr>
              <w:jc w:val="center"/>
              <w:rPr>
                <w:sz w:val="18"/>
                <w:szCs w:val="18"/>
              </w:rPr>
            </w:pPr>
            <w:r w:rsidRPr="00453749">
              <w:rPr>
                <w:sz w:val="18"/>
                <w:szCs w:val="18"/>
              </w:rPr>
              <w:t>19439</w:t>
            </w:r>
          </w:p>
        </w:tc>
        <w:tc>
          <w:tcPr>
            <w:tcW w:w="954" w:type="dxa"/>
          </w:tcPr>
          <w:p w14:paraId="7E0D73DB" w14:textId="77777777" w:rsidR="00462037" w:rsidRPr="00453749" w:rsidRDefault="00462037" w:rsidP="00462037">
            <w:pPr>
              <w:jc w:val="center"/>
              <w:rPr>
                <w:sz w:val="18"/>
                <w:szCs w:val="18"/>
              </w:rPr>
            </w:pPr>
            <w:r w:rsidRPr="00453749">
              <w:rPr>
                <w:sz w:val="18"/>
                <w:szCs w:val="18"/>
              </w:rPr>
              <w:t>62739</w:t>
            </w:r>
          </w:p>
        </w:tc>
        <w:tc>
          <w:tcPr>
            <w:tcW w:w="954" w:type="dxa"/>
          </w:tcPr>
          <w:p w14:paraId="6522A4AC" w14:textId="77777777" w:rsidR="00462037" w:rsidRPr="00453749" w:rsidRDefault="00462037" w:rsidP="00462037">
            <w:pPr>
              <w:jc w:val="center"/>
              <w:rPr>
                <w:sz w:val="18"/>
                <w:szCs w:val="18"/>
              </w:rPr>
            </w:pPr>
            <w:r w:rsidRPr="00453749">
              <w:rPr>
                <w:sz w:val="18"/>
                <w:szCs w:val="18"/>
              </w:rPr>
              <w:t>141</w:t>
            </w:r>
          </w:p>
        </w:tc>
        <w:tc>
          <w:tcPr>
            <w:tcW w:w="743" w:type="dxa"/>
          </w:tcPr>
          <w:p w14:paraId="7D144E18" w14:textId="77777777" w:rsidR="00462037" w:rsidRPr="00453749" w:rsidRDefault="00462037" w:rsidP="00462037">
            <w:pPr>
              <w:jc w:val="center"/>
              <w:rPr>
                <w:sz w:val="18"/>
                <w:szCs w:val="18"/>
              </w:rPr>
            </w:pPr>
            <w:r w:rsidRPr="00453749">
              <w:rPr>
                <w:sz w:val="18"/>
                <w:szCs w:val="18"/>
              </w:rPr>
              <w:t>172</w:t>
            </w:r>
          </w:p>
        </w:tc>
        <w:tc>
          <w:tcPr>
            <w:tcW w:w="709" w:type="dxa"/>
          </w:tcPr>
          <w:p w14:paraId="0F04F957" w14:textId="77777777" w:rsidR="00462037" w:rsidRPr="00453749" w:rsidRDefault="00462037" w:rsidP="00462037">
            <w:pPr>
              <w:jc w:val="center"/>
              <w:rPr>
                <w:sz w:val="18"/>
                <w:szCs w:val="18"/>
              </w:rPr>
            </w:pPr>
            <w:r w:rsidRPr="00453749">
              <w:rPr>
                <w:sz w:val="18"/>
                <w:szCs w:val="18"/>
              </w:rPr>
              <w:t>31</w:t>
            </w:r>
          </w:p>
        </w:tc>
        <w:tc>
          <w:tcPr>
            <w:tcW w:w="851" w:type="dxa"/>
          </w:tcPr>
          <w:p w14:paraId="4CDE3394" w14:textId="77777777" w:rsidR="00462037" w:rsidRPr="00453749" w:rsidRDefault="00462037" w:rsidP="00462037">
            <w:pPr>
              <w:jc w:val="center"/>
              <w:rPr>
                <w:sz w:val="18"/>
                <w:szCs w:val="18"/>
              </w:rPr>
            </w:pPr>
            <w:r w:rsidRPr="00453749">
              <w:rPr>
                <w:sz w:val="18"/>
                <w:szCs w:val="18"/>
              </w:rPr>
              <w:t>212</w:t>
            </w:r>
          </w:p>
        </w:tc>
        <w:tc>
          <w:tcPr>
            <w:tcW w:w="709" w:type="dxa"/>
          </w:tcPr>
          <w:p w14:paraId="036D9EB8" w14:textId="77777777" w:rsidR="00462037" w:rsidRPr="00453749" w:rsidRDefault="00462037" w:rsidP="00462037">
            <w:pPr>
              <w:jc w:val="center"/>
              <w:rPr>
                <w:sz w:val="18"/>
                <w:szCs w:val="18"/>
              </w:rPr>
            </w:pPr>
            <w:r w:rsidRPr="00453749">
              <w:rPr>
                <w:sz w:val="18"/>
                <w:szCs w:val="18"/>
              </w:rPr>
              <w:t>88</w:t>
            </w:r>
          </w:p>
        </w:tc>
        <w:tc>
          <w:tcPr>
            <w:tcW w:w="709" w:type="dxa"/>
          </w:tcPr>
          <w:p w14:paraId="1F6EA62D" w14:textId="77777777" w:rsidR="00462037" w:rsidRPr="00453749" w:rsidRDefault="00462037" w:rsidP="00462037">
            <w:pPr>
              <w:jc w:val="center"/>
              <w:rPr>
                <w:sz w:val="18"/>
                <w:szCs w:val="18"/>
              </w:rPr>
            </w:pPr>
            <w:r w:rsidRPr="00453749">
              <w:rPr>
                <w:sz w:val="18"/>
                <w:szCs w:val="18"/>
              </w:rPr>
              <w:t>303</w:t>
            </w:r>
          </w:p>
        </w:tc>
        <w:tc>
          <w:tcPr>
            <w:tcW w:w="708" w:type="dxa"/>
          </w:tcPr>
          <w:p w14:paraId="72E9E210" w14:textId="77777777" w:rsidR="00462037" w:rsidRPr="00453749" w:rsidRDefault="00462037" w:rsidP="00462037">
            <w:pPr>
              <w:jc w:val="center"/>
              <w:rPr>
                <w:sz w:val="18"/>
                <w:szCs w:val="18"/>
              </w:rPr>
            </w:pPr>
            <w:r w:rsidRPr="00453749">
              <w:rPr>
                <w:sz w:val="18"/>
                <w:szCs w:val="18"/>
              </w:rPr>
              <w:t>6125</w:t>
            </w:r>
          </w:p>
        </w:tc>
        <w:tc>
          <w:tcPr>
            <w:tcW w:w="851" w:type="dxa"/>
          </w:tcPr>
          <w:p w14:paraId="1192783A" w14:textId="77777777" w:rsidR="00462037" w:rsidRPr="00453749" w:rsidRDefault="00462037" w:rsidP="00462037">
            <w:pPr>
              <w:jc w:val="center"/>
              <w:rPr>
                <w:sz w:val="18"/>
                <w:szCs w:val="18"/>
              </w:rPr>
            </w:pPr>
            <w:r w:rsidRPr="00453749">
              <w:rPr>
                <w:sz w:val="18"/>
                <w:szCs w:val="18"/>
              </w:rPr>
              <w:t>89250</w:t>
            </w:r>
          </w:p>
        </w:tc>
      </w:tr>
      <w:tr w:rsidR="00462037" w:rsidRPr="00527C4A" w14:paraId="1F71486D" w14:textId="77777777" w:rsidTr="00462037">
        <w:tc>
          <w:tcPr>
            <w:tcW w:w="1413" w:type="dxa"/>
            <w:vMerge/>
          </w:tcPr>
          <w:p w14:paraId="14C1DF42" w14:textId="77777777" w:rsidR="00462037" w:rsidRPr="00527C4A" w:rsidRDefault="00462037" w:rsidP="00462037">
            <w:pPr>
              <w:rPr>
                <w:sz w:val="18"/>
                <w:szCs w:val="18"/>
              </w:rPr>
            </w:pPr>
          </w:p>
        </w:tc>
        <w:tc>
          <w:tcPr>
            <w:tcW w:w="709" w:type="dxa"/>
          </w:tcPr>
          <w:p w14:paraId="6C9EB07B" w14:textId="77777777" w:rsidR="00462037" w:rsidRPr="00453749" w:rsidRDefault="00462037" w:rsidP="00462037">
            <w:pPr>
              <w:jc w:val="center"/>
              <w:rPr>
                <w:sz w:val="18"/>
                <w:szCs w:val="18"/>
              </w:rPr>
            </w:pPr>
            <w:r w:rsidRPr="00453749">
              <w:rPr>
                <w:sz w:val="18"/>
                <w:szCs w:val="18"/>
              </w:rPr>
              <w:t>22%</w:t>
            </w:r>
          </w:p>
        </w:tc>
        <w:tc>
          <w:tcPr>
            <w:tcW w:w="954" w:type="dxa"/>
          </w:tcPr>
          <w:p w14:paraId="1EE53FCB" w14:textId="77777777" w:rsidR="00462037" w:rsidRPr="00453749" w:rsidRDefault="00462037" w:rsidP="00462037">
            <w:pPr>
              <w:jc w:val="center"/>
              <w:rPr>
                <w:sz w:val="18"/>
                <w:szCs w:val="18"/>
              </w:rPr>
            </w:pPr>
            <w:r w:rsidRPr="00453749">
              <w:rPr>
                <w:sz w:val="18"/>
                <w:szCs w:val="18"/>
              </w:rPr>
              <w:t>70%</w:t>
            </w:r>
          </w:p>
        </w:tc>
        <w:tc>
          <w:tcPr>
            <w:tcW w:w="954" w:type="dxa"/>
          </w:tcPr>
          <w:p w14:paraId="5BCD11CE" w14:textId="77777777" w:rsidR="00462037" w:rsidRPr="00453749" w:rsidRDefault="00462037" w:rsidP="00462037">
            <w:pPr>
              <w:jc w:val="center"/>
              <w:rPr>
                <w:sz w:val="18"/>
                <w:szCs w:val="18"/>
              </w:rPr>
            </w:pPr>
            <w:r w:rsidRPr="00453749">
              <w:rPr>
                <w:sz w:val="18"/>
                <w:szCs w:val="18"/>
              </w:rPr>
              <w:t>0.2%</w:t>
            </w:r>
          </w:p>
        </w:tc>
        <w:tc>
          <w:tcPr>
            <w:tcW w:w="743" w:type="dxa"/>
          </w:tcPr>
          <w:p w14:paraId="6530FB7A" w14:textId="77777777" w:rsidR="00462037" w:rsidRPr="00453749" w:rsidRDefault="00462037" w:rsidP="00462037">
            <w:pPr>
              <w:jc w:val="center"/>
              <w:rPr>
                <w:sz w:val="18"/>
                <w:szCs w:val="18"/>
              </w:rPr>
            </w:pPr>
            <w:r w:rsidRPr="00453749">
              <w:rPr>
                <w:sz w:val="18"/>
                <w:szCs w:val="18"/>
              </w:rPr>
              <w:t>0.2%</w:t>
            </w:r>
          </w:p>
        </w:tc>
        <w:tc>
          <w:tcPr>
            <w:tcW w:w="709" w:type="dxa"/>
          </w:tcPr>
          <w:p w14:paraId="232C69E3" w14:textId="77777777" w:rsidR="00462037" w:rsidRPr="00453749" w:rsidRDefault="00462037" w:rsidP="00462037">
            <w:pPr>
              <w:jc w:val="center"/>
              <w:rPr>
                <w:sz w:val="18"/>
                <w:szCs w:val="18"/>
              </w:rPr>
            </w:pPr>
            <w:r w:rsidRPr="00453749">
              <w:rPr>
                <w:sz w:val="18"/>
                <w:szCs w:val="18"/>
              </w:rPr>
              <w:t>0.0%</w:t>
            </w:r>
          </w:p>
        </w:tc>
        <w:tc>
          <w:tcPr>
            <w:tcW w:w="851" w:type="dxa"/>
          </w:tcPr>
          <w:p w14:paraId="79E6F8E3" w14:textId="77777777" w:rsidR="00462037" w:rsidRPr="00453749" w:rsidRDefault="00462037" w:rsidP="00462037">
            <w:pPr>
              <w:jc w:val="center"/>
              <w:rPr>
                <w:sz w:val="18"/>
                <w:szCs w:val="18"/>
              </w:rPr>
            </w:pPr>
            <w:r w:rsidRPr="00453749">
              <w:rPr>
                <w:sz w:val="18"/>
                <w:szCs w:val="18"/>
              </w:rPr>
              <w:t>0.2%</w:t>
            </w:r>
          </w:p>
        </w:tc>
        <w:tc>
          <w:tcPr>
            <w:tcW w:w="709" w:type="dxa"/>
          </w:tcPr>
          <w:p w14:paraId="2CE70AFC" w14:textId="77777777" w:rsidR="00462037" w:rsidRPr="00453749" w:rsidRDefault="00462037" w:rsidP="00462037">
            <w:pPr>
              <w:jc w:val="center"/>
              <w:rPr>
                <w:sz w:val="18"/>
                <w:szCs w:val="18"/>
              </w:rPr>
            </w:pPr>
            <w:r w:rsidRPr="00453749">
              <w:rPr>
                <w:sz w:val="18"/>
                <w:szCs w:val="18"/>
              </w:rPr>
              <w:t>0.1%</w:t>
            </w:r>
          </w:p>
        </w:tc>
        <w:tc>
          <w:tcPr>
            <w:tcW w:w="709" w:type="dxa"/>
          </w:tcPr>
          <w:p w14:paraId="369D3C64" w14:textId="77777777" w:rsidR="00462037" w:rsidRPr="00453749" w:rsidRDefault="00462037" w:rsidP="00462037">
            <w:pPr>
              <w:jc w:val="center"/>
              <w:rPr>
                <w:sz w:val="18"/>
                <w:szCs w:val="18"/>
              </w:rPr>
            </w:pPr>
            <w:r w:rsidRPr="00453749">
              <w:rPr>
                <w:sz w:val="18"/>
                <w:szCs w:val="18"/>
              </w:rPr>
              <w:t>0.3%</w:t>
            </w:r>
          </w:p>
        </w:tc>
        <w:tc>
          <w:tcPr>
            <w:tcW w:w="708" w:type="dxa"/>
          </w:tcPr>
          <w:p w14:paraId="49228FCF" w14:textId="77777777" w:rsidR="00462037" w:rsidRPr="00453749" w:rsidRDefault="00462037" w:rsidP="00462037">
            <w:pPr>
              <w:jc w:val="center"/>
              <w:rPr>
                <w:sz w:val="18"/>
                <w:szCs w:val="18"/>
              </w:rPr>
            </w:pPr>
            <w:r w:rsidRPr="00453749">
              <w:rPr>
                <w:sz w:val="18"/>
                <w:szCs w:val="18"/>
              </w:rPr>
              <w:t>7%</w:t>
            </w:r>
          </w:p>
        </w:tc>
        <w:tc>
          <w:tcPr>
            <w:tcW w:w="851" w:type="dxa"/>
          </w:tcPr>
          <w:p w14:paraId="4DF3DCFA" w14:textId="77777777" w:rsidR="00462037" w:rsidRPr="00453749" w:rsidRDefault="00462037" w:rsidP="00462037">
            <w:pPr>
              <w:jc w:val="center"/>
              <w:rPr>
                <w:sz w:val="18"/>
                <w:szCs w:val="18"/>
              </w:rPr>
            </w:pPr>
            <w:r w:rsidRPr="00453749">
              <w:rPr>
                <w:sz w:val="18"/>
                <w:szCs w:val="18"/>
              </w:rPr>
              <w:t>100%</w:t>
            </w:r>
          </w:p>
        </w:tc>
      </w:tr>
    </w:tbl>
    <w:p w14:paraId="57F43CC3" w14:textId="77777777" w:rsidR="00462037" w:rsidRDefault="00462037" w:rsidP="00462037">
      <w:pPr>
        <w:rPr>
          <w:sz w:val="16"/>
          <w:szCs w:val="16"/>
        </w:rPr>
      </w:pPr>
      <w:r w:rsidRPr="00527C4A">
        <w:rPr>
          <w:sz w:val="16"/>
          <w:szCs w:val="16"/>
        </w:rPr>
        <w:t xml:space="preserve">Source: Office for National Statistics (ONS) mid-2011 Census based population estimates for Clinical Commissioning Groups. </w:t>
      </w:r>
    </w:p>
    <w:p w14:paraId="4FCBE366" w14:textId="732C6924" w:rsidR="00462037" w:rsidRDefault="00462037" w:rsidP="00462037">
      <w:pPr>
        <w:pStyle w:val="Heading4"/>
      </w:pPr>
      <w:r>
        <w:t>Table 6 – Sexual orientation (proxy) and marital state distribution of CCG populations 2011</w:t>
      </w:r>
    </w:p>
    <w:tbl>
      <w:tblPr>
        <w:tblStyle w:val="TableGrid"/>
        <w:tblW w:w="9067" w:type="dxa"/>
        <w:tblLook w:val="04A0" w:firstRow="1" w:lastRow="0" w:firstColumn="1" w:lastColumn="0" w:noHBand="0" w:noVBand="1"/>
      </w:tblPr>
      <w:tblGrid>
        <w:gridCol w:w="1980"/>
        <w:gridCol w:w="709"/>
        <w:gridCol w:w="850"/>
        <w:gridCol w:w="1701"/>
        <w:gridCol w:w="975"/>
        <w:gridCol w:w="868"/>
        <w:gridCol w:w="972"/>
        <w:gridCol w:w="1012"/>
      </w:tblGrid>
      <w:tr w:rsidR="00462037" w14:paraId="55F2B1BD" w14:textId="77777777" w:rsidTr="00462037">
        <w:tc>
          <w:tcPr>
            <w:tcW w:w="1980" w:type="dxa"/>
            <w:shd w:val="clear" w:color="auto" w:fill="767171" w:themeFill="background2" w:themeFillShade="80"/>
          </w:tcPr>
          <w:p w14:paraId="5BDFA2BC" w14:textId="77777777" w:rsidR="00462037" w:rsidRPr="00527C4A" w:rsidRDefault="00462037" w:rsidP="00462037">
            <w:pPr>
              <w:jc w:val="center"/>
              <w:rPr>
                <w:color w:val="FFFFFF" w:themeColor="background1"/>
                <w:sz w:val="18"/>
                <w:szCs w:val="18"/>
              </w:rPr>
            </w:pPr>
            <w:r>
              <w:rPr>
                <w:color w:val="FFFFFF" w:themeColor="background1"/>
                <w:sz w:val="18"/>
                <w:szCs w:val="18"/>
              </w:rPr>
              <w:t>CCG</w:t>
            </w:r>
          </w:p>
        </w:tc>
        <w:tc>
          <w:tcPr>
            <w:tcW w:w="709" w:type="dxa"/>
            <w:shd w:val="clear" w:color="auto" w:fill="767171" w:themeFill="background2" w:themeFillShade="80"/>
            <w:vAlign w:val="center"/>
          </w:tcPr>
          <w:p w14:paraId="2D72E89B" w14:textId="77777777" w:rsidR="00462037" w:rsidRPr="00527C4A" w:rsidRDefault="00462037" w:rsidP="00462037">
            <w:pPr>
              <w:jc w:val="center"/>
              <w:rPr>
                <w:color w:val="FFFFFF" w:themeColor="background1"/>
                <w:sz w:val="18"/>
                <w:szCs w:val="18"/>
              </w:rPr>
            </w:pPr>
            <w:r>
              <w:rPr>
                <w:color w:val="FFFFFF" w:themeColor="background1"/>
                <w:sz w:val="18"/>
                <w:szCs w:val="18"/>
              </w:rPr>
              <w:t>Single</w:t>
            </w:r>
          </w:p>
        </w:tc>
        <w:tc>
          <w:tcPr>
            <w:tcW w:w="850" w:type="dxa"/>
            <w:shd w:val="clear" w:color="auto" w:fill="767171" w:themeFill="background2" w:themeFillShade="80"/>
            <w:vAlign w:val="center"/>
          </w:tcPr>
          <w:p w14:paraId="2C5241C6" w14:textId="77777777" w:rsidR="00462037" w:rsidRPr="00527C4A" w:rsidRDefault="00462037" w:rsidP="00462037">
            <w:pPr>
              <w:jc w:val="center"/>
              <w:rPr>
                <w:color w:val="FFFFFF" w:themeColor="background1"/>
                <w:sz w:val="18"/>
                <w:szCs w:val="18"/>
              </w:rPr>
            </w:pPr>
            <w:r>
              <w:rPr>
                <w:color w:val="FFFFFF" w:themeColor="background1"/>
                <w:sz w:val="18"/>
                <w:szCs w:val="18"/>
              </w:rPr>
              <w:t>Married</w:t>
            </w:r>
          </w:p>
        </w:tc>
        <w:tc>
          <w:tcPr>
            <w:tcW w:w="1701" w:type="dxa"/>
            <w:shd w:val="clear" w:color="auto" w:fill="767171" w:themeFill="background2" w:themeFillShade="80"/>
            <w:vAlign w:val="center"/>
          </w:tcPr>
          <w:p w14:paraId="6AB21CFF" w14:textId="77777777" w:rsidR="00462037" w:rsidRPr="00527C4A" w:rsidRDefault="00462037" w:rsidP="00462037">
            <w:pPr>
              <w:jc w:val="center"/>
              <w:rPr>
                <w:color w:val="FFFFFF" w:themeColor="background1"/>
                <w:sz w:val="18"/>
                <w:szCs w:val="18"/>
              </w:rPr>
            </w:pPr>
            <w:r>
              <w:rPr>
                <w:color w:val="FFFFFF" w:themeColor="background1"/>
                <w:sz w:val="18"/>
                <w:szCs w:val="18"/>
              </w:rPr>
              <w:t>In a registered same sex civil-partnership</w:t>
            </w:r>
          </w:p>
        </w:tc>
        <w:tc>
          <w:tcPr>
            <w:tcW w:w="975" w:type="dxa"/>
            <w:shd w:val="clear" w:color="auto" w:fill="767171" w:themeFill="background2" w:themeFillShade="80"/>
            <w:vAlign w:val="center"/>
          </w:tcPr>
          <w:p w14:paraId="4E0F5B32" w14:textId="77777777" w:rsidR="00462037" w:rsidRPr="00527C4A" w:rsidRDefault="00462037" w:rsidP="00462037">
            <w:pPr>
              <w:jc w:val="center"/>
              <w:rPr>
                <w:color w:val="FFFFFF" w:themeColor="background1"/>
                <w:sz w:val="18"/>
                <w:szCs w:val="18"/>
              </w:rPr>
            </w:pPr>
            <w:r>
              <w:rPr>
                <w:color w:val="FFFFFF" w:themeColor="background1"/>
                <w:sz w:val="18"/>
                <w:szCs w:val="18"/>
              </w:rPr>
              <w:t>Separated</w:t>
            </w:r>
          </w:p>
        </w:tc>
        <w:tc>
          <w:tcPr>
            <w:tcW w:w="868" w:type="dxa"/>
            <w:shd w:val="clear" w:color="auto" w:fill="767171" w:themeFill="background2" w:themeFillShade="80"/>
            <w:vAlign w:val="center"/>
          </w:tcPr>
          <w:p w14:paraId="3E2A70F8" w14:textId="77777777" w:rsidR="00462037" w:rsidRPr="00527C4A" w:rsidRDefault="00462037" w:rsidP="00462037">
            <w:pPr>
              <w:jc w:val="center"/>
              <w:rPr>
                <w:color w:val="FFFFFF" w:themeColor="background1"/>
                <w:sz w:val="18"/>
                <w:szCs w:val="18"/>
              </w:rPr>
            </w:pPr>
            <w:r>
              <w:rPr>
                <w:color w:val="FFFFFF" w:themeColor="background1"/>
                <w:sz w:val="18"/>
                <w:szCs w:val="18"/>
              </w:rPr>
              <w:t>Divorced</w:t>
            </w:r>
          </w:p>
        </w:tc>
        <w:tc>
          <w:tcPr>
            <w:tcW w:w="972" w:type="dxa"/>
            <w:shd w:val="clear" w:color="auto" w:fill="767171" w:themeFill="background2" w:themeFillShade="80"/>
            <w:vAlign w:val="center"/>
          </w:tcPr>
          <w:p w14:paraId="7D3CB1D5" w14:textId="77777777" w:rsidR="00462037" w:rsidRPr="00527C4A" w:rsidRDefault="00462037" w:rsidP="00462037">
            <w:pPr>
              <w:jc w:val="center"/>
              <w:rPr>
                <w:color w:val="FFFFFF" w:themeColor="background1"/>
                <w:sz w:val="18"/>
                <w:szCs w:val="18"/>
              </w:rPr>
            </w:pPr>
            <w:r>
              <w:rPr>
                <w:color w:val="FFFFFF" w:themeColor="background1"/>
                <w:sz w:val="18"/>
                <w:szCs w:val="18"/>
              </w:rPr>
              <w:t>Widowed</w:t>
            </w:r>
          </w:p>
        </w:tc>
        <w:tc>
          <w:tcPr>
            <w:tcW w:w="1012" w:type="dxa"/>
            <w:shd w:val="clear" w:color="auto" w:fill="767171" w:themeFill="background2" w:themeFillShade="80"/>
            <w:vAlign w:val="center"/>
          </w:tcPr>
          <w:p w14:paraId="1C7F2D1F" w14:textId="77777777" w:rsidR="00462037" w:rsidRPr="00527C4A" w:rsidRDefault="00462037" w:rsidP="00462037">
            <w:pPr>
              <w:jc w:val="center"/>
              <w:rPr>
                <w:color w:val="FFFFFF" w:themeColor="background1"/>
                <w:sz w:val="18"/>
                <w:szCs w:val="18"/>
              </w:rPr>
            </w:pPr>
            <w:r>
              <w:rPr>
                <w:color w:val="FFFFFF" w:themeColor="background1"/>
                <w:sz w:val="18"/>
                <w:szCs w:val="18"/>
              </w:rPr>
              <w:t>Population aged 16+</w:t>
            </w:r>
          </w:p>
        </w:tc>
      </w:tr>
      <w:tr w:rsidR="00462037" w14:paraId="2834011D" w14:textId="77777777" w:rsidTr="00462037">
        <w:tc>
          <w:tcPr>
            <w:tcW w:w="1980" w:type="dxa"/>
            <w:vMerge w:val="restart"/>
            <w:vAlign w:val="bottom"/>
          </w:tcPr>
          <w:p w14:paraId="5A997155" w14:textId="77777777" w:rsidR="00462037" w:rsidRPr="00527C4A" w:rsidRDefault="00462037" w:rsidP="00462037">
            <w:pPr>
              <w:rPr>
                <w:sz w:val="18"/>
                <w:szCs w:val="18"/>
              </w:rPr>
            </w:pPr>
            <w:r w:rsidRPr="00527C4A">
              <w:rPr>
                <w:sz w:val="18"/>
                <w:szCs w:val="18"/>
              </w:rPr>
              <w:t xml:space="preserve">North Lincolnshire </w:t>
            </w:r>
          </w:p>
        </w:tc>
        <w:tc>
          <w:tcPr>
            <w:tcW w:w="709" w:type="dxa"/>
          </w:tcPr>
          <w:p w14:paraId="4B9DA345" w14:textId="77777777" w:rsidR="00462037" w:rsidRPr="00EA1CFF" w:rsidRDefault="00462037" w:rsidP="00462037">
            <w:pPr>
              <w:jc w:val="center"/>
              <w:rPr>
                <w:sz w:val="18"/>
                <w:szCs w:val="18"/>
              </w:rPr>
            </w:pPr>
            <w:r w:rsidRPr="00EA1CFF">
              <w:rPr>
                <w:sz w:val="18"/>
                <w:szCs w:val="18"/>
              </w:rPr>
              <w:t>39393</w:t>
            </w:r>
          </w:p>
        </w:tc>
        <w:tc>
          <w:tcPr>
            <w:tcW w:w="850" w:type="dxa"/>
          </w:tcPr>
          <w:p w14:paraId="798D5C4A" w14:textId="77777777" w:rsidR="00462037" w:rsidRPr="00EA1CFF" w:rsidRDefault="00462037" w:rsidP="00462037">
            <w:pPr>
              <w:jc w:val="center"/>
              <w:rPr>
                <w:sz w:val="18"/>
                <w:szCs w:val="18"/>
              </w:rPr>
            </w:pPr>
            <w:r w:rsidRPr="00EA1CFF">
              <w:rPr>
                <w:sz w:val="18"/>
                <w:szCs w:val="18"/>
              </w:rPr>
              <w:t>68435</w:t>
            </w:r>
          </w:p>
        </w:tc>
        <w:tc>
          <w:tcPr>
            <w:tcW w:w="1701" w:type="dxa"/>
          </w:tcPr>
          <w:p w14:paraId="3F1A7500" w14:textId="77777777" w:rsidR="00462037" w:rsidRPr="00EA1CFF" w:rsidRDefault="00462037" w:rsidP="00462037">
            <w:pPr>
              <w:jc w:val="center"/>
              <w:rPr>
                <w:sz w:val="18"/>
                <w:szCs w:val="18"/>
              </w:rPr>
            </w:pPr>
            <w:r w:rsidRPr="00EA1CFF">
              <w:rPr>
                <w:sz w:val="18"/>
                <w:szCs w:val="18"/>
              </w:rPr>
              <w:t>212</w:t>
            </w:r>
          </w:p>
        </w:tc>
        <w:tc>
          <w:tcPr>
            <w:tcW w:w="975" w:type="dxa"/>
          </w:tcPr>
          <w:p w14:paraId="75074D0D" w14:textId="77777777" w:rsidR="00462037" w:rsidRPr="00EA1CFF" w:rsidRDefault="00462037" w:rsidP="00462037">
            <w:pPr>
              <w:jc w:val="center"/>
              <w:rPr>
                <w:sz w:val="18"/>
                <w:szCs w:val="18"/>
              </w:rPr>
            </w:pPr>
            <w:r w:rsidRPr="00EA1CFF">
              <w:rPr>
                <w:sz w:val="18"/>
                <w:szCs w:val="18"/>
              </w:rPr>
              <w:t>3369</w:t>
            </w:r>
          </w:p>
        </w:tc>
        <w:tc>
          <w:tcPr>
            <w:tcW w:w="868" w:type="dxa"/>
          </w:tcPr>
          <w:p w14:paraId="3423D393" w14:textId="77777777" w:rsidR="00462037" w:rsidRPr="00EA1CFF" w:rsidRDefault="00462037" w:rsidP="00462037">
            <w:pPr>
              <w:jc w:val="center"/>
              <w:rPr>
                <w:sz w:val="18"/>
                <w:szCs w:val="18"/>
              </w:rPr>
            </w:pPr>
            <w:r w:rsidRPr="00EA1CFF">
              <w:rPr>
                <w:sz w:val="18"/>
                <w:szCs w:val="18"/>
              </w:rPr>
              <w:t>14278</w:t>
            </w:r>
          </w:p>
        </w:tc>
        <w:tc>
          <w:tcPr>
            <w:tcW w:w="972" w:type="dxa"/>
          </w:tcPr>
          <w:p w14:paraId="5D787EF3" w14:textId="77777777" w:rsidR="00462037" w:rsidRPr="00EA1CFF" w:rsidRDefault="00462037" w:rsidP="00462037">
            <w:pPr>
              <w:jc w:val="center"/>
              <w:rPr>
                <w:sz w:val="18"/>
                <w:szCs w:val="18"/>
              </w:rPr>
            </w:pPr>
            <w:r w:rsidRPr="00EA1CFF">
              <w:rPr>
                <w:sz w:val="18"/>
                <w:szCs w:val="18"/>
              </w:rPr>
              <w:t>10418</w:t>
            </w:r>
          </w:p>
        </w:tc>
        <w:tc>
          <w:tcPr>
            <w:tcW w:w="1012" w:type="dxa"/>
          </w:tcPr>
          <w:p w14:paraId="72AB143B" w14:textId="77777777" w:rsidR="00462037" w:rsidRPr="00EA1CFF" w:rsidRDefault="00462037" w:rsidP="00462037">
            <w:pPr>
              <w:jc w:val="center"/>
              <w:rPr>
                <w:sz w:val="18"/>
                <w:szCs w:val="18"/>
              </w:rPr>
            </w:pPr>
            <w:r w:rsidRPr="00EA1CFF">
              <w:rPr>
                <w:sz w:val="18"/>
                <w:szCs w:val="18"/>
              </w:rPr>
              <w:t>136105</w:t>
            </w:r>
          </w:p>
        </w:tc>
      </w:tr>
      <w:tr w:rsidR="00462037" w14:paraId="77A5C0C4" w14:textId="77777777" w:rsidTr="00462037">
        <w:tc>
          <w:tcPr>
            <w:tcW w:w="1980" w:type="dxa"/>
            <w:vMerge/>
            <w:vAlign w:val="bottom"/>
          </w:tcPr>
          <w:p w14:paraId="6E1B7BBE" w14:textId="77777777" w:rsidR="00462037" w:rsidRPr="00527C4A" w:rsidRDefault="00462037" w:rsidP="00462037">
            <w:pPr>
              <w:rPr>
                <w:sz w:val="18"/>
                <w:szCs w:val="18"/>
              </w:rPr>
            </w:pPr>
          </w:p>
        </w:tc>
        <w:tc>
          <w:tcPr>
            <w:tcW w:w="709" w:type="dxa"/>
          </w:tcPr>
          <w:p w14:paraId="2F67096E" w14:textId="77777777" w:rsidR="00462037" w:rsidRPr="00EA1CFF" w:rsidRDefault="00462037" w:rsidP="00462037">
            <w:pPr>
              <w:jc w:val="center"/>
              <w:rPr>
                <w:sz w:val="18"/>
                <w:szCs w:val="18"/>
              </w:rPr>
            </w:pPr>
            <w:r w:rsidRPr="00EA1CFF">
              <w:rPr>
                <w:sz w:val="18"/>
                <w:szCs w:val="18"/>
              </w:rPr>
              <w:t>29%</w:t>
            </w:r>
          </w:p>
        </w:tc>
        <w:tc>
          <w:tcPr>
            <w:tcW w:w="850" w:type="dxa"/>
          </w:tcPr>
          <w:p w14:paraId="1EE19FE6" w14:textId="77777777" w:rsidR="00462037" w:rsidRPr="00EA1CFF" w:rsidRDefault="00462037" w:rsidP="00462037">
            <w:pPr>
              <w:jc w:val="center"/>
              <w:rPr>
                <w:sz w:val="18"/>
                <w:szCs w:val="18"/>
              </w:rPr>
            </w:pPr>
            <w:r w:rsidRPr="00EA1CFF">
              <w:rPr>
                <w:sz w:val="18"/>
                <w:szCs w:val="18"/>
              </w:rPr>
              <w:t>50%</w:t>
            </w:r>
          </w:p>
        </w:tc>
        <w:tc>
          <w:tcPr>
            <w:tcW w:w="1701" w:type="dxa"/>
          </w:tcPr>
          <w:p w14:paraId="50BFF35A" w14:textId="77777777" w:rsidR="00462037" w:rsidRPr="00EA1CFF" w:rsidRDefault="00462037" w:rsidP="00462037">
            <w:pPr>
              <w:jc w:val="center"/>
              <w:rPr>
                <w:sz w:val="18"/>
                <w:szCs w:val="18"/>
              </w:rPr>
            </w:pPr>
            <w:r w:rsidRPr="00EA1CFF">
              <w:rPr>
                <w:sz w:val="18"/>
                <w:szCs w:val="18"/>
              </w:rPr>
              <w:t>0.2%</w:t>
            </w:r>
          </w:p>
        </w:tc>
        <w:tc>
          <w:tcPr>
            <w:tcW w:w="975" w:type="dxa"/>
          </w:tcPr>
          <w:p w14:paraId="6EE79165" w14:textId="77777777" w:rsidR="00462037" w:rsidRPr="00EA1CFF" w:rsidRDefault="00462037" w:rsidP="00462037">
            <w:pPr>
              <w:jc w:val="center"/>
              <w:rPr>
                <w:sz w:val="18"/>
                <w:szCs w:val="18"/>
              </w:rPr>
            </w:pPr>
            <w:r w:rsidRPr="00EA1CFF">
              <w:rPr>
                <w:sz w:val="18"/>
                <w:szCs w:val="18"/>
              </w:rPr>
              <w:t>2%</w:t>
            </w:r>
          </w:p>
        </w:tc>
        <w:tc>
          <w:tcPr>
            <w:tcW w:w="868" w:type="dxa"/>
          </w:tcPr>
          <w:p w14:paraId="44C1B764" w14:textId="77777777" w:rsidR="00462037" w:rsidRPr="00EA1CFF" w:rsidRDefault="00462037" w:rsidP="00462037">
            <w:pPr>
              <w:jc w:val="center"/>
              <w:rPr>
                <w:sz w:val="18"/>
                <w:szCs w:val="18"/>
              </w:rPr>
            </w:pPr>
            <w:r w:rsidRPr="00EA1CFF">
              <w:rPr>
                <w:sz w:val="18"/>
                <w:szCs w:val="18"/>
              </w:rPr>
              <w:t>10%</w:t>
            </w:r>
          </w:p>
        </w:tc>
        <w:tc>
          <w:tcPr>
            <w:tcW w:w="972" w:type="dxa"/>
          </w:tcPr>
          <w:p w14:paraId="56A56027" w14:textId="77777777" w:rsidR="00462037" w:rsidRPr="00EA1CFF" w:rsidRDefault="00462037" w:rsidP="00462037">
            <w:pPr>
              <w:jc w:val="center"/>
              <w:rPr>
                <w:sz w:val="18"/>
                <w:szCs w:val="18"/>
              </w:rPr>
            </w:pPr>
            <w:r w:rsidRPr="00EA1CFF">
              <w:rPr>
                <w:sz w:val="18"/>
                <w:szCs w:val="18"/>
              </w:rPr>
              <w:t>8%</w:t>
            </w:r>
          </w:p>
        </w:tc>
        <w:tc>
          <w:tcPr>
            <w:tcW w:w="1012" w:type="dxa"/>
          </w:tcPr>
          <w:p w14:paraId="2166966E" w14:textId="77777777" w:rsidR="00462037" w:rsidRPr="00EA1CFF" w:rsidRDefault="00462037" w:rsidP="00462037">
            <w:pPr>
              <w:jc w:val="center"/>
              <w:rPr>
                <w:sz w:val="18"/>
                <w:szCs w:val="18"/>
              </w:rPr>
            </w:pPr>
            <w:r w:rsidRPr="00EA1CFF">
              <w:rPr>
                <w:sz w:val="18"/>
                <w:szCs w:val="18"/>
              </w:rPr>
              <w:t>100%</w:t>
            </w:r>
          </w:p>
        </w:tc>
      </w:tr>
      <w:tr w:rsidR="00462037" w14:paraId="14529706" w14:textId="77777777" w:rsidTr="00462037">
        <w:tc>
          <w:tcPr>
            <w:tcW w:w="1980" w:type="dxa"/>
            <w:vMerge w:val="restart"/>
            <w:vAlign w:val="bottom"/>
          </w:tcPr>
          <w:p w14:paraId="2CE111FF" w14:textId="77777777" w:rsidR="00462037" w:rsidRPr="00527C4A" w:rsidRDefault="00462037" w:rsidP="00462037">
            <w:pPr>
              <w:rPr>
                <w:sz w:val="18"/>
                <w:szCs w:val="18"/>
              </w:rPr>
            </w:pPr>
            <w:r w:rsidRPr="00527C4A">
              <w:rPr>
                <w:sz w:val="18"/>
                <w:szCs w:val="18"/>
              </w:rPr>
              <w:t xml:space="preserve">North East Lincolnshire </w:t>
            </w:r>
          </w:p>
        </w:tc>
        <w:tc>
          <w:tcPr>
            <w:tcW w:w="709" w:type="dxa"/>
          </w:tcPr>
          <w:p w14:paraId="517C219A" w14:textId="77777777" w:rsidR="00462037" w:rsidRPr="00EA1CFF" w:rsidRDefault="00462037" w:rsidP="00462037">
            <w:pPr>
              <w:jc w:val="center"/>
              <w:rPr>
                <w:sz w:val="18"/>
                <w:szCs w:val="18"/>
              </w:rPr>
            </w:pPr>
            <w:r w:rsidRPr="00EA1CFF">
              <w:rPr>
                <w:sz w:val="18"/>
                <w:szCs w:val="18"/>
              </w:rPr>
              <w:t>42808</w:t>
            </w:r>
          </w:p>
        </w:tc>
        <w:tc>
          <w:tcPr>
            <w:tcW w:w="850" w:type="dxa"/>
          </w:tcPr>
          <w:p w14:paraId="2221F31B" w14:textId="77777777" w:rsidR="00462037" w:rsidRPr="00EA1CFF" w:rsidRDefault="00462037" w:rsidP="00462037">
            <w:pPr>
              <w:jc w:val="center"/>
              <w:rPr>
                <w:sz w:val="18"/>
                <w:szCs w:val="18"/>
              </w:rPr>
            </w:pPr>
            <w:r w:rsidRPr="00EA1CFF">
              <w:rPr>
                <w:sz w:val="18"/>
                <w:szCs w:val="18"/>
              </w:rPr>
              <w:t>58434</w:t>
            </w:r>
          </w:p>
        </w:tc>
        <w:tc>
          <w:tcPr>
            <w:tcW w:w="1701" w:type="dxa"/>
          </w:tcPr>
          <w:p w14:paraId="0B780457" w14:textId="77777777" w:rsidR="00462037" w:rsidRPr="00EA1CFF" w:rsidRDefault="00462037" w:rsidP="00462037">
            <w:pPr>
              <w:jc w:val="center"/>
              <w:rPr>
                <w:sz w:val="18"/>
                <w:szCs w:val="18"/>
              </w:rPr>
            </w:pPr>
            <w:r w:rsidRPr="00EA1CFF">
              <w:rPr>
                <w:sz w:val="18"/>
                <w:szCs w:val="18"/>
              </w:rPr>
              <w:t>185</w:t>
            </w:r>
          </w:p>
        </w:tc>
        <w:tc>
          <w:tcPr>
            <w:tcW w:w="975" w:type="dxa"/>
          </w:tcPr>
          <w:p w14:paraId="164B338F" w14:textId="77777777" w:rsidR="00462037" w:rsidRPr="00EA1CFF" w:rsidRDefault="00462037" w:rsidP="00462037">
            <w:pPr>
              <w:jc w:val="center"/>
              <w:rPr>
                <w:sz w:val="18"/>
                <w:szCs w:val="18"/>
              </w:rPr>
            </w:pPr>
            <w:r w:rsidRPr="00EA1CFF">
              <w:rPr>
                <w:sz w:val="18"/>
                <w:szCs w:val="18"/>
              </w:rPr>
              <w:t>3369</w:t>
            </w:r>
          </w:p>
        </w:tc>
        <w:tc>
          <w:tcPr>
            <w:tcW w:w="868" w:type="dxa"/>
          </w:tcPr>
          <w:p w14:paraId="5E05A008" w14:textId="77777777" w:rsidR="00462037" w:rsidRPr="00EA1CFF" w:rsidRDefault="00462037" w:rsidP="00462037">
            <w:pPr>
              <w:jc w:val="center"/>
              <w:rPr>
                <w:sz w:val="18"/>
                <w:szCs w:val="18"/>
              </w:rPr>
            </w:pPr>
            <w:r w:rsidRPr="00EA1CFF">
              <w:rPr>
                <w:sz w:val="18"/>
                <w:szCs w:val="18"/>
              </w:rPr>
              <w:t>14492</w:t>
            </w:r>
          </w:p>
        </w:tc>
        <w:tc>
          <w:tcPr>
            <w:tcW w:w="972" w:type="dxa"/>
          </w:tcPr>
          <w:p w14:paraId="18D93DC2" w14:textId="77777777" w:rsidR="00462037" w:rsidRPr="00EA1CFF" w:rsidRDefault="00462037" w:rsidP="00462037">
            <w:pPr>
              <w:jc w:val="center"/>
              <w:rPr>
                <w:sz w:val="18"/>
                <w:szCs w:val="18"/>
              </w:rPr>
            </w:pPr>
            <w:r w:rsidRPr="00EA1CFF">
              <w:rPr>
                <w:sz w:val="18"/>
                <w:szCs w:val="18"/>
              </w:rPr>
              <w:t>10089</w:t>
            </w:r>
          </w:p>
        </w:tc>
        <w:tc>
          <w:tcPr>
            <w:tcW w:w="1012" w:type="dxa"/>
          </w:tcPr>
          <w:p w14:paraId="6122EFB3" w14:textId="77777777" w:rsidR="00462037" w:rsidRPr="00EA1CFF" w:rsidRDefault="00462037" w:rsidP="00462037">
            <w:pPr>
              <w:jc w:val="center"/>
              <w:rPr>
                <w:sz w:val="18"/>
                <w:szCs w:val="18"/>
              </w:rPr>
            </w:pPr>
            <w:r w:rsidRPr="00EA1CFF">
              <w:rPr>
                <w:sz w:val="18"/>
                <w:szCs w:val="18"/>
              </w:rPr>
              <w:t>129377</w:t>
            </w:r>
          </w:p>
        </w:tc>
      </w:tr>
      <w:tr w:rsidR="00462037" w14:paraId="0E3736C3" w14:textId="77777777" w:rsidTr="00462037">
        <w:tc>
          <w:tcPr>
            <w:tcW w:w="1980" w:type="dxa"/>
            <w:vMerge/>
            <w:vAlign w:val="bottom"/>
          </w:tcPr>
          <w:p w14:paraId="3F78715C" w14:textId="77777777" w:rsidR="00462037" w:rsidRPr="00527C4A" w:rsidRDefault="00462037" w:rsidP="00462037">
            <w:pPr>
              <w:rPr>
                <w:sz w:val="18"/>
                <w:szCs w:val="18"/>
              </w:rPr>
            </w:pPr>
          </w:p>
        </w:tc>
        <w:tc>
          <w:tcPr>
            <w:tcW w:w="709" w:type="dxa"/>
          </w:tcPr>
          <w:p w14:paraId="0AA1A866" w14:textId="77777777" w:rsidR="00462037" w:rsidRPr="00EA1CFF" w:rsidRDefault="00462037" w:rsidP="00462037">
            <w:pPr>
              <w:jc w:val="center"/>
              <w:rPr>
                <w:sz w:val="18"/>
                <w:szCs w:val="18"/>
              </w:rPr>
            </w:pPr>
            <w:r w:rsidRPr="00EA1CFF">
              <w:rPr>
                <w:sz w:val="18"/>
                <w:szCs w:val="18"/>
              </w:rPr>
              <w:t>33%</w:t>
            </w:r>
          </w:p>
        </w:tc>
        <w:tc>
          <w:tcPr>
            <w:tcW w:w="850" w:type="dxa"/>
          </w:tcPr>
          <w:p w14:paraId="76C5F996" w14:textId="77777777" w:rsidR="00462037" w:rsidRPr="00EA1CFF" w:rsidRDefault="00462037" w:rsidP="00462037">
            <w:pPr>
              <w:jc w:val="center"/>
              <w:rPr>
                <w:sz w:val="18"/>
                <w:szCs w:val="18"/>
              </w:rPr>
            </w:pPr>
            <w:r w:rsidRPr="00EA1CFF">
              <w:rPr>
                <w:sz w:val="18"/>
                <w:szCs w:val="18"/>
              </w:rPr>
              <w:t>45%</w:t>
            </w:r>
          </w:p>
        </w:tc>
        <w:tc>
          <w:tcPr>
            <w:tcW w:w="1701" w:type="dxa"/>
          </w:tcPr>
          <w:p w14:paraId="2404F9F6" w14:textId="77777777" w:rsidR="00462037" w:rsidRPr="00EA1CFF" w:rsidRDefault="00462037" w:rsidP="00462037">
            <w:pPr>
              <w:jc w:val="center"/>
              <w:rPr>
                <w:sz w:val="18"/>
                <w:szCs w:val="18"/>
              </w:rPr>
            </w:pPr>
            <w:r w:rsidRPr="00EA1CFF">
              <w:rPr>
                <w:sz w:val="18"/>
                <w:szCs w:val="18"/>
              </w:rPr>
              <w:t>0.1%</w:t>
            </w:r>
          </w:p>
        </w:tc>
        <w:tc>
          <w:tcPr>
            <w:tcW w:w="975" w:type="dxa"/>
          </w:tcPr>
          <w:p w14:paraId="6DF61F9E" w14:textId="77777777" w:rsidR="00462037" w:rsidRPr="00EA1CFF" w:rsidRDefault="00462037" w:rsidP="00462037">
            <w:pPr>
              <w:jc w:val="center"/>
              <w:rPr>
                <w:sz w:val="18"/>
                <w:szCs w:val="18"/>
              </w:rPr>
            </w:pPr>
            <w:r w:rsidRPr="00EA1CFF">
              <w:rPr>
                <w:sz w:val="18"/>
                <w:szCs w:val="18"/>
              </w:rPr>
              <w:t>3%</w:t>
            </w:r>
          </w:p>
        </w:tc>
        <w:tc>
          <w:tcPr>
            <w:tcW w:w="868" w:type="dxa"/>
          </w:tcPr>
          <w:p w14:paraId="1627D4A8" w14:textId="77777777" w:rsidR="00462037" w:rsidRPr="00EA1CFF" w:rsidRDefault="00462037" w:rsidP="00462037">
            <w:pPr>
              <w:jc w:val="center"/>
              <w:rPr>
                <w:sz w:val="18"/>
                <w:szCs w:val="18"/>
              </w:rPr>
            </w:pPr>
            <w:r w:rsidRPr="00EA1CFF">
              <w:rPr>
                <w:sz w:val="18"/>
                <w:szCs w:val="18"/>
              </w:rPr>
              <w:t>11%</w:t>
            </w:r>
          </w:p>
        </w:tc>
        <w:tc>
          <w:tcPr>
            <w:tcW w:w="972" w:type="dxa"/>
          </w:tcPr>
          <w:p w14:paraId="1115E602" w14:textId="77777777" w:rsidR="00462037" w:rsidRPr="00EA1CFF" w:rsidRDefault="00462037" w:rsidP="00462037">
            <w:pPr>
              <w:jc w:val="center"/>
              <w:rPr>
                <w:sz w:val="18"/>
                <w:szCs w:val="18"/>
              </w:rPr>
            </w:pPr>
            <w:r w:rsidRPr="00EA1CFF">
              <w:rPr>
                <w:sz w:val="18"/>
                <w:szCs w:val="18"/>
              </w:rPr>
              <w:t>8%</w:t>
            </w:r>
          </w:p>
        </w:tc>
        <w:tc>
          <w:tcPr>
            <w:tcW w:w="1012" w:type="dxa"/>
          </w:tcPr>
          <w:p w14:paraId="10259E51" w14:textId="77777777" w:rsidR="00462037" w:rsidRPr="00EA1CFF" w:rsidRDefault="00462037" w:rsidP="00462037">
            <w:pPr>
              <w:jc w:val="center"/>
              <w:rPr>
                <w:sz w:val="18"/>
                <w:szCs w:val="18"/>
              </w:rPr>
            </w:pPr>
            <w:r w:rsidRPr="00EA1CFF">
              <w:rPr>
                <w:sz w:val="18"/>
                <w:szCs w:val="18"/>
              </w:rPr>
              <w:t>100%</w:t>
            </w:r>
          </w:p>
        </w:tc>
      </w:tr>
      <w:tr w:rsidR="00462037" w14:paraId="241A7ACB" w14:textId="77777777" w:rsidTr="00462037">
        <w:tc>
          <w:tcPr>
            <w:tcW w:w="1980" w:type="dxa"/>
            <w:vMerge w:val="restart"/>
            <w:vAlign w:val="bottom"/>
          </w:tcPr>
          <w:p w14:paraId="773C8631" w14:textId="77777777" w:rsidR="00462037" w:rsidRPr="00527C4A" w:rsidRDefault="00462037" w:rsidP="00462037">
            <w:pPr>
              <w:rPr>
                <w:sz w:val="18"/>
                <w:szCs w:val="18"/>
              </w:rPr>
            </w:pPr>
            <w:r w:rsidRPr="00527C4A">
              <w:rPr>
                <w:sz w:val="18"/>
                <w:szCs w:val="18"/>
              </w:rPr>
              <w:t xml:space="preserve">Lincolnshire East </w:t>
            </w:r>
          </w:p>
        </w:tc>
        <w:tc>
          <w:tcPr>
            <w:tcW w:w="709" w:type="dxa"/>
          </w:tcPr>
          <w:p w14:paraId="67F4FE35" w14:textId="77777777" w:rsidR="00462037" w:rsidRPr="00EA1CFF" w:rsidRDefault="00462037" w:rsidP="00462037">
            <w:pPr>
              <w:jc w:val="center"/>
              <w:rPr>
                <w:sz w:val="18"/>
                <w:szCs w:val="18"/>
              </w:rPr>
            </w:pPr>
            <w:r w:rsidRPr="00EA1CFF">
              <w:rPr>
                <w:sz w:val="18"/>
                <w:szCs w:val="18"/>
              </w:rPr>
              <w:t>72618</w:t>
            </w:r>
          </w:p>
        </w:tc>
        <w:tc>
          <w:tcPr>
            <w:tcW w:w="850" w:type="dxa"/>
          </w:tcPr>
          <w:p w14:paraId="3CC9338F" w14:textId="77777777" w:rsidR="00462037" w:rsidRPr="00EA1CFF" w:rsidRDefault="00462037" w:rsidP="00462037">
            <w:pPr>
              <w:jc w:val="center"/>
              <w:rPr>
                <w:sz w:val="18"/>
                <w:szCs w:val="18"/>
              </w:rPr>
            </w:pPr>
            <w:r w:rsidRPr="00EA1CFF">
              <w:rPr>
                <w:sz w:val="18"/>
                <w:szCs w:val="18"/>
              </w:rPr>
              <w:t>150812</w:t>
            </w:r>
          </w:p>
        </w:tc>
        <w:tc>
          <w:tcPr>
            <w:tcW w:w="1701" w:type="dxa"/>
          </w:tcPr>
          <w:p w14:paraId="0DCBDBE7" w14:textId="77777777" w:rsidR="00462037" w:rsidRPr="00EA1CFF" w:rsidRDefault="00462037" w:rsidP="00462037">
            <w:pPr>
              <w:jc w:val="center"/>
              <w:rPr>
                <w:sz w:val="18"/>
                <w:szCs w:val="18"/>
              </w:rPr>
            </w:pPr>
            <w:r w:rsidRPr="00EA1CFF">
              <w:rPr>
                <w:sz w:val="18"/>
                <w:szCs w:val="18"/>
              </w:rPr>
              <w:t>600</w:t>
            </w:r>
          </w:p>
        </w:tc>
        <w:tc>
          <w:tcPr>
            <w:tcW w:w="975" w:type="dxa"/>
          </w:tcPr>
          <w:p w14:paraId="60BFF66C" w14:textId="77777777" w:rsidR="00462037" w:rsidRPr="00EA1CFF" w:rsidRDefault="00462037" w:rsidP="00462037">
            <w:pPr>
              <w:jc w:val="center"/>
              <w:rPr>
                <w:sz w:val="18"/>
                <w:szCs w:val="18"/>
              </w:rPr>
            </w:pPr>
            <w:r w:rsidRPr="00EA1CFF">
              <w:rPr>
                <w:sz w:val="18"/>
                <w:szCs w:val="18"/>
              </w:rPr>
              <w:t>6239</w:t>
            </w:r>
          </w:p>
        </w:tc>
        <w:tc>
          <w:tcPr>
            <w:tcW w:w="868" w:type="dxa"/>
          </w:tcPr>
          <w:p w14:paraId="3F5D6E58" w14:textId="77777777" w:rsidR="00462037" w:rsidRPr="00EA1CFF" w:rsidRDefault="00462037" w:rsidP="00462037">
            <w:pPr>
              <w:jc w:val="center"/>
              <w:rPr>
                <w:sz w:val="18"/>
                <w:szCs w:val="18"/>
              </w:rPr>
            </w:pPr>
            <w:r w:rsidRPr="00EA1CFF">
              <w:rPr>
                <w:sz w:val="18"/>
                <w:szCs w:val="18"/>
              </w:rPr>
              <w:t>25674</w:t>
            </w:r>
          </w:p>
        </w:tc>
        <w:tc>
          <w:tcPr>
            <w:tcW w:w="972" w:type="dxa"/>
          </w:tcPr>
          <w:p w14:paraId="7E5EE907" w14:textId="77777777" w:rsidR="00462037" w:rsidRPr="00EA1CFF" w:rsidRDefault="00462037" w:rsidP="00462037">
            <w:pPr>
              <w:jc w:val="center"/>
              <w:rPr>
                <w:sz w:val="18"/>
                <w:szCs w:val="18"/>
              </w:rPr>
            </w:pPr>
            <w:r w:rsidRPr="00EA1CFF">
              <w:rPr>
                <w:sz w:val="18"/>
                <w:szCs w:val="18"/>
              </w:rPr>
              <w:t>22390</w:t>
            </w:r>
          </w:p>
        </w:tc>
        <w:tc>
          <w:tcPr>
            <w:tcW w:w="1012" w:type="dxa"/>
          </w:tcPr>
          <w:p w14:paraId="1A1EA130" w14:textId="77777777" w:rsidR="00462037" w:rsidRPr="00EA1CFF" w:rsidRDefault="00462037" w:rsidP="00462037">
            <w:pPr>
              <w:jc w:val="center"/>
              <w:rPr>
                <w:sz w:val="18"/>
                <w:szCs w:val="18"/>
              </w:rPr>
            </w:pPr>
            <w:r w:rsidRPr="00EA1CFF">
              <w:rPr>
                <w:sz w:val="18"/>
                <w:szCs w:val="18"/>
              </w:rPr>
              <w:t>278333</w:t>
            </w:r>
          </w:p>
        </w:tc>
      </w:tr>
      <w:tr w:rsidR="00462037" w14:paraId="3F56E22D" w14:textId="77777777" w:rsidTr="00462037">
        <w:tc>
          <w:tcPr>
            <w:tcW w:w="1980" w:type="dxa"/>
            <w:vMerge/>
            <w:vAlign w:val="bottom"/>
          </w:tcPr>
          <w:p w14:paraId="26E574BF" w14:textId="77777777" w:rsidR="00462037" w:rsidRPr="00527C4A" w:rsidRDefault="00462037" w:rsidP="00462037">
            <w:pPr>
              <w:rPr>
                <w:sz w:val="18"/>
                <w:szCs w:val="18"/>
              </w:rPr>
            </w:pPr>
          </w:p>
        </w:tc>
        <w:tc>
          <w:tcPr>
            <w:tcW w:w="709" w:type="dxa"/>
          </w:tcPr>
          <w:p w14:paraId="4BBC834D" w14:textId="77777777" w:rsidR="00462037" w:rsidRPr="00EA1CFF" w:rsidRDefault="00462037" w:rsidP="00462037">
            <w:pPr>
              <w:jc w:val="center"/>
              <w:rPr>
                <w:sz w:val="18"/>
                <w:szCs w:val="18"/>
              </w:rPr>
            </w:pPr>
            <w:r w:rsidRPr="00EA1CFF">
              <w:rPr>
                <w:sz w:val="18"/>
                <w:szCs w:val="18"/>
              </w:rPr>
              <w:t>26%</w:t>
            </w:r>
          </w:p>
        </w:tc>
        <w:tc>
          <w:tcPr>
            <w:tcW w:w="850" w:type="dxa"/>
          </w:tcPr>
          <w:p w14:paraId="1A05F87E" w14:textId="77777777" w:rsidR="00462037" w:rsidRPr="00EA1CFF" w:rsidRDefault="00462037" w:rsidP="00462037">
            <w:pPr>
              <w:jc w:val="center"/>
              <w:rPr>
                <w:sz w:val="18"/>
                <w:szCs w:val="18"/>
              </w:rPr>
            </w:pPr>
            <w:r w:rsidRPr="00EA1CFF">
              <w:rPr>
                <w:sz w:val="18"/>
                <w:szCs w:val="18"/>
              </w:rPr>
              <w:t>54%</w:t>
            </w:r>
          </w:p>
        </w:tc>
        <w:tc>
          <w:tcPr>
            <w:tcW w:w="1701" w:type="dxa"/>
          </w:tcPr>
          <w:p w14:paraId="721AB33E" w14:textId="77777777" w:rsidR="00462037" w:rsidRPr="00EA1CFF" w:rsidRDefault="00462037" w:rsidP="00462037">
            <w:pPr>
              <w:jc w:val="center"/>
              <w:rPr>
                <w:sz w:val="18"/>
                <w:szCs w:val="18"/>
              </w:rPr>
            </w:pPr>
            <w:r w:rsidRPr="00EA1CFF">
              <w:rPr>
                <w:sz w:val="18"/>
                <w:szCs w:val="18"/>
              </w:rPr>
              <w:t>0.2%</w:t>
            </w:r>
          </w:p>
        </w:tc>
        <w:tc>
          <w:tcPr>
            <w:tcW w:w="975" w:type="dxa"/>
          </w:tcPr>
          <w:p w14:paraId="055B3794" w14:textId="77777777" w:rsidR="00462037" w:rsidRPr="00EA1CFF" w:rsidRDefault="00462037" w:rsidP="00462037">
            <w:pPr>
              <w:jc w:val="center"/>
              <w:rPr>
                <w:sz w:val="18"/>
                <w:szCs w:val="18"/>
              </w:rPr>
            </w:pPr>
            <w:r w:rsidRPr="00EA1CFF">
              <w:rPr>
                <w:sz w:val="18"/>
                <w:szCs w:val="18"/>
              </w:rPr>
              <w:t>2%</w:t>
            </w:r>
          </w:p>
        </w:tc>
        <w:tc>
          <w:tcPr>
            <w:tcW w:w="868" w:type="dxa"/>
          </w:tcPr>
          <w:p w14:paraId="176FEB88" w14:textId="77777777" w:rsidR="00462037" w:rsidRPr="00EA1CFF" w:rsidRDefault="00462037" w:rsidP="00462037">
            <w:pPr>
              <w:jc w:val="center"/>
              <w:rPr>
                <w:sz w:val="18"/>
                <w:szCs w:val="18"/>
              </w:rPr>
            </w:pPr>
            <w:r w:rsidRPr="00EA1CFF">
              <w:rPr>
                <w:sz w:val="18"/>
                <w:szCs w:val="18"/>
              </w:rPr>
              <w:t>9%</w:t>
            </w:r>
          </w:p>
        </w:tc>
        <w:tc>
          <w:tcPr>
            <w:tcW w:w="972" w:type="dxa"/>
          </w:tcPr>
          <w:p w14:paraId="3BAB6DD0" w14:textId="77777777" w:rsidR="00462037" w:rsidRPr="00EA1CFF" w:rsidRDefault="00462037" w:rsidP="00462037">
            <w:pPr>
              <w:jc w:val="center"/>
              <w:rPr>
                <w:sz w:val="18"/>
                <w:szCs w:val="18"/>
              </w:rPr>
            </w:pPr>
            <w:r w:rsidRPr="00EA1CFF">
              <w:rPr>
                <w:sz w:val="18"/>
                <w:szCs w:val="18"/>
              </w:rPr>
              <w:t>8%</w:t>
            </w:r>
          </w:p>
        </w:tc>
        <w:tc>
          <w:tcPr>
            <w:tcW w:w="1012" w:type="dxa"/>
          </w:tcPr>
          <w:p w14:paraId="3AA0A140" w14:textId="77777777" w:rsidR="00462037" w:rsidRPr="00EA1CFF" w:rsidRDefault="00462037" w:rsidP="00462037">
            <w:pPr>
              <w:jc w:val="center"/>
              <w:rPr>
                <w:sz w:val="18"/>
                <w:szCs w:val="18"/>
              </w:rPr>
            </w:pPr>
            <w:r w:rsidRPr="00EA1CFF">
              <w:rPr>
                <w:sz w:val="18"/>
                <w:szCs w:val="18"/>
              </w:rPr>
              <w:t>100%</w:t>
            </w:r>
          </w:p>
        </w:tc>
      </w:tr>
      <w:tr w:rsidR="00462037" w14:paraId="31497AAB" w14:textId="77777777" w:rsidTr="00462037">
        <w:tc>
          <w:tcPr>
            <w:tcW w:w="1980" w:type="dxa"/>
            <w:vMerge w:val="restart"/>
            <w:vAlign w:val="bottom"/>
          </w:tcPr>
          <w:p w14:paraId="032FAE98" w14:textId="77777777" w:rsidR="00462037" w:rsidRPr="00527C4A" w:rsidRDefault="00462037" w:rsidP="00462037">
            <w:pPr>
              <w:rPr>
                <w:sz w:val="18"/>
                <w:szCs w:val="18"/>
              </w:rPr>
            </w:pPr>
            <w:r w:rsidRPr="00527C4A">
              <w:rPr>
                <w:sz w:val="18"/>
                <w:szCs w:val="18"/>
              </w:rPr>
              <w:t xml:space="preserve">East Riding of Yorkshire </w:t>
            </w:r>
          </w:p>
        </w:tc>
        <w:tc>
          <w:tcPr>
            <w:tcW w:w="709" w:type="dxa"/>
          </w:tcPr>
          <w:p w14:paraId="5749B351" w14:textId="77777777" w:rsidR="00462037" w:rsidRPr="00EA1CFF" w:rsidRDefault="00462037" w:rsidP="00462037">
            <w:pPr>
              <w:jc w:val="center"/>
              <w:rPr>
                <w:sz w:val="18"/>
                <w:szCs w:val="18"/>
              </w:rPr>
            </w:pPr>
            <w:r w:rsidRPr="00EA1CFF">
              <w:rPr>
                <w:sz w:val="18"/>
                <w:szCs w:val="18"/>
              </w:rPr>
              <w:t>28024</w:t>
            </w:r>
          </w:p>
        </w:tc>
        <w:tc>
          <w:tcPr>
            <w:tcW w:w="850" w:type="dxa"/>
          </w:tcPr>
          <w:p w14:paraId="417109D0" w14:textId="77777777" w:rsidR="00462037" w:rsidRPr="00EA1CFF" w:rsidRDefault="00462037" w:rsidP="00462037">
            <w:pPr>
              <w:jc w:val="center"/>
              <w:rPr>
                <w:sz w:val="18"/>
                <w:szCs w:val="18"/>
              </w:rPr>
            </w:pPr>
            <w:r w:rsidRPr="00EA1CFF">
              <w:rPr>
                <w:sz w:val="18"/>
                <w:szCs w:val="18"/>
              </w:rPr>
              <w:t>61840</w:t>
            </w:r>
          </w:p>
        </w:tc>
        <w:tc>
          <w:tcPr>
            <w:tcW w:w="1701" w:type="dxa"/>
          </w:tcPr>
          <w:p w14:paraId="289243CF" w14:textId="77777777" w:rsidR="00462037" w:rsidRPr="00EA1CFF" w:rsidRDefault="00462037" w:rsidP="00462037">
            <w:pPr>
              <w:jc w:val="center"/>
              <w:rPr>
                <w:sz w:val="18"/>
                <w:szCs w:val="18"/>
              </w:rPr>
            </w:pPr>
            <w:r w:rsidRPr="00EA1CFF">
              <w:rPr>
                <w:sz w:val="18"/>
                <w:szCs w:val="18"/>
              </w:rPr>
              <w:t>194</w:t>
            </w:r>
          </w:p>
        </w:tc>
        <w:tc>
          <w:tcPr>
            <w:tcW w:w="975" w:type="dxa"/>
          </w:tcPr>
          <w:p w14:paraId="0E402E79" w14:textId="77777777" w:rsidR="00462037" w:rsidRPr="00EA1CFF" w:rsidRDefault="00462037" w:rsidP="00462037">
            <w:pPr>
              <w:jc w:val="center"/>
              <w:rPr>
                <w:sz w:val="18"/>
                <w:szCs w:val="18"/>
              </w:rPr>
            </w:pPr>
            <w:r w:rsidRPr="00EA1CFF">
              <w:rPr>
                <w:sz w:val="18"/>
                <w:szCs w:val="18"/>
              </w:rPr>
              <w:t>2582</w:t>
            </w:r>
          </w:p>
        </w:tc>
        <w:tc>
          <w:tcPr>
            <w:tcW w:w="868" w:type="dxa"/>
          </w:tcPr>
          <w:p w14:paraId="4F439C5E" w14:textId="77777777" w:rsidR="00462037" w:rsidRPr="00EA1CFF" w:rsidRDefault="00462037" w:rsidP="00462037">
            <w:pPr>
              <w:jc w:val="center"/>
              <w:rPr>
                <w:sz w:val="18"/>
                <w:szCs w:val="18"/>
              </w:rPr>
            </w:pPr>
            <w:r w:rsidRPr="00EA1CFF">
              <w:rPr>
                <w:sz w:val="18"/>
                <w:szCs w:val="18"/>
              </w:rPr>
              <w:t>11875</w:t>
            </w:r>
          </w:p>
        </w:tc>
        <w:tc>
          <w:tcPr>
            <w:tcW w:w="972" w:type="dxa"/>
          </w:tcPr>
          <w:p w14:paraId="6FD295C4" w14:textId="77777777" w:rsidR="00462037" w:rsidRPr="00EA1CFF" w:rsidRDefault="00462037" w:rsidP="00462037">
            <w:pPr>
              <w:jc w:val="center"/>
              <w:rPr>
                <w:sz w:val="18"/>
                <w:szCs w:val="18"/>
              </w:rPr>
            </w:pPr>
            <w:r w:rsidRPr="00EA1CFF">
              <w:rPr>
                <w:sz w:val="18"/>
                <w:szCs w:val="18"/>
              </w:rPr>
              <w:t>10903</w:t>
            </w:r>
          </w:p>
        </w:tc>
        <w:tc>
          <w:tcPr>
            <w:tcW w:w="1012" w:type="dxa"/>
          </w:tcPr>
          <w:p w14:paraId="7CC87550" w14:textId="77777777" w:rsidR="00462037" w:rsidRPr="00EA1CFF" w:rsidRDefault="00462037" w:rsidP="00462037">
            <w:pPr>
              <w:jc w:val="center"/>
              <w:rPr>
                <w:sz w:val="18"/>
                <w:szCs w:val="18"/>
              </w:rPr>
            </w:pPr>
            <w:r w:rsidRPr="00EA1CFF">
              <w:rPr>
                <w:sz w:val="18"/>
                <w:szCs w:val="18"/>
              </w:rPr>
              <w:t>115418</w:t>
            </w:r>
          </w:p>
        </w:tc>
      </w:tr>
      <w:tr w:rsidR="00462037" w14:paraId="7E81BB5E" w14:textId="77777777" w:rsidTr="00462037">
        <w:tc>
          <w:tcPr>
            <w:tcW w:w="1980" w:type="dxa"/>
            <w:vMerge/>
          </w:tcPr>
          <w:p w14:paraId="6AF3CEA8" w14:textId="77777777" w:rsidR="00462037" w:rsidRPr="00527C4A" w:rsidRDefault="00462037" w:rsidP="00462037">
            <w:pPr>
              <w:rPr>
                <w:sz w:val="18"/>
                <w:szCs w:val="18"/>
              </w:rPr>
            </w:pPr>
          </w:p>
        </w:tc>
        <w:tc>
          <w:tcPr>
            <w:tcW w:w="709" w:type="dxa"/>
          </w:tcPr>
          <w:p w14:paraId="264BE963" w14:textId="77777777" w:rsidR="00462037" w:rsidRPr="00EA1CFF" w:rsidRDefault="00462037" w:rsidP="00462037">
            <w:pPr>
              <w:jc w:val="center"/>
              <w:rPr>
                <w:sz w:val="18"/>
                <w:szCs w:val="18"/>
              </w:rPr>
            </w:pPr>
            <w:r w:rsidRPr="00EA1CFF">
              <w:rPr>
                <w:sz w:val="18"/>
                <w:szCs w:val="18"/>
              </w:rPr>
              <w:t>24%</w:t>
            </w:r>
          </w:p>
        </w:tc>
        <w:tc>
          <w:tcPr>
            <w:tcW w:w="850" w:type="dxa"/>
          </w:tcPr>
          <w:p w14:paraId="4945333C" w14:textId="77777777" w:rsidR="00462037" w:rsidRPr="00EA1CFF" w:rsidRDefault="00462037" w:rsidP="00462037">
            <w:pPr>
              <w:jc w:val="center"/>
              <w:rPr>
                <w:sz w:val="18"/>
                <w:szCs w:val="18"/>
              </w:rPr>
            </w:pPr>
            <w:r w:rsidRPr="00EA1CFF">
              <w:rPr>
                <w:sz w:val="18"/>
                <w:szCs w:val="18"/>
              </w:rPr>
              <w:t>54%</w:t>
            </w:r>
          </w:p>
        </w:tc>
        <w:tc>
          <w:tcPr>
            <w:tcW w:w="1701" w:type="dxa"/>
          </w:tcPr>
          <w:p w14:paraId="7ECB6E71" w14:textId="77777777" w:rsidR="00462037" w:rsidRPr="00EA1CFF" w:rsidRDefault="00462037" w:rsidP="00462037">
            <w:pPr>
              <w:jc w:val="center"/>
              <w:rPr>
                <w:sz w:val="18"/>
                <w:szCs w:val="18"/>
              </w:rPr>
            </w:pPr>
            <w:r w:rsidRPr="00EA1CFF">
              <w:rPr>
                <w:sz w:val="18"/>
                <w:szCs w:val="18"/>
              </w:rPr>
              <w:t>0.2%</w:t>
            </w:r>
          </w:p>
        </w:tc>
        <w:tc>
          <w:tcPr>
            <w:tcW w:w="975" w:type="dxa"/>
          </w:tcPr>
          <w:p w14:paraId="5D58E999" w14:textId="77777777" w:rsidR="00462037" w:rsidRPr="00EA1CFF" w:rsidRDefault="00462037" w:rsidP="00462037">
            <w:pPr>
              <w:jc w:val="center"/>
              <w:rPr>
                <w:sz w:val="18"/>
                <w:szCs w:val="18"/>
              </w:rPr>
            </w:pPr>
            <w:r w:rsidRPr="00EA1CFF">
              <w:rPr>
                <w:sz w:val="18"/>
                <w:szCs w:val="18"/>
              </w:rPr>
              <w:t>2%</w:t>
            </w:r>
          </w:p>
        </w:tc>
        <w:tc>
          <w:tcPr>
            <w:tcW w:w="868" w:type="dxa"/>
          </w:tcPr>
          <w:p w14:paraId="370678DC" w14:textId="77777777" w:rsidR="00462037" w:rsidRPr="00EA1CFF" w:rsidRDefault="00462037" w:rsidP="00462037">
            <w:pPr>
              <w:jc w:val="center"/>
              <w:rPr>
                <w:sz w:val="18"/>
                <w:szCs w:val="18"/>
              </w:rPr>
            </w:pPr>
            <w:r w:rsidRPr="00EA1CFF">
              <w:rPr>
                <w:sz w:val="18"/>
                <w:szCs w:val="18"/>
              </w:rPr>
              <w:t>10%</w:t>
            </w:r>
          </w:p>
        </w:tc>
        <w:tc>
          <w:tcPr>
            <w:tcW w:w="972" w:type="dxa"/>
          </w:tcPr>
          <w:p w14:paraId="0E576771" w14:textId="77777777" w:rsidR="00462037" w:rsidRPr="00EA1CFF" w:rsidRDefault="00462037" w:rsidP="00462037">
            <w:pPr>
              <w:jc w:val="center"/>
              <w:rPr>
                <w:sz w:val="18"/>
                <w:szCs w:val="18"/>
              </w:rPr>
            </w:pPr>
            <w:r w:rsidRPr="00EA1CFF">
              <w:rPr>
                <w:sz w:val="18"/>
                <w:szCs w:val="18"/>
              </w:rPr>
              <w:t>9%</w:t>
            </w:r>
          </w:p>
        </w:tc>
        <w:tc>
          <w:tcPr>
            <w:tcW w:w="1012" w:type="dxa"/>
          </w:tcPr>
          <w:p w14:paraId="4A281385" w14:textId="77777777" w:rsidR="00462037" w:rsidRPr="00EA1CFF" w:rsidRDefault="00462037" w:rsidP="00462037">
            <w:pPr>
              <w:jc w:val="center"/>
              <w:rPr>
                <w:sz w:val="18"/>
                <w:szCs w:val="18"/>
              </w:rPr>
            </w:pPr>
            <w:r w:rsidRPr="00EA1CFF">
              <w:rPr>
                <w:sz w:val="18"/>
                <w:szCs w:val="18"/>
              </w:rPr>
              <w:t>100%</w:t>
            </w:r>
          </w:p>
        </w:tc>
      </w:tr>
      <w:tr w:rsidR="00462037" w14:paraId="6A18A131" w14:textId="77777777" w:rsidTr="00462037">
        <w:tc>
          <w:tcPr>
            <w:tcW w:w="1980" w:type="dxa"/>
            <w:vMerge w:val="restart"/>
            <w:vAlign w:val="bottom"/>
          </w:tcPr>
          <w:p w14:paraId="51FDEE1F" w14:textId="77777777" w:rsidR="00462037" w:rsidRPr="00527C4A" w:rsidRDefault="00462037" w:rsidP="00462037">
            <w:pPr>
              <w:rPr>
                <w:sz w:val="18"/>
                <w:szCs w:val="18"/>
              </w:rPr>
            </w:pPr>
            <w:r w:rsidRPr="00527C4A">
              <w:rPr>
                <w:sz w:val="18"/>
                <w:szCs w:val="18"/>
              </w:rPr>
              <w:t xml:space="preserve">Lincolnshire West </w:t>
            </w:r>
          </w:p>
        </w:tc>
        <w:tc>
          <w:tcPr>
            <w:tcW w:w="709" w:type="dxa"/>
          </w:tcPr>
          <w:p w14:paraId="15A50789" w14:textId="77777777" w:rsidR="00462037" w:rsidRPr="00EA1CFF" w:rsidRDefault="00462037" w:rsidP="00462037">
            <w:pPr>
              <w:jc w:val="center"/>
              <w:rPr>
                <w:sz w:val="18"/>
                <w:szCs w:val="18"/>
              </w:rPr>
            </w:pPr>
            <w:r w:rsidRPr="00EA1CFF">
              <w:rPr>
                <w:sz w:val="18"/>
                <w:szCs w:val="18"/>
              </w:rPr>
              <w:t>18435</w:t>
            </w:r>
          </w:p>
        </w:tc>
        <w:tc>
          <w:tcPr>
            <w:tcW w:w="850" w:type="dxa"/>
          </w:tcPr>
          <w:p w14:paraId="771ED84D" w14:textId="77777777" w:rsidR="00462037" w:rsidRPr="00EA1CFF" w:rsidRDefault="00462037" w:rsidP="00462037">
            <w:pPr>
              <w:jc w:val="center"/>
              <w:rPr>
                <w:sz w:val="18"/>
                <w:szCs w:val="18"/>
              </w:rPr>
            </w:pPr>
            <w:r w:rsidRPr="00EA1CFF">
              <w:rPr>
                <w:sz w:val="18"/>
                <w:szCs w:val="18"/>
              </w:rPr>
              <w:t>40509</w:t>
            </w:r>
          </w:p>
        </w:tc>
        <w:tc>
          <w:tcPr>
            <w:tcW w:w="1701" w:type="dxa"/>
          </w:tcPr>
          <w:p w14:paraId="755CF163" w14:textId="77777777" w:rsidR="00462037" w:rsidRPr="00EA1CFF" w:rsidRDefault="00462037" w:rsidP="00462037">
            <w:pPr>
              <w:jc w:val="center"/>
              <w:rPr>
                <w:sz w:val="18"/>
                <w:szCs w:val="18"/>
              </w:rPr>
            </w:pPr>
            <w:r w:rsidRPr="00EA1CFF">
              <w:rPr>
                <w:sz w:val="18"/>
                <w:szCs w:val="18"/>
              </w:rPr>
              <w:t>110</w:t>
            </w:r>
          </w:p>
        </w:tc>
        <w:tc>
          <w:tcPr>
            <w:tcW w:w="975" w:type="dxa"/>
          </w:tcPr>
          <w:p w14:paraId="09A56711" w14:textId="77777777" w:rsidR="00462037" w:rsidRPr="00EA1CFF" w:rsidRDefault="00462037" w:rsidP="00462037">
            <w:pPr>
              <w:jc w:val="center"/>
              <w:rPr>
                <w:sz w:val="18"/>
                <w:szCs w:val="18"/>
              </w:rPr>
            </w:pPr>
            <w:r w:rsidRPr="00EA1CFF">
              <w:rPr>
                <w:sz w:val="18"/>
                <w:szCs w:val="18"/>
              </w:rPr>
              <w:t>1657</w:t>
            </w:r>
          </w:p>
        </w:tc>
        <w:tc>
          <w:tcPr>
            <w:tcW w:w="868" w:type="dxa"/>
          </w:tcPr>
          <w:p w14:paraId="296FB3A5" w14:textId="77777777" w:rsidR="00462037" w:rsidRPr="00EA1CFF" w:rsidRDefault="00462037" w:rsidP="00462037">
            <w:pPr>
              <w:jc w:val="center"/>
              <w:rPr>
                <w:sz w:val="18"/>
                <w:szCs w:val="18"/>
              </w:rPr>
            </w:pPr>
            <w:r w:rsidRPr="00EA1CFF">
              <w:rPr>
                <w:sz w:val="18"/>
                <w:szCs w:val="18"/>
              </w:rPr>
              <w:t>7202</w:t>
            </w:r>
          </w:p>
        </w:tc>
        <w:tc>
          <w:tcPr>
            <w:tcW w:w="972" w:type="dxa"/>
          </w:tcPr>
          <w:p w14:paraId="3D4B8AD2" w14:textId="77777777" w:rsidR="00462037" w:rsidRPr="00EA1CFF" w:rsidRDefault="00462037" w:rsidP="00462037">
            <w:pPr>
              <w:jc w:val="center"/>
              <w:rPr>
                <w:sz w:val="18"/>
                <w:szCs w:val="18"/>
              </w:rPr>
            </w:pPr>
            <w:r w:rsidRPr="00EA1CFF">
              <w:rPr>
                <w:sz w:val="18"/>
                <w:szCs w:val="18"/>
              </w:rPr>
              <w:t>5840</w:t>
            </w:r>
          </w:p>
        </w:tc>
        <w:tc>
          <w:tcPr>
            <w:tcW w:w="1012" w:type="dxa"/>
          </w:tcPr>
          <w:p w14:paraId="161977E1" w14:textId="77777777" w:rsidR="00462037" w:rsidRPr="00EA1CFF" w:rsidRDefault="00462037" w:rsidP="00462037">
            <w:pPr>
              <w:jc w:val="center"/>
              <w:rPr>
                <w:sz w:val="18"/>
                <w:szCs w:val="18"/>
              </w:rPr>
            </w:pPr>
            <w:r w:rsidRPr="00EA1CFF">
              <w:rPr>
                <w:sz w:val="18"/>
                <w:szCs w:val="18"/>
              </w:rPr>
              <w:t>73753</w:t>
            </w:r>
          </w:p>
        </w:tc>
      </w:tr>
      <w:tr w:rsidR="00462037" w14:paraId="4C3AF1F5" w14:textId="77777777" w:rsidTr="00462037">
        <w:tc>
          <w:tcPr>
            <w:tcW w:w="1980" w:type="dxa"/>
            <w:vMerge/>
          </w:tcPr>
          <w:p w14:paraId="4DECC651" w14:textId="77777777" w:rsidR="00462037" w:rsidRPr="00527C4A" w:rsidRDefault="00462037" w:rsidP="00462037">
            <w:pPr>
              <w:rPr>
                <w:sz w:val="18"/>
                <w:szCs w:val="18"/>
              </w:rPr>
            </w:pPr>
          </w:p>
        </w:tc>
        <w:tc>
          <w:tcPr>
            <w:tcW w:w="709" w:type="dxa"/>
          </w:tcPr>
          <w:p w14:paraId="0F80F263" w14:textId="77777777" w:rsidR="00462037" w:rsidRPr="00EA1CFF" w:rsidRDefault="00462037" w:rsidP="00462037">
            <w:pPr>
              <w:jc w:val="center"/>
              <w:rPr>
                <w:sz w:val="18"/>
                <w:szCs w:val="18"/>
              </w:rPr>
            </w:pPr>
            <w:r w:rsidRPr="00EA1CFF">
              <w:rPr>
                <w:sz w:val="18"/>
                <w:szCs w:val="18"/>
              </w:rPr>
              <w:t>25%</w:t>
            </w:r>
          </w:p>
        </w:tc>
        <w:tc>
          <w:tcPr>
            <w:tcW w:w="850" w:type="dxa"/>
          </w:tcPr>
          <w:p w14:paraId="60DF7516" w14:textId="77777777" w:rsidR="00462037" w:rsidRPr="00EA1CFF" w:rsidRDefault="00462037" w:rsidP="00462037">
            <w:pPr>
              <w:jc w:val="center"/>
              <w:rPr>
                <w:sz w:val="18"/>
                <w:szCs w:val="18"/>
              </w:rPr>
            </w:pPr>
            <w:r w:rsidRPr="00EA1CFF">
              <w:rPr>
                <w:sz w:val="18"/>
                <w:szCs w:val="18"/>
              </w:rPr>
              <w:t>55%</w:t>
            </w:r>
          </w:p>
        </w:tc>
        <w:tc>
          <w:tcPr>
            <w:tcW w:w="1701" w:type="dxa"/>
          </w:tcPr>
          <w:p w14:paraId="779BC4E0" w14:textId="77777777" w:rsidR="00462037" w:rsidRPr="00EA1CFF" w:rsidRDefault="00462037" w:rsidP="00462037">
            <w:pPr>
              <w:jc w:val="center"/>
              <w:rPr>
                <w:sz w:val="18"/>
                <w:szCs w:val="18"/>
              </w:rPr>
            </w:pPr>
            <w:r w:rsidRPr="00EA1CFF">
              <w:rPr>
                <w:sz w:val="18"/>
                <w:szCs w:val="18"/>
              </w:rPr>
              <w:t>0.1%</w:t>
            </w:r>
          </w:p>
        </w:tc>
        <w:tc>
          <w:tcPr>
            <w:tcW w:w="975" w:type="dxa"/>
          </w:tcPr>
          <w:p w14:paraId="2DDCB731" w14:textId="77777777" w:rsidR="00462037" w:rsidRPr="00EA1CFF" w:rsidRDefault="00462037" w:rsidP="00462037">
            <w:pPr>
              <w:jc w:val="center"/>
              <w:rPr>
                <w:sz w:val="18"/>
                <w:szCs w:val="18"/>
              </w:rPr>
            </w:pPr>
            <w:r w:rsidRPr="00EA1CFF">
              <w:rPr>
                <w:sz w:val="18"/>
                <w:szCs w:val="18"/>
              </w:rPr>
              <w:t>2%</w:t>
            </w:r>
          </w:p>
        </w:tc>
        <w:tc>
          <w:tcPr>
            <w:tcW w:w="868" w:type="dxa"/>
          </w:tcPr>
          <w:p w14:paraId="076CA959" w14:textId="77777777" w:rsidR="00462037" w:rsidRPr="00EA1CFF" w:rsidRDefault="00462037" w:rsidP="00462037">
            <w:pPr>
              <w:jc w:val="center"/>
              <w:rPr>
                <w:sz w:val="18"/>
                <w:szCs w:val="18"/>
              </w:rPr>
            </w:pPr>
            <w:r w:rsidRPr="00EA1CFF">
              <w:rPr>
                <w:sz w:val="18"/>
                <w:szCs w:val="18"/>
              </w:rPr>
              <w:t>10%</w:t>
            </w:r>
          </w:p>
        </w:tc>
        <w:tc>
          <w:tcPr>
            <w:tcW w:w="972" w:type="dxa"/>
          </w:tcPr>
          <w:p w14:paraId="6EA966F0" w14:textId="77777777" w:rsidR="00462037" w:rsidRPr="00EA1CFF" w:rsidRDefault="00462037" w:rsidP="00462037">
            <w:pPr>
              <w:jc w:val="center"/>
              <w:rPr>
                <w:sz w:val="18"/>
                <w:szCs w:val="18"/>
              </w:rPr>
            </w:pPr>
            <w:r w:rsidRPr="00EA1CFF">
              <w:rPr>
                <w:sz w:val="18"/>
                <w:szCs w:val="18"/>
              </w:rPr>
              <w:t>8%</w:t>
            </w:r>
          </w:p>
        </w:tc>
        <w:tc>
          <w:tcPr>
            <w:tcW w:w="1012" w:type="dxa"/>
          </w:tcPr>
          <w:p w14:paraId="73DEFA73" w14:textId="77777777" w:rsidR="00462037" w:rsidRPr="00EA1CFF" w:rsidRDefault="00462037" w:rsidP="00462037">
            <w:pPr>
              <w:jc w:val="center"/>
              <w:rPr>
                <w:sz w:val="18"/>
                <w:szCs w:val="18"/>
              </w:rPr>
            </w:pPr>
            <w:r w:rsidRPr="00EA1CFF">
              <w:rPr>
                <w:sz w:val="18"/>
                <w:szCs w:val="18"/>
              </w:rPr>
              <w:t>100%</w:t>
            </w:r>
          </w:p>
        </w:tc>
      </w:tr>
    </w:tbl>
    <w:p w14:paraId="0C61184D" w14:textId="77777777" w:rsidR="00462037" w:rsidRPr="00527C4A" w:rsidRDefault="00462037" w:rsidP="00462037">
      <w:pPr>
        <w:rPr>
          <w:sz w:val="16"/>
          <w:szCs w:val="16"/>
        </w:rPr>
      </w:pPr>
      <w:r>
        <w:rPr>
          <w:sz w:val="16"/>
          <w:szCs w:val="16"/>
        </w:rPr>
        <w:t xml:space="preserve">Source: </w:t>
      </w:r>
      <w:r w:rsidRPr="00527C4A">
        <w:rPr>
          <w:sz w:val="16"/>
          <w:szCs w:val="16"/>
        </w:rPr>
        <w:t xml:space="preserve"> </w:t>
      </w:r>
    </w:p>
    <w:p w14:paraId="03EE02B7" w14:textId="3FCBDE7F" w:rsidR="00462037" w:rsidRDefault="00462037" w:rsidP="00462037">
      <w:pPr>
        <w:pStyle w:val="Heading4"/>
      </w:pPr>
      <w:r>
        <w:t>Table 7 – Disability distribution of CCG populations 2011</w:t>
      </w:r>
    </w:p>
    <w:tbl>
      <w:tblPr>
        <w:tblStyle w:val="TableGrid"/>
        <w:tblW w:w="9067" w:type="dxa"/>
        <w:tblLook w:val="04A0" w:firstRow="1" w:lastRow="0" w:firstColumn="1" w:lastColumn="0" w:noHBand="0" w:noVBand="1"/>
      </w:tblPr>
      <w:tblGrid>
        <w:gridCol w:w="2689"/>
        <w:gridCol w:w="1417"/>
        <w:gridCol w:w="1701"/>
        <w:gridCol w:w="1985"/>
        <w:gridCol w:w="1275"/>
      </w:tblGrid>
      <w:tr w:rsidR="00462037" w14:paraId="27954BD1" w14:textId="77777777" w:rsidTr="00462037">
        <w:tc>
          <w:tcPr>
            <w:tcW w:w="2689" w:type="dxa"/>
            <w:shd w:val="clear" w:color="auto" w:fill="767171" w:themeFill="background2" w:themeFillShade="80"/>
          </w:tcPr>
          <w:p w14:paraId="5CEAD78F" w14:textId="77777777" w:rsidR="00462037" w:rsidRPr="00527C4A" w:rsidRDefault="00462037" w:rsidP="00462037">
            <w:pPr>
              <w:jc w:val="center"/>
              <w:rPr>
                <w:color w:val="FFFFFF" w:themeColor="background1"/>
                <w:sz w:val="18"/>
                <w:szCs w:val="18"/>
              </w:rPr>
            </w:pPr>
            <w:r>
              <w:rPr>
                <w:color w:val="FFFFFF" w:themeColor="background1"/>
                <w:sz w:val="18"/>
                <w:szCs w:val="18"/>
              </w:rPr>
              <w:t>CCG</w:t>
            </w:r>
          </w:p>
        </w:tc>
        <w:tc>
          <w:tcPr>
            <w:tcW w:w="1417" w:type="dxa"/>
            <w:shd w:val="clear" w:color="auto" w:fill="767171" w:themeFill="background2" w:themeFillShade="80"/>
            <w:vAlign w:val="center"/>
          </w:tcPr>
          <w:p w14:paraId="385C61D1" w14:textId="77777777" w:rsidR="00462037" w:rsidRPr="00527C4A" w:rsidRDefault="00462037" w:rsidP="00462037">
            <w:pPr>
              <w:jc w:val="center"/>
              <w:rPr>
                <w:color w:val="FFFFFF" w:themeColor="background1"/>
                <w:sz w:val="18"/>
                <w:szCs w:val="18"/>
              </w:rPr>
            </w:pPr>
            <w:r>
              <w:rPr>
                <w:color w:val="FFFFFF" w:themeColor="background1"/>
                <w:sz w:val="18"/>
                <w:szCs w:val="18"/>
              </w:rPr>
              <w:t>No disability</w:t>
            </w:r>
          </w:p>
        </w:tc>
        <w:tc>
          <w:tcPr>
            <w:tcW w:w="1701" w:type="dxa"/>
            <w:shd w:val="clear" w:color="auto" w:fill="767171" w:themeFill="background2" w:themeFillShade="80"/>
            <w:vAlign w:val="center"/>
          </w:tcPr>
          <w:p w14:paraId="4B2152BC" w14:textId="77777777" w:rsidR="00462037" w:rsidRPr="00527C4A" w:rsidRDefault="00462037" w:rsidP="00462037">
            <w:pPr>
              <w:jc w:val="center"/>
              <w:rPr>
                <w:color w:val="FFFFFF" w:themeColor="background1"/>
                <w:sz w:val="18"/>
                <w:szCs w:val="18"/>
              </w:rPr>
            </w:pPr>
            <w:r>
              <w:rPr>
                <w:color w:val="FFFFFF" w:themeColor="background1"/>
                <w:sz w:val="18"/>
                <w:szCs w:val="18"/>
              </w:rPr>
              <w:t>Day to day activities limited a lot</w:t>
            </w:r>
          </w:p>
        </w:tc>
        <w:tc>
          <w:tcPr>
            <w:tcW w:w="1985" w:type="dxa"/>
            <w:shd w:val="clear" w:color="auto" w:fill="767171" w:themeFill="background2" w:themeFillShade="80"/>
            <w:vAlign w:val="center"/>
          </w:tcPr>
          <w:p w14:paraId="586FDEE5" w14:textId="77777777" w:rsidR="00462037" w:rsidRPr="00527C4A" w:rsidRDefault="00462037" w:rsidP="00462037">
            <w:pPr>
              <w:jc w:val="center"/>
              <w:rPr>
                <w:color w:val="FFFFFF" w:themeColor="background1"/>
                <w:sz w:val="18"/>
                <w:szCs w:val="18"/>
              </w:rPr>
            </w:pPr>
            <w:r>
              <w:rPr>
                <w:color w:val="FFFFFF" w:themeColor="background1"/>
                <w:sz w:val="18"/>
                <w:szCs w:val="18"/>
              </w:rPr>
              <w:t>Day to day activities limited a little</w:t>
            </w:r>
          </w:p>
        </w:tc>
        <w:tc>
          <w:tcPr>
            <w:tcW w:w="1275" w:type="dxa"/>
            <w:shd w:val="clear" w:color="auto" w:fill="767171" w:themeFill="background2" w:themeFillShade="80"/>
            <w:vAlign w:val="center"/>
          </w:tcPr>
          <w:p w14:paraId="56C6E6E9" w14:textId="77777777" w:rsidR="00462037" w:rsidRPr="00527C4A" w:rsidRDefault="00462037" w:rsidP="00462037">
            <w:pPr>
              <w:jc w:val="center"/>
              <w:rPr>
                <w:color w:val="FFFFFF" w:themeColor="background1"/>
                <w:sz w:val="18"/>
                <w:szCs w:val="18"/>
              </w:rPr>
            </w:pPr>
            <w:r>
              <w:rPr>
                <w:color w:val="FFFFFF" w:themeColor="background1"/>
                <w:sz w:val="18"/>
                <w:szCs w:val="18"/>
              </w:rPr>
              <w:t>Population</w:t>
            </w:r>
          </w:p>
        </w:tc>
      </w:tr>
      <w:tr w:rsidR="00462037" w14:paraId="3CA7C85A" w14:textId="77777777" w:rsidTr="00462037">
        <w:tc>
          <w:tcPr>
            <w:tcW w:w="2689" w:type="dxa"/>
            <w:vMerge w:val="restart"/>
            <w:vAlign w:val="bottom"/>
          </w:tcPr>
          <w:p w14:paraId="258A5C3B" w14:textId="77777777" w:rsidR="00462037" w:rsidRPr="00527C4A" w:rsidRDefault="00462037" w:rsidP="00462037">
            <w:pPr>
              <w:rPr>
                <w:sz w:val="18"/>
                <w:szCs w:val="18"/>
              </w:rPr>
            </w:pPr>
            <w:r w:rsidRPr="00527C4A">
              <w:rPr>
                <w:sz w:val="18"/>
                <w:szCs w:val="18"/>
              </w:rPr>
              <w:t xml:space="preserve">North Lincolnshire </w:t>
            </w:r>
          </w:p>
        </w:tc>
        <w:tc>
          <w:tcPr>
            <w:tcW w:w="1417" w:type="dxa"/>
            <w:vAlign w:val="bottom"/>
          </w:tcPr>
          <w:p w14:paraId="48010BF7"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270214</w:t>
            </w:r>
          </w:p>
        </w:tc>
        <w:tc>
          <w:tcPr>
            <w:tcW w:w="1701" w:type="dxa"/>
            <w:vAlign w:val="bottom"/>
          </w:tcPr>
          <w:p w14:paraId="6B34D5F9"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29029</w:t>
            </w:r>
          </w:p>
        </w:tc>
        <w:tc>
          <w:tcPr>
            <w:tcW w:w="1985" w:type="dxa"/>
            <w:vAlign w:val="bottom"/>
          </w:tcPr>
          <w:p w14:paraId="6501AA17"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34936</w:t>
            </w:r>
          </w:p>
        </w:tc>
        <w:tc>
          <w:tcPr>
            <w:tcW w:w="1275" w:type="dxa"/>
            <w:vAlign w:val="bottom"/>
          </w:tcPr>
          <w:p w14:paraId="0BE71F48"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334179</w:t>
            </w:r>
          </w:p>
        </w:tc>
      </w:tr>
      <w:tr w:rsidR="00462037" w14:paraId="163BC7FA" w14:textId="77777777" w:rsidTr="00462037">
        <w:tc>
          <w:tcPr>
            <w:tcW w:w="2689" w:type="dxa"/>
            <w:vMerge/>
            <w:vAlign w:val="bottom"/>
          </w:tcPr>
          <w:p w14:paraId="0BBDEB35" w14:textId="77777777" w:rsidR="00462037" w:rsidRPr="00527C4A" w:rsidRDefault="00462037" w:rsidP="00462037">
            <w:pPr>
              <w:rPr>
                <w:sz w:val="18"/>
                <w:szCs w:val="18"/>
              </w:rPr>
            </w:pPr>
          </w:p>
        </w:tc>
        <w:tc>
          <w:tcPr>
            <w:tcW w:w="1417" w:type="dxa"/>
            <w:vAlign w:val="bottom"/>
          </w:tcPr>
          <w:p w14:paraId="0FF500D0"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81%</w:t>
            </w:r>
          </w:p>
        </w:tc>
        <w:tc>
          <w:tcPr>
            <w:tcW w:w="1701" w:type="dxa"/>
            <w:vAlign w:val="bottom"/>
          </w:tcPr>
          <w:p w14:paraId="452CD3A6"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9%</w:t>
            </w:r>
          </w:p>
        </w:tc>
        <w:tc>
          <w:tcPr>
            <w:tcW w:w="1985" w:type="dxa"/>
            <w:vAlign w:val="bottom"/>
          </w:tcPr>
          <w:p w14:paraId="63C067F6"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10%</w:t>
            </w:r>
          </w:p>
        </w:tc>
        <w:tc>
          <w:tcPr>
            <w:tcW w:w="1275" w:type="dxa"/>
            <w:vAlign w:val="bottom"/>
          </w:tcPr>
          <w:p w14:paraId="67612E58"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100%</w:t>
            </w:r>
          </w:p>
        </w:tc>
      </w:tr>
      <w:tr w:rsidR="00462037" w14:paraId="69543CBE" w14:textId="77777777" w:rsidTr="00462037">
        <w:tc>
          <w:tcPr>
            <w:tcW w:w="2689" w:type="dxa"/>
            <w:vMerge w:val="restart"/>
            <w:vAlign w:val="bottom"/>
          </w:tcPr>
          <w:p w14:paraId="0E738BC7" w14:textId="77777777" w:rsidR="00462037" w:rsidRPr="00527C4A" w:rsidRDefault="00462037" w:rsidP="00462037">
            <w:pPr>
              <w:rPr>
                <w:sz w:val="18"/>
                <w:szCs w:val="18"/>
              </w:rPr>
            </w:pPr>
            <w:r w:rsidRPr="00527C4A">
              <w:rPr>
                <w:sz w:val="18"/>
                <w:szCs w:val="18"/>
              </w:rPr>
              <w:t xml:space="preserve">North East Lincolnshire </w:t>
            </w:r>
          </w:p>
        </w:tc>
        <w:tc>
          <w:tcPr>
            <w:tcW w:w="1417" w:type="dxa"/>
            <w:vAlign w:val="bottom"/>
          </w:tcPr>
          <w:p w14:paraId="01C60F7D"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128496</w:t>
            </w:r>
          </w:p>
        </w:tc>
        <w:tc>
          <w:tcPr>
            <w:tcW w:w="1701" w:type="dxa"/>
            <w:vAlign w:val="bottom"/>
          </w:tcPr>
          <w:p w14:paraId="264CD8BF"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14786</w:t>
            </w:r>
          </w:p>
        </w:tc>
        <w:tc>
          <w:tcPr>
            <w:tcW w:w="1985" w:type="dxa"/>
            <w:vAlign w:val="bottom"/>
          </w:tcPr>
          <w:p w14:paraId="6D23E2EA"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16334</w:t>
            </w:r>
          </w:p>
        </w:tc>
        <w:tc>
          <w:tcPr>
            <w:tcW w:w="1275" w:type="dxa"/>
            <w:vAlign w:val="bottom"/>
          </w:tcPr>
          <w:p w14:paraId="14C51F73"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159616</w:t>
            </w:r>
          </w:p>
        </w:tc>
      </w:tr>
      <w:tr w:rsidR="00462037" w14:paraId="1501B617" w14:textId="77777777" w:rsidTr="00462037">
        <w:tc>
          <w:tcPr>
            <w:tcW w:w="2689" w:type="dxa"/>
            <w:vMerge/>
            <w:vAlign w:val="bottom"/>
          </w:tcPr>
          <w:p w14:paraId="5FAB272E" w14:textId="77777777" w:rsidR="00462037" w:rsidRPr="00527C4A" w:rsidRDefault="00462037" w:rsidP="00462037">
            <w:pPr>
              <w:rPr>
                <w:sz w:val="18"/>
                <w:szCs w:val="18"/>
              </w:rPr>
            </w:pPr>
          </w:p>
        </w:tc>
        <w:tc>
          <w:tcPr>
            <w:tcW w:w="1417" w:type="dxa"/>
            <w:vAlign w:val="bottom"/>
          </w:tcPr>
          <w:p w14:paraId="440AE79A"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81%</w:t>
            </w:r>
          </w:p>
        </w:tc>
        <w:tc>
          <w:tcPr>
            <w:tcW w:w="1701" w:type="dxa"/>
            <w:vAlign w:val="bottom"/>
          </w:tcPr>
          <w:p w14:paraId="7163DB41"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9%</w:t>
            </w:r>
          </w:p>
        </w:tc>
        <w:tc>
          <w:tcPr>
            <w:tcW w:w="1985" w:type="dxa"/>
            <w:vAlign w:val="bottom"/>
          </w:tcPr>
          <w:p w14:paraId="1EDF446D"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10%</w:t>
            </w:r>
          </w:p>
        </w:tc>
        <w:tc>
          <w:tcPr>
            <w:tcW w:w="1275" w:type="dxa"/>
            <w:vAlign w:val="bottom"/>
          </w:tcPr>
          <w:p w14:paraId="7650CE27"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100%</w:t>
            </w:r>
          </w:p>
        </w:tc>
      </w:tr>
      <w:tr w:rsidR="00462037" w14:paraId="7EC97563" w14:textId="77777777" w:rsidTr="00462037">
        <w:tc>
          <w:tcPr>
            <w:tcW w:w="2689" w:type="dxa"/>
            <w:vMerge w:val="restart"/>
            <w:vAlign w:val="bottom"/>
          </w:tcPr>
          <w:p w14:paraId="7DB35702" w14:textId="77777777" w:rsidR="00462037" w:rsidRPr="00527C4A" w:rsidRDefault="00462037" w:rsidP="00462037">
            <w:pPr>
              <w:rPr>
                <w:sz w:val="18"/>
                <w:szCs w:val="18"/>
              </w:rPr>
            </w:pPr>
            <w:r w:rsidRPr="00527C4A">
              <w:rPr>
                <w:sz w:val="18"/>
                <w:szCs w:val="18"/>
              </w:rPr>
              <w:t xml:space="preserve">Lincolnshire East </w:t>
            </w:r>
          </w:p>
        </w:tc>
        <w:tc>
          <w:tcPr>
            <w:tcW w:w="1417" w:type="dxa"/>
            <w:vAlign w:val="bottom"/>
          </w:tcPr>
          <w:p w14:paraId="641DF2F1"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135167</w:t>
            </w:r>
          </w:p>
        </w:tc>
        <w:tc>
          <w:tcPr>
            <w:tcW w:w="1701" w:type="dxa"/>
            <w:vAlign w:val="bottom"/>
          </w:tcPr>
          <w:p w14:paraId="6BFDF445"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15333</w:t>
            </w:r>
          </w:p>
        </w:tc>
        <w:tc>
          <w:tcPr>
            <w:tcW w:w="1985" w:type="dxa"/>
            <w:vAlign w:val="bottom"/>
          </w:tcPr>
          <w:p w14:paraId="0890EA6A"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16946</w:t>
            </w:r>
          </w:p>
        </w:tc>
        <w:tc>
          <w:tcPr>
            <w:tcW w:w="1275" w:type="dxa"/>
            <w:vAlign w:val="bottom"/>
          </w:tcPr>
          <w:p w14:paraId="3A7D94FD"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167446</w:t>
            </w:r>
          </w:p>
        </w:tc>
      </w:tr>
      <w:tr w:rsidR="00462037" w14:paraId="0E551B66" w14:textId="77777777" w:rsidTr="00462037">
        <w:tc>
          <w:tcPr>
            <w:tcW w:w="2689" w:type="dxa"/>
            <w:vMerge/>
            <w:vAlign w:val="bottom"/>
          </w:tcPr>
          <w:p w14:paraId="11A9621C" w14:textId="77777777" w:rsidR="00462037" w:rsidRPr="00527C4A" w:rsidRDefault="00462037" w:rsidP="00462037">
            <w:pPr>
              <w:rPr>
                <w:sz w:val="18"/>
                <w:szCs w:val="18"/>
              </w:rPr>
            </w:pPr>
          </w:p>
        </w:tc>
        <w:tc>
          <w:tcPr>
            <w:tcW w:w="1417" w:type="dxa"/>
            <w:vAlign w:val="bottom"/>
          </w:tcPr>
          <w:p w14:paraId="2A258B7D"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81%</w:t>
            </w:r>
          </w:p>
        </w:tc>
        <w:tc>
          <w:tcPr>
            <w:tcW w:w="1701" w:type="dxa"/>
            <w:vAlign w:val="bottom"/>
          </w:tcPr>
          <w:p w14:paraId="7D65008A"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9%</w:t>
            </w:r>
          </w:p>
        </w:tc>
        <w:tc>
          <w:tcPr>
            <w:tcW w:w="1985" w:type="dxa"/>
            <w:vAlign w:val="bottom"/>
          </w:tcPr>
          <w:p w14:paraId="26D2AEF0"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10%</w:t>
            </w:r>
          </w:p>
        </w:tc>
        <w:tc>
          <w:tcPr>
            <w:tcW w:w="1275" w:type="dxa"/>
            <w:vAlign w:val="bottom"/>
          </w:tcPr>
          <w:p w14:paraId="7B8DE9F3"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100%</w:t>
            </w:r>
          </w:p>
        </w:tc>
      </w:tr>
      <w:tr w:rsidR="00462037" w14:paraId="46E50580" w14:textId="77777777" w:rsidTr="00462037">
        <w:tc>
          <w:tcPr>
            <w:tcW w:w="2689" w:type="dxa"/>
            <w:vMerge w:val="restart"/>
            <w:vAlign w:val="bottom"/>
          </w:tcPr>
          <w:p w14:paraId="7208BEF1" w14:textId="77777777" w:rsidR="00462037" w:rsidRPr="00527C4A" w:rsidRDefault="00462037" w:rsidP="00462037">
            <w:pPr>
              <w:rPr>
                <w:sz w:val="18"/>
                <w:szCs w:val="18"/>
              </w:rPr>
            </w:pPr>
            <w:r>
              <w:rPr>
                <w:sz w:val="18"/>
                <w:szCs w:val="18"/>
              </w:rPr>
              <w:t>East Lindsey</w:t>
            </w:r>
            <w:r w:rsidRPr="00527C4A">
              <w:rPr>
                <w:sz w:val="18"/>
                <w:szCs w:val="18"/>
              </w:rPr>
              <w:t xml:space="preserve"> </w:t>
            </w:r>
          </w:p>
        </w:tc>
        <w:tc>
          <w:tcPr>
            <w:tcW w:w="1417" w:type="dxa"/>
            <w:vAlign w:val="bottom"/>
          </w:tcPr>
          <w:p w14:paraId="549207CE"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100999</w:t>
            </w:r>
          </w:p>
        </w:tc>
        <w:tc>
          <w:tcPr>
            <w:tcW w:w="1701" w:type="dxa"/>
            <w:vAlign w:val="bottom"/>
          </w:tcPr>
          <w:p w14:paraId="0142452D"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17475</w:t>
            </w:r>
          </w:p>
        </w:tc>
        <w:tc>
          <w:tcPr>
            <w:tcW w:w="1985" w:type="dxa"/>
            <w:vAlign w:val="bottom"/>
          </w:tcPr>
          <w:p w14:paraId="666492EE"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17927</w:t>
            </w:r>
          </w:p>
        </w:tc>
        <w:tc>
          <w:tcPr>
            <w:tcW w:w="1275" w:type="dxa"/>
            <w:vAlign w:val="bottom"/>
          </w:tcPr>
          <w:p w14:paraId="3B65AE85"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136401</w:t>
            </w:r>
          </w:p>
        </w:tc>
      </w:tr>
      <w:tr w:rsidR="00462037" w14:paraId="2F69E94A" w14:textId="77777777" w:rsidTr="00462037">
        <w:tc>
          <w:tcPr>
            <w:tcW w:w="2689" w:type="dxa"/>
            <w:vMerge/>
          </w:tcPr>
          <w:p w14:paraId="5B10C987" w14:textId="77777777" w:rsidR="00462037" w:rsidRPr="00527C4A" w:rsidRDefault="00462037" w:rsidP="00462037">
            <w:pPr>
              <w:rPr>
                <w:sz w:val="18"/>
                <w:szCs w:val="18"/>
              </w:rPr>
            </w:pPr>
          </w:p>
        </w:tc>
        <w:tc>
          <w:tcPr>
            <w:tcW w:w="1417" w:type="dxa"/>
            <w:vAlign w:val="bottom"/>
          </w:tcPr>
          <w:p w14:paraId="2E102B91"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74%</w:t>
            </w:r>
          </w:p>
        </w:tc>
        <w:tc>
          <w:tcPr>
            <w:tcW w:w="1701" w:type="dxa"/>
            <w:vAlign w:val="bottom"/>
          </w:tcPr>
          <w:p w14:paraId="3D642641"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13%</w:t>
            </w:r>
          </w:p>
        </w:tc>
        <w:tc>
          <w:tcPr>
            <w:tcW w:w="1985" w:type="dxa"/>
            <w:vAlign w:val="bottom"/>
          </w:tcPr>
          <w:p w14:paraId="461C5784"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13%</w:t>
            </w:r>
          </w:p>
        </w:tc>
        <w:tc>
          <w:tcPr>
            <w:tcW w:w="1275" w:type="dxa"/>
            <w:vAlign w:val="bottom"/>
          </w:tcPr>
          <w:p w14:paraId="48563CDE"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100%</w:t>
            </w:r>
          </w:p>
        </w:tc>
      </w:tr>
      <w:tr w:rsidR="00462037" w14:paraId="19585BDB" w14:textId="77777777" w:rsidTr="00462037">
        <w:tc>
          <w:tcPr>
            <w:tcW w:w="2689" w:type="dxa"/>
            <w:vMerge w:val="restart"/>
            <w:vAlign w:val="bottom"/>
          </w:tcPr>
          <w:p w14:paraId="0D279128" w14:textId="77777777" w:rsidR="00462037" w:rsidRPr="00527C4A" w:rsidRDefault="00462037" w:rsidP="00462037">
            <w:pPr>
              <w:rPr>
                <w:sz w:val="18"/>
                <w:szCs w:val="18"/>
              </w:rPr>
            </w:pPr>
            <w:r w:rsidRPr="00527C4A">
              <w:rPr>
                <w:sz w:val="18"/>
                <w:szCs w:val="18"/>
              </w:rPr>
              <w:t xml:space="preserve">West </w:t>
            </w:r>
            <w:r>
              <w:rPr>
                <w:sz w:val="18"/>
                <w:szCs w:val="18"/>
              </w:rPr>
              <w:t>Lindsey</w:t>
            </w:r>
          </w:p>
        </w:tc>
        <w:tc>
          <w:tcPr>
            <w:tcW w:w="1417" w:type="dxa"/>
            <w:vAlign w:val="bottom"/>
          </w:tcPr>
          <w:p w14:paraId="41F853C5"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71466</w:t>
            </w:r>
          </w:p>
        </w:tc>
        <w:tc>
          <w:tcPr>
            <w:tcW w:w="1701" w:type="dxa"/>
            <w:vAlign w:val="bottom"/>
          </w:tcPr>
          <w:p w14:paraId="6EB274CB"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7944</w:t>
            </w:r>
          </w:p>
        </w:tc>
        <w:tc>
          <w:tcPr>
            <w:tcW w:w="1985" w:type="dxa"/>
            <w:vAlign w:val="bottom"/>
          </w:tcPr>
          <w:p w14:paraId="4F3793D8"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9840</w:t>
            </w:r>
          </w:p>
        </w:tc>
        <w:tc>
          <w:tcPr>
            <w:tcW w:w="1275" w:type="dxa"/>
            <w:vAlign w:val="bottom"/>
          </w:tcPr>
          <w:p w14:paraId="222FA84D"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89250</w:t>
            </w:r>
          </w:p>
        </w:tc>
      </w:tr>
      <w:tr w:rsidR="00462037" w14:paraId="57DAAEA8" w14:textId="77777777" w:rsidTr="00462037">
        <w:tc>
          <w:tcPr>
            <w:tcW w:w="2689" w:type="dxa"/>
            <w:vMerge/>
          </w:tcPr>
          <w:p w14:paraId="6DC897C7" w14:textId="77777777" w:rsidR="00462037" w:rsidRPr="00527C4A" w:rsidRDefault="00462037" w:rsidP="00462037">
            <w:pPr>
              <w:rPr>
                <w:sz w:val="18"/>
                <w:szCs w:val="18"/>
              </w:rPr>
            </w:pPr>
          </w:p>
        </w:tc>
        <w:tc>
          <w:tcPr>
            <w:tcW w:w="1417" w:type="dxa"/>
            <w:vAlign w:val="bottom"/>
          </w:tcPr>
          <w:p w14:paraId="4373A87A"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80%</w:t>
            </w:r>
          </w:p>
        </w:tc>
        <w:tc>
          <w:tcPr>
            <w:tcW w:w="1701" w:type="dxa"/>
            <w:vAlign w:val="bottom"/>
          </w:tcPr>
          <w:p w14:paraId="47131B79"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9%</w:t>
            </w:r>
          </w:p>
        </w:tc>
        <w:tc>
          <w:tcPr>
            <w:tcW w:w="1985" w:type="dxa"/>
            <w:vAlign w:val="bottom"/>
          </w:tcPr>
          <w:p w14:paraId="4311D1EA"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11%</w:t>
            </w:r>
          </w:p>
        </w:tc>
        <w:tc>
          <w:tcPr>
            <w:tcW w:w="1275" w:type="dxa"/>
            <w:vAlign w:val="bottom"/>
          </w:tcPr>
          <w:p w14:paraId="1DAED97F" w14:textId="77777777" w:rsidR="00462037" w:rsidRPr="00EA1CFF" w:rsidRDefault="00462037" w:rsidP="00462037">
            <w:pPr>
              <w:jc w:val="center"/>
              <w:rPr>
                <w:rFonts w:ascii="Calibri" w:hAnsi="Calibri"/>
                <w:color w:val="000000"/>
                <w:sz w:val="18"/>
                <w:szCs w:val="18"/>
              </w:rPr>
            </w:pPr>
            <w:r w:rsidRPr="00EA1CFF">
              <w:rPr>
                <w:rFonts w:ascii="Calibri" w:hAnsi="Calibri"/>
                <w:color w:val="000000"/>
                <w:sz w:val="18"/>
                <w:szCs w:val="18"/>
              </w:rPr>
              <w:t>100%</w:t>
            </w:r>
          </w:p>
        </w:tc>
      </w:tr>
    </w:tbl>
    <w:p w14:paraId="7B6B54D8" w14:textId="77777777" w:rsidR="00462037" w:rsidRDefault="00462037" w:rsidP="00462037">
      <w:pPr>
        <w:rPr>
          <w:sz w:val="16"/>
          <w:szCs w:val="16"/>
        </w:rPr>
      </w:pPr>
      <w:r>
        <w:rPr>
          <w:sz w:val="16"/>
          <w:szCs w:val="16"/>
        </w:rPr>
        <w:t xml:space="preserve">Source: </w:t>
      </w:r>
      <w:r w:rsidRPr="00527C4A">
        <w:rPr>
          <w:sz w:val="16"/>
          <w:szCs w:val="16"/>
        </w:rPr>
        <w:t xml:space="preserve"> Office for National Statistics (ONS) mid-2011 Census based population estimates for Clinical Commissioning Groups.</w:t>
      </w:r>
    </w:p>
    <w:p w14:paraId="7A8B30D8" w14:textId="18583493" w:rsidR="00462037" w:rsidRDefault="00462037" w:rsidP="00462037">
      <w:pPr>
        <w:pStyle w:val="Heading2"/>
      </w:pPr>
      <w:bookmarkStart w:id="13" w:name="_Toc388003795"/>
      <w:bookmarkStart w:id="14" w:name="_Toc388275362"/>
      <w:r>
        <w:lastRenderedPageBreak/>
        <w:t>4.2 Public feedback on equality issues</w:t>
      </w:r>
      <w:bookmarkEnd w:id="13"/>
      <w:bookmarkEnd w:id="14"/>
    </w:p>
    <w:p w14:paraId="48DDCA66" w14:textId="77777777" w:rsidR="00462037" w:rsidRDefault="00462037" w:rsidP="00462037">
      <w:pPr>
        <w:pStyle w:val="Default"/>
        <w:rPr>
          <w:rFonts w:asciiTheme="minorHAnsi" w:hAnsiTheme="minorHAnsi" w:cs="Calibri"/>
          <w:sz w:val="22"/>
          <w:szCs w:val="22"/>
        </w:rPr>
      </w:pPr>
      <w:r w:rsidRPr="00FC77F2">
        <w:rPr>
          <w:rFonts w:asciiTheme="minorHAnsi" w:hAnsiTheme="minorHAnsi"/>
          <w:sz w:val="22"/>
          <w:szCs w:val="22"/>
        </w:rPr>
        <w:t xml:space="preserve">As part of the second engagement phase a range of questions were asked about equality issues.  Most of the feedback in this section related to accessibility, particularly for vulnerable people and those living in rural locations.  </w:t>
      </w:r>
      <w:r>
        <w:rPr>
          <w:rFonts w:asciiTheme="minorHAnsi" w:hAnsiTheme="minorHAnsi"/>
          <w:sz w:val="22"/>
          <w:szCs w:val="22"/>
        </w:rPr>
        <w:t>Comments were also received a</w:t>
      </w:r>
      <w:r w:rsidRPr="00FC77F2">
        <w:rPr>
          <w:rFonts w:asciiTheme="minorHAnsi" w:hAnsiTheme="minorHAnsi" w:cs="Calibri"/>
          <w:sz w:val="22"/>
          <w:szCs w:val="22"/>
        </w:rPr>
        <w:t xml:space="preserve">bout </w:t>
      </w:r>
      <w:r>
        <w:rPr>
          <w:rFonts w:asciiTheme="minorHAnsi" w:hAnsiTheme="minorHAnsi" w:cs="Calibri"/>
          <w:sz w:val="22"/>
          <w:szCs w:val="22"/>
        </w:rPr>
        <w:t xml:space="preserve">reaching </w:t>
      </w:r>
      <w:r w:rsidRPr="00FC77F2">
        <w:rPr>
          <w:rFonts w:asciiTheme="minorHAnsi" w:hAnsiTheme="minorHAnsi" w:cs="Calibri"/>
          <w:sz w:val="22"/>
          <w:szCs w:val="22"/>
        </w:rPr>
        <w:t>vulnerable people</w:t>
      </w:r>
      <w:r>
        <w:rPr>
          <w:rFonts w:asciiTheme="minorHAnsi" w:hAnsiTheme="minorHAnsi" w:cs="Calibri"/>
          <w:sz w:val="22"/>
          <w:szCs w:val="22"/>
        </w:rPr>
        <w:t xml:space="preserve"> and supporting those with disabilities, fam</w:t>
      </w:r>
      <w:r w:rsidRPr="00FC77F2">
        <w:rPr>
          <w:rFonts w:asciiTheme="minorHAnsi" w:hAnsiTheme="minorHAnsi" w:cs="Calibri"/>
          <w:sz w:val="22"/>
          <w:szCs w:val="22"/>
        </w:rPr>
        <w:t xml:space="preserve">ilies </w:t>
      </w:r>
      <w:r>
        <w:rPr>
          <w:rFonts w:asciiTheme="minorHAnsi" w:hAnsiTheme="minorHAnsi" w:cs="Calibri"/>
          <w:sz w:val="22"/>
          <w:szCs w:val="22"/>
        </w:rPr>
        <w:t xml:space="preserve">and those </w:t>
      </w:r>
      <w:r w:rsidRPr="00FC77F2">
        <w:rPr>
          <w:rFonts w:asciiTheme="minorHAnsi" w:hAnsiTheme="minorHAnsi" w:cs="Calibri"/>
          <w:sz w:val="22"/>
          <w:szCs w:val="22"/>
        </w:rPr>
        <w:t xml:space="preserve">on a low income. </w:t>
      </w:r>
      <w:r>
        <w:rPr>
          <w:rFonts w:asciiTheme="minorHAnsi" w:hAnsiTheme="minorHAnsi" w:cs="Calibri"/>
          <w:sz w:val="22"/>
          <w:szCs w:val="22"/>
        </w:rPr>
        <w:t xml:space="preserve"> </w:t>
      </w:r>
      <w:proofErr w:type="gramStart"/>
      <w:r w:rsidRPr="00FC77F2">
        <w:rPr>
          <w:rFonts w:asciiTheme="minorHAnsi" w:hAnsiTheme="minorHAnsi" w:cs="Calibri"/>
          <w:sz w:val="22"/>
          <w:szCs w:val="22"/>
        </w:rPr>
        <w:t xml:space="preserve">Older people </w:t>
      </w:r>
      <w:r>
        <w:rPr>
          <w:rFonts w:asciiTheme="minorHAnsi" w:hAnsiTheme="minorHAnsi" w:cs="Calibri"/>
          <w:sz w:val="22"/>
          <w:szCs w:val="22"/>
        </w:rPr>
        <w:t xml:space="preserve">and those with mental health </w:t>
      </w:r>
      <w:r w:rsidRPr="00FC77F2">
        <w:rPr>
          <w:rFonts w:asciiTheme="minorHAnsi" w:hAnsiTheme="minorHAnsi" w:cs="Calibri"/>
          <w:sz w:val="22"/>
          <w:szCs w:val="22"/>
        </w:rPr>
        <w:t>problems</w:t>
      </w:r>
      <w:r>
        <w:rPr>
          <w:rFonts w:asciiTheme="minorHAnsi" w:hAnsiTheme="minorHAnsi" w:cs="Calibri"/>
          <w:sz w:val="22"/>
          <w:szCs w:val="22"/>
        </w:rPr>
        <w:t xml:space="preserve"> were highlighted</w:t>
      </w:r>
      <w:r w:rsidRPr="00FC77F2">
        <w:rPr>
          <w:rFonts w:asciiTheme="minorHAnsi" w:hAnsiTheme="minorHAnsi" w:cs="Calibri"/>
          <w:sz w:val="22"/>
          <w:szCs w:val="22"/>
        </w:rPr>
        <w:t>, particularly dementia.</w:t>
      </w:r>
      <w:proofErr w:type="gramEnd"/>
      <w:r w:rsidRPr="00FC77F2">
        <w:rPr>
          <w:rFonts w:asciiTheme="minorHAnsi" w:hAnsiTheme="minorHAnsi" w:cs="Calibri"/>
          <w:sz w:val="22"/>
          <w:szCs w:val="22"/>
        </w:rPr>
        <w:t xml:space="preserve"> </w:t>
      </w:r>
      <w:r>
        <w:rPr>
          <w:rFonts w:asciiTheme="minorHAnsi" w:hAnsiTheme="minorHAnsi" w:cs="Calibri"/>
          <w:sz w:val="22"/>
          <w:szCs w:val="22"/>
        </w:rPr>
        <w:t xml:space="preserve"> Commissioners need to p</w:t>
      </w:r>
      <w:r w:rsidRPr="00FC77F2">
        <w:rPr>
          <w:rFonts w:asciiTheme="minorHAnsi" w:hAnsiTheme="minorHAnsi" w:cs="Calibri"/>
          <w:sz w:val="22"/>
          <w:szCs w:val="22"/>
        </w:rPr>
        <w:t>roactively meet the</w:t>
      </w:r>
      <w:r>
        <w:rPr>
          <w:rFonts w:asciiTheme="minorHAnsi" w:hAnsiTheme="minorHAnsi" w:cs="Calibri"/>
          <w:sz w:val="22"/>
          <w:szCs w:val="22"/>
        </w:rPr>
        <w:t xml:space="preserve"> needs of vulnerable people especially if services are moved</w:t>
      </w:r>
      <w:r w:rsidRPr="00FC77F2">
        <w:rPr>
          <w:rFonts w:asciiTheme="minorHAnsi" w:hAnsiTheme="minorHAnsi" w:cs="Calibri"/>
          <w:sz w:val="22"/>
          <w:szCs w:val="22"/>
        </w:rPr>
        <w:t xml:space="preserve"> further away and no additional support is in place. </w:t>
      </w:r>
    </w:p>
    <w:p w14:paraId="7FAA95AD" w14:textId="77777777" w:rsidR="00462037" w:rsidRDefault="00462037" w:rsidP="00462037">
      <w:pPr>
        <w:pStyle w:val="Default"/>
        <w:rPr>
          <w:rFonts w:asciiTheme="minorHAnsi" w:hAnsiTheme="minorHAnsi" w:cs="Calibri"/>
          <w:sz w:val="22"/>
          <w:szCs w:val="22"/>
        </w:rPr>
      </w:pPr>
    </w:p>
    <w:p w14:paraId="4E3CF9E5" w14:textId="77777777" w:rsidR="00462037" w:rsidRDefault="00462037" w:rsidP="00462037">
      <w:pPr>
        <w:pStyle w:val="Default"/>
        <w:rPr>
          <w:rFonts w:asciiTheme="minorHAnsi" w:hAnsiTheme="minorHAnsi" w:cs="Calibri"/>
          <w:sz w:val="22"/>
          <w:szCs w:val="22"/>
        </w:rPr>
      </w:pPr>
      <w:r>
        <w:rPr>
          <w:rFonts w:asciiTheme="minorHAnsi" w:hAnsiTheme="minorHAnsi" w:cs="Calibri"/>
          <w:sz w:val="22"/>
          <w:szCs w:val="22"/>
        </w:rPr>
        <w:t>The public want services that are person-centred rather than designed around the needs of the organisations:</w:t>
      </w:r>
    </w:p>
    <w:p w14:paraId="144B9D56" w14:textId="77777777" w:rsidR="00462037" w:rsidRDefault="00462037" w:rsidP="00462037">
      <w:pPr>
        <w:pStyle w:val="Default"/>
        <w:rPr>
          <w:rFonts w:asciiTheme="minorHAnsi" w:hAnsiTheme="minorHAnsi" w:cs="Calibri"/>
          <w:sz w:val="22"/>
          <w:szCs w:val="22"/>
        </w:rPr>
      </w:pPr>
    </w:p>
    <w:p w14:paraId="33DFA93C" w14:textId="77777777" w:rsidR="00462037" w:rsidRDefault="00462037" w:rsidP="00462037">
      <w:pPr>
        <w:pStyle w:val="Default"/>
        <w:spacing w:after="240"/>
        <w:ind w:left="720"/>
        <w:rPr>
          <w:rFonts w:asciiTheme="minorHAnsi" w:hAnsiTheme="minorHAnsi" w:cs="Calibri"/>
          <w:i/>
          <w:sz w:val="22"/>
          <w:szCs w:val="22"/>
        </w:rPr>
      </w:pPr>
      <w:r>
        <w:rPr>
          <w:rFonts w:asciiTheme="minorHAnsi" w:hAnsiTheme="minorHAnsi" w:cs="Calibri"/>
          <w:i/>
          <w:sz w:val="22"/>
          <w:szCs w:val="22"/>
        </w:rPr>
        <w:t>“If services are right for disadvantaged groups they are probably right for everyone else”</w:t>
      </w:r>
    </w:p>
    <w:p w14:paraId="266C3718" w14:textId="77777777" w:rsidR="00462037" w:rsidRDefault="00462037" w:rsidP="00462037">
      <w:pPr>
        <w:pStyle w:val="Default"/>
        <w:spacing w:after="240"/>
        <w:ind w:left="720"/>
        <w:rPr>
          <w:rFonts w:asciiTheme="minorHAnsi" w:hAnsiTheme="minorHAnsi" w:cs="Calibri"/>
          <w:i/>
          <w:sz w:val="22"/>
          <w:szCs w:val="22"/>
        </w:rPr>
      </w:pPr>
      <w:r>
        <w:rPr>
          <w:rFonts w:asciiTheme="minorHAnsi" w:hAnsiTheme="minorHAnsi" w:cs="Calibri"/>
          <w:i/>
          <w:sz w:val="22"/>
          <w:szCs w:val="22"/>
        </w:rPr>
        <w:t>“Give due regard to the quiet-voiced majority”</w:t>
      </w:r>
    </w:p>
    <w:p w14:paraId="208A5476" w14:textId="77777777" w:rsidR="00462037" w:rsidRDefault="00462037" w:rsidP="00462037">
      <w:pPr>
        <w:pStyle w:val="Default"/>
        <w:spacing w:after="240"/>
        <w:ind w:left="720"/>
        <w:rPr>
          <w:rFonts w:asciiTheme="minorHAnsi" w:hAnsiTheme="minorHAnsi" w:cs="Calibri"/>
          <w:i/>
          <w:sz w:val="22"/>
          <w:szCs w:val="22"/>
        </w:rPr>
      </w:pPr>
      <w:r>
        <w:rPr>
          <w:rFonts w:asciiTheme="minorHAnsi" w:hAnsiTheme="minorHAnsi" w:cs="Calibri"/>
          <w:i/>
          <w:sz w:val="22"/>
          <w:szCs w:val="22"/>
        </w:rPr>
        <w:t>“Make sure that important information is clear in other languages”</w:t>
      </w:r>
    </w:p>
    <w:p w14:paraId="75D6E3F1" w14:textId="77777777" w:rsidR="00462037" w:rsidRPr="00FC77F2" w:rsidRDefault="00462037" w:rsidP="00462037">
      <w:pPr>
        <w:pStyle w:val="Default"/>
        <w:spacing w:after="240"/>
        <w:ind w:left="720"/>
        <w:rPr>
          <w:rFonts w:asciiTheme="minorHAnsi" w:hAnsiTheme="minorHAnsi" w:cs="Calibri"/>
          <w:i/>
          <w:sz w:val="22"/>
          <w:szCs w:val="22"/>
        </w:rPr>
      </w:pPr>
      <w:r>
        <w:rPr>
          <w:rFonts w:asciiTheme="minorHAnsi" w:hAnsiTheme="minorHAnsi" w:cs="Calibri"/>
          <w:i/>
          <w:sz w:val="22"/>
          <w:szCs w:val="22"/>
        </w:rPr>
        <w:t>“Vulnerable and elderly people are often reluctant to ask for help.  They need to keep their independence but need varying degrees of help”</w:t>
      </w:r>
    </w:p>
    <w:p w14:paraId="4FF393C7" w14:textId="281817E0" w:rsidR="00462037" w:rsidRPr="00FC77F2" w:rsidRDefault="00462037" w:rsidP="00462037">
      <w:r>
        <w:t>The full Equality Impact Assessment analysis can be found as Appendix 3.</w:t>
      </w:r>
    </w:p>
    <w:p w14:paraId="384CEF75" w14:textId="77777777" w:rsidR="00462037" w:rsidRPr="00527C4A" w:rsidRDefault="00462037" w:rsidP="00462037">
      <w:pPr>
        <w:rPr>
          <w:sz w:val="16"/>
          <w:szCs w:val="16"/>
        </w:rPr>
      </w:pPr>
    </w:p>
    <w:p w14:paraId="53AAB684" w14:textId="543FE9CC" w:rsidR="00A85C1A" w:rsidRPr="006F4118" w:rsidRDefault="00462037" w:rsidP="00462037">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r>
        <w:rPr>
          <w:rFonts w:asciiTheme="majorHAnsi" w:eastAsiaTheme="majorEastAsia" w:hAnsiTheme="majorHAnsi" w:cstheme="majorBidi"/>
          <w:color w:val="2E74B5" w:themeColor="accent1" w:themeShade="BF"/>
          <w:sz w:val="32"/>
          <w:szCs w:val="32"/>
        </w:rPr>
        <w:lastRenderedPageBreak/>
        <w:t>5</w:t>
      </w:r>
      <w:r w:rsidR="00A85C1A" w:rsidRPr="006F4118">
        <w:rPr>
          <w:rFonts w:asciiTheme="majorHAnsi" w:eastAsiaTheme="majorEastAsia" w:hAnsiTheme="majorHAnsi" w:cstheme="majorBidi"/>
          <w:color w:val="2E74B5" w:themeColor="accent1" w:themeShade="BF"/>
          <w:sz w:val="32"/>
          <w:szCs w:val="32"/>
        </w:rPr>
        <w:t xml:space="preserve">. Option </w:t>
      </w:r>
      <w:r w:rsidR="00A85C1A">
        <w:rPr>
          <w:rFonts w:asciiTheme="majorHAnsi" w:eastAsiaTheme="majorEastAsia" w:hAnsiTheme="majorHAnsi" w:cstheme="majorBidi"/>
          <w:color w:val="2E74B5" w:themeColor="accent1" w:themeShade="BF"/>
          <w:sz w:val="32"/>
          <w:szCs w:val="32"/>
        </w:rPr>
        <w:t xml:space="preserve">1 </w:t>
      </w:r>
      <w:r w:rsidR="00A85C1A" w:rsidRPr="006F4118">
        <w:rPr>
          <w:rFonts w:asciiTheme="majorHAnsi" w:eastAsiaTheme="majorEastAsia" w:hAnsiTheme="majorHAnsi" w:cstheme="majorBidi"/>
          <w:color w:val="2E74B5" w:themeColor="accent1" w:themeShade="BF"/>
          <w:sz w:val="32"/>
          <w:szCs w:val="32"/>
        </w:rPr>
        <w:t xml:space="preserve">– </w:t>
      </w:r>
      <w:r w:rsidR="00A85C1A">
        <w:rPr>
          <w:rFonts w:asciiTheme="majorHAnsi" w:eastAsiaTheme="majorEastAsia" w:hAnsiTheme="majorHAnsi" w:cstheme="majorBidi"/>
          <w:color w:val="2E74B5" w:themeColor="accent1" w:themeShade="BF"/>
          <w:sz w:val="32"/>
          <w:szCs w:val="32"/>
        </w:rPr>
        <w:t xml:space="preserve">Do nothing: </w:t>
      </w:r>
      <w:r w:rsidR="001B1F57">
        <w:rPr>
          <w:rFonts w:asciiTheme="majorHAnsi" w:eastAsiaTheme="majorEastAsia" w:hAnsiTheme="majorHAnsi" w:cstheme="majorBidi"/>
          <w:color w:val="2E74B5" w:themeColor="accent1" w:themeShade="BF"/>
          <w:sz w:val="32"/>
          <w:szCs w:val="32"/>
        </w:rPr>
        <w:t>Children’s surgery</w:t>
      </w:r>
      <w:r w:rsidR="00A85C1A">
        <w:rPr>
          <w:rFonts w:asciiTheme="majorHAnsi" w:eastAsiaTheme="majorEastAsia" w:hAnsiTheme="majorHAnsi" w:cstheme="majorBidi"/>
          <w:color w:val="2E74B5" w:themeColor="accent1" w:themeShade="BF"/>
          <w:sz w:val="32"/>
          <w:szCs w:val="32"/>
        </w:rPr>
        <w:t xml:space="preserve"> remains unchanged </w:t>
      </w:r>
    </w:p>
    <w:p w14:paraId="54AB39E1" w14:textId="170677B8" w:rsidR="00A85C1A" w:rsidRPr="000C477A" w:rsidRDefault="00462037" w:rsidP="00A85C1A">
      <w:pPr>
        <w:rPr>
          <w:rFonts w:asciiTheme="majorHAnsi" w:hAnsiTheme="majorHAnsi"/>
          <w:color w:val="0070C0"/>
          <w:sz w:val="26"/>
          <w:szCs w:val="26"/>
        </w:rPr>
      </w:pPr>
      <w:r>
        <w:rPr>
          <w:rFonts w:asciiTheme="majorHAnsi" w:hAnsiTheme="majorHAnsi"/>
          <w:color w:val="0070C0"/>
          <w:sz w:val="26"/>
          <w:szCs w:val="26"/>
        </w:rPr>
        <w:t>5</w:t>
      </w:r>
      <w:r w:rsidR="00A85C1A" w:rsidRPr="000C477A">
        <w:rPr>
          <w:rFonts w:asciiTheme="majorHAnsi" w:hAnsiTheme="majorHAnsi"/>
          <w:color w:val="0070C0"/>
          <w:sz w:val="26"/>
          <w:szCs w:val="26"/>
        </w:rPr>
        <w:t xml:space="preserve">.1 Assumptions </w:t>
      </w:r>
    </w:p>
    <w:p w14:paraId="47D845AE" w14:textId="77777777" w:rsidR="00A85C1A" w:rsidRPr="00741948" w:rsidRDefault="00A85C1A" w:rsidP="00A85C1A">
      <w:pPr>
        <w:spacing w:line="240" w:lineRule="auto"/>
      </w:pPr>
      <w:r w:rsidRPr="00741948">
        <w:t>This option makes the following assumptions:</w:t>
      </w:r>
    </w:p>
    <w:p w14:paraId="06CBF1C1" w14:textId="282A07EA" w:rsidR="00F244B1" w:rsidRDefault="00E2156A" w:rsidP="001B1F57">
      <w:pPr>
        <w:pStyle w:val="ListParagraph"/>
        <w:numPr>
          <w:ilvl w:val="0"/>
          <w:numId w:val="35"/>
        </w:numPr>
        <w:spacing w:before="0" w:line="240" w:lineRule="auto"/>
        <w:rPr>
          <w:rFonts w:asciiTheme="minorHAnsi" w:hAnsiTheme="minorHAnsi"/>
        </w:rPr>
      </w:pPr>
      <w:r>
        <w:rPr>
          <w:rFonts w:asciiTheme="minorHAnsi" w:hAnsiTheme="minorHAnsi"/>
        </w:rPr>
        <w:t>The service will remain on both sites in its current capacity</w:t>
      </w:r>
    </w:p>
    <w:p w14:paraId="1A70E5E6" w14:textId="77777777" w:rsidR="00462037" w:rsidRDefault="00462037" w:rsidP="00462037">
      <w:pPr>
        <w:spacing w:line="240" w:lineRule="auto"/>
      </w:pPr>
    </w:p>
    <w:p w14:paraId="78305B94" w14:textId="498269DF" w:rsidR="00462037" w:rsidRPr="00485B0E" w:rsidRDefault="00462037" w:rsidP="00462037">
      <w:r>
        <w:rPr>
          <w:rFonts w:asciiTheme="majorHAnsi" w:hAnsiTheme="majorHAnsi"/>
          <w:color w:val="0070C0"/>
          <w:sz w:val="26"/>
          <w:szCs w:val="26"/>
        </w:rPr>
        <w:t>5</w:t>
      </w:r>
      <w:r w:rsidRPr="000C477A">
        <w:rPr>
          <w:rFonts w:asciiTheme="majorHAnsi" w:hAnsiTheme="majorHAnsi"/>
          <w:color w:val="0070C0"/>
          <w:sz w:val="26"/>
          <w:szCs w:val="26"/>
        </w:rPr>
        <w:t>.</w:t>
      </w:r>
      <w:r>
        <w:rPr>
          <w:rFonts w:asciiTheme="majorHAnsi" w:hAnsiTheme="majorHAnsi"/>
          <w:color w:val="0070C0"/>
          <w:sz w:val="26"/>
          <w:szCs w:val="26"/>
        </w:rPr>
        <w:t>2</w:t>
      </w:r>
      <w:r w:rsidRPr="000C477A">
        <w:rPr>
          <w:rFonts w:asciiTheme="majorHAnsi" w:hAnsiTheme="majorHAnsi"/>
          <w:color w:val="0070C0"/>
          <w:sz w:val="26"/>
          <w:szCs w:val="26"/>
        </w:rPr>
        <w:t xml:space="preserve"> </w:t>
      </w:r>
      <w:r>
        <w:rPr>
          <w:rFonts w:asciiTheme="majorHAnsi" w:hAnsiTheme="majorHAnsi"/>
          <w:color w:val="0070C0"/>
          <w:sz w:val="26"/>
          <w:szCs w:val="26"/>
        </w:rPr>
        <w:t>Risks and Issues</w:t>
      </w:r>
    </w:p>
    <w:p w14:paraId="79416118" w14:textId="59B8D937" w:rsidR="00A85C1A" w:rsidRPr="00741948" w:rsidRDefault="00A85C1A" w:rsidP="00F244B1">
      <w:pPr>
        <w:pStyle w:val="Heading4"/>
      </w:pPr>
      <w:r w:rsidRPr="00741948">
        <w:t xml:space="preserve">Table </w:t>
      </w:r>
      <w:r w:rsidR="00462037">
        <w:t>8</w:t>
      </w:r>
      <w:r w:rsidRPr="00741948">
        <w:t xml:space="preserve"> – Risks and issues of option </w:t>
      </w:r>
      <w:r w:rsidR="001B1F57">
        <w:t>1</w:t>
      </w:r>
      <w:r w:rsidRPr="00741948">
        <w:t xml:space="preserve"> (</w:t>
      </w:r>
      <w:r w:rsidR="00E04768">
        <w:t>do nothing</w:t>
      </w:r>
      <w:r w:rsidRPr="00741948">
        <w:t xml:space="preserve">) </w:t>
      </w:r>
    </w:p>
    <w:tbl>
      <w:tblPr>
        <w:tblStyle w:val="TableGrid"/>
        <w:tblW w:w="0" w:type="auto"/>
        <w:tblLook w:val="04A0" w:firstRow="1" w:lastRow="0" w:firstColumn="1" w:lastColumn="0" w:noHBand="0" w:noVBand="1"/>
      </w:tblPr>
      <w:tblGrid>
        <w:gridCol w:w="1209"/>
        <w:gridCol w:w="4031"/>
        <w:gridCol w:w="745"/>
        <w:gridCol w:w="3031"/>
      </w:tblGrid>
      <w:tr w:rsidR="00A85C1A" w:rsidRPr="00926E74" w14:paraId="7047B5B7" w14:textId="77777777" w:rsidTr="00A85C1A">
        <w:trPr>
          <w:cantSplit/>
          <w:tblHeader/>
        </w:trPr>
        <w:tc>
          <w:tcPr>
            <w:tcW w:w="1209" w:type="dxa"/>
            <w:shd w:val="clear" w:color="auto" w:fill="767171" w:themeFill="background2" w:themeFillShade="80"/>
          </w:tcPr>
          <w:p w14:paraId="5C36D924" w14:textId="77777777" w:rsidR="00A85C1A" w:rsidRPr="00926E74" w:rsidRDefault="00A85C1A" w:rsidP="00A85C1A">
            <w:pPr>
              <w:rPr>
                <w:color w:val="FFFFFF" w:themeColor="background1"/>
                <w:sz w:val="18"/>
                <w:szCs w:val="18"/>
              </w:rPr>
            </w:pPr>
            <w:r>
              <w:rPr>
                <w:color w:val="FFFFFF" w:themeColor="background1"/>
                <w:sz w:val="18"/>
                <w:szCs w:val="18"/>
              </w:rPr>
              <w:t>Category</w:t>
            </w:r>
          </w:p>
        </w:tc>
        <w:tc>
          <w:tcPr>
            <w:tcW w:w="4031" w:type="dxa"/>
            <w:shd w:val="clear" w:color="auto" w:fill="767171" w:themeFill="background2" w:themeFillShade="80"/>
          </w:tcPr>
          <w:p w14:paraId="3F352AFF" w14:textId="77777777" w:rsidR="00A85C1A" w:rsidRPr="00926E74" w:rsidRDefault="00A85C1A" w:rsidP="00A85C1A">
            <w:pPr>
              <w:rPr>
                <w:color w:val="FFFFFF" w:themeColor="background1"/>
                <w:sz w:val="18"/>
                <w:szCs w:val="18"/>
              </w:rPr>
            </w:pPr>
            <w:r>
              <w:rPr>
                <w:color w:val="FFFFFF" w:themeColor="background1"/>
                <w:sz w:val="18"/>
                <w:szCs w:val="18"/>
              </w:rPr>
              <w:t>Risk / Issue</w:t>
            </w:r>
          </w:p>
        </w:tc>
        <w:tc>
          <w:tcPr>
            <w:tcW w:w="745" w:type="dxa"/>
            <w:shd w:val="clear" w:color="auto" w:fill="767171" w:themeFill="background2" w:themeFillShade="80"/>
          </w:tcPr>
          <w:p w14:paraId="75BF4835" w14:textId="77777777" w:rsidR="00A85C1A" w:rsidRPr="00926E74" w:rsidRDefault="00A85C1A" w:rsidP="00A85C1A">
            <w:pPr>
              <w:ind w:left="-23"/>
              <w:jc w:val="center"/>
              <w:rPr>
                <w:color w:val="FFFFFF" w:themeColor="background1"/>
                <w:sz w:val="18"/>
                <w:szCs w:val="18"/>
              </w:rPr>
            </w:pPr>
            <w:r w:rsidRPr="00926E74">
              <w:rPr>
                <w:color w:val="FFFFFF" w:themeColor="background1"/>
                <w:sz w:val="18"/>
                <w:szCs w:val="18"/>
              </w:rPr>
              <w:t>RAG</w:t>
            </w:r>
          </w:p>
        </w:tc>
        <w:tc>
          <w:tcPr>
            <w:tcW w:w="3031" w:type="dxa"/>
            <w:shd w:val="clear" w:color="auto" w:fill="767171" w:themeFill="background2" w:themeFillShade="80"/>
          </w:tcPr>
          <w:p w14:paraId="464215B6" w14:textId="77777777" w:rsidR="00A85C1A" w:rsidRPr="00926E74" w:rsidRDefault="00A85C1A" w:rsidP="00A85C1A">
            <w:pPr>
              <w:ind w:left="-23"/>
              <w:jc w:val="center"/>
              <w:rPr>
                <w:color w:val="FFFFFF" w:themeColor="background1"/>
                <w:sz w:val="18"/>
                <w:szCs w:val="18"/>
              </w:rPr>
            </w:pPr>
            <w:r>
              <w:rPr>
                <w:color w:val="FFFFFF" w:themeColor="background1"/>
                <w:sz w:val="18"/>
                <w:szCs w:val="18"/>
              </w:rPr>
              <w:t>Mitigation</w:t>
            </w:r>
          </w:p>
        </w:tc>
      </w:tr>
      <w:tr w:rsidR="00A85C1A" w14:paraId="70AF4A1C" w14:textId="77777777" w:rsidTr="00F244B1">
        <w:trPr>
          <w:cantSplit/>
        </w:trPr>
        <w:tc>
          <w:tcPr>
            <w:tcW w:w="1209" w:type="dxa"/>
          </w:tcPr>
          <w:p w14:paraId="0A131C14" w14:textId="4F5C1992" w:rsidR="00A85C1A" w:rsidRPr="00BE3329" w:rsidRDefault="00CC2F6B" w:rsidP="00FE7A7D">
            <w:pPr>
              <w:rPr>
                <w:sz w:val="18"/>
                <w:szCs w:val="18"/>
              </w:rPr>
            </w:pPr>
            <w:r>
              <w:rPr>
                <w:sz w:val="18"/>
                <w:szCs w:val="18"/>
              </w:rPr>
              <w:t>Quality &amp; Safety</w:t>
            </w:r>
          </w:p>
        </w:tc>
        <w:tc>
          <w:tcPr>
            <w:tcW w:w="4031" w:type="dxa"/>
          </w:tcPr>
          <w:p w14:paraId="586D385E" w14:textId="1C59740C" w:rsidR="00A85C1A" w:rsidRPr="00926E74" w:rsidRDefault="00E2156A" w:rsidP="00E2156A">
            <w:pPr>
              <w:rPr>
                <w:sz w:val="18"/>
                <w:szCs w:val="18"/>
              </w:rPr>
            </w:pPr>
            <w:r>
              <w:rPr>
                <w:sz w:val="18"/>
                <w:szCs w:val="18"/>
              </w:rPr>
              <w:t>With the current volumes going through the service there will be i</w:t>
            </w:r>
            <w:r w:rsidR="00CC2F6B">
              <w:rPr>
                <w:sz w:val="18"/>
                <w:szCs w:val="18"/>
              </w:rPr>
              <w:t xml:space="preserve">nsufficient activity </w:t>
            </w:r>
            <w:r w:rsidR="00D30B2C">
              <w:rPr>
                <w:sz w:val="18"/>
                <w:szCs w:val="18"/>
              </w:rPr>
              <w:t xml:space="preserve">in some specialties </w:t>
            </w:r>
            <w:r w:rsidR="00CC2F6B">
              <w:rPr>
                <w:sz w:val="18"/>
                <w:szCs w:val="18"/>
              </w:rPr>
              <w:t xml:space="preserve">to maintain </w:t>
            </w:r>
            <w:r w:rsidR="00E9433C">
              <w:rPr>
                <w:sz w:val="18"/>
                <w:szCs w:val="18"/>
              </w:rPr>
              <w:t xml:space="preserve">all round clinical </w:t>
            </w:r>
            <w:r w:rsidR="00CC2F6B">
              <w:rPr>
                <w:sz w:val="18"/>
                <w:szCs w:val="18"/>
              </w:rPr>
              <w:t>competency</w:t>
            </w:r>
            <w:r>
              <w:rPr>
                <w:sz w:val="18"/>
                <w:szCs w:val="18"/>
              </w:rPr>
              <w:t>.</w:t>
            </w:r>
            <w:r w:rsidR="009F14B0">
              <w:rPr>
                <w:sz w:val="18"/>
                <w:szCs w:val="18"/>
              </w:rPr>
              <w:t xml:space="preserve">  This particularly relates to General Surgery, Urology and Ophthalmology.  However it is suggested by provider clinicians that the complexity of Ophthalmology procedures now undertaken in an outpatient setting provide the volumes and complexities to ensure skills are maintained. </w:t>
            </w:r>
          </w:p>
        </w:tc>
        <w:tc>
          <w:tcPr>
            <w:tcW w:w="745" w:type="dxa"/>
            <w:shd w:val="clear" w:color="auto" w:fill="FF0000"/>
          </w:tcPr>
          <w:p w14:paraId="71184FDA" w14:textId="55E6FD78" w:rsidR="00A85C1A" w:rsidRPr="00926E74" w:rsidRDefault="00CD7B29" w:rsidP="00CD7B29">
            <w:pPr>
              <w:ind w:left="34"/>
              <w:jc w:val="center"/>
              <w:rPr>
                <w:sz w:val="18"/>
                <w:szCs w:val="18"/>
              </w:rPr>
            </w:pPr>
            <w:r>
              <w:rPr>
                <w:sz w:val="18"/>
                <w:szCs w:val="18"/>
              </w:rPr>
              <w:t>Red</w:t>
            </w:r>
          </w:p>
        </w:tc>
        <w:tc>
          <w:tcPr>
            <w:tcW w:w="3031" w:type="dxa"/>
            <w:shd w:val="clear" w:color="auto" w:fill="auto"/>
          </w:tcPr>
          <w:p w14:paraId="4CBC5901" w14:textId="23DE0E17" w:rsidR="00A85C1A" w:rsidRDefault="009F14B0" w:rsidP="009F14B0">
            <w:pPr>
              <w:rPr>
                <w:sz w:val="18"/>
                <w:szCs w:val="18"/>
              </w:rPr>
            </w:pPr>
            <w:r>
              <w:rPr>
                <w:sz w:val="18"/>
                <w:szCs w:val="18"/>
              </w:rPr>
              <w:t>Consider r</w:t>
            </w:r>
            <w:r w:rsidR="00703DD5">
              <w:rPr>
                <w:sz w:val="18"/>
                <w:szCs w:val="18"/>
              </w:rPr>
              <w:t>educ</w:t>
            </w:r>
            <w:r>
              <w:rPr>
                <w:sz w:val="18"/>
                <w:szCs w:val="18"/>
              </w:rPr>
              <w:t>ing</w:t>
            </w:r>
            <w:r w:rsidR="00703DD5">
              <w:rPr>
                <w:sz w:val="18"/>
                <w:szCs w:val="18"/>
              </w:rPr>
              <w:t xml:space="preserve"> the number of </w:t>
            </w:r>
            <w:r>
              <w:rPr>
                <w:sz w:val="18"/>
                <w:szCs w:val="18"/>
              </w:rPr>
              <w:t xml:space="preserve">General Surgeons and Urologists </w:t>
            </w:r>
            <w:r w:rsidR="00703DD5">
              <w:rPr>
                <w:sz w:val="18"/>
                <w:szCs w:val="18"/>
              </w:rPr>
              <w:t>and</w:t>
            </w:r>
            <w:r>
              <w:rPr>
                <w:sz w:val="18"/>
                <w:szCs w:val="18"/>
              </w:rPr>
              <w:t xml:space="preserve"> associated </w:t>
            </w:r>
            <w:r w:rsidR="00703DD5">
              <w:rPr>
                <w:sz w:val="18"/>
                <w:szCs w:val="18"/>
              </w:rPr>
              <w:t>clinical teams that operate on children to increase the volumes per person.  However this will impact on the ability to cover holiday and sickness absences or to cover out of hours rotas.</w:t>
            </w:r>
          </w:p>
        </w:tc>
      </w:tr>
      <w:tr w:rsidR="00F244B1" w14:paraId="005C7705" w14:textId="77777777" w:rsidTr="00A85C1A">
        <w:trPr>
          <w:cantSplit/>
        </w:trPr>
        <w:tc>
          <w:tcPr>
            <w:tcW w:w="1209" w:type="dxa"/>
          </w:tcPr>
          <w:p w14:paraId="2023EE5B" w14:textId="74BD30DC" w:rsidR="00F244B1" w:rsidRDefault="00CC2F6B" w:rsidP="00FE7A7D">
            <w:pPr>
              <w:pStyle w:val="ListParagraph"/>
              <w:spacing w:before="0" w:line="240" w:lineRule="auto"/>
              <w:ind w:left="29"/>
              <w:rPr>
                <w:rFonts w:asciiTheme="minorHAnsi" w:hAnsiTheme="minorHAnsi"/>
                <w:sz w:val="18"/>
                <w:szCs w:val="18"/>
              </w:rPr>
            </w:pPr>
            <w:r>
              <w:rPr>
                <w:rFonts w:asciiTheme="minorHAnsi" w:hAnsiTheme="minorHAnsi"/>
                <w:sz w:val="18"/>
                <w:szCs w:val="18"/>
              </w:rPr>
              <w:t>Quality &amp; Safety</w:t>
            </w:r>
          </w:p>
        </w:tc>
        <w:tc>
          <w:tcPr>
            <w:tcW w:w="4031" w:type="dxa"/>
          </w:tcPr>
          <w:p w14:paraId="1D7BE5F0" w14:textId="4459A711" w:rsidR="00F244B1" w:rsidRPr="00926E74" w:rsidRDefault="00CC2F6B" w:rsidP="006B45FE">
            <w:pPr>
              <w:rPr>
                <w:sz w:val="18"/>
                <w:szCs w:val="18"/>
              </w:rPr>
            </w:pPr>
            <w:r>
              <w:rPr>
                <w:sz w:val="18"/>
                <w:szCs w:val="18"/>
              </w:rPr>
              <w:t xml:space="preserve">Clinical outcomes and patient safety may be compromised </w:t>
            </w:r>
            <w:r w:rsidR="00D30B2C">
              <w:rPr>
                <w:sz w:val="18"/>
                <w:szCs w:val="18"/>
              </w:rPr>
              <w:t>in low volume specialties</w:t>
            </w:r>
            <w:r w:rsidR="00E2156A">
              <w:rPr>
                <w:sz w:val="18"/>
                <w:szCs w:val="18"/>
              </w:rPr>
              <w:t>.</w:t>
            </w:r>
            <w:r>
              <w:rPr>
                <w:sz w:val="18"/>
                <w:szCs w:val="18"/>
              </w:rPr>
              <w:t xml:space="preserve"> </w:t>
            </w:r>
          </w:p>
        </w:tc>
        <w:tc>
          <w:tcPr>
            <w:tcW w:w="745" w:type="dxa"/>
            <w:shd w:val="clear" w:color="auto" w:fill="FF0000"/>
          </w:tcPr>
          <w:p w14:paraId="3530E99A" w14:textId="1996CF4B" w:rsidR="00F244B1" w:rsidRDefault="00CD7B29" w:rsidP="00A85C1A">
            <w:pPr>
              <w:ind w:left="34"/>
              <w:jc w:val="center"/>
              <w:rPr>
                <w:sz w:val="18"/>
                <w:szCs w:val="18"/>
              </w:rPr>
            </w:pPr>
            <w:r>
              <w:rPr>
                <w:sz w:val="18"/>
                <w:szCs w:val="18"/>
              </w:rPr>
              <w:t>Red</w:t>
            </w:r>
          </w:p>
        </w:tc>
        <w:tc>
          <w:tcPr>
            <w:tcW w:w="3031" w:type="dxa"/>
            <w:shd w:val="clear" w:color="auto" w:fill="auto"/>
          </w:tcPr>
          <w:p w14:paraId="307E8260" w14:textId="7D50E55B" w:rsidR="00F244B1" w:rsidRDefault="00703DD5" w:rsidP="00C12FD9">
            <w:pPr>
              <w:rPr>
                <w:sz w:val="18"/>
                <w:szCs w:val="18"/>
              </w:rPr>
            </w:pPr>
            <w:r>
              <w:rPr>
                <w:sz w:val="18"/>
                <w:szCs w:val="18"/>
              </w:rPr>
              <w:t>Consider joint working with another trust to repatriate surgery from other sites to increase the volumes going through the service.</w:t>
            </w:r>
          </w:p>
        </w:tc>
      </w:tr>
      <w:tr w:rsidR="00FE7A7D" w14:paraId="08E72F07" w14:textId="77777777" w:rsidTr="00A85C1A">
        <w:trPr>
          <w:cantSplit/>
        </w:trPr>
        <w:tc>
          <w:tcPr>
            <w:tcW w:w="1209" w:type="dxa"/>
          </w:tcPr>
          <w:p w14:paraId="185D529D" w14:textId="5DFE5D5E" w:rsidR="00FE7A7D" w:rsidRDefault="00703DD5" w:rsidP="00FE7A7D">
            <w:pPr>
              <w:pStyle w:val="ListParagraph"/>
              <w:spacing w:before="0" w:line="240" w:lineRule="auto"/>
              <w:ind w:left="29"/>
              <w:rPr>
                <w:rFonts w:asciiTheme="minorHAnsi" w:hAnsiTheme="minorHAnsi"/>
                <w:sz w:val="18"/>
                <w:szCs w:val="18"/>
              </w:rPr>
            </w:pPr>
            <w:r>
              <w:rPr>
                <w:rFonts w:asciiTheme="minorHAnsi" w:hAnsiTheme="minorHAnsi"/>
                <w:sz w:val="18"/>
                <w:szCs w:val="18"/>
              </w:rPr>
              <w:t>Deliverability</w:t>
            </w:r>
          </w:p>
        </w:tc>
        <w:tc>
          <w:tcPr>
            <w:tcW w:w="4031" w:type="dxa"/>
          </w:tcPr>
          <w:p w14:paraId="4F37064F" w14:textId="52B39207" w:rsidR="00FE7A7D" w:rsidRDefault="00703DD5" w:rsidP="009F14B0">
            <w:pPr>
              <w:rPr>
                <w:sz w:val="18"/>
                <w:szCs w:val="18"/>
              </w:rPr>
            </w:pPr>
            <w:r>
              <w:rPr>
                <w:sz w:val="18"/>
                <w:szCs w:val="18"/>
              </w:rPr>
              <w:t>More activity is moving to tertiary centres</w:t>
            </w:r>
            <w:r w:rsidR="009F14B0">
              <w:rPr>
                <w:sz w:val="18"/>
                <w:szCs w:val="18"/>
              </w:rPr>
              <w:t>,</w:t>
            </w:r>
            <w:r>
              <w:rPr>
                <w:sz w:val="18"/>
                <w:szCs w:val="18"/>
              </w:rPr>
              <w:t xml:space="preserve"> which means fewer</w:t>
            </w:r>
            <w:r w:rsidR="009F14B0">
              <w:rPr>
                <w:sz w:val="18"/>
                <w:szCs w:val="18"/>
              </w:rPr>
              <w:t xml:space="preserve"> Ge</w:t>
            </w:r>
            <w:r>
              <w:rPr>
                <w:sz w:val="18"/>
                <w:szCs w:val="18"/>
              </w:rPr>
              <w:t xml:space="preserve">neral </w:t>
            </w:r>
            <w:r w:rsidR="009F14B0">
              <w:rPr>
                <w:sz w:val="18"/>
                <w:szCs w:val="18"/>
              </w:rPr>
              <w:t>P</w:t>
            </w:r>
            <w:r>
              <w:rPr>
                <w:sz w:val="18"/>
                <w:szCs w:val="18"/>
              </w:rPr>
              <w:t xml:space="preserve">aediatric </w:t>
            </w:r>
            <w:r w:rsidR="009F14B0">
              <w:rPr>
                <w:sz w:val="18"/>
                <w:szCs w:val="18"/>
              </w:rPr>
              <w:t>S</w:t>
            </w:r>
            <w:r>
              <w:rPr>
                <w:sz w:val="18"/>
                <w:szCs w:val="18"/>
              </w:rPr>
              <w:t xml:space="preserve">urgery </w:t>
            </w:r>
            <w:r w:rsidR="009F14B0">
              <w:rPr>
                <w:sz w:val="18"/>
                <w:szCs w:val="18"/>
              </w:rPr>
              <w:t>(GPS) training opportunities.  (GPS is defined as the surgical management of relatively common non-specialised conditions in general surgery and urology in children who do not require complex perioperative care arrangements).  This could impact on the number of surgeons coming through the system that are exposed to GPS in medical training, and able to cover routine or emergency GPS rotas.</w:t>
            </w:r>
          </w:p>
        </w:tc>
        <w:tc>
          <w:tcPr>
            <w:tcW w:w="745" w:type="dxa"/>
            <w:shd w:val="clear" w:color="auto" w:fill="FF0000"/>
          </w:tcPr>
          <w:p w14:paraId="0CF9E429" w14:textId="0A2E6B73" w:rsidR="00FE7A7D" w:rsidRDefault="00FE7A7D" w:rsidP="00FE7A7D">
            <w:pPr>
              <w:ind w:left="34"/>
              <w:jc w:val="center"/>
              <w:rPr>
                <w:sz w:val="18"/>
                <w:szCs w:val="18"/>
              </w:rPr>
            </w:pPr>
            <w:r>
              <w:rPr>
                <w:sz w:val="18"/>
                <w:szCs w:val="18"/>
              </w:rPr>
              <w:t>Red</w:t>
            </w:r>
          </w:p>
        </w:tc>
        <w:tc>
          <w:tcPr>
            <w:tcW w:w="3031" w:type="dxa"/>
            <w:shd w:val="clear" w:color="auto" w:fill="auto"/>
          </w:tcPr>
          <w:p w14:paraId="69B2BC1A" w14:textId="1DCDFD89" w:rsidR="00FE7A7D" w:rsidRDefault="009F14B0" w:rsidP="00ED40FF">
            <w:pPr>
              <w:rPr>
                <w:sz w:val="18"/>
                <w:szCs w:val="18"/>
              </w:rPr>
            </w:pPr>
            <w:r>
              <w:rPr>
                <w:sz w:val="18"/>
                <w:szCs w:val="18"/>
              </w:rPr>
              <w:t>None identified.</w:t>
            </w:r>
          </w:p>
        </w:tc>
      </w:tr>
    </w:tbl>
    <w:p w14:paraId="65F6521C" w14:textId="77777777" w:rsidR="00A85C1A" w:rsidRDefault="00A85C1A" w:rsidP="00A85C1A">
      <w:pPr>
        <w:spacing w:line="240" w:lineRule="auto"/>
      </w:pPr>
    </w:p>
    <w:p w14:paraId="35B8E5E6" w14:textId="0D337397" w:rsidR="00A85C1A" w:rsidRDefault="00462037" w:rsidP="00A85C1A">
      <w:pPr>
        <w:pStyle w:val="Heading2"/>
      </w:pPr>
      <w:bookmarkStart w:id="15" w:name="_Toc388275363"/>
      <w:r>
        <w:t>5</w:t>
      </w:r>
      <w:r w:rsidR="00A85C1A">
        <w:t>.</w:t>
      </w:r>
      <w:r>
        <w:t>3</w:t>
      </w:r>
      <w:r w:rsidR="00A85C1A">
        <w:t xml:space="preserve"> Benefits</w:t>
      </w:r>
      <w:bookmarkEnd w:id="15"/>
      <w:r w:rsidR="00754BAB">
        <w:t xml:space="preserve"> </w:t>
      </w:r>
    </w:p>
    <w:p w14:paraId="11586759" w14:textId="121D3A03" w:rsidR="00A85C1A" w:rsidRDefault="00A85C1A" w:rsidP="00A85C1A">
      <w:r>
        <w:t xml:space="preserve">Benefits </w:t>
      </w:r>
      <w:r w:rsidR="00462037">
        <w:t>associated with t</w:t>
      </w:r>
      <w:r>
        <w:t>his option are shown below:</w:t>
      </w:r>
    </w:p>
    <w:p w14:paraId="07817D0E" w14:textId="252BAAD4" w:rsidR="00A85C1A" w:rsidRPr="001B1F57" w:rsidRDefault="001B1F57" w:rsidP="001B1F57">
      <w:pPr>
        <w:pStyle w:val="Heading4"/>
      </w:pPr>
      <w:r w:rsidRPr="001B1F57">
        <w:t xml:space="preserve">Table </w:t>
      </w:r>
      <w:r w:rsidR="00462037">
        <w:t>9</w:t>
      </w:r>
      <w:r w:rsidR="00A85C1A" w:rsidRPr="001B1F57">
        <w:t xml:space="preserve"> – </w:t>
      </w:r>
      <w:r>
        <w:t>Benefits o</w:t>
      </w:r>
      <w:r w:rsidRPr="001B1F57">
        <w:t>f option 1 (</w:t>
      </w:r>
      <w:r w:rsidR="00E04768">
        <w:t>do nothing</w:t>
      </w:r>
      <w:r w:rsidRPr="001B1F57">
        <w:t>)</w:t>
      </w:r>
    </w:p>
    <w:tbl>
      <w:tblPr>
        <w:tblStyle w:val="TableGrid"/>
        <w:tblW w:w="9067" w:type="dxa"/>
        <w:tblLook w:val="04A0" w:firstRow="1" w:lastRow="0" w:firstColumn="1" w:lastColumn="0" w:noHBand="0" w:noVBand="1"/>
      </w:tblPr>
      <w:tblGrid>
        <w:gridCol w:w="1209"/>
        <w:gridCol w:w="7858"/>
      </w:tblGrid>
      <w:tr w:rsidR="00A85C1A" w:rsidRPr="00926E74" w14:paraId="045DB1F4" w14:textId="77777777" w:rsidTr="00CF032D">
        <w:trPr>
          <w:cantSplit/>
          <w:tblHeader/>
        </w:trPr>
        <w:tc>
          <w:tcPr>
            <w:tcW w:w="1209" w:type="dxa"/>
            <w:shd w:val="clear" w:color="auto" w:fill="767171" w:themeFill="background2" w:themeFillShade="80"/>
          </w:tcPr>
          <w:p w14:paraId="0DA72CA6" w14:textId="77777777" w:rsidR="00A85C1A" w:rsidRPr="00926E74" w:rsidRDefault="00A85C1A" w:rsidP="00A85C1A">
            <w:pPr>
              <w:rPr>
                <w:color w:val="FFFFFF" w:themeColor="background1"/>
                <w:sz w:val="18"/>
                <w:szCs w:val="18"/>
              </w:rPr>
            </w:pPr>
            <w:r>
              <w:rPr>
                <w:color w:val="FFFFFF" w:themeColor="background1"/>
                <w:sz w:val="18"/>
                <w:szCs w:val="18"/>
              </w:rPr>
              <w:t>Category</w:t>
            </w:r>
          </w:p>
        </w:tc>
        <w:tc>
          <w:tcPr>
            <w:tcW w:w="7858" w:type="dxa"/>
            <w:shd w:val="clear" w:color="auto" w:fill="767171" w:themeFill="background2" w:themeFillShade="80"/>
          </w:tcPr>
          <w:p w14:paraId="6168965F" w14:textId="77777777" w:rsidR="00A85C1A" w:rsidRPr="00926E74" w:rsidRDefault="00A85C1A" w:rsidP="00A85C1A">
            <w:pPr>
              <w:rPr>
                <w:color w:val="FFFFFF" w:themeColor="background1"/>
                <w:sz w:val="18"/>
                <w:szCs w:val="18"/>
              </w:rPr>
            </w:pPr>
            <w:r>
              <w:rPr>
                <w:color w:val="FFFFFF" w:themeColor="background1"/>
                <w:sz w:val="18"/>
                <w:szCs w:val="18"/>
              </w:rPr>
              <w:t>Benefit</w:t>
            </w:r>
          </w:p>
        </w:tc>
      </w:tr>
      <w:tr w:rsidR="00ED40FF" w:rsidRPr="00926E74" w14:paraId="29523D85" w14:textId="77777777" w:rsidTr="00CF032D">
        <w:trPr>
          <w:cantSplit/>
        </w:trPr>
        <w:tc>
          <w:tcPr>
            <w:tcW w:w="1209" w:type="dxa"/>
          </w:tcPr>
          <w:p w14:paraId="499FF532" w14:textId="530ECE8A" w:rsidR="00ED40FF" w:rsidRDefault="00ED40FF" w:rsidP="00A85C1A">
            <w:pPr>
              <w:pStyle w:val="ListParagraph"/>
              <w:spacing w:before="0" w:line="240" w:lineRule="auto"/>
              <w:ind w:left="29"/>
              <w:rPr>
                <w:rFonts w:asciiTheme="minorHAnsi" w:hAnsiTheme="minorHAnsi"/>
                <w:sz w:val="18"/>
                <w:szCs w:val="18"/>
              </w:rPr>
            </w:pPr>
            <w:r>
              <w:rPr>
                <w:rFonts w:asciiTheme="minorHAnsi" w:hAnsiTheme="minorHAnsi"/>
                <w:sz w:val="18"/>
                <w:szCs w:val="18"/>
              </w:rPr>
              <w:t>Access</w:t>
            </w:r>
          </w:p>
        </w:tc>
        <w:tc>
          <w:tcPr>
            <w:tcW w:w="7858" w:type="dxa"/>
          </w:tcPr>
          <w:p w14:paraId="188E61FF" w14:textId="62CBB11C" w:rsidR="00ED40FF" w:rsidRDefault="00ED40FF" w:rsidP="009F14B0">
            <w:pPr>
              <w:rPr>
                <w:sz w:val="18"/>
                <w:szCs w:val="18"/>
              </w:rPr>
            </w:pPr>
            <w:r>
              <w:rPr>
                <w:sz w:val="18"/>
                <w:szCs w:val="18"/>
              </w:rPr>
              <w:t>Public have raised concerns over transportation and access if services are moved</w:t>
            </w:r>
            <w:r w:rsidR="009F14B0">
              <w:rPr>
                <w:sz w:val="18"/>
                <w:szCs w:val="18"/>
              </w:rPr>
              <w:t>, so the “do nothing” option may be more acceptable publically</w:t>
            </w:r>
            <w:r>
              <w:rPr>
                <w:sz w:val="18"/>
                <w:szCs w:val="18"/>
              </w:rPr>
              <w:t>.</w:t>
            </w:r>
          </w:p>
        </w:tc>
      </w:tr>
      <w:tr w:rsidR="00A85C1A" w:rsidRPr="00926E74" w14:paraId="438C8BF0" w14:textId="77777777" w:rsidTr="00CF032D">
        <w:trPr>
          <w:cantSplit/>
        </w:trPr>
        <w:tc>
          <w:tcPr>
            <w:tcW w:w="1209" w:type="dxa"/>
          </w:tcPr>
          <w:p w14:paraId="39D6F101" w14:textId="637C166C" w:rsidR="00A85C1A" w:rsidRDefault="00CD7B29" w:rsidP="00A85C1A">
            <w:pPr>
              <w:pStyle w:val="ListParagraph"/>
              <w:spacing w:before="0" w:line="240" w:lineRule="auto"/>
              <w:ind w:left="29"/>
              <w:rPr>
                <w:rFonts w:asciiTheme="minorHAnsi" w:hAnsiTheme="minorHAnsi"/>
                <w:sz w:val="18"/>
                <w:szCs w:val="18"/>
              </w:rPr>
            </w:pPr>
            <w:r>
              <w:rPr>
                <w:rFonts w:asciiTheme="minorHAnsi" w:hAnsiTheme="minorHAnsi"/>
                <w:sz w:val="18"/>
                <w:szCs w:val="18"/>
              </w:rPr>
              <w:t>Finance</w:t>
            </w:r>
          </w:p>
        </w:tc>
        <w:tc>
          <w:tcPr>
            <w:tcW w:w="7858" w:type="dxa"/>
          </w:tcPr>
          <w:p w14:paraId="05E8803E" w14:textId="23CC2E5D" w:rsidR="00A85C1A" w:rsidRDefault="00CD7B29" w:rsidP="00BA45F1">
            <w:pPr>
              <w:rPr>
                <w:sz w:val="18"/>
                <w:szCs w:val="18"/>
              </w:rPr>
            </w:pPr>
            <w:r>
              <w:rPr>
                <w:sz w:val="18"/>
                <w:szCs w:val="18"/>
              </w:rPr>
              <w:t xml:space="preserve">No impact on finance </w:t>
            </w:r>
            <w:r w:rsidR="00FE7A7D">
              <w:rPr>
                <w:sz w:val="18"/>
                <w:szCs w:val="18"/>
              </w:rPr>
              <w:t xml:space="preserve">unless </w:t>
            </w:r>
            <w:r w:rsidR="00BA45F1">
              <w:rPr>
                <w:sz w:val="18"/>
                <w:szCs w:val="18"/>
              </w:rPr>
              <w:t>activity increases</w:t>
            </w:r>
          </w:p>
        </w:tc>
      </w:tr>
    </w:tbl>
    <w:p w14:paraId="01E13F9F" w14:textId="77777777" w:rsidR="00A85C1A" w:rsidRDefault="00A85C1A" w:rsidP="00A85C1A">
      <w:pPr>
        <w:pStyle w:val="Heading2"/>
      </w:pPr>
    </w:p>
    <w:p w14:paraId="46878F0F" w14:textId="77777777" w:rsidR="00E04768" w:rsidRDefault="00E04768">
      <w:pPr>
        <w:rPr>
          <w:rFonts w:asciiTheme="majorHAnsi" w:eastAsiaTheme="majorEastAsia" w:hAnsiTheme="majorHAnsi" w:cstheme="majorBidi"/>
          <w:color w:val="2E74B5" w:themeColor="accent1" w:themeShade="BF"/>
          <w:sz w:val="26"/>
          <w:szCs w:val="26"/>
        </w:rPr>
      </w:pPr>
      <w:r>
        <w:br w:type="page"/>
      </w:r>
    </w:p>
    <w:p w14:paraId="39526A8A" w14:textId="356388E5" w:rsidR="00A85C1A" w:rsidRDefault="00462037" w:rsidP="00E04768">
      <w:pPr>
        <w:pStyle w:val="Heading2"/>
      </w:pPr>
      <w:bookmarkStart w:id="16" w:name="_Toc388275364"/>
      <w:r>
        <w:lastRenderedPageBreak/>
        <w:t>5</w:t>
      </w:r>
      <w:r w:rsidR="00A85C1A">
        <w:t>.</w:t>
      </w:r>
      <w:r>
        <w:t>4</w:t>
      </w:r>
      <w:r w:rsidR="00A85C1A">
        <w:t xml:space="preserve"> Equality Impact Assessment</w:t>
      </w:r>
      <w:bookmarkEnd w:id="16"/>
    </w:p>
    <w:p w14:paraId="29CDF752" w14:textId="77777777" w:rsidR="00A85C1A" w:rsidRDefault="00A85C1A" w:rsidP="00A85C1A">
      <w:r>
        <w:t>The impact on people with protected characteristics can be seen below:</w:t>
      </w:r>
    </w:p>
    <w:p w14:paraId="1A5B22B0" w14:textId="5B67FF13" w:rsidR="00E57FA8" w:rsidRDefault="001B1F57" w:rsidP="006D3270">
      <w:pPr>
        <w:pStyle w:val="Heading4"/>
      </w:pPr>
      <w:r w:rsidRPr="001B1F57">
        <w:t xml:space="preserve">Table </w:t>
      </w:r>
      <w:r w:rsidR="00462037">
        <w:t>10</w:t>
      </w:r>
      <w:r w:rsidR="00A85C1A" w:rsidRPr="001B1F57">
        <w:t xml:space="preserve"> – Assessment of the impact on people with protected characteristics </w:t>
      </w:r>
    </w:p>
    <w:tbl>
      <w:tblPr>
        <w:tblStyle w:val="TableGrid"/>
        <w:tblW w:w="9067" w:type="dxa"/>
        <w:tblLook w:val="04A0" w:firstRow="1" w:lastRow="0" w:firstColumn="1" w:lastColumn="0" w:noHBand="0" w:noVBand="1"/>
      </w:tblPr>
      <w:tblGrid>
        <w:gridCol w:w="1413"/>
        <w:gridCol w:w="992"/>
        <w:gridCol w:w="6662"/>
      </w:tblGrid>
      <w:tr w:rsidR="00E04768" w:rsidRPr="00283C04" w14:paraId="5D1F7A99" w14:textId="77777777" w:rsidTr="0076385F">
        <w:tc>
          <w:tcPr>
            <w:tcW w:w="1413" w:type="dxa"/>
            <w:shd w:val="clear" w:color="auto" w:fill="767171" w:themeFill="background2" w:themeFillShade="80"/>
          </w:tcPr>
          <w:p w14:paraId="30F1EA7B" w14:textId="77777777" w:rsidR="00E04768" w:rsidRPr="00283C04" w:rsidRDefault="00E04768" w:rsidP="0076385F">
            <w:pPr>
              <w:rPr>
                <w:color w:val="FFFFFF" w:themeColor="background1"/>
                <w:sz w:val="18"/>
                <w:szCs w:val="18"/>
              </w:rPr>
            </w:pPr>
            <w:r w:rsidRPr="00283C04">
              <w:rPr>
                <w:color w:val="FFFFFF" w:themeColor="background1"/>
                <w:sz w:val="18"/>
                <w:szCs w:val="18"/>
              </w:rPr>
              <w:t>Protected characteristic</w:t>
            </w:r>
          </w:p>
        </w:tc>
        <w:tc>
          <w:tcPr>
            <w:tcW w:w="992" w:type="dxa"/>
            <w:shd w:val="clear" w:color="auto" w:fill="767171" w:themeFill="background2" w:themeFillShade="80"/>
          </w:tcPr>
          <w:p w14:paraId="4BBD48CD" w14:textId="77777777" w:rsidR="00E04768" w:rsidRPr="00283C04" w:rsidRDefault="00E04768" w:rsidP="0076385F">
            <w:pPr>
              <w:jc w:val="center"/>
              <w:rPr>
                <w:color w:val="FFFFFF" w:themeColor="background1"/>
                <w:sz w:val="18"/>
                <w:szCs w:val="18"/>
              </w:rPr>
            </w:pPr>
            <w:r w:rsidRPr="00283C04">
              <w:rPr>
                <w:color w:val="FFFFFF" w:themeColor="background1"/>
                <w:sz w:val="18"/>
                <w:szCs w:val="18"/>
              </w:rPr>
              <w:t>Impact</w:t>
            </w:r>
          </w:p>
        </w:tc>
        <w:tc>
          <w:tcPr>
            <w:tcW w:w="6662" w:type="dxa"/>
            <w:shd w:val="clear" w:color="auto" w:fill="767171" w:themeFill="background2" w:themeFillShade="80"/>
          </w:tcPr>
          <w:p w14:paraId="379EAB54" w14:textId="77777777" w:rsidR="00E04768" w:rsidRPr="00283C04" w:rsidRDefault="00E04768" w:rsidP="0076385F">
            <w:pPr>
              <w:rPr>
                <w:color w:val="FFFFFF" w:themeColor="background1"/>
                <w:sz w:val="18"/>
                <w:szCs w:val="18"/>
              </w:rPr>
            </w:pPr>
            <w:r w:rsidRPr="00283C04">
              <w:rPr>
                <w:color w:val="FFFFFF" w:themeColor="background1"/>
                <w:sz w:val="18"/>
                <w:szCs w:val="18"/>
              </w:rPr>
              <w:t>Nature of impact</w:t>
            </w:r>
          </w:p>
        </w:tc>
      </w:tr>
      <w:tr w:rsidR="00E04768" w:rsidRPr="00283C04" w14:paraId="4E9CEBC7" w14:textId="77777777" w:rsidTr="0076385F">
        <w:tc>
          <w:tcPr>
            <w:tcW w:w="1413" w:type="dxa"/>
          </w:tcPr>
          <w:p w14:paraId="1BAF2B8E" w14:textId="77777777" w:rsidR="00E04768" w:rsidRPr="00283C04" w:rsidRDefault="00E04768" w:rsidP="0076385F">
            <w:pPr>
              <w:rPr>
                <w:sz w:val="18"/>
                <w:szCs w:val="18"/>
              </w:rPr>
            </w:pPr>
            <w:r w:rsidRPr="00283C04">
              <w:rPr>
                <w:sz w:val="18"/>
                <w:szCs w:val="18"/>
              </w:rPr>
              <w:t>Age</w:t>
            </w:r>
          </w:p>
        </w:tc>
        <w:tc>
          <w:tcPr>
            <w:tcW w:w="992" w:type="dxa"/>
            <w:shd w:val="clear" w:color="auto" w:fill="FF0000"/>
          </w:tcPr>
          <w:p w14:paraId="2A26B69C" w14:textId="77777777" w:rsidR="00E04768" w:rsidRPr="00283C04" w:rsidRDefault="00E04768" w:rsidP="0076385F">
            <w:pPr>
              <w:jc w:val="center"/>
              <w:rPr>
                <w:sz w:val="18"/>
                <w:szCs w:val="18"/>
              </w:rPr>
            </w:pPr>
            <w:r w:rsidRPr="00283C04">
              <w:rPr>
                <w:sz w:val="18"/>
                <w:szCs w:val="18"/>
              </w:rPr>
              <w:t>Negative</w:t>
            </w:r>
          </w:p>
        </w:tc>
        <w:tc>
          <w:tcPr>
            <w:tcW w:w="6662" w:type="dxa"/>
          </w:tcPr>
          <w:p w14:paraId="2A385836" w14:textId="5ACC07B4" w:rsidR="00E04768" w:rsidRPr="00E04768" w:rsidRDefault="00E04768" w:rsidP="0076385F">
            <w:pPr>
              <w:rPr>
                <w:sz w:val="18"/>
                <w:szCs w:val="18"/>
              </w:rPr>
            </w:pPr>
            <w:r w:rsidRPr="00E04768">
              <w:rPr>
                <w:rFonts w:ascii="Calibri" w:hAnsi="Calibri" w:cs="Arial"/>
                <w:sz w:val="18"/>
                <w:szCs w:val="18"/>
              </w:rPr>
              <w:t>With the current volumes of children patients going through the service there will be insufficient activity in some specialties to maintain all round clinical competencies.  This particularly relates to General Surgery, urology and ophthalmology. However it is suggested by provider clinicians that the complexity of ophthalmology procedures now undertaken in an outpatient setting provide the volumes and complexities to ensure skills are maintained</w:t>
            </w:r>
            <w:r>
              <w:rPr>
                <w:rFonts w:ascii="Calibri" w:hAnsi="Calibri" w:cs="Arial"/>
                <w:sz w:val="18"/>
                <w:szCs w:val="18"/>
              </w:rPr>
              <w:t>.</w:t>
            </w:r>
          </w:p>
        </w:tc>
      </w:tr>
      <w:tr w:rsidR="00E04768" w:rsidRPr="00283C04" w14:paraId="1EF70EA9" w14:textId="77777777" w:rsidTr="00E04768">
        <w:tc>
          <w:tcPr>
            <w:tcW w:w="1413" w:type="dxa"/>
          </w:tcPr>
          <w:p w14:paraId="750E1B2A" w14:textId="77777777" w:rsidR="00E04768" w:rsidRPr="00283C04" w:rsidRDefault="00E04768" w:rsidP="0076385F">
            <w:pPr>
              <w:rPr>
                <w:sz w:val="18"/>
                <w:szCs w:val="18"/>
              </w:rPr>
            </w:pPr>
            <w:r w:rsidRPr="00283C04">
              <w:rPr>
                <w:sz w:val="18"/>
                <w:szCs w:val="18"/>
              </w:rPr>
              <w:t>Disability</w:t>
            </w:r>
          </w:p>
        </w:tc>
        <w:tc>
          <w:tcPr>
            <w:tcW w:w="992" w:type="dxa"/>
            <w:shd w:val="clear" w:color="auto" w:fill="FFC000"/>
          </w:tcPr>
          <w:p w14:paraId="39350D59" w14:textId="21CDBEA7" w:rsidR="00E04768" w:rsidRPr="00283C04" w:rsidRDefault="00E04768" w:rsidP="0076385F">
            <w:pPr>
              <w:jc w:val="center"/>
              <w:rPr>
                <w:sz w:val="18"/>
                <w:szCs w:val="18"/>
              </w:rPr>
            </w:pPr>
            <w:r w:rsidRPr="00283C04">
              <w:rPr>
                <w:sz w:val="18"/>
                <w:szCs w:val="18"/>
              </w:rPr>
              <w:t>Neutral</w:t>
            </w:r>
          </w:p>
        </w:tc>
        <w:tc>
          <w:tcPr>
            <w:tcW w:w="6662" w:type="dxa"/>
          </w:tcPr>
          <w:p w14:paraId="434DE92C" w14:textId="7E2D14DC" w:rsidR="00E04768" w:rsidRPr="00E04768" w:rsidRDefault="00E04768" w:rsidP="0076385F">
            <w:pPr>
              <w:rPr>
                <w:sz w:val="18"/>
                <w:szCs w:val="18"/>
              </w:rPr>
            </w:pPr>
            <w:r w:rsidRPr="00E04768">
              <w:rPr>
                <w:rFonts w:cs="Arial"/>
                <w:sz w:val="18"/>
                <w:szCs w:val="18"/>
              </w:rPr>
              <w:t>Potential negative impact for the population in general, however there is currently no data gathered to monitor the impact on this cohort of patients.</w:t>
            </w:r>
          </w:p>
        </w:tc>
      </w:tr>
      <w:tr w:rsidR="00E04768" w:rsidRPr="00283C04" w14:paraId="0BA122BE" w14:textId="77777777" w:rsidTr="0076385F">
        <w:tc>
          <w:tcPr>
            <w:tcW w:w="1413" w:type="dxa"/>
          </w:tcPr>
          <w:p w14:paraId="06FA1C6D" w14:textId="77777777" w:rsidR="00E04768" w:rsidRPr="00283C04" w:rsidRDefault="00E04768" w:rsidP="0076385F">
            <w:pPr>
              <w:rPr>
                <w:sz w:val="18"/>
                <w:szCs w:val="18"/>
              </w:rPr>
            </w:pPr>
            <w:r w:rsidRPr="00283C04">
              <w:rPr>
                <w:sz w:val="18"/>
                <w:szCs w:val="18"/>
              </w:rPr>
              <w:t>Gender reassignment</w:t>
            </w:r>
          </w:p>
        </w:tc>
        <w:tc>
          <w:tcPr>
            <w:tcW w:w="992" w:type="dxa"/>
            <w:shd w:val="clear" w:color="auto" w:fill="FFC000"/>
          </w:tcPr>
          <w:p w14:paraId="44212976" w14:textId="77777777" w:rsidR="00E04768" w:rsidRPr="00283C04" w:rsidRDefault="00E04768" w:rsidP="0076385F">
            <w:pPr>
              <w:jc w:val="center"/>
              <w:rPr>
                <w:sz w:val="18"/>
                <w:szCs w:val="18"/>
              </w:rPr>
            </w:pPr>
            <w:r w:rsidRPr="00283C04">
              <w:rPr>
                <w:sz w:val="18"/>
                <w:szCs w:val="18"/>
              </w:rPr>
              <w:t>Neutral</w:t>
            </w:r>
          </w:p>
        </w:tc>
        <w:tc>
          <w:tcPr>
            <w:tcW w:w="6662" w:type="dxa"/>
          </w:tcPr>
          <w:p w14:paraId="47405F9F" w14:textId="77777777" w:rsidR="00E04768" w:rsidRPr="00283C04" w:rsidRDefault="00E04768" w:rsidP="0076385F">
            <w:pPr>
              <w:rPr>
                <w:sz w:val="18"/>
                <w:szCs w:val="18"/>
              </w:rPr>
            </w:pPr>
            <w:r w:rsidRPr="00283C04">
              <w:rPr>
                <w:rFonts w:cs="Arial"/>
                <w:sz w:val="18"/>
                <w:szCs w:val="18"/>
              </w:rPr>
              <w:t>Potential negative impact</w:t>
            </w:r>
            <w:r>
              <w:rPr>
                <w:rFonts w:cs="Arial"/>
                <w:sz w:val="18"/>
                <w:szCs w:val="18"/>
              </w:rPr>
              <w:t xml:space="preserve"> for the population in general, however there is</w:t>
            </w:r>
            <w:r w:rsidRPr="00283C04">
              <w:rPr>
                <w:rFonts w:cs="Arial"/>
                <w:sz w:val="18"/>
                <w:szCs w:val="18"/>
              </w:rPr>
              <w:t xml:space="preserve"> currently no data gathere</w:t>
            </w:r>
            <w:r>
              <w:rPr>
                <w:rFonts w:cs="Arial"/>
                <w:sz w:val="18"/>
                <w:szCs w:val="18"/>
              </w:rPr>
              <w:t>d to monitor the impact on this cohort of patients.</w:t>
            </w:r>
          </w:p>
        </w:tc>
      </w:tr>
      <w:tr w:rsidR="00E04768" w:rsidRPr="00283C04" w14:paraId="7F7F4F28" w14:textId="77777777" w:rsidTr="0076385F">
        <w:tc>
          <w:tcPr>
            <w:tcW w:w="1413" w:type="dxa"/>
          </w:tcPr>
          <w:p w14:paraId="3FBE8D8B" w14:textId="77777777" w:rsidR="00E04768" w:rsidRPr="00283C04" w:rsidRDefault="00E04768" w:rsidP="0076385F">
            <w:pPr>
              <w:rPr>
                <w:sz w:val="18"/>
                <w:szCs w:val="18"/>
              </w:rPr>
            </w:pPr>
            <w:r w:rsidRPr="00283C04">
              <w:rPr>
                <w:sz w:val="18"/>
                <w:szCs w:val="18"/>
              </w:rPr>
              <w:t>Marriage and civil partnership</w:t>
            </w:r>
          </w:p>
        </w:tc>
        <w:tc>
          <w:tcPr>
            <w:tcW w:w="992" w:type="dxa"/>
            <w:shd w:val="clear" w:color="auto" w:fill="FFC000"/>
          </w:tcPr>
          <w:p w14:paraId="0C48E205" w14:textId="77777777" w:rsidR="00E04768" w:rsidRPr="00283C04" w:rsidRDefault="00E04768" w:rsidP="0076385F">
            <w:pPr>
              <w:jc w:val="center"/>
              <w:rPr>
                <w:sz w:val="18"/>
                <w:szCs w:val="18"/>
              </w:rPr>
            </w:pPr>
            <w:r w:rsidRPr="00283C04">
              <w:rPr>
                <w:sz w:val="18"/>
                <w:szCs w:val="18"/>
              </w:rPr>
              <w:t>Neutral</w:t>
            </w:r>
          </w:p>
        </w:tc>
        <w:tc>
          <w:tcPr>
            <w:tcW w:w="6662" w:type="dxa"/>
          </w:tcPr>
          <w:p w14:paraId="63138918" w14:textId="77777777" w:rsidR="00E04768" w:rsidRPr="00283C04" w:rsidRDefault="00E04768"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E04768" w:rsidRPr="00283C04" w14:paraId="1E1A9E92" w14:textId="77777777" w:rsidTr="0076385F">
        <w:tc>
          <w:tcPr>
            <w:tcW w:w="1413" w:type="dxa"/>
          </w:tcPr>
          <w:p w14:paraId="520CB1E2" w14:textId="77777777" w:rsidR="00E04768" w:rsidRPr="00283C04" w:rsidRDefault="00E04768" w:rsidP="0076385F">
            <w:pPr>
              <w:rPr>
                <w:sz w:val="18"/>
                <w:szCs w:val="18"/>
              </w:rPr>
            </w:pPr>
            <w:r w:rsidRPr="00283C04">
              <w:rPr>
                <w:sz w:val="18"/>
                <w:szCs w:val="18"/>
              </w:rPr>
              <w:t>Pregnancy and maternity</w:t>
            </w:r>
          </w:p>
        </w:tc>
        <w:tc>
          <w:tcPr>
            <w:tcW w:w="992" w:type="dxa"/>
            <w:shd w:val="clear" w:color="auto" w:fill="FFC000"/>
          </w:tcPr>
          <w:p w14:paraId="4C110AC9" w14:textId="77777777" w:rsidR="00E04768" w:rsidRPr="00283C04" w:rsidRDefault="00E04768" w:rsidP="0076385F">
            <w:pPr>
              <w:jc w:val="center"/>
              <w:rPr>
                <w:sz w:val="18"/>
                <w:szCs w:val="18"/>
              </w:rPr>
            </w:pPr>
            <w:r w:rsidRPr="00283C04">
              <w:rPr>
                <w:sz w:val="18"/>
                <w:szCs w:val="18"/>
              </w:rPr>
              <w:t>Neutral</w:t>
            </w:r>
          </w:p>
        </w:tc>
        <w:tc>
          <w:tcPr>
            <w:tcW w:w="6662" w:type="dxa"/>
          </w:tcPr>
          <w:p w14:paraId="44D79923" w14:textId="77777777" w:rsidR="00E04768" w:rsidRPr="00283C04" w:rsidRDefault="00E04768"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E04768" w:rsidRPr="00283C04" w14:paraId="0B0ABFB4" w14:textId="77777777" w:rsidTr="0076385F">
        <w:tc>
          <w:tcPr>
            <w:tcW w:w="1413" w:type="dxa"/>
          </w:tcPr>
          <w:p w14:paraId="7E420C1F" w14:textId="77777777" w:rsidR="00E04768" w:rsidRPr="00283C04" w:rsidRDefault="00E04768" w:rsidP="0076385F">
            <w:pPr>
              <w:rPr>
                <w:sz w:val="18"/>
                <w:szCs w:val="18"/>
              </w:rPr>
            </w:pPr>
            <w:r w:rsidRPr="00283C04">
              <w:rPr>
                <w:sz w:val="18"/>
                <w:szCs w:val="18"/>
              </w:rPr>
              <w:t>Race</w:t>
            </w:r>
          </w:p>
        </w:tc>
        <w:tc>
          <w:tcPr>
            <w:tcW w:w="992" w:type="dxa"/>
            <w:shd w:val="clear" w:color="auto" w:fill="FFC000"/>
          </w:tcPr>
          <w:p w14:paraId="46D7ED3C" w14:textId="77777777" w:rsidR="00E04768" w:rsidRPr="00283C04" w:rsidRDefault="00E04768" w:rsidP="0076385F">
            <w:pPr>
              <w:jc w:val="center"/>
              <w:rPr>
                <w:sz w:val="18"/>
                <w:szCs w:val="18"/>
              </w:rPr>
            </w:pPr>
            <w:r w:rsidRPr="00283C04">
              <w:rPr>
                <w:sz w:val="18"/>
                <w:szCs w:val="18"/>
              </w:rPr>
              <w:t>Neutral</w:t>
            </w:r>
          </w:p>
        </w:tc>
        <w:tc>
          <w:tcPr>
            <w:tcW w:w="6662" w:type="dxa"/>
          </w:tcPr>
          <w:p w14:paraId="64B4E6E5" w14:textId="77777777" w:rsidR="00E04768" w:rsidRPr="00283C04" w:rsidRDefault="00E04768" w:rsidP="0076385F">
            <w:pPr>
              <w:rPr>
                <w:sz w:val="18"/>
                <w:szCs w:val="18"/>
              </w:rPr>
            </w:pPr>
            <w:r w:rsidRPr="00283C04">
              <w:rPr>
                <w:rFonts w:cs="Arial"/>
                <w:sz w:val="18"/>
                <w:szCs w:val="18"/>
              </w:rPr>
              <w:t xml:space="preserve">Potential </w:t>
            </w:r>
            <w:r>
              <w:rPr>
                <w:rFonts w:cs="Arial"/>
                <w:sz w:val="18"/>
                <w:szCs w:val="18"/>
              </w:rPr>
              <w:t>ne</w:t>
            </w:r>
            <w:r w:rsidRPr="00283C04">
              <w:rPr>
                <w:rFonts w:cs="Arial"/>
                <w:sz w:val="18"/>
                <w:szCs w:val="18"/>
              </w:rPr>
              <w:t xml:space="preserve">gative impact for service users for </w:t>
            </w:r>
            <w:proofErr w:type="gramStart"/>
            <w:r w:rsidRPr="00283C04">
              <w:rPr>
                <w:rFonts w:cs="Arial"/>
                <w:sz w:val="18"/>
                <w:szCs w:val="18"/>
              </w:rPr>
              <w:t>whom</w:t>
            </w:r>
            <w:proofErr w:type="gramEnd"/>
            <w:r w:rsidRPr="00283C04">
              <w:rPr>
                <w:rFonts w:cs="Arial"/>
                <w:sz w:val="18"/>
                <w:szCs w:val="18"/>
              </w:rPr>
              <w:t xml:space="preserve"> English is not their first language and may have issues understanding and retaining information about their condition and its future management.</w:t>
            </w:r>
          </w:p>
        </w:tc>
      </w:tr>
      <w:tr w:rsidR="00E04768" w:rsidRPr="00283C04" w14:paraId="27727625" w14:textId="77777777" w:rsidTr="0076385F">
        <w:tc>
          <w:tcPr>
            <w:tcW w:w="1413" w:type="dxa"/>
          </w:tcPr>
          <w:p w14:paraId="36690E12" w14:textId="77777777" w:rsidR="00E04768" w:rsidRPr="00283C04" w:rsidRDefault="00E04768" w:rsidP="0076385F">
            <w:pPr>
              <w:rPr>
                <w:sz w:val="18"/>
                <w:szCs w:val="18"/>
              </w:rPr>
            </w:pPr>
            <w:r w:rsidRPr="00283C04">
              <w:rPr>
                <w:sz w:val="18"/>
                <w:szCs w:val="18"/>
              </w:rPr>
              <w:t>Religion and belief</w:t>
            </w:r>
          </w:p>
        </w:tc>
        <w:tc>
          <w:tcPr>
            <w:tcW w:w="992" w:type="dxa"/>
            <w:shd w:val="clear" w:color="auto" w:fill="FFC000"/>
          </w:tcPr>
          <w:p w14:paraId="774D8C6C" w14:textId="77777777" w:rsidR="00E04768" w:rsidRPr="00283C04" w:rsidRDefault="00E04768" w:rsidP="0076385F">
            <w:pPr>
              <w:jc w:val="center"/>
              <w:rPr>
                <w:sz w:val="18"/>
                <w:szCs w:val="18"/>
              </w:rPr>
            </w:pPr>
            <w:r w:rsidRPr="00283C04">
              <w:rPr>
                <w:sz w:val="18"/>
                <w:szCs w:val="18"/>
              </w:rPr>
              <w:t>Neutral</w:t>
            </w:r>
          </w:p>
        </w:tc>
        <w:tc>
          <w:tcPr>
            <w:tcW w:w="6662" w:type="dxa"/>
          </w:tcPr>
          <w:p w14:paraId="7510FACD" w14:textId="77777777" w:rsidR="00E04768" w:rsidRPr="00283C04" w:rsidRDefault="00E04768"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E04768" w:rsidRPr="00283C04" w14:paraId="39E8EE09" w14:textId="77777777" w:rsidTr="0076385F">
        <w:tc>
          <w:tcPr>
            <w:tcW w:w="1413" w:type="dxa"/>
          </w:tcPr>
          <w:p w14:paraId="6D2B4407" w14:textId="77777777" w:rsidR="00E04768" w:rsidRPr="00283C04" w:rsidRDefault="00E04768" w:rsidP="0076385F">
            <w:pPr>
              <w:rPr>
                <w:sz w:val="18"/>
                <w:szCs w:val="18"/>
              </w:rPr>
            </w:pPr>
            <w:r w:rsidRPr="00283C04">
              <w:rPr>
                <w:sz w:val="18"/>
                <w:szCs w:val="18"/>
              </w:rPr>
              <w:t>Sex</w:t>
            </w:r>
          </w:p>
        </w:tc>
        <w:tc>
          <w:tcPr>
            <w:tcW w:w="992" w:type="dxa"/>
            <w:shd w:val="clear" w:color="auto" w:fill="FF0000"/>
          </w:tcPr>
          <w:p w14:paraId="2FDDB189" w14:textId="77777777" w:rsidR="00E04768" w:rsidRPr="00283C04" w:rsidRDefault="00E04768" w:rsidP="0076385F">
            <w:pPr>
              <w:jc w:val="center"/>
              <w:rPr>
                <w:sz w:val="18"/>
                <w:szCs w:val="18"/>
              </w:rPr>
            </w:pPr>
            <w:r>
              <w:rPr>
                <w:sz w:val="18"/>
                <w:szCs w:val="18"/>
              </w:rPr>
              <w:t>Negative</w:t>
            </w:r>
          </w:p>
        </w:tc>
        <w:tc>
          <w:tcPr>
            <w:tcW w:w="6662" w:type="dxa"/>
          </w:tcPr>
          <w:p w14:paraId="66F0AB4F" w14:textId="77777777" w:rsidR="00E04768" w:rsidRPr="00283C04" w:rsidRDefault="00E04768" w:rsidP="0076385F">
            <w:pPr>
              <w:rPr>
                <w:sz w:val="18"/>
                <w:szCs w:val="18"/>
              </w:rPr>
            </w:pPr>
            <w:r w:rsidRPr="00283C04">
              <w:rPr>
                <w:sz w:val="18"/>
                <w:szCs w:val="18"/>
              </w:rPr>
              <w:t>National Stroke Association noted that statistics showed that males have a higher risk of having a stroke.  Therefore returning the service back to its delivery prior to summer 2013 would have a potentially negative impact across Northern Lincolnshire.</w:t>
            </w:r>
          </w:p>
        </w:tc>
      </w:tr>
      <w:tr w:rsidR="00E04768" w:rsidRPr="00283C04" w14:paraId="42DCAB8B" w14:textId="77777777" w:rsidTr="0076385F">
        <w:tc>
          <w:tcPr>
            <w:tcW w:w="1413" w:type="dxa"/>
          </w:tcPr>
          <w:p w14:paraId="38009E2B" w14:textId="77777777" w:rsidR="00E04768" w:rsidRPr="00283C04" w:rsidRDefault="00E04768" w:rsidP="0076385F">
            <w:pPr>
              <w:rPr>
                <w:sz w:val="18"/>
                <w:szCs w:val="18"/>
              </w:rPr>
            </w:pPr>
            <w:r w:rsidRPr="00283C04">
              <w:rPr>
                <w:sz w:val="18"/>
                <w:szCs w:val="18"/>
              </w:rPr>
              <w:t>Sexual orientation</w:t>
            </w:r>
          </w:p>
        </w:tc>
        <w:tc>
          <w:tcPr>
            <w:tcW w:w="992" w:type="dxa"/>
            <w:shd w:val="clear" w:color="auto" w:fill="FFC000"/>
          </w:tcPr>
          <w:p w14:paraId="0AC0BBBB" w14:textId="77777777" w:rsidR="00E04768" w:rsidRPr="00283C04" w:rsidRDefault="00E04768" w:rsidP="0076385F">
            <w:pPr>
              <w:jc w:val="center"/>
              <w:rPr>
                <w:sz w:val="18"/>
                <w:szCs w:val="18"/>
              </w:rPr>
            </w:pPr>
            <w:r w:rsidRPr="00283C04">
              <w:rPr>
                <w:sz w:val="18"/>
                <w:szCs w:val="18"/>
              </w:rPr>
              <w:t>Neutral</w:t>
            </w:r>
          </w:p>
        </w:tc>
        <w:tc>
          <w:tcPr>
            <w:tcW w:w="6662" w:type="dxa"/>
          </w:tcPr>
          <w:p w14:paraId="1EEE9BD3" w14:textId="77777777" w:rsidR="00E04768" w:rsidRPr="00283C04" w:rsidRDefault="00E04768"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E04768" w:rsidRPr="00283C04" w14:paraId="613D1201" w14:textId="77777777" w:rsidTr="00E04768">
        <w:tc>
          <w:tcPr>
            <w:tcW w:w="1413" w:type="dxa"/>
          </w:tcPr>
          <w:p w14:paraId="26ADCEB0" w14:textId="77777777" w:rsidR="00E04768" w:rsidRPr="00283C04" w:rsidRDefault="00E04768" w:rsidP="0076385F">
            <w:pPr>
              <w:rPr>
                <w:sz w:val="18"/>
                <w:szCs w:val="18"/>
              </w:rPr>
            </w:pPr>
            <w:r w:rsidRPr="00283C04">
              <w:rPr>
                <w:sz w:val="18"/>
                <w:szCs w:val="18"/>
              </w:rPr>
              <w:t>Deprivation</w:t>
            </w:r>
          </w:p>
        </w:tc>
        <w:tc>
          <w:tcPr>
            <w:tcW w:w="992" w:type="dxa"/>
            <w:shd w:val="clear" w:color="auto" w:fill="FFC000"/>
          </w:tcPr>
          <w:p w14:paraId="74DEEB95" w14:textId="6CB44CDE" w:rsidR="00E04768" w:rsidRPr="00283C04" w:rsidRDefault="00E04768" w:rsidP="0076385F">
            <w:pPr>
              <w:jc w:val="center"/>
              <w:rPr>
                <w:sz w:val="18"/>
                <w:szCs w:val="18"/>
              </w:rPr>
            </w:pPr>
            <w:r w:rsidRPr="00283C04">
              <w:rPr>
                <w:sz w:val="18"/>
                <w:szCs w:val="18"/>
              </w:rPr>
              <w:t>Neutral</w:t>
            </w:r>
          </w:p>
        </w:tc>
        <w:tc>
          <w:tcPr>
            <w:tcW w:w="6662" w:type="dxa"/>
          </w:tcPr>
          <w:p w14:paraId="2700B56E" w14:textId="6AC700FD" w:rsidR="00E04768" w:rsidRPr="00E04768" w:rsidRDefault="00E04768" w:rsidP="00E04768">
            <w:pPr>
              <w:jc w:val="both"/>
              <w:rPr>
                <w:rFonts w:cs="Arial"/>
                <w:sz w:val="18"/>
                <w:szCs w:val="18"/>
              </w:rPr>
            </w:pPr>
            <w:r w:rsidRPr="00E04768">
              <w:rPr>
                <w:rFonts w:ascii="Calibri" w:hAnsi="Calibri" w:cs="Calibri"/>
                <w:sz w:val="18"/>
                <w:szCs w:val="18"/>
              </w:rPr>
              <w:t xml:space="preserve">It should be noted that deprivation cuts across Northern Lincolnshire. The low number of people with access to private transport is well documented, especially in the context of accessing services. This is exacerbated by the rural nature of the area and poor public transport. </w:t>
            </w:r>
            <w:r w:rsidRPr="00E04768">
              <w:rPr>
                <w:rFonts w:ascii="Calibri" w:hAnsi="Calibri" w:cs="Arial"/>
                <w:sz w:val="18"/>
                <w:szCs w:val="18"/>
              </w:rPr>
              <w:t xml:space="preserve">In North East Lincolnshire 28.3% of children are in poverty and in North Lincolnshire the figure is 21.0%. In view of the large demographic areas both SGH and </w:t>
            </w:r>
            <w:proofErr w:type="spellStart"/>
            <w:r w:rsidRPr="00E04768">
              <w:rPr>
                <w:rFonts w:ascii="Calibri" w:hAnsi="Calibri" w:cs="Arial"/>
                <w:sz w:val="18"/>
                <w:szCs w:val="18"/>
              </w:rPr>
              <w:t>DPoW</w:t>
            </w:r>
            <w:proofErr w:type="spellEnd"/>
            <w:r w:rsidRPr="00E04768">
              <w:rPr>
                <w:rFonts w:ascii="Calibri" w:hAnsi="Calibri" w:cs="Arial"/>
                <w:sz w:val="18"/>
                <w:szCs w:val="18"/>
              </w:rPr>
              <w:t xml:space="preserve"> service serves, and the associated deprivation within North East Lincolnshire in particular, the need to ensure children and families can access appropriate healthcare is paramount. </w:t>
            </w:r>
          </w:p>
        </w:tc>
      </w:tr>
      <w:tr w:rsidR="00E04768" w:rsidRPr="00283C04" w14:paraId="674D6F50" w14:textId="77777777" w:rsidTr="0076385F">
        <w:tc>
          <w:tcPr>
            <w:tcW w:w="1413" w:type="dxa"/>
          </w:tcPr>
          <w:p w14:paraId="7EE8906B" w14:textId="77777777" w:rsidR="00E04768" w:rsidRPr="00283C04" w:rsidRDefault="00E04768" w:rsidP="0076385F">
            <w:pPr>
              <w:rPr>
                <w:sz w:val="18"/>
                <w:szCs w:val="18"/>
              </w:rPr>
            </w:pPr>
            <w:r w:rsidRPr="00283C04">
              <w:rPr>
                <w:sz w:val="18"/>
                <w:szCs w:val="18"/>
              </w:rPr>
              <w:t>Human rights</w:t>
            </w:r>
          </w:p>
        </w:tc>
        <w:tc>
          <w:tcPr>
            <w:tcW w:w="992" w:type="dxa"/>
            <w:shd w:val="clear" w:color="auto" w:fill="FF0000"/>
          </w:tcPr>
          <w:p w14:paraId="3AF953D4" w14:textId="77777777" w:rsidR="00E04768" w:rsidRPr="00E04768" w:rsidRDefault="00E04768" w:rsidP="0076385F">
            <w:pPr>
              <w:jc w:val="center"/>
              <w:rPr>
                <w:sz w:val="18"/>
                <w:szCs w:val="18"/>
              </w:rPr>
            </w:pPr>
            <w:r w:rsidRPr="00E04768">
              <w:rPr>
                <w:sz w:val="18"/>
                <w:szCs w:val="18"/>
              </w:rPr>
              <w:t>Negative</w:t>
            </w:r>
          </w:p>
        </w:tc>
        <w:tc>
          <w:tcPr>
            <w:tcW w:w="6662" w:type="dxa"/>
          </w:tcPr>
          <w:p w14:paraId="0A11C8B5" w14:textId="26A03918" w:rsidR="00E04768" w:rsidRPr="00E04768" w:rsidRDefault="00E04768" w:rsidP="00E04768">
            <w:pPr>
              <w:rPr>
                <w:rFonts w:cs="Arial"/>
                <w:sz w:val="18"/>
                <w:szCs w:val="18"/>
              </w:rPr>
            </w:pPr>
            <w:r w:rsidRPr="00E04768">
              <w:rPr>
                <w:rFonts w:ascii="Calibri" w:hAnsi="Calibri" w:cs="Arial"/>
                <w:sz w:val="18"/>
                <w:szCs w:val="18"/>
              </w:rPr>
              <w:t xml:space="preserve">If the service were to be </w:t>
            </w:r>
            <w:proofErr w:type="gramStart"/>
            <w:r w:rsidRPr="00E04768">
              <w:rPr>
                <w:rFonts w:ascii="Calibri" w:hAnsi="Calibri" w:cs="Arial"/>
                <w:sz w:val="18"/>
                <w:szCs w:val="18"/>
              </w:rPr>
              <w:t>remain</w:t>
            </w:r>
            <w:proofErr w:type="gramEnd"/>
            <w:r w:rsidRPr="00E04768">
              <w:rPr>
                <w:rFonts w:ascii="Calibri" w:hAnsi="Calibri" w:cs="Arial"/>
                <w:sz w:val="18"/>
                <w:szCs w:val="18"/>
              </w:rPr>
              <w:t xml:space="preserve"> clinical outcomes and patient safety may be compromised in low volume specialties</w:t>
            </w:r>
            <w:r>
              <w:rPr>
                <w:rFonts w:ascii="Calibri" w:hAnsi="Calibri" w:cs="Arial"/>
                <w:sz w:val="18"/>
                <w:szCs w:val="18"/>
              </w:rPr>
              <w:t>.</w:t>
            </w:r>
          </w:p>
        </w:tc>
      </w:tr>
    </w:tbl>
    <w:p w14:paraId="0515E46E" w14:textId="77777777" w:rsidR="00E04768" w:rsidRDefault="00E04768" w:rsidP="00E04768">
      <w:pPr>
        <w:pStyle w:val="Heading2"/>
      </w:pPr>
      <w:bookmarkStart w:id="17" w:name="_Toc388003801"/>
    </w:p>
    <w:p w14:paraId="6D171C68" w14:textId="191AB47C" w:rsidR="00E04768" w:rsidRDefault="00E04768" w:rsidP="00E04768">
      <w:pPr>
        <w:pStyle w:val="Heading2"/>
      </w:pPr>
      <w:bookmarkStart w:id="18" w:name="_Toc388275365"/>
      <w:r>
        <w:t>5.5 Evaluation criteria assessment</w:t>
      </w:r>
      <w:bookmarkEnd w:id="17"/>
      <w:bookmarkEnd w:id="18"/>
    </w:p>
    <w:p w14:paraId="2AA9BFBD" w14:textId="77777777" w:rsidR="00E04768" w:rsidRDefault="00E04768" w:rsidP="00E04768">
      <w:r>
        <w:t>The programme board undertook an evaluation criteria scoring exercise, taking into consideration the above benefits and risks and the views of the local clinical community.  A summary of the scoring is included below:</w:t>
      </w:r>
    </w:p>
    <w:p w14:paraId="4D2D762C" w14:textId="2249AC32" w:rsidR="00E04768" w:rsidRDefault="00E04768" w:rsidP="00E04768">
      <w:pPr>
        <w:pStyle w:val="Heading4"/>
      </w:pPr>
      <w:r>
        <w:t>Table 11 – Evaluation scoring for option 1 (do nothing)</w:t>
      </w:r>
    </w:p>
    <w:tbl>
      <w:tblPr>
        <w:tblStyle w:val="TableGrid"/>
        <w:tblW w:w="0" w:type="auto"/>
        <w:tblLook w:val="04A0" w:firstRow="1" w:lastRow="0" w:firstColumn="1" w:lastColumn="0" w:noHBand="0" w:noVBand="1"/>
      </w:tblPr>
      <w:tblGrid>
        <w:gridCol w:w="1555"/>
        <w:gridCol w:w="850"/>
        <w:gridCol w:w="6611"/>
      </w:tblGrid>
      <w:tr w:rsidR="00E04768" w14:paraId="66E69B7A" w14:textId="77777777" w:rsidTr="0076385F">
        <w:tc>
          <w:tcPr>
            <w:tcW w:w="1555" w:type="dxa"/>
            <w:shd w:val="clear" w:color="auto" w:fill="767171" w:themeFill="background2" w:themeFillShade="80"/>
          </w:tcPr>
          <w:p w14:paraId="641B5EE2" w14:textId="77777777" w:rsidR="00E04768" w:rsidRPr="00E4010B" w:rsidRDefault="00E04768" w:rsidP="0076385F">
            <w:pPr>
              <w:rPr>
                <w:color w:val="FFFFFF" w:themeColor="background1"/>
                <w:sz w:val="18"/>
                <w:szCs w:val="18"/>
              </w:rPr>
            </w:pPr>
            <w:r w:rsidRPr="00E4010B">
              <w:rPr>
                <w:color w:val="FFFFFF" w:themeColor="background1"/>
                <w:sz w:val="18"/>
                <w:szCs w:val="18"/>
              </w:rPr>
              <w:t>Criteria</w:t>
            </w:r>
          </w:p>
        </w:tc>
        <w:tc>
          <w:tcPr>
            <w:tcW w:w="850" w:type="dxa"/>
            <w:shd w:val="clear" w:color="auto" w:fill="767171" w:themeFill="background2" w:themeFillShade="80"/>
          </w:tcPr>
          <w:p w14:paraId="0913E955" w14:textId="77777777" w:rsidR="00E04768" w:rsidRPr="00E4010B" w:rsidRDefault="00E04768" w:rsidP="0076385F">
            <w:pPr>
              <w:jc w:val="center"/>
              <w:rPr>
                <w:color w:val="FFFFFF" w:themeColor="background1"/>
                <w:sz w:val="18"/>
                <w:szCs w:val="18"/>
              </w:rPr>
            </w:pPr>
            <w:r w:rsidRPr="00E4010B">
              <w:rPr>
                <w:color w:val="FFFFFF" w:themeColor="background1"/>
                <w:sz w:val="18"/>
                <w:szCs w:val="18"/>
              </w:rPr>
              <w:t>Score</w:t>
            </w:r>
          </w:p>
        </w:tc>
        <w:tc>
          <w:tcPr>
            <w:tcW w:w="6611" w:type="dxa"/>
            <w:shd w:val="clear" w:color="auto" w:fill="767171" w:themeFill="background2" w:themeFillShade="80"/>
          </w:tcPr>
          <w:p w14:paraId="5BEB2490" w14:textId="77777777" w:rsidR="00E04768" w:rsidRPr="00E4010B" w:rsidRDefault="00E04768" w:rsidP="0076385F">
            <w:pPr>
              <w:rPr>
                <w:color w:val="FFFFFF" w:themeColor="background1"/>
                <w:sz w:val="18"/>
                <w:szCs w:val="18"/>
              </w:rPr>
            </w:pPr>
            <w:r w:rsidRPr="00E4010B">
              <w:rPr>
                <w:color w:val="FFFFFF" w:themeColor="background1"/>
                <w:sz w:val="18"/>
                <w:szCs w:val="18"/>
              </w:rPr>
              <w:t>Rationale</w:t>
            </w:r>
          </w:p>
        </w:tc>
      </w:tr>
      <w:tr w:rsidR="00E04768" w14:paraId="219E9C43" w14:textId="77777777" w:rsidTr="0076385F">
        <w:tc>
          <w:tcPr>
            <w:tcW w:w="1555" w:type="dxa"/>
          </w:tcPr>
          <w:p w14:paraId="37E77821" w14:textId="77777777" w:rsidR="00E04768" w:rsidRPr="00E4010B" w:rsidRDefault="00E04768" w:rsidP="0076385F">
            <w:pPr>
              <w:rPr>
                <w:sz w:val="18"/>
                <w:szCs w:val="18"/>
              </w:rPr>
            </w:pPr>
            <w:r w:rsidRPr="00E4010B">
              <w:rPr>
                <w:sz w:val="18"/>
                <w:szCs w:val="18"/>
              </w:rPr>
              <w:t>Quality</w:t>
            </w:r>
          </w:p>
        </w:tc>
        <w:tc>
          <w:tcPr>
            <w:tcW w:w="850" w:type="dxa"/>
          </w:tcPr>
          <w:p w14:paraId="45F8578A" w14:textId="49F6CA9E" w:rsidR="00E04768" w:rsidRPr="00E4010B" w:rsidRDefault="00E04768" w:rsidP="0076385F">
            <w:pPr>
              <w:jc w:val="center"/>
              <w:rPr>
                <w:sz w:val="18"/>
                <w:szCs w:val="18"/>
              </w:rPr>
            </w:pPr>
            <w:r>
              <w:rPr>
                <w:sz w:val="18"/>
                <w:szCs w:val="18"/>
              </w:rPr>
              <w:t>72</w:t>
            </w:r>
          </w:p>
        </w:tc>
        <w:tc>
          <w:tcPr>
            <w:tcW w:w="6611" w:type="dxa"/>
          </w:tcPr>
          <w:p w14:paraId="634322E5" w14:textId="15D36EFD" w:rsidR="00E04768" w:rsidRPr="00E4010B" w:rsidRDefault="00E04768" w:rsidP="0076385F">
            <w:pPr>
              <w:rPr>
                <w:sz w:val="18"/>
                <w:szCs w:val="18"/>
              </w:rPr>
            </w:pPr>
            <w:r>
              <w:rPr>
                <w:sz w:val="18"/>
                <w:szCs w:val="18"/>
              </w:rPr>
              <w:t xml:space="preserve">Concerns were raised by the provider clinicians, and so the programme board </w:t>
            </w:r>
            <w:r w:rsidR="005777ED">
              <w:rPr>
                <w:sz w:val="18"/>
                <w:szCs w:val="18"/>
              </w:rPr>
              <w:t>did not feel it would be appropriate to maintain the service in its current form.</w:t>
            </w:r>
          </w:p>
        </w:tc>
      </w:tr>
      <w:tr w:rsidR="00E04768" w14:paraId="4609EE9E" w14:textId="77777777" w:rsidTr="0076385F">
        <w:tc>
          <w:tcPr>
            <w:tcW w:w="1555" w:type="dxa"/>
          </w:tcPr>
          <w:p w14:paraId="5CDD6D7C" w14:textId="77777777" w:rsidR="00E04768" w:rsidRPr="00E4010B" w:rsidRDefault="00E04768" w:rsidP="0076385F">
            <w:pPr>
              <w:rPr>
                <w:sz w:val="18"/>
                <w:szCs w:val="18"/>
              </w:rPr>
            </w:pPr>
            <w:r w:rsidRPr="00E4010B">
              <w:rPr>
                <w:sz w:val="18"/>
                <w:szCs w:val="18"/>
              </w:rPr>
              <w:t>Access</w:t>
            </w:r>
          </w:p>
        </w:tc>
        <w:tc>
          <w:tcPr>
            <w:tcW w:w="850" w:type="dxa"/>
          </w:tcPr>
          <w:p w14:paraId="35BE2243" w14:textId="1BC7E425" w:rsidR="00E04768" w:rsidRPr="00E4010B" w:rsidRDefault="00E04768" w:rsidP="0076385F">
            <w:pPr>
              <w:jc w:val="center"/>
              <w:rPr>
                <w:sz w:val="18"/>
                <w:szCs w:val="18"/>
              </w:rPr>
            </w:pPr>
            <w:r>
              <w:rPr>
                <w:sz w:val="18"/>
                <w:szCs w:val="18"/>
              </w:rPr>
              <w:t>36</w:t>
            </w:r>
          </w:p>
        </w:tc>
        <w:tc>
          <w:tcPr>
            <w:tcW w:w="6611" w:type="dxa"/>
          </w:tcPr>
          <w:p w14:paraId="5A35339D" w14:textId="4B018EE3" w:rsidR="00E04768" w:rsidRPr="00E4010B" w:rsidRDefault="005777ED" w:rsidP="0076385F">
            <w:pPr>
              <w:rPr>
                <w:sz w:val="18"/>
                <w:szCs w:val="18"/>
              </w:rPr>
            </w:pPr>
            <w:r>
              <w:rPr>
                <w:sz w:val="18"/>
                <w:szCs w:val="18"/>
              </w:rPr>
              <w:t>This was not expected to have negative impact on access, however it was recognised that the public had been told about quality concerns so they would likely expect changes to be implemented to address those issues.</w:t>
            </w:r>
          </w:p>
        </w:tc>
      </w:tr>
      <w:tr w:rsidR="00E04768" w14:paraId="0B4173C9" w14:textId="77777777" w:rsidTr="0076385F">
        <w:tc>
          <w:tcPr>
            <w:tcW w:w="1555" w:type="dxa"/>
          </w:tcPr>
          <w:p w14:paraId="06140269" w14:textId="77777777" w:rsidR="00E04768" w:rsidRPr="00E4010B" w:rsidRDefault="00E04768" w:rsidP="0076385F">
            <w:pPr>
              <w:rPr>
                <w:sz w:val="18"/>
                <w:szCs w:val="18"/>
              </w:rPr>
            </w:pPr>
            <w:r w:rsidRPr="00E4010B">
              <w:rPr>
                <w:sz w:val="18"/>
                <w:szCs w:val="18"/>
              </w:rPr>
              <w:t>Affordability</w:t>
            </w:r>
          </w:p>
        </w:tc>
        <w:tc>
          <w:tcPr>
            <w:tcW w:w="850" w:type="dxa"/>
          </w:tcPr>
          <w:p w14:paraId="48AD35E9" w14:textId="27CB9634" w:rsidR="00E04768" w:rsidRPr="00E4010B" w:rsidRDefault="00E04768" w:rsidP="0076385F">
            <w:pPr>
              <w:jc w:val="center"/>
              <w:rPr>
                <w:sz w:val="18"/>
                <w:szCs w:val="18"/>
              </w:rPr>
            </w:pPr>
            <w:r>
              <w:rPr>
                <w:sz w:val="18"/>
                <w:szCs w:val="18"/>
              </w:rPr>
              <w:t>40</w:t>
            </w:r>
          </w:p>
        </w:tc>
        <w:tc>
          <w:tcPr>
            <w:tcW w:w="6611" w:type="dxa"/>
          </w:tcPr>
          <w:p w14:paraId="37F9F53A" w14:textId="2FEBA8EC" w:rsidR="00E04768" w:rsidRPr="00E4010B" w:rsidRDefault="005777ED" w:rsidP="005777ED">
            <w:pPr>
              <w:rPr>
                <w:sz w:val="18"/>
                <w:szCs w:val="18"/>
              </w:rPr>
            </w:pPr>
            <w:r>
              <w:rPr>
                <w:sz w:val="18"/>
                <w:szCs w:val="18"/>
              </w:rPr>
              <w:t>This scored highest from an affordability perspective as there would be no additional costs incurred.</w:t>
            </w:r>
          </w:p>
        </w:tc>
      </w:tr>
      <w:tr w:rsidR="00E04768" w14:paraId="2373621B" w14:textId="77777777" w:rsidTr="0076385F">
        <w:tc>
          <w:tcPr>
            <w:tcW w:w="1555" w:type="dxa"/>
          </w:tcPr>
          <w:p w14:paraId="6903A4F5" w14:textId="77777777" w:rsidR="00E04768" w:rsidRPr="00E4010B" w:rsidRDefault="00E04768" w:rsidP="0076385F">
            <w:pPr>
              <w:rPr>
                <w:sz w:val="18"/>
                <w:szCs w:val="18"/>
              </w:rPr>
            </w:pPr>
            <w:r w:rsidRPr="00E4010B">
              <w:rPr>
                <w:sz w:val="18"/>
                <w:szCs w:val="18"/>
              </w:rPr>
              <w:t>Deliverability</w:t>
            </w:r>
          </w:p>
        </w:tc>
        <w:tc>
          <w:tcPr>
            <w:tcW w:w="850" w:type="dxa"/>
          </w:tcPr>
          <w:p w14:paraId="4BDC3B05" w14:textId="78C80F67" w:rsidR="00E04768" w:rsidRPr="00E4010B" w:rsidRDefault="00E04768" w:rsidP="00E04768">
            <w:pPr>
              <w:jc w:val="center"/>
              <w:rPr>
                <w:sz w:val="18"/>
                <w:szCs w:val="18"/>
              </w:rPr>
            </w:pPr>
            <w:r>
              <w:rPr>
                <w:sz w:val="18"/>
                <w:szCs w:val="18"/>
              </w:rPr>
              <w:t>48</w:t>
            </w:r>
          </w:p>
        </w:tc>
        <w:tc>
          <w:tcPr>
            <w:tcW w:w="6611" w:type="dxa"/>
          </w:tcPr>
          <w:p w14:paraId="5AD11DDC" w14:textId="7F7A3950" w:rsidR="00E04768" w:rsidRPr="00E4010B" w:rsidRDefault="005777ED" w:rsidP="0076385F">
            <w:pPr>
              <w:rPr>
                <w:sz w:val="18"/>
                <w:szCs w:val="18"/>
              </w:rPr>
            </w:pPr>
            <w:r>
              <w:rPr>
                <w:sz w:val="18"/>
                <w:szCs w:val="18"/>
              </w:rPr>
              <w:t xml:space="preserve">This would not offer improvements to staffing or attractiveness for </w:t>
            </w:r>
            <w:proofErr w:type="gramStart"/>
            <w:r>
              <w:rPr>
                <w:sz w:val="18"/>
                <w:szCs w:val="18"/>
              </w:rPr>
              <w:t>employment,</w:t>
            </w:r>
            <w:proofErr w:type="gramEnd"/>
            <w:r>
              <w:rPr>
                <w:sz w:val="18"/>
                <w:szCs w:val="18"/>
              </w:rPr>
              <w:t xml:space="preserve"> however it was not anticipated that there would be a significant negative impact either.</w:t>
            </w:r>
          </w:p>
        </w:tc>
      </w:tr>
      <w:tr w:rsidR="00E04768" w14:paraId="06784F10" w14:textId="77777777" w:rsidTr="0076385F">
        <w:tc>
          <w:tcPr>
            <w:tcW w:w="1555" w:type="dxa"/>
          </w:tcPr>
          <w:p w14:paraId="1C876FD7" w14:textId="77777777" w:rsidR="00E04768" w:rsidRPr="00E4010B" w:rsidRDefault="00E04768" w:rsidP="0076385F">
            <w:pPr>
              <w:rPr>
                <w:sz w:val="18"/>
                <w:szCs w:val="18"/>
              </w:rPr>
            </w:pPr>
            <w:r>
              <w:rPr>
                <w:sz w:val="18"/>
                <w:szCs w:val="18"/>
              </w:rPr>
              <w:t>Total</w:t>
            </w:r>
          </w:p>
        </w:tc>
        <w:tc>
          <w:tcPr>
            <w:tcW w:w="850" w:type="dxa"/>
          </w:tcPr>
          <w:p w14:paraId="12DA5044" w14:textId="70A4B550" w:rsidR="00E04768" w:rsidRDefault="00E04768" w:rsidP="0076385F">
            <w:pPr>
              <w:jc w:val="center"/>
              <w:rPr>
                <w:sz w:val="18"/>
                <w:szCs w:val="18"/>
              </w:rPr>
            </w:pPr>
            <w:r>
              <w:rPr>
                <w:sz w:val="18"/>
                <w:szCs w:val="18"/>
              </w:rPr>
              <w:t>196</w:t>
            </w:r>
          </w:p>
        </w:tc>
        <w:tc>
          <w:tcPr>
            <w:tcW w:w="6611" w:type="dxa"/>
          </w:tcPr>
          <w:p w14:paraId="5C460D47" w14:textId="306ABF3C" w:rsidR="00E04768" w:rsidRDefault="00E04768" w:rsidP="0076385F">
            <w:pPr>
              <w:rPr>
                <w:sz w:val="18"/>
                <w:szCs w:val="18"/>
              </w:rPr>
            </w:pPr>
          </w:p>
        </w:tc>
      </w:tr>
    </w:tbl>
    <w:p w14:paraId="3347BF8C" w14:textId="02A65E57" w:rsidR="00A57792" w:rsidRDefault="005777ED" w:rsidP="00BA45F1">
      <w:pPr>
        <w:pStyle w:val="Heading1"/>
        <w:spacing w:line="240" w:lineRule="auto"/>
      </w:pPr>
      <w:bookmarkStart w:id="19" w:name="_Toc388275366"/>
      <w:r>
        <w:lastRenderedPageBreak/>
        <w:t>6</w:t>
      </w:r>
      <w:r w:rsidR="00760E1C">
        <w:t xml:space="preserve">. </w:t>
      </w:r>
      <w:r w:rsidR="00A85C1A">
        <w:t>Option 2</w:t>
      </w:r>
      <w:r w:rsidR="00A57792">
        <w:t xml:space="preserve"> </w:t>
      </w:r>
      <w:r w:rsidR="001B1F57">
        <w:t>–</w:t>
      </w:r>
      <w:r w:rsidR="00A57792">
        <w:t xml:space="preserve"> </w:t>
      </w:r>
      <w:r w:rsidR="001B1F57">
        <w:t xml:space="preserve">Rotate Consultants between </w:t>
      </w:r>
      <w:r w:rsidR="001B1F57" w:rsidRPr="00D56447">
        <w:t>both sites</w:t>
      </w:r>
      <w:bookmarkEnd w:id="19"/>
    </w:p>
    <w:p w14:paraId="72AAC6B2" w14:textId="77777777" w:rsidR="008143CF" w:rsidRDefault="008143CF" w:rsidP="00BA45F1">
      <w:pPr>
        <w:pStyle w:val="Heading2"/>
        <w:spacing w:line="240" w:lineRule="auto"/>
      </w:pPr>
    </w:p>
    <w:p w14:paraId="628C2A5C" w14:textId="506923B3" w:rsidR="00760E1C" w:rsidRDefault="005777ED" w:rsidP="00760E1C">
      <w:pPr>
        <w:pStyle w:val="Heading2"/>
      </w:pPr>
      <w:bookmarkStart w:id="20" w:name="_Toc388275367"/>
      <w:r>
        <w:t>6</w:t>
      </w:r>
      <w:r w:rsidR="00760E1C">
        <w:t>.1 Assumptions</w:t>
      </w:r>
      <w:bookmarkEnd w:id="20"/>
      <w:r w:rsidR="00760E1C">
        <w:t xml:space="preserve"> </w:t>
      </w:r>
    </w:p>
    <w:p w14:paraId="3641F6B8" w14:textId="77777777" w:rsidR="00A57792" w:rsidRDefault="00A57792" w:rsidP="005B3E9E">
      <w:pPr>
        <w:spacing w:line="240" w:lineRule="auto"/>
      </w:pPr>
      <w:r>
        <w:t>This option makes the following assumptions:</w:t>
      </w:r>
    </w:p>
    <w:p w14:paraId="32ED8D3C" w14:textId="436E663A" w:rsidR="005B3E9E" w:rsidRDefault="009F14B0" w:rsidP="0017328A">
      <w:pPr>
        <w:pStyle w:val="ListParagraph"/>
        <w:numPr>
          <w:ilvl w:val="0"/>
          <w:numId w:val="37"/>
        </w:numPr>
        <w:tabs>
          <w:tab w:val="left" w:pos="6946"/>
        </w:tabs>
        <w:spacing w:before="0" w:line="240" w:lineRule="auto"/>
        <w:rPr>
          <w:rFonts w:asciiTheme="minorHAnsi" w:hAnsiTheme="minorHAnsi"/>
        </w:rPr>
      </w:pPr>
      <w:r>
        <w:rPr>
          <w:rFonts w:asciiTheme="minorHAnsi" w:hAnsiTheme="minorHAnsi"/>
        </w:rPr>
        <w:t>The numbers of surgeons, anaesthetists and support teams operating on children is reduced to form a joint team, and m</w:t>
      </w:r>
      <w:r w:rsidR="005B3E9E">
        <w:rPr>
          <w:rFonts w:asciiTheme="minorHAnsi" w:hAnsiTheme="minorHAnsi"/>
        </w:rPr>
        <w:t xml:space="preserve">edical staff </w:t>
      </w:r>
      <w:r w:rsidR="00F82D3E">
        <w:rPr>
          <w:rFonts w:asciiTheme="minorHAnsi" w:hAnsiTheme="minorHAnsi"/>
        </w:rPr>
        <w:t>achieve</w:t>
      </w:r>
      <w:r w:rsidR="005B3E9E">
        <w:rPr>
          <w:rFonts w:asciiTheme="minorHAnsi" w:hAnsiTheme="minorHAnsi"/>
        </w:rPr>
        <w:t xml:space="preserve"> </w:t>
      </w:r>
      <w:r w:rsidR="00980063">
        <w:rPr>
          <w:rFonts w:asciiTheme="minorHAnsi" w:hAnsiTheme="minorHAnsi"/>
        </w:rPr>
        <w:t xml:space="preserve">all round </w:t>
      </w:r>
      <w:r w:rsidR="005B3E9E">
        <w:rPr>
          <w:rFonts w:asciiTheme="minorHAnsi" w:hAnsiTheme="minorHAnsi"/>
        </w:rPr>
        <w:t>clinical competence</w:t>
      </w:r>
      <w:r>
        <w:rPr>
          <w:rFonts w:asciiTheme="minorHAnsi" w:hAnsiTheme="minorHAnsi"/>
        </w:rPr>
        <w:t xml:space="preserve"> through combining volumes from both sites</w:t>
      </w:r>
    </w:p>
    <w:p w14:paraId="17FD4555" w14:textId="39BE7FC8" w:rsidR="009430AF" w:rsidRDefault="009430AF" w:rsidP="0017328A">
      <w:pPr>
        <w:pStyle w:val="ListParagraph"/>
        <w:numPr>
          <w:ilvl w:val="0"/>
          <w:numId w:val="37"/>
        </w:numPr>
        <w:tabs>
          <w:tab w:val="left" w:pos="6946"/>
        </w:tabs>
        <w:spacing w:before="0" w:line="240" w:lineRule="auto"/>
        <w:rPr>
          <w:rFonts w:asciiTheme="minorHAnsi" w:hAnsiTheme="minorHAnsi"/>
        </w:rPr>
      </w:pPr>
      <w:r>
        <w:rPr>
          <w:rFonts w:asciiTheme="minorHAnsi" w:hAnsiTheme="minorHAnsi"/>
        </w:rPr>
        <w:t>Where practicable procedures will be delivered from one speciality to increase volumes per surgeon (e.g. circumcision)</w:t>
      </w:r>
    </w:p>
    <w:p w14:paraId="1264BBD7" w14:textId="77777777" w:rsidR="009F14B0" w:rsidRDefault="009F14B0" w:rsidP="009F14B0">
      <w:pPr>
        <w:pStyle w:val="ListParagraph"/>
        <w:numPr>
          <w:ilvl w:val="0"/>
          <w:numId w:val="37"/>
        </w:numPr>
        <w:spacing w:before="0" w:line="240" w:lineRule="auto"/>
        <w:rPr>
          <w:rFonts w:asciiTheme="minorHAnsi" w:hAnsiTheme="minorHAnsi"/>
        </w:rPr>
      </w:pPr>
      <w:r>
        <w:rPr>
          <w:rFonts w:asciiTheme="minorHAnsi" w:hAnsiTheme="minorHAnsi"/>
        </w:rPr>
        <w:t>On call and out of hours service is provided by the joint team, and they will travel to the appropriate site when required</w:t>
      </w:r>
    </w:p>
    <w:p w14:paraId="71F3A581" w14:textId="2B2145FE" w:rsidR="009430AF" w:rsidRDefault="009430AF" w:rsidP="009F14B0">
      <w:pPr>
        <w:pStyle w:val="ListParagraph"/>
        <w:numPr>
          <w:ilvl w:val="0"/>
          <w:numId w:val="37"/>
        </w:numPr>
        <w:spacing w:before="0" w:line="240" w:lineRule="auto"/>
        <w:rPr>
          <w:rFonts w:asciiTheme="minorHAnsi" w:hAnsiTheme="minorHAnsi"/>
        </w:rPr>
      </w:pPr>
      <w:r>
        <w:rPr>
          <w:rFonts w:asciiTheme="minorHAnsi" w:hAnsiTheme="minorHAnsi"/>
        </w:rPr>
        <w:t>Outpatient services continue to be delivered from both sites</w:t>
      </w:r>
    </w:p>
    <w:p w14:paraId="083ABFC8" w14:textId="74195BFF" w:rsidR="00760E1C" w:rsidRPr="005B3E9E" w:rsidRDefault="00760E1C" w:rsidP="005B3E9E">
      <w:pPr>
        <w:spacing w:line="240" w:lineRule="auto"/>
        <w:ind w:left="360"/>
      </w:pPr>
    </w:p>
    <w:p w14:paraId="50DC0BFC" w14:textId="393E3BEF" w:rsidR="00A57792" w:rsidRDefault="005777ED" w:rsidP="00760E1C">
      <w:pPr>
        <w:pStyle w:val="Heading2"/>
      </w:pPr>
      <w:bookmarkStart w:id="21" w:name="_Toc388275368"/>
      <w:r>
        <w:t>6</w:t>
      </w:r>
      <w:r w:rsidR="00760E1C">
        <w:t>.2 Risks / issues</w:t>
      </w:r>
      <w:bookmarkEnd w:id="21"/>
    </w:p>
    <w:p w14:paraId="24C4A275" w14:textId="77777777" w:rsidR="00A57792" w:rsidRDefault="00A57792" w:rsidP="00A57792">
      <w:r>
        <w:t>The risks and issues associated with this option are outlined below:</w:t>
      </w:r>
    </w:p>
    <w:p w14:paraId="2699292A" w14:textId="1E3917E6" w:rsidR="00A57792" w:rsidRPr="00C12FD9" w:rsidRDefault="00FB07C6" w:rsidP="00C12FD9">
      <w:pPr>
        <w:pStyle w:val="Heading4"/>
      </w:pPr>
      <w:r w:rsidRPr="00C12FD9">
        <w:t xml:space="preserve">Table </w:t>
      </w:r>
      <w:r w:rsidR="005777ED">
        <w:t>12</w:t>
      </w:r>
      <w:r w:rsidR="00A57792" w:rsidRPr="00C12FD9">
        <w:t xml:space="preserve"> – Risks and issues of option </w:t>
      </w:r>
      <w:r w:rsidR="001B1F57">
        <w:t>2</w:t>
      </w:r>
      <w:r w:rsidR="00A57792" w:rsidRPr="00C12FD9">
        <w:t xml:space="preserve"> (</w:t>
      </w:r>
      <w:r w:rsidR="001B1F57">
        <w:t>rotation of consultants between both sites)</w:t>
      </w:r>
    </w:p>
    <w:tbl>
      <w:tblPr>
        <w:tblStyle w:val="TableGrid"/>
        <w:tblW w:w="0" w:type="auto"/>
        <w:tblLook w:val="04A0" w:firstRow="1" w:lastRow="0" w:firstColumn="1" w:lastColumn="0" w:noHBand="0" w:noVBand="1"/>
      </w:tblPr>
      <w:tblGrid>
        <w:gridCol w:w="1209"/>
        <w:gridCol w:w="4031"/>
        <w:gridCol w:w="745"/>
        <w:gridCol w:w="3031"/>
      </w:tblGrid>
      <w:tr w:rsidR="00A57792" w14:paraId="17168A6D" w14:textId="77777777" w:rsidTr="00DC0645">
        <w:trPr>
          <w:cantSplit/>
          <w:tblHeader/>
        </w:trPr>
        <w:tc>
          <w:tcPr>
            <w:tcW w:w="1209" w:type="dxa"/>
            <w:shd w:val="clear" w:color="auto" w:fill="767171" w:themeFill="background2" w:themeFillShade="80"/>
          </w:tcPr>
          <w:p w14:paraId="5CCCEEBF" w14:textId="77777777" w:rsidR="00A57792" w:rsidRPr="00926E74" w:rsidRDefault="00A57792" w:rsidP="00DC0645">
            <w:pPr>
              <w:rPr>
                <w:color w:val="FFFFFF" w:themeColor="background1"/>
                <w:sz w:val="18"/>
                <w:szCs w:val="18"/>
              </w:rPr>
            </w:pPr>
            <w:r>
              <w:rPr>
                <w:color w:val="FFFFFF" w:themeColor="background1"/>
                <w:sz w:val="18"/>
                <w:szCs w:val="18"/>
              </w:rPr>
              <w:t>Category</w:t>
            </w:r>
          </w:p>
        </w:tc>
        <w:tc>
          <w:tcPr>
            <w:tcW w:w="4031" w:type="dxa"/>
            <w:shd w:val="clear" w:color="auto" w:fill="767171" w:themeFill="background2" w:themeFillShade="80"/>
          </w:tcPr>
          <w:p w14:paraId="3CF001F5" w14:textId="77777777" w:rsidR="00A57792" w:rsidRPr="00926E74" w:rsidRDefault="00A57792" w:rsidP="00DC0645">
            <w:pPr>
              <w:rPr>
                <w:color w:val="FFFFFF" w:themeColor="background1"/>
                <w:sz w:val="18"/>
                <w:szCs w:val="18"/>
              </w:rPr>
            </w:pPr>
            <w:r>
              <w:rPr>
                <w:color w:val="FFFFFF" w:themeColor="background1"/>
                <w:sz w:val="18"/>
                <w:szCs w:val="18"/>
              </w:rPr>
              <w:t>Risk / Issue</w:t>
            </w:r>
          </w:p>
        </w:tc>
        <w:tc>
          <w:tcPr>
            <w:tcW w:w="745" w:type="dxa"/>
            <w:shd w:val="clear" w:color="auto" w:fill="767171" w:themeFill="background2" w:themeFillShade="80"/>
          </w:tcPr>
          <w:p w14:paraId="5E87F569" w14:textId="77777777" w:rsidR="00A57792" w:rsidRPr="00926E74" w:rsidRDefault="00A57792" w:rsidP="00DC0645">
            <w:pPr>
              <w:ind w:left="-23"/>
              <w:jc w:val="center"/>
              <w:rPr>
                <w:color w:val="FFFFFF" w:themeColor="background1"/>
                <w:sz w:val="18"/>
                <w:szCs w:val="18"/>
              </w:rPr>
            </w:pPr>
            <w:r w:rsidRPr="00926E74">
              <w:rPr>
                <w:color w:val="FFFFFF" w:themeColor="background1"/>
                <w:sz w:val="18"/>
                <w:szCs w:val="18"/>
              </w:rPr>
              <w:t>RAG</w:t>
            </w:r>
          </w:p>
        </w:tc>
        <w:tc>
          <w:tcPr>
            <w:tcW w:w="3031" w:type="dxa"/>
            <w:shd w:val="clear" w:color="auto" w:fill="767171" w:themeFill="background2" w:themeFillShade="80"/>
          </w:tcPr>
          <w:p w14:paraId="20DE9C15" w14:textId="77777777" w:rsidR="00A57792" w:rsidRPr="00926E74" w:rsidRDefault="00A57792" w:rsidP="00DC0645">
            <w:pPr>
              <w:ind w:left="-23"/>
              <w:jc w:val="center"/>
              <w:rPr>
                <w:color w:val="FFFFFF" w:themeColor="background1"/>
                <w:sz w:val="18"/>
                <w:szCs w:val="18"/>
              </w:rPr>
            </w:pPr>
            <w:r>
              <w:rPr>
                <w:color w:val="FFFFFF" w:themeColor="background1"/>
                <w:sz w:val="18"/>
                <w:szCs w:val="18"/>
              </w:rPr>
              <w:t>Mitigation</w:t>
            </w:r>
          </w:p>
        </w:tc>
      </w:tr>
      <w:tr w:rsidR="00FB0731" w14:paraId="70DC3479" w14:textId="77777777" w:rsidTr="00FB0731">
        <w:trPr>
          <w:cantSplit/>
        </w:trPr>
        <w:tc>
          <w:tcPr>
            <w:tcW w:w="1209" w:type="dxa"/>
          </w:tcPr>
          <w:p w14:paraId="6BD6DCAA" w14:textId="4C62764B" w:rsidR="00FB0731" w:rsidRPr="00980063" w:rsidRDefault="00FB0731" w:rsidP="00FB0731">
            <w:pPr>
              <w:pStyle w:val="ListParagraph"/>
              <w:spacing w:before="0" w:line="240" w:lineRule="auto"/>
              <w:ind w:left="29"/>
              <w:rPr>
                <w:rFonts w:asciiTheme="minorHAnsi" w:hAnsiTheme="minorHAnsi"/>
                <w:sz w:val="18"/>
                <w:szCs w:val="18"/>
              </w:rPr>
            </w:pPr>
            <w:r w:rsidRPr="00980063">
              <w:rPr>
                <w:rFonts w:asciiTheme="minorHAnsi" w:hAnsiTheme="minorHAnsi"/>
                <w:sz w:val="18"/>
                <w:szCs w:val="18"/>
              </w:rPr>
              <w:t>Quality &amp; Safety</w:t>
            </w:r>
          </w:p>
        </w:tc>
        <w:tc>
          <w:tcPr>
            <w:tcW w:w="4031" w:type="dxa"/>
          </w:tcPr>
          <w:p w14:paraId="2CDC5A93" w14:textId="6033AB54" w:rsidR="00FB0731" w:rsidRDefault="00FB0731" w:rsidP="00FB0731">
            <w:pPr>
              <w:rPr>
                <w:sz w:val="18"/>
                <w:szCs w:val="18"/>
              </w:rPr>
            </w:pPr>
            <w:r>
              <w:rPr>
                <w:sz w:val="18"/>
                <w:szCs w:val="18"/>
              </w:rPr>
              <w:t>Patients (children) may still attend local A&amp;E departments with problems that require emergency surgery.  If there is no surgical service on that site for that time, patients may be required to be transferred between local and tertiary sites.</w:t>
            </w:r>
          </w:p>
        </w:tc>
        <w:tc>
          <w:tcPr>
            <w:tcW w:w="745" w:type="dxa"/>
            <w:shd w:val="clear" w:color="auto" w:fill="FFC000"/>
          </w:tcPr>
          <w:p w14:paraId="1C8B73C6" w14:textId="39409247" w:rsidR="00FB0731" w:rsidRDefault="00FB0731" w:rsidP="00FB0731">
            <w:pPr>
              <w:ind w:left="34"/>
              <w:jc w:val="center"/>
              <w:rPr>
                <w:sz w:val="18"/>
                <w:szCs w:val="18"/>
              </w:rPr>
            </w:pPr>
            <w:r>
              <w:rPr>
                <w:sz w:val="18"/>
                <w:szCs w:val="18"/>
              </w:rPr>
              <w:t>Amber</w:t>
            </w:r>
          </w:p>
        </w:tc>
        <w:tc>
          <w:tcPr>
            <w:tcW w:w="3031" w:type="dxa"/>
            <w:shd w:val="clear" w:color="auto" w:fill="auto"/>
          </w:tcPr>
          <w:p w14:paraId="7D3882AF" w14:textId="77777777" w:rsidR="00FB0731" w:rsidRDefault="00FB0731" w:rsidP="00FB0731">
            <w:pPr>
              <w:rPr>
                <w:sz w:val="18"/>
                <w:szCs w:val="18"/>
              </w:rPr>
            </w:pPr>
            <w:r>
              <w:rPr>
                <w:sz w:val="18"/>
                <w:szCs w:val="18"/>
              </w:rPr>
              <w:t>Establish protocol to ensure that ambulances take presenting children to the relevant tertiary centre if it is likely they may require surgery.</w:t>
            </w:r>
          </w:p>
          <w:p w14:paraId="7BFA6C0E" w14:textId="77777777" w:rsidR="00FB0731" w:rsidRDefault="00FB0731" w:rsidP="00FB0731">
            <w:pPr>
              <w:rPr>
                <w:sz w:val="18"/>
                <w:szCs w:val="18"/>
              </w:rPr>
            </w:pPr>
          </w:p>
          <w:p w14:paraId="2CE53983" w14:textId="51105849" w:rsidR="00FB0731" w:rsidRDefault="00FB0731" w:rsidP="00FB0731">
            <w:pPr>
              <w:rPr>
                <w:sz w:val="18"/>
                <w:szCs w:val="18"/>
              </w:rPr>
            </w:pPr>
            <w:r>
              <w:rPr>
                <w:sz w:val="18"/>
                <w:szCs w:val="18"/>
              </w:rPr>
              <w:t>For those patients who do not have obvious symptoms a protocol will be require to transfer them to the appropriate site if required.</w:t>
            </w:r>
          </w:p>
        </w:tc>
      </w:tr>
      <w:tr w:rsidR="00FB0731" w14:paraId="2316112E" w14:textId="77777777" w:rsidTr="005B3E9E">
        <w:trPr>
          <w:cantSplit/>
        </w:trPr>
        <w:tc>
          <w:tcPr>
            <w:tcW w:w="1209" w:type="dxa"/>
          </w:tcPr>
          <w:p w14:paraId="476656E5" w14:textId="2DCB3A80" w:rsidR="00FB0731" w:rsidRPr="00980063" w:rsidRDefault="00FB0731" w:rsidP="00FB0731">
            <w:pPr>
              <w:pStyle w:val="ListParagraph"/>
              <w:spacing w:before="0" w:line="240" w:lineRule="auto"/>
              <w:ind w:left="29"/>
              <w:rPr>
                <w:rFonts w:asciiTheme="minorHAnsi" w:hAnsiTheme="minorHAnsi"/>
                <w:sz w:val="18"/>
                <w:szCs w:val="18"/>
              </w:rPr>
            </w:pPr>
            <w:r w:rsidRPr="00980063">
              <w:rPr>
                <w:rFonts w:asciiTheme="minorHAnsi" w:hAnsiTheme="minorHAnsi"/>
                <w:sz w:val="18"/>
                <w:szCs w:val="18"/>
              </w:rPr>
              <w:t>Quality &amp; Safety</w:t>
            </w:r>
          </w:p>
        </w:tc>
        <w:tc>
          <w:tcPr>
            <w:tcW w:w="4031" w:type="dxa"/>
          </w:tcPr>
          <w:p w14:paraId="65FE5288" w14:textId="2D491F50" w:rsidR="00FB0731" w:rsidRDefault="00FB0731" w:rsidP="00FB0731">
            <w:pPr>
              <w:rPr>
                <w:sz w:val="18"/>
                <w:szCs w:val="18"/>
              </w:rPr>
            </w:pPr>
            <w:r>
              <w:rPr>
                <w:sz w:val="18"/>
                <w:szCs w:val="18"/>
              </w:rPr>
              <w:t>Rotation of surgeons may still present risks if the Anaesthetic and theatre teams do not work regularly with children.</w:t>
            </w:r>
          </w:p>
        </w:tc>
        <w:tc>
          <w:tcPr>
            <w:tcW w:w="745" w:type="dxa"/>
            <w:shd w:val="clear" w:color="auto" w:fill="FF0000"/>
          </w:tcPr>
          <w:p w14:paraId="68B11A99" w14:textId="7A2CFA56" w:rsidR="00FB0731" w:rsidRPr="005368F5" w:rsidRDefault="00FB0731" w:rsidP="00FB0731">
            <w:pPr>
              <w:ind w:left="34"/>
              <w:jc w:val="center"/>
              <w:rPr>
                <w:sz w:val="18"/>
                <w:szCs w:val="18"/>
              </w:rPr>
            </w:pPr>
            <w:r>
              <w:rPr>
                <w:sz w:val="18"/>
                <w:szCs w:val="18"/>
              </w:rPr>
              <w:t>Red</w:t>
            </w:r>
          </w:p>
        </w:tc>
        <w:tc>
          <w:tcPr>
            <w:tcW w:w="3031" w:type="dxa"/>
            <w:shd w:val="clear" w:color="auto" w:fill="auto"/>
          </w:tcPr>
          <w:p w14:paraId="6D564EB3" w14:textId="74D303F4" w:rsidR="00FB0731" w:rsidRPr="005368F5" w:rsidRDefault="00FB0731" w:rsidP="00FB0731">
            <w:pPr>
              <w:rPr>
                <w:sz w:val="18"/>
                <w:szCs w:val="18"/>
              </w:rPr>
            </w:pPr>
            <w:r>
              <w:rPr>
                <w:sz w:val="18"/>
                <w:szCs w:val="18"/>
              </w:rPr>
              <w:t xml:space="preserve">Rotate the whole surgical team as a joint team (including Anaesthetists, ODPs, </w:t>
            </w:r>
            <w:proofErr w:type="gramStart"/>
            <w:r>
              <w:rPr>
                <w:sz w:val="18"/>
                <w:szCs w:val="18"/>
              </w:rPr>
              <w:t>scrub</w:t>
            </w:r>
            <w:proofErr w:type="gramEnd"/>
            <w:r>
              <w:rPr>
                <w:sz w:val="18"/>
                <w:szCs w:val="18"/>
              </w:rPr>
              <w:t xml:space="preserve"> team and recovery staff).</w:t>
            </w:r>
          </w:p>
        </w:tc>
      </w:tr>
      <w:tr w:rsidR="00FB0731" w14:paraId="60F45656" w14:textId="77777777" w:rsidTr="005B3E9E">
        <w:trPr>
          <w:cantSplit/>
        </w:trPr>
        <w:tc>
          <w:tcPr>
            <w:tcW w:w="1209" w:type="dxa"/>
          </w:tcPr>
          <w:p w14:paraId="6994B8B7" w14:textId="722B12D1" w:rsidR="00FB0731" w:rsidRDefault="00FB0731" w:rsidP="00FB0731">
            <w:pPr>
              <w:pStyle w:val="ListParagraph"/>
              <w:spacing w:before="0" w:line="240" w:lineRule="auto"/>
              <w:ind w:left="29"/>
              <w:rPr>
                <w:rFonts w:asciiTheme="minorHAnsi" w:hAnsiTheme="minorHAnsi"/>
                <w:sz w:val="18"/>
                <w:szCs w:val="18"/>
              </w:rPr>
            </w:pPr>
            <w:r>
              <w:rPr>
                <w:rFonts w:asciiTheme="minorHAnsi" w:hAnsiTheme="minorHAnsi"/>
                <w:sz w:val="18"/>
                <w:szCs w:val="18"/>
              </w:rPr>
              <w:t>Quality &amp; Safety</w:t>
            </w:r>
          </w:p>
        </w:tc>
        <w:tc>
          <w:tcPr>
            <w:tcW w:w="4031" w:type="dxa"/>
          </w:tcPr>
          <w:p w14:paraId="097F255E" w14:textId="4EE0BD9B" w:rsidR="00FB0731" w:rsidRPr="00926E74" w:rsidRDefault="00FB0731" w:rsidP="00FB0731">
            <w:pPr>
              <w:rPr>
                <w:sz w:val="18"/>
                <w:szCs w:val="18"/>
              </w:rPr>
            </w:pPr>
            <w:r>
              <w:rPr>
                <w:sz w:val="18"/>
                <w:szCs w:val="18"/>
              </w:rPr>
              <w:t>Ward staff may not see sufficient children to maintain their skills if the service rotates between both sites.</w:t>
            </w:r>
          </w:p>
        </w:tc>
        <w:tc>
          <w:tcPr>
            <w:tcW w:w="745" w:type="dxa"/>
            <w:shd w:val="clear" w:color="auto" w:fill="FF0000"/>
          </w:tcPr>
          <w:p w14:paraId="6DC9354D" w14:textId="6BE5D625" w:rsidR="00FB0731" w:rsidRDefault="00FB0731" w:rsidP="00FB0731">
            <w:pPr>
              <w:ind w:left="34"/>
              <w:jc w:val="center"/>
              <w:rPr>
                <w:sz w:val="18"/>
                <w:szCs w:val="18"/>
              </w:rPr>
            </w:pPr>
            <w:r>
              <w:rPr>
                <w:sz w:val="18"/>
                <w:szCs w:val="18"/>
              </w:rPr>
              <w:t>Red</w:t>
            </w:r>
          </w:p>
        </w:tc>
        <w:tc>
          <w:tcPr>
            <w:tcW w:w="3031" w:type="dxa"/>
            <w:shd w:val="clear" w:color="auto" w:fill="auto"/>
          </w:tcPr>
          <w:p w14:paraId="5B0EC6FA" w14:textId="5A81B167" w:rsidR="00FB0731" w:rsidRPr="005368F5" w:rsidRDefault="00FB0731" w:rsidP="00FB0731">
            <w:pPr>
              <w:ind w:left="-2"/>
              <w:rPr>
                <w:sz w:val="18"/>
                <w:szCs w:val="18"/>
              </w:rPr>
            </w:pPr>
            <w:r>
              <w:rPr>
                <w:sz w:val="18"/>
                <w:szCs w:val="18"/>
              </w:rPr>
              <w:t>Consider rotating a specialist paediatric matron with post-operative experience to support the ward staff with regular training and oversight.</w:t>
            </w:r>
          </w:p>
        </w:tc>
      </w:tr>
      <w:tr w:rsidR="00FB0731" w14:paraId="123A3305" w14:textId="77777777" w:rsidTr="009430AF">
        <w:trPr>
          <w:cantSplit/>
        </w:trPr>
        <w:tc>
          <w:tcPr>
            <w:tcW w:w="1209" w:type="dxa"/>
          </w:tcPr>
          <w:p w14:paraId="45EB933D" w14:textId="3FC3AA09" w:rsidR="00FB0731" w:rsidRDefault="00FB0731" w:rsidP="00FB0731">
            <w:pPr>
              <w:pStyle w:val="ListParagraph"/>
              <w:spacing w:before="0" w:line="240" w:lineRule="auto"/>
              <w:ind w:left="29"/>
              <w:rPr>
                <w:rFonts w:asciiTheme="minorHAnsi" w:hAnsiTheme="minorHAnsi"/>
                <w:sz w:val="18"/>
                <w:szCs w:val="18"/>
              </w:rPr>
            </w:pPr>
            <w:r>
              <w:rPr>
                <w:rFonts w:asciiTheme="minorHAnsi" w:hAnsiTheme="minorHAnsi"/>
                <w:sz w:val="18"/>
                <w:szCs w:val="18"/>
              </w:rPr>
              <w:t>Deliverability</w:t>
            </w:r>
          </w:p>
        </w:tc>
        <w:tc>
          <w:tcPr>
            <w:tcW w:w="4031" w:type="dxa"/>
          </w:tcPr>
          <w:p w14:paraId="797C703C" w14:textId="4E1240C7" w:rsidR="00FB0731" w:rsidRDefault="00FB0731" w:rsidP="00FB0731">
            <w:pPr>
              <w:rPr>
                <w:sz w:val="18"/>
                <w:szCs w:val="18"/>
              </w:rPr>
            </w:pPr>
            <w:r>
              <w:rPr>
                <w:sz w:val="18"/>
                <w:szCs w:val="18"/>
              </w:rPr>
              <w:t>Rotating across sites is not attractive to staff, and this may impact negatively on morale.</w:t>
            </w:r>
          </w:p>
        </w:tc>
        <w:tc>
          <w:tcPr>
            <w:tcW w:w="745" w:type="dxa"/>
            <w:shd w:val="clear" w:color="auto" w:fill="FFC000"/>
          </w:tcPr>
          <w:p w14:paraId="35EAAF46" w14:textId="54610984" w:rsidR="00FB0731" w:rsidRDefault="00FB0731" w:rsidP="00FB0731">
            <w:pPr>
              <w:ind w:left="34"/>
              <w:jc w:val="center"/>
              <w:rPr>
                <w:sz w:val="18"/>
                <w:szCs w:val="18"/>
              </w:rPr>
            </w:pPr>
            <w:r>
              <w:rPr>
                <w:sz w:val="18"/>
                <w:szCs w:val="18"/>
              </w:rPr>
              <w:t>Amber</w:t>
            </w:r>
          </w:p>
        </w:tc>
        <w:tc>
          <w:tcPr>
            <w:tcW w:w="3031" w:type="dxa"/>
            <w:shd w:val="clear" w:color="auto" w:fill="auto"/>
          </w:tcPr>
          <w:p w14:paraId="0752E57A" w14:textId="0882F94A" w:rsidR="00FB0731" w:rsidRDefault="00FB0731" w:rsidP="00FB0731">
            <w:pPr>
              <w:ind w:left="-2"/>
              <w:rPr>
                <w:sz w:val="18"/>
                <w:szCs w:val="18"/>
              </w:rPr>
            </w:pPr>
            <w:r>
              <w:rPr>
                <w:sz w:val="18"/>
                <w:szCs w:val="18"/>
              </w:rPr>
              <w:t>Staff could be incentivised to move within the service with travel contributions.</w:t>
            </w:r>
          </w:p>
        </w:tc>
      </w:tr>
      <w:tr w:rsidR="00FB0731" w14:paraId="4BF4F141" w14:textId="77777777" w:rsidTr="000E7D93">
        <w:trPr>
          <w:cantSplit/>
        </w:trPr>
        <w:tc>
          <w:tcPr>
            <w:tcW w:w="1209" w:type="dxa"/>
          </w:tcPr>
          <w:p w14:paraId="56F99C44" w14:textId="0ED82EA5" w:rsidR="00FB0731" w:rsidRDefault="00FB0731" w:rsidP="00FB0731">
            <w:pPr>
              <w:pStyle w:val="ListParagraph"/>
              <w:spacing w:before="0" w:line="240" w:lineRule="auto"/>
              <w:ind w:left="29"/>
              <w:rPr>
                <w:rFonts w:asciiTheme="minorHAnsi" w:hAnsiTheme="minorHAnsi"/>
                <w:sz w:val="18"/>
                <w:szCs w:val="18"/>
              </w:rPr>
            </w:pPr>
            <w:r>
              <w:rPr>
                <w:rFonts w:asciiTheme="minorHAnsi" w:hAnsiTheme="minorHAnsi"/>
                <w:sz w:val="18"/>
                <w:szCs w:val="18"/>
              </w:rPr>
              <w:t>Deliverability</w:t>
            </w:r>
          </w:p>
        </w:tc>
        <w:tc>
          <w:tcPr>
            <w:tcW w:w="4031" w:type="dxa"/>
          </w:tcPr>
          <w:p w14:paraId="40ECAF80" w14:textId="692C4070" w:rsidR="00FB0731" w:rsidRDefault="00FB0731" w:rsidP="00FB0731">
            <w:pPr>
              <w:rPr>
                <w:sz w:val="18"/>
                <w:szCs w:val="18"/>
              </w:rPr>
            </w:pPr>
            <w:r>
              <w:rPr>
                <w:sz w:val="18"/>
                <w:szCs w:val="18"/>
              </w:rPr>
              <w:t>Rotating across sites may compromise on call rotas and reduce the ability to offer a comprehensive service.  This has already been raised by the ENT service as being unsustainable.</w:t>
            </w:r>
          </w:p>
        </w:tc>
        <w:tc>
          <w:tcPr>
            <w:tcW w:w="745" w:type="dxa"/>
            <w:shd w:val="clear" w:color="auto" w:fill="FF0000"/>
          </w:tcPr>
          <w:p w14:paraId="53159053" w14:textId="2E400E19" w:rsidR="00FB0731" w:rsidRDefault="00FB0731" w:rsidP="00FB0731">
            <w:pPr>
              <w:ind w:left="34"/>
              <w:jc w:val="center"/>
              <w:rPr>
                <w:sz w:val="18"/>
                <w:szCs w:val="18"/>
              </w:rPr>
            </w:pPr>
            <w:r>
              <w:rPr>
                <w:sz w:val="18"/>
                <w:szCs w:val="18"/>
              </w:rPr>
              <w:t>Red</w:t>
            </w:r>
          </w:p>
        </w:tc>
        <w:tc>
          <w:tcPr>
            <w:tcW w:w="3031" w:type="dxa"/>
            <w:shd w:val="clear" w:color="auto" w:fill="auto"/>
          </w:tcPr>
          <w:p w14:paraId="7D4E9D49" w14:textId="509CB0BC" w:rsidR="00FB0731" w:rsidRDefault="00FB0731" w:rsidP="00FB0731">
            <w:pPr>
              <w:ind w:left="-2"/>
              <w:rPr>
                <w:sz w:val="18"/>
                <w:szCs w:val="18"/>
              </w:rPr>
            </w:pPr>
            <w:r>
              <w:rPr>
                <w:sz w:val="18"/>
                <w:szCs w:val="18"/>
              </w:rPr>
              <w:t>Anaesthetists and Paediatricians could take responsibility for post-operative patients.  If there are complications the joint rotational team could be available on the telephone or travel to the relevant site if required.</w:t>
            </w:r>
          </w:p>
        </w:tc>
      </w:tr>
    </w:tbl>
    <w:p w14:paraId="4E57A63D" w14:textId="77777777" w:rsidR="001B1F57" w:rsidRDefault="001B1F57" w:rsidP="00760E1C">
      <w:pPr>
        <w:pStyle w:val="Heading2"/>
      </w:pPr>
    </w:p>
    <w:p w14:paraId="64EDFC59" w14:textId="68ABCF36" w:rsidR="00A57792" w:rsidRDefault="005777ED" w:rsidP="00760E1C">
      <w:pPr>
        <w:pStyle w:val="Heading2"/>
      </w:pPr>
      <w:bookmarkStart w:id="22" w:name="_Toc388275369"/>
      <w:r>
        <w:t>6</w:t>
      </w:r>
      <w:r w:rsidR="00760E1C">
        <w:t>.3 Benefits</w:t>
      </w:r>
      <w:bookmarkEnd w:id="22"/>
      <w:r w:rsidR="00EB094A">
        <w:t xml:space="preserve"> </w:t>
      </w:r>
    </w:p>
    <w:p w14:paraId="18F6DA5F" w14:textId="77777777" w:rsidR="00A57792" w:rsidRDefault="00A57792" w:rsidP="00A57792">
      <w:r>
        <w:t>Benefits of this option are shown below:</w:t>
      </w:r>
    </w:p>
    <w:p w14:paraId="5124218A" w14:textId="04CB394F" w:rsidR="00A57792" w:rsidRPr="0097530C" w:rsidRDefault="002738DC" w:rsidP="0097530C">
      <w:pPr>
        <w:pStyle w:val="Heading4"/>
      </w:pPr>
      <w:r w:rsidRPr="0097530C">
        <w:t xml:space="preserve">Table </w:t>
      </w:r>
      <w:r w:rsidR="005777ED">
        <w:t>13</w:t>
      </w:r>
      <w:r w:rsidR="00A57792" w:rsidRPr="0097530C">
        <w:t xml:space="preserve"> – Benefits of option </w:t>
      </w:r>
      <w:r w:rsidR="004D2797">
        <w:t>2</w:t>
      </w:r>
      <w:r w:rsidR="00A57792" w:rsidRPr="0097530C">
        <w:t xml:space="preserve"> (</w:t>
      </w:r>
      <w:r w:rsidR="001B1F57">
        <w:t>rotation of consultants between both sites</w:t>
      </w:r>
      <w:r w:rsidR="00A57792" w:rsidRPr="0097530C">
        <w:t>)</w:t>
      </w:r>
    </w:p>
    <w:tbl>
      <w:tblPr>
        <w:tblStyle w:val="TableGrid"/>
        <w:tblW w:w="9067" w:type="dxa"/>
        <w:tblLook w:val="04A0" w:firstRow="1" w:lastRow="0" w:firstColumn="1" w:lastColumn="0" w:noHBand="0" w:noVBand="1"/>
      </w:tblPr>
      <w:tblGrid>
        <w:gridCol w:w="1413"/>
        <w:gridCol w:w="7654"/>
      </w:tblGrid>
      <w:tr w:rsidR="00A57792" w:rsidRPr="00926E74" w14:paraId="722CAC66" w14:textId="77777777" w:rsidTr="009E6EEB">
        <w:trPr>
          <w:cantSplit/>
          <w:tblHeader/>
        </w:trPr>
        <w:tc>
          <w:tcPr>
            <w:tcW w:w="1413" w:type="dxa"/>
            <w:shd w:val="clear" w:color="auto" w:fill="767171" w:themeFill="background2" w:themeFillShade="80"/>
          </w:tcPr>
          <w:p w14:paraId="7227795B" w14:textId="77777777" w:rsidR="00A57792" w:rsidRPr="00926E74" w:rsidRDefault="00A57792" w:rsidP="00DC0645">
            <w:pPr>
              <w:rPr>
                <w:color w:val="FFFFFF" w:themeColor="background1"/>
                <w:sz w:val="18"/>
                <w:szCs w:val="18"/>
              </w:rPr>
            </w:pPr>
            <w:r>
              <w:rPr>
                <w:color w:val="FFFFFF" w:themeColor="background1"/>
                <w:sz w:val="18"/>
                <w:szCs w:val="18"/>
              </w:rPr>
              <w:t>Category</w:t>
            </w:r>
          </w:p>
        </w:tc>
        <w:tc>
          <w:tcPr>
            <w:tcW w:w="7654" w:type="dxa"/>
            <w:shd w:val="clear" w:color="auto" w:fill="767171" w:themeFill="background2" w:themeFillShade="80"/>
          </w:tcPr>
          <w:p w14:paraId="6F678A2C" w14:textId="77777777" w:rsidR="00A57792" w:rsidRPr="00926E74" w:rsidRDefault="00A57792" w:rsidP="00DC0645">
            <w:pPr>
              <w:rPr>
                <w:color w:val="FFFFFF" w:themeColor="background1"/>
                <w:sz w:val="18"/>
                <w:szCs w:val="18"/>
              </w:rPr>
            </w:pPr>
            <w:r>
              <w:rPr>
                <w:color w:val="FFFFFF" w:themeColor="background1"/>
                <w:sz w:val="18"/>
                <w:szCs w:val="18"/>
              </w:rPr>
              <w:t>Benefit</w:t>
            </w:r>
          </w:p>
        </w:tc>
      </w:tr>
      <w:tr w:rsidR="004D2797" w:rsidRPr="00926E74" w14:paraId="478202FD" w14:textId="77777777" w:rsidTr="009E6EEB">
        <w:trPr>
          <w:cantSplit/>
        </w:trPr>
        <w:tc>
          <w:tcPr>
            <w:tcW w:w="1413" w:type="dxa"/>
          </w:tcPr>
          <w:p w14:paraId="36DEACFB" w14:textId="4D059967" w:rsidR="004D2797" w:rsidRPr="00BE3329" w:rsidRDefault="009430AF" w:rsidP="004D2797">
            <w:pPr>
              <w:rPr>
                <w:sz w:val="18"/>
                <w:szCs w:val="18"/>
              </w:rPr>
            </w:pPr>
            <w:r>
              <w:rPr>
                <w:sz w:val="18"/>
                <w:szCs w:val="18"/>
              </w:rPr>
              <w:t>Quality &amp; safety</w:t>
            </w:r>
          </w:p>
        </w:tc>
        <w:tc>
          <w:tcPr>
            <w:tcW w:w="7654" w:type="dxa"/>
          </w:tcPr>
          <w:p w14:paraId="179EF0A1" w14:textId="2634F7A3" w:rsidR="004D2797" w:rsidRPr="00926E74" w:rsidRDefault="009430AF" w:rsidP="004D2797">
            <w:pPr>
              <w:rPr>
                <w:sz w:val="18"/>
                <w:szCs w:val="18"/>
              </w:rPr>
            </w:pPr>
            <w:r>
              <w:rPr>
                <w:sz w:val="18"/>
                <w:szCs w:val="18"/>
              </w:rPr>
              <w:t xml:space="preserve">Provider clinicians suggest that this would address the quality issues with volumes of surgery for the </w:t>
            </w:r>
            <w:r w:rsidR="000B5E0C">
              <w:rPr>
                <w:sz w:val="18"/>
                <w:szCs w:val="18"/>
              </w:rPr>
              <w:t>specialties that are currently below the recommended volume to achieve a safe service.</w:t>
            </w:r>
          </w:p>
        </w:tc>
      </w:tr>
      <w:tr w:rsidR="009430AF" w:rsidRPr="00926E74" w14:paraId="4B274A63" w14:textId="77777777" w:rsidTr="009E6EEB">
        <w:trPr>
          <w:cantSplit/>
        </w:trPr>
        <w:tc>
          <w:tcPr>
            <w:tcW w:w="1413" w:type="dxa"/>
          </w:tcPr>
          <w:p w14:paraId="31D6C7A9" w14:textId="204BA470" w:rsidR="009430AF" w:rsidRDefault="009430AF" w:rsidP="009430AF">
            <w:pPr>
              <w:rPr>
                <w:sz w:val="18"/>
                <w:szCs w:val="18"/>
              </w:rPr>
            </w:pPr>
            <w:r>
              <w:rPr>
                <w:sz w:val="18"/>
                <w:szCs w:val="18"/>
              </w:rPr>
              <w:t>Access</w:t>
            </w:r>
          </w:p>
        </w:tc>
        <w:tc>
          <w:tcPr>
            <w:tcW w:w="7654" w:type="dxa"/>
          </w:tcPr>
          <w:p w14:paraId="17B66401" w14:textId="10F01E2E" w:rsidR="009430AF" w:rsidRDefault="009430AF" w:rsidP="009430AF">
            <w:pPr>
              <w:rPr>
                <w:sz w:val="18"/>
                <w:szCs w:val="18"/>
              </w:rPr>
            </w:pPr>
            <w:r>
              <w:rPr>
                <w:sz w:val="18"/>
                <w:szCs w:val="18"/>
              </w:rPr>
              <w:t>This will still provide the surgical service at both sites which will be more acceptable for patients.</w:t>
            </w:r>
          </w:p>
        </w:tc>
      </w:tr>
    </w:tbl>
    <w:p w14:paraId="6B3E8F11" w14:textId="77777777" w:rsidR="00A57792" w:rsidRDefault="00A57792" w:rsidP="00A57792"/>
    <w:p w14:paraId="5A0362C1" w14:textId="078E5348" w:rsidR="00566A1D" w:rsidRDefault="005777ED" w:rsidP="00566A1D">
      <w:pPr>
        <w:pStyle w:val="Heading2"/>
      </w:pPr>
      <w:bookmarkStart w:id="23" w:name="_Toc388275370"/>
      <w:r>
        <w:lastRenderedPageBreak/>
        <w:t>6</w:t>
      </w:r>
      <w:r w:rsidR="00566A1D">
        <w:t>.4 Equality Impact Assessment</w:t>
      </w:r>
      <w:bookmarkEnd w:id="23"/>
    </w:p>
    <w:p w14:paraId="4EF06F63" w14:textId="77777777" w:rsidR="00566A1D" w:rsidRDefault="009D6002" w:rsidP="00566A1D">
      <w:r>
        <w:t>The impact on people with protected characteristics can be seen below:</w:t>
      </w:r>
    </w:p>
    <w:p w14:paraId="7C52AF29" w14:textId="327521F8" w:rsidR="000B5E0C" w:rsidRDefault="005777ED" w:rsidP="005777ED">
      <w:pPr>
        <w:pStyle w:val="Heading4"/>
      </w:pPr>
      <w:r>
        <w:t>Table 14</w:t>
      </w:r>
      <w:r w:rsidR="009D6002" w:rsidRPr="001B1F57">
        <w:t xml:space="preserve"> – Assessment of the impact on people with protected characteristics </w:t>
      </w:r>
    </w:p>
    <w:tbl>
      <w:tblPr>
        <w:tblStyle w:val="TableGrid"/>
        <w:tblW w:w="9067" w:type="dxa"/>
        <w:tblLook w:val="04A0" w:firstRow="1" w:lastRow="0" w:firstColumn="1" w:lastColumn="0" w:noHBand="0" w:noVBand="1"/>
      </w:tblPr>
      <w:tblGrid>
        <w:gridCol w:w="1413"/>
        <w:gridCol w:w="992"/>
        <w:gridCol w:w="6662"/>
      </w:tblGrid>
      <w:tr w:rsidR="005777ED" w:rsidRPr="00283C04" w14:paraId="08394303" w14:textId="77777777" w:rsidTr="0076385F">
        <w:tc>
          <w:tcPr>
            <w:tcW w:w="1413" w:type="dxa"/>
            <w:shd w:val="clear" w:color="auto" w:fill="767171" w:themeFill="background2" w:themeFillShade="80"/>
          </w:tcPr>
          <w:p w14:paraId="6731B425" w14:textId="5B5A9CD9" w:rsidR="005777ED" w:rsidRPr="00283C04" w:rsidRDefault="000B5E0C" w:rsidP="0076385F">
            <w:pPr>
              <w:rPr>
                <w:color w:val="FFFFFF" w:themeColor="background1"/>
                <w:sz w:val="18"/>
                <w:szCs w:val="18"/>
              </w:rPr>
            </w:pPr>
            <w:r>
              <w:br w:type="page"/>
            </w:r>
            <w:r w:rsidR="005777ED" w:rsidRPr="00283C04">
              <w:rPr>
                <w:color w:val="FFFFFF" w:themeColor="background1"/>
                <w:sz w:val="18"/>
                <w:szCs w:val="18"/>
              </w:rPr>
              <w:t>Protected characteristic</w:t>
            </w:r>
          </w:p>
        </w:tc>
        <w:tc>
          <w:tcPr>
            <w:tcW w:w="992" w:type="dxa"/>
            <w:shd w:val="clear" w:color="auto" w:fill="767171" w:themeFill="background2" w:themeFillShade="80"/>
          </w:tcPr>
          <w:p w14:paraId="78D8D950" w14:textId="77777777" w:rsidR="005777ED" w:rsidRPr="00283C04" w:rsidRDefault="005777ED" w:rsidP="0076385F">
            <w:pPr>
              <w:jc w:val="center"/>
              <w:rPr>
                <w:color w:val="FFFFFF" w:themeColor="background1"/>
                <w:sz w:val="18"/>
                <w:szCs w:val="18"/>
              </w:rPr>
            </w:pPr>
            <w:r w:rsidRPr="00283C04">
              <w:rPr>
                <w:color w:val="FFFFFF" w:themeColor="background1"/>
                <w:sz w:val="18"/>
                <w:szCs w:val="18"/>
              </w:rPr>
              <w:t>Impact</w:t>
            </w:r>
          </w:p>
        </w:tc>
        <w:tc>
          <w:tcPr>
            <w:tcW w:w="6662" w:type="dxa"/>
            <w:shd w:val="clear" w:color="auto" w:fill="767171" w:themeFill="background2" w:themeFillShade="80"/>
          </w:tcPr>
          <w:p w14:paraId="3215C527" w14:textId="77777777" w:rsidR="005777ED" w:rsidRPr="00283C04" w:rsidRDefault="005777ED" w:rsidP="0076385F">
            <w:pPr>
              <w:rPr>
                <w:color w:val="FFFFFF" w:themeColor="background1"/>
                <w:sz w:val="18"/>
                <w:szCs w:val="18"/>
              </w:rPr>
            </w:pPr>
            <w:r w:rsidRPr="00283C04">
              <w:rPr>
                <w:color w:val="FFFFFF" w:themeColor="background1"/>
                <w:sz w:val="18"/>
                <w:szCs w:val="18"/>
              </w:rPr>
              <w:t>Nature of impact</w:t>
            </w:r>
          </w:p>
        </w:tc>
      </w:tr>
      <w:tr w:rsidR="005777ED" w:rsidRPr="00283C04" w14:paraId="7249D154" w14:textId="77777777" w:rsidTr="0076385F">
        <w:tc>
          <w:tcPr>
            <w:tcW w:w="1413" w:type="dxa"/>
          </w:tcPr>
          <w:p w14:paraId="17CC7567" w14:textId="77777777" w:rsidR="005777ED" w:rsidRPr="00283C04" w:rsidRDefault="005777ED" w:rsidP="0076385F">
            <w:pPr>
              <w:rPr>
                <w:sz w:val="18"/>
                <w:szCs w:val="18"/>
              </w:rPr>
            </w:pPr>
            <w:r w:rsidRPr="00283C04">
              <w:rPr>
                <w:sz w:val="18"/>
                <w:szCs w:val="18"/>
              </w:rPr>
              <w:t>Age</w:t>
            </w:r>
          </w:p>
        </w:tc>
        <w:tc>
          <w:tcPr>
            <w:tcW w:w="992" w:type="dxa"/>
            <w:shd w:val="clear" w:color="auto" w:fill="FF0000"/>
          </w:tcPr>
          <w:p w14:paraId="19C0A372" w14:textId="77777777" w:rsidR="005777ED" w:rsidRPr="00283C04" w:rsidRDefault="005777ED" w:rsidP="0076385F">
            <w:pPr>
              <w:jc w:val="center"/>
              <w:rPr>
                <w:sz w:val="18"/>
                <w:szCs w:val="18"/>
              </w:rPr>
            </w:pPr>
            <w:r w:rsidRPr="00283C04">
              <w:rPr>
                <w:sz w:val="18"/>
                <w:szCs w:val="18"/>
              </w:rPr>
              <w:t>Negative</w:t>
            </w:r>
          </w:p>
        </w:tc>
        <w:tc>
          <w:tcPr>
            <w:tcW w:w="6662" w:type="dxa"/>
          </w:tcPr>
          <w:p w14:paraId="0E4B1AA4" w14:textId="6ACA9616" w:rsidR="005777ED" w:rsidRPr="005777ED" w:rsidRDefault="005777ED" w:rsidP="0076385F">
            <w:pPr>
              <w:rPr>
                <w:sz w:val="18"/>
                <w:szCs w:val="18"/>
              </w:rPr>
            </w:pPr>
            <w:r w:rsidRPr="005777ED">
              <w:rPr>
                <w:rFonts w:ascii="Calibri" w:hAnsi="Calibri" w:cs="Arial"/>
                <w:sz w:val="18"/>
                <w:szCs w:val="18"/>
              </w:rPr>
              <w:t>Children patients may still attend local A&amp;E with problems that require emergency surgery.  If there is no surgical service on that site for that time, patients may be required to be transferred between local and tertiary sites. In addition rotation of surgeons may still present risks if the anaesthetic and theatre teams do not work regularly with children and ward staff may not see sufficient children to maintain their skills if the service rotates between both sites.</w:t>
            </w:r>
          </w:p>
        </w:tc>
      </w:tr>
      <w:tr w:rsidR="005777ED" w:rsidRPr="00283C04" w14:paraId="50D66C76" w14:textId="77777777" w:rsidTr="0076385F">
        <w:tc>
          <w:tcPr>
            <w:tcW w:w="1413" w:type="dxa"/>
          </w:tcPr>
          <w:p w14:paraId="14F075DC" w14:textId="77777777" w:rsidR="005777ED" w:rsidRPr="00283C04" w:rsidRDefault="005777ED" w:rsidP="0076385F">
            <w:pPr>
              <w:rPr>
                <w:sz w:val="18"/>
                <w:szCs w:val="18"/>
              </w:rPr>
            </w:pPr>
            <w:r w:rsidRPr="00283C04">
              <w:rPr>
                <w:sz w:val="18"/>
                <w:szCs w:val="18"/>
              </w:rPr>
              <w:t>Disability</w:t>
            </w:r>
          </w:p>
        </w:tc>
        <w:tc>
          <w:tcPr>
            <w:tcW w:w="992" w:type="dxa"/>
            <w:shd w:val="clear" w:color="auto" w:fill="FFC000"/>
          </w:tcPr>
          <w:p w14:paraId="67E63397" w14:textId="77777777" w:rsidR="005777ED" w:rsidRPr="00283C04" w:rsidRDefault="005777ED" w:rsidP="0076385F">
            <w:pPr>
              <w:jc w:val="center"/>
              <w:rPr>
                <w:sz w:val="18"/>
                <w:szCs w:val="18"/>
              </w:rPr>
            </w:pPr>
            <w:r w:rsidRPr="00283C04">
              <w:rPr>
                <w:sz w:val="18"/>
                <w:szCs w:val="18"/>
              </w:rPr>
              <w:t>Neutral</w:t>
            </w:r>
          </w:p>
        </w:tc>
        <w:tc>
          <w:tcPr>
            <w:tcW w:w="6662" w:type="dxa"/>
          </w:tcPr>
          <w:p w14:paraId="05560A51" w14:textId="77777777" w:rsidR="005777ED" w:rsidRPr="00E04768" w:rsidRDefault="005777ED" w:rsidP="0076385F">
            <w:pPr>
              <w:rPr>
                <w:sz w:val="18"/>
                <w:szCs w:val="18"/>
              </w:rPr>
            </w:pPr>
            <w:r w:rsidRPr="00E04768">
              <w:rPr>
                <w:rFonts w:cs="Arial"/>
                <w:sz w:val="18"/>
                <w:szCs w:val="18"/>
              </w:rPr>
              <w:t>Potential negative impact for the population in general, however there is currently no data gathered to monitor the impact on this cohort of patients.</w:t>
            </w:r>
          </w:p>
        </w:tc>
      </w:tr>
      <w:tr w:rsidR="005777ED" w:rsidRPr="00283C04" w14:paraId="56264D09" w14:textId="77777777" w:rsidTr="0076385F">
        <w:tc>
          <w:tcPr>
            <w:tcW w:w="1413" w:type="dxa"/>
          </w:tcPr>
          <w:p w14:paraId="4D0BDD0F" w14:textId="77777777" w:rsidR="005777ED" w:rsidRPr="00283C04" w:rsidRDefault="005777ED" w:rsidP="0076385F">
            <w:pPr>
              <w:rPr>
                <w:sz w:val="18"/>
                <w:szCs w:val="18"/>
              </w:rPr>
            </w:pPr>
            <w:r w:rsidRPr="00283C04">
              <w:rPr>
                <w:sz w:val="18"/>
                <w:szCs w:val="18"/>
              </w:rPr>
              <w:t>Gender reassignment</w:t>
            </w:r>
          </w:p>
        </w:tc>
        <w:tc>
          <w:tcPr>
            <w:tcW w:w="992" w:type="dxa"/>
            <w:shd w:val="clear" w:color="auto" w:fill="FFC000"/>
          </w:tcPr>
          <w:p w14:paraId="5B2C5B65" w14:textId="77777777" w:rsidR="005777ED" w:rsidRPr="00283C04" w:rsidRDefault="005777ED" w:rsidP="0076385F">
            <w:pPr>
              <w:jc w:val="center"/>
              <w:rPr>
                <w:sz w:val="18"/>
                <w:szCs w:val="18"/>
              </w:rPr>
            </w:pPr>
            <w:r w:rsidRPr="00283C04">
              <w:rPr>
                <w:sz w:val="18"/>
                <w:szCs w:val="18"/>
              </w:rPr>
              <w:t>Neutral</w:t>
            </w:r>
          </w:p>
        </w:tc>
        <w:tc>
          <w:tcPr>
            <w:tcW w:w="6662" w:type="dxa"/>
          </w:tcPr>
          <w:p w14:paraId="4FBB0E74" w14:textId="77777777" w:rsidR="005777ED" w:rsidRPr="00283C04" w:rsidRDefault="005777ED" w:rsidP="0076385F">
            <w:pPr>
              <w:rPr>
                <w:sz w:val="18"/>
                <w:szCs w:val="18"/>
              </w:rPr>
            </w:pPr>
            <w:r w:rsidRPr="00283C04">
              <w:rPr>
                <w:rFonts w:cs="Arial"/>
                <w:sz w:val="18"/>
                <w:szCs w:val="18"/>
              </w:rPr>
              <w:t>Potential negative impact</w:t>
            </w:r>
            <w:r>
              <w:rPr>
                <w:rFonts w:cs="Arial"/>
                <w:sz w:val="18"/>
                <w:szCs w:val="18"/>
              </w:rPr>
              <w:t xml:space="preserve"> for the population in general, however there is</w:t>
            </w:r>
            <w:r w:rsidRPr="00283C04">
              <w:rPr>
                <w:rFonts w:cs="Arial"/>
                <w:sz w:val="18"/>
                <w:szCs w:val="18"/>
              </w:rPr>
              <w:t xml:space="preserve"> currently no data gathere</w:t>
            </w:r>
            <w:r>
              <w:rPr>
                <w:rFonts w:cs="Arial"/>
                <w:sz w:val="18"/>
                <w:szCs w:val="18"/>
              </w:rPr>
              <w:t>d to monitor the impact on this cohort of patients.</w:t>
            </w:r>
          </w:p>
        </w:tc>
      </w:tr>
      <w:tr w:rsidR="005777ED" w:rsidRPr="00283C04" w14:paraId="7001B342" w14:textId="77777777" w:rsidTr="0076385F">
        <w:tc>
          <w:tcPr>
            <w:tcW w:w="1413" w:type="dxa"/>
          </w:tcPr>
          <w:p w14:paraId="16662465" w14:textId="77777777" w:rsidR="005777ED" w:rsidRPr="00283C04" w:rsidRDefault="005777ED" w:rsidP="0076385F">
            <w:pPr>
              <w:rPr>
                <w:sz w:val="18"/>
                <w:szCs w:val="18"/>
              </w:rPr>
            </w:pPr>
            <w:r w:rsidRPr="00283C04">
              <w:rPr>
                <w:sz w:val="18"/>
                <w:szCs w:val="18"/>
              </w:rPr>
              <w:t>Marriage and civil partnership</w:t>
            </w:r>
          </w:p>
        </w:tc>
        <w:tc>
          <w:tcPr>
            <w:tcW w:w="992" w:type="dxa"/>
            <w:shd w:val="clear" w:color="auto" w:fill="FFC000"/>
          </w:tcPr>
          <w:p w14:paraId="678EED2A" w14:textId="77777777" w:rsidR="005777ED" w:rsidRPr="00283C04" w:rsidRDefault="005777ED" w:rsidP="0076385F">
            <w:pPr>
              <w:jc w:val="center"/>
              <w:rPr>
                <w:sz w:val="18"/>
                <w:szCs w:val="18"/>
              </w:rPr>
            </w:pPr>
            <w:r w:rsidRPr="00283C04">
              <w:rPr>
                <w:sz w:val="18"/>
                <w:szCs w:val="18"/>
              </w:rPr>
              <w:t>Neutral</w:t>
            </w:r>
          </w:p>
        </w:tc>
        <w:tc>
          <w:tcPr>
            <w:tcW w:w="6662" w:type="dxa"/>
          </w:tcPr>
          <w:p w14:paraId="712D401E" w14:textId="77777777" w:rsidR="005777ED" w:rsidRPr="00283C04" w:rsidRDefault="005777ED"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5777ED" w:rsidRPr="00283C04" w14:paraId="003296B9" w14:textId="77777777" w:rsidTr="0076385F">
        <w:tc>
          <w:tcPr>
            <w:tcW w:w="1413" w:type="dxa"/>
          </w:tcPr>
          <w:p w14:paraId="0C46EEA1" w14:textId="77777777" w:rsidR="005777ED" w:rsidRPr="00283C04" w:rsidRDefault="005777ED" w:rsidP="0076385F">
            <w:pPr>
              <w:rPr>
                <w:sz w:val="18"/>
                <w:szCs w:val="18"/>
              </w:rPr>
            </w:pPr>
            <w:r w:rsidRPr="00283C04">
              <w:rPr>
                <w:sz w:val="18"/>
                <w:szCs w:val="18"/>
              </w:rPr>
              <w:t>Pregnancy and maternity</w:t>
            </w:r>
          </w:p>
        </w:tc>
        <w:tc>
          <w:tcPr>
            <w:tcW w:w="992" w:type="dxa"/>
            <w:shd w:val="clear" w:color="auto" w:fill="FFC000"/>
          </w:tcPr>
          <w:p w14:paraId="183D4F83" w14:textId="77777777" w:rsidR="005777ED" w:rsidRPr="00283C04" w:rsidRDefault="005777ED" w:rsidP="0076385F">
            <w:pPr>
              <w:jc w:val="center"/>
              <w:rPr>
                <w:sz w:val="18"/>
                <w:szCs w:val="18"/>
              </w:rPr>
            </w:pPr>
            <w:r w:rsidRPr="00283C04">
              <w:rPr>
                <w:sz w:val="18"/>
                <w:szCs w:val="18"/>
              </w:rPr>
              <w:t>Neutral</w:t>
            </w:r>
          </w:p>
        </w:tc>
        <w:tc>
          <w:tcPr>
            <w:tcW w:w="6662" w:type="dxa"/>
          </w:tcPr>
          <w:p w14:paraId="032010D6" w14:textId="77777777" w:rsidR="005777ED" w:rsidRPr="00283C04" w:rsidRDefault="005777ED"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5777ED" w:rsidRPr="00283C04" w14:paraId="617BF782" w14:textId="77777777" w:rsidTr="0076385F">
        <w:tc>
          <w:tcPr>
            <w:tcW w:w="1413" w:type="dxa"/>
          </w:tcPr>
          <w:p w14:paraId="2FCCD46F" w14:textId="77777777" w:rsidR="005777ED" w:rsidRPr="00283C04" w:rsidRDefault="005777ED" w:rsidP="0076385F">
            <w:pPr>
              <w:rPr>
                <w:sz w:val="18"/>
                <w:szCs w:val="18"/>
              </w:rPr>
            </w:pPr>
            <w:r w:rsidRPr="00283C04">
              <w:rPr>
                <w:sz w:val="18"/>
                <w:szCs w:val="18"/>
              </w:rPr>
              <w:t>Race</w:t>
            </w:r>
          </w:p>
        </w:tc>
        <w:tc>
          <w:tcPr>
            <w:tcW w:w="992" w:type="dxa"/>
            <w:shd w:val="clear" w:color="auto" w:fill="FFC000"/>
          </w:tcPr>
          <w:p w14:paraId="5FFE6AA7" w14:textId="77777777" w:rsidR="005777ED" w:rsidRPr="00283C04" w:rsidRDefault="005777ED" w:rsidP="0076385F">
            <w:pPr>
              <w:jc w:val="center"/>
              <w:rPr>
                <w:sz w:val="18"/>
                <w:szCs w:val="18"/>
              </w:rPr>
            </w:pPr>
            <w:r w:rsidRPr="00283C04">
              <w:rPr>
                <w:sz w:val="18"/>
                <w:szCs w:val="18"/>
              </w:rPr>
              <w:t>Neutral</w:t>
            </w:r>
          </w:p>
        </w:tc>
        <w:tc>
          <w:tcPr>
            <w:tcW w:w="6662" w:type="dxa"/>
          </w:tcPr>
          <w:p w14:paraId="3E4E6B6D" w14:textId="77777777" w:rsidR="005777ED" w:rsidRPr="00283C04" w:rsidRDefault="005777ED" w:rsidP="0076385F">
            <w:pPr>
              <w:rPr>
                <w:sz w:val="18"/>
                <w:szCs w:val="18"/>
              </w:rPr>
            </w:pPr>
            <w:r w:rsidRPr="00283C04">
              <w:rPr>
                <w:rFonts w:cs="Arial"/>
                <w:sz w:val="18"/>
                <w:szCs w:val="18"/>
              </w:rPr>
              <w:t xml:space="preserve">Potential </w:t>
            </w:r>
            <w:r>
              <w:rPr>
                <w:rFonts w:cs="Arial"/>
                <w:sz w:val="18"/>
                <w:szCs w:val="18"/>
              </w:rPr>
              <w:t>ne</w:t>
            </w:r>
            <w:r w:rsidRPr="00283C04">
              <w:rPr>
                <w:rFonts w:cs="Arial"/>
                <w:sz w:val="18"/>
                <w:szCs w:val="18"/>
              </w:rPr>
              <w:t xml:space="preserve">gative impact for service users for </w:t>
            </w:r>
            <w:proofErr w:type="gramStart"/>
            <w:r w:rsidRPr="00283C04">
              <w:rPr>
                <w:rFonts w:cs="Arial"/>
                <w:sz w:val="18"/>
                <w:szCs w:val="18"/>
              </w:rPr>
              <w:t>whom</w:t>
            </w:r>
            <w:proofErr w:type="gramEnd"/>
            <w:r w:rsidRPr="00283C04">
              <w:rPr>
                <w:rFonts w:cs="Arial"/>
                <w:sz w:val="18"/>
                <w:szCs w:val="18"/>
              </w:rPr>
              <w:t xml:space="preserve"> English is not their first language and may have issues understanding and retaining information about their condition and its future management.</w:t>
            </w:r>
          </w:p>
        </w:tc>
      </w:tr>
      <w:tr w:rsidR="005777ED" w:rsidRPr="00283C04" w14:paraId="3A2C9918" w14:textId="77777777" w:rsidTr="0076385F">
        <w:tc>
          <w:tcPr>
            <w:tcW w:w="1413" w:type="dxa"/>
          </w:tcPr>
          <w:p w14:paraId="6BD317EE" w14:textId="77777777" w:rsidR="005777ED" w:rsidRPr="00283C04" w:rsidRDefault="005777ED" w:rsidP="0076385F">
            <w:pPr>
              <w:rPr>
                <w:sz w:val="18"/>
                <w:szCs w:val="18"/>
              </w:rPr>
            </w:pPr>
            <w:r w:rsidRPr="00283C04">
              <w:rPr>
                <w:sz w:val="18"/>
                <w:szCs w:val="18"/>
              </w:rPr>
              <w:t>Religion and belief</w:t>
            </w:r>
          </w:p>
        </w:tc>
        <w:tc>
          <w:tcPr>
            <w:tcW w:w="992" w:type="dxa"/>
            <w:shd w:val="clear" w:color="auto" w:fill="FFC000"/>
          </w:tcPr>
          <w:p w14:paraId="1C4A0045" w14:textId="77777777" w:rsidR="005777ED" w:rsidRPr="00283C04" w:rsidRDefault="005777ED" w:rsidP="0076385F">
            <w:pPr>
              <w:jc w:val="center"/>
              <w:rPr>
                <w:sz w:val="18"/>
                <w:szCs w:val="18"/>
              </w:rPr>
            </w:pPr>
            <w:r w:rsidRPr="00283C04">
              <w:rPr>
                <w:sz w:val="18"/>
                <w:szCs w:val="18"/>
              </w:rPr>
              <w:t>Neutral</w:t>
            </w:r>
          </w:p>
        </w:tc>
        <w:tc>
          <w:tcPr>
            <w:tcW w:w="6662" w:type="dxa"/>
          </w:tcPr>
          <w:p w14:paraId="5DF925D1" w14:textId="77777777" w:rsidR="005777ED" w:rsidRPr="00283C04" w:rsidRDefault="005777ED"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5777ED" w:rsidRPr="00283C04" w14:paraId="2789EDA2" w14:textId="77777777" w:rsidTr="0076385F">
        <w:tc>
          <w:tcPr>
            <w:tcW w:w="1413" w:type="dxa"/>
          </w:tcPr>
          <w:p w14:paraId="5BFA0336" w14:textId="77777777" w:rsidR="005777ED" w:rsidRPr="00283C04" w:rsidRDefault="005777ED" w:rsidP="0076385F">
            <w:pPr>
              <w:rPr>
                <w:sz w:val="18"/>
                <w:szCs w:val="18"/>
              </w:rPr>
            </w:pPr>
            <w:r w:rsidRPr="00283C04">
              <w:rPr>
                <w:sz w:val="18"/>
                <w:szCs w:val="18"/>
              </w:rPr>
              <w:t>Sex</w:t>
            </w:r>
          </w:p>
        </w:tc>
        <w:tc>
          <w:tcPr>
            <w:tcW w:w="992" w:type="dxa"/>
            <w:shd w:val="clear" w:color="auto" w:fill="FF0000"/>
          </w:tcPr>
          <w:p w14:paraId="215A1220" w14:textId="77777777" w:rsidR="005777ED" w:rsidRPr="00283C04" w:rsidRDefault="005777ED" w:rsidP="0076385F">
            <w:pPr>
              <w:jc w:val="center"/>
              <w:rPr>
                <w:sz w:val="18"/>
                <w:szCs w:val="18"/>
              </w:rPr>
            </w:pPr>
            <w:r>
              <w:rPr>
                <w:sz w:val="18"/>
                <w:szCs w:val="18"/>
              </w:rPr>
              <w:t>Negative</w:t>
            </w:r>
          </w:p>
        </w:tc>
        <w:tc>
          <w:tcPr>
            <w:tcW w:w="6662" w:type="dxa"/>
          </w:tcPr>
          <w:p w14:paraId="1776117F" w14:textId="77777777" w:rsidR="005777ED" w:rsidRPr="00283C04" w:rsidRDefault="005777ED" w:rsidP="0076385F">
            <w:pPr>
              <w:rPr>
                <w:sz w:val="18"/>
                <w:szCs w:val="18"/>
              </w:rPr>
            </w:pPr>
            <w:r w:rsidRPr="00283C04">
              <w:rPr>
                <w:sz w:val="18"/>
                <w:szCs w:val="18"/>
              </w:rPr>
              <w:t>National Stroke Association noted that statistics showed that males have a higher risk of having a stroke.  Therefore returning the service back to its delivery prior to summer 2013 would have a potentially negative impact across Northern Lincolnshire.</w:t>
            </w:r>
          </w:p>
        </w:tc>
      </w:tr>
      <w:tr w:rsidR="005777ED" w:rsidRPr="00283C04" w14:paraId="3ABABF99" w14:textId="77777777" w:rsidTr="0076385F">
        <w:tc>
          <w:tcPr>
            <w:tcW w:w="1413" w:type="dxa"/>
          </w:tcPr>
          <w:p w14:paraId="716E380A" w14:textId="77777777" w:rsidR="005777ED" w:rsidRPr="00283C04" w:rsidRDefault="005777ED" w:rsidP="0076385F">
            <w:pPr>
              <w:rPr>
                <w:sz w:val="18"/>
                <w:szCs w:val="18"/>
              </w:rPr>
            </w:pPr>
            <w:r w:rsidRPr="00283C04">
              <w:rPr>
                <w:sz w:val="18"/>
                <w:szCs w:val="18"/>
              </w:rPr>
              <w:t>Sexual orientation</w:t>
            </w:r>
          </w:p>
        </w:tc>
        <w:tc>
          <w:tcPr>
            <w:tcW w:w="992" w:type="dxa"/>
            <w:shd w:val="clear" w:color="auto" w:fill="FFC000"/>
          </w:tcPr>
          <w:p w14:paraId="2C68CFD2" w14:textId="77777777" w:rsidR="005777ED" w:rsidRPr="00283C04" w:rsidRDefault="005777ED" w:rsidP="0076385F">
            <w:pPr>
              <w:jc w:val="center"/>
              <w:rPr>
                <w:sz w:val="18"/>
                <w:szCs w:val="18"/>
              </w:rPr>
            </w:pPr>
            <w:r w:rsidRPr="00283C04">
              <w:rPr>
                <w:sz w:val="18"/>
                <w:szCs w:val="18"/>
              </w:rPr>
              <w:t>Neutral</w:t>
            </w:r>
          </w:p>
        </w:tc>
        <w:tc>
          <w:tcPr>
            <w:tcW w:w="6662" w:type="dxa"/>
          </w:tcPr>
          <w:p w14:paraId="4BF96C40" w14:textId="77777777" w:rsidR="005777ED" w:rsidRPr="00283C04" w:rsidRDefault="005777ED"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5777ED" w:rsidRPr="00283C04" w14:paraId="69EFAB9D" w14:textId="77777777" w:rsidTr="0076385F">
        <w:tc>
          <w:tcPr>
            <w:tcW w:w="1413" w:type="dxa"/>
          </w:tcPr>
          <w:p w14:paraId="29551D16" w14:textId="77777777" w:rsidR="005777ED" w:rsidRPr="00283C04" w:rsidRDefault="005777ED" w:rsidP="0076385F">
            <w:pPr>
              <w:rPr>
                <w:sz w:val="18"/>
                <w:szCs w:val="18"/>
              </w:rPr>
            </w:pPr>
            <w:r w:rsidRPr="00283C04">
              <w:rPr>
                <w:sz w:val="18"/>
                <w:szCs w:val="18"/>
              </w:rPr>
              <w:t>Deprivation</w:t>
            </w:r>
          </w:p>
        </w:tc>
        <w:tc>
          <w:tcPr>
            <w:tcW w:w="992" w:type="dxa"/>
            <w:shd w:val="clear" w:color="auto" w:fill="FFC000"/>
          </w:tcPr>
          <w:p w14:paraId="414999ED" w14:textId="77777777" w:rsidR="005777ED" w:rsidRPr="00283C04" w:rsidRDefault="005777ED" w:rsidP="0076385F">
            <w:pPr>
              <w:jc w:val="center"/>
              <w:rPr>
                <w:sz w:val="18"/>
                <w:szCs w:val="18"/>
              </w:rPr>
            </w:pPr>
            <w:r w:rsidRPr="00283C04">
              <w:rPr>
                <w:sz w:val="18"/>
                <w:szCs w:val="18"/>
              </w:rPr>
              <w:t>Neutral</w:t>
            </w:r>
          </w:p>
        </w:tc>
        <w:tc>
          <w:tcPr>
            <w:tcW w:w="6662" w:type="dxa"/>
          </w:tcPr>
          <w:p w14:paraId="3FA2F722" w14:textId="0C511430" w:rsidR="005777ED" w:rsidRPr="005777ED" w:rsidRDefault="005777ED" w:rsidP="005777ED">
            <w:pPr>
              <w:rPr>
                <w:rFonts w:cs="Arial"/>
                <w:sz w:val="18"/>
                <w:szCs w:val="18"/>
              </w:rPr>
            </w:pPr>
            <w:r w:rsidRPr="005777ED">
              <w:rPr>
                <w:rFonts w:ascii="Calibri" w:hAnsi="Calibri" w:cs="Calibri"/>
                <w:sz w:val="18"/>
                <w:szCs w:val="18"/>
              </w:rPr>
              <w:t xml:space="preserve">It should be noted that deprivation cuts across Northern Lincolnshire. The low number of people with access to private transport is well documented, especially in the context of accessing services. This is exacerbated by the rural nature of the area and poor public transport. </w:t>
            </w:r>
            <w:r w:rsidRPr="005777ED">
              <w:rPr>
                <w:rFonts w:ascii="Calibri" w:hAnsi="Calibri" w:cs="Arial"/>
                <w:sz w:val="18"/>
                <w:szCs w:val="18"/>
              </w:rPr>
              <w:t xml:space="preserve">In North East Lincolnshire 28.3% of children are in poverty and in North Lincolnshire the figure is 21.0%. In view of the large demographic areas both SGH and </w:t>
            </w:r>
            <w:proofErr w:type="spellStart"/>
            <w:r w:rsidRPr="005777ED">
              <w:rPr>
                <w:rFonts w:ascii="Calibri" w:hAnsi="Calibri" w:cs="Arial"/>
                <w:sz w:val="18"/>
                <w:szCs w:val="18"/>
              </w:rPr>
              <w:t>DPoW</w:t>
            </w:r>
            <w:proofErr w:type="spellEnd"/>
            <w:r w:rsidRPr="005777ED">
              <w:rPr>
                <w:rFonts w:ascii="Calibri" w:hAnsi="Calibri" w:cs="Arial"/>
                <w:sz w:val="18"/>
                <w:szCs w:val="18"/>
              </w:rPr>
              <w:t xml:space="preserve"> service serves, and the associated deprivation within North East Lincolnshire in particular, the need to ensure children and families can access appropriate healthcare is paramount.  </w:t>
            </w:r>
            <w:r>
              <w:rPr>
                <w:rFonts w:ascii="Calibri" w:hAnsi="Calibri" w:cs="Arial"/>
                <w:sz w:val="18"/>
                <w:szCs w:val="18"/>
              </w:rPr>
              <w:t>Rotating</w:t>
            </w:r>
            <w:r w:rsidRPr="005777ED">
              <w:rPr>
                <w:rFonts w:ascii="Calibri" w:hAnsi="Calibri" w:cs="Arial"/>
                <w:sz w:val="18"/>
                <w:szCs w:val="18"/>
              </w:rPr>
              <w:t xml:space="preserve"> surgical services either entirely or by speciality will undoubtedly cause access to the appropriate healthcare an issue for some families.  Consideration needs to be given to the potential increase in families being unable to access services if they are not local to them.</w:t>
            </w:r>
          </w:p>
        </w:tc>
      </w:tr>
      <w:tr w:rsidR="005777ED" w:rsidRPr="00283C04" w14:paraId="571DBFF4" w14:textId="77777777" w:rsidTr="0076385F">
        <w:tc>
          <w:tcPr>
            <w:tcW w:w="1413" w:type="dxa"/>
          </w:tcPr>
          <w:p w14:paraId="2A97A531" w14:textId="77777777" w:rsidR="005777ED" w:rsidRPr="00283C04" w:rsidRDefault="005777ED" w:rsidP="0076385F">
            <w:pPr>
              <w:rPr>
                <w:sz w:val="18"/>
                <w:szCs w:val="18"/>
              </w:rPr>
            </w:pPr>
            <w:r w:rsidRPr="00283C04">
              <w:rPr>
                <w:sz w:val="18"/>
                <w:szCs w:val="18"/>
              </w:rPr>
              <w:t>Human rights</w:t>
            </w:r>
          </w:p>
        </w:tc>
        <w:tc>
          <w:tcPr>
            <w:tcW w:w="992" w:type="dxa"/>
            <w:shd w:val="clear" w:color="auto" w:fill="FF0000"/>
          </w:tcPr>
          <w:p w14:paraId="16A905A5" w14:textId="77777777" w:rsidR="005777ED" w:rsidRPr="00E04768" w:rsidRDefault="005777ED" w:rsidP="0076385F">
            <w:pPr>
              <w:jc w:val="center"/>
              <w:rPr>
                <w:sz w:val="18"/>
                <w:szCs w:val="18"/>
              </w:rPr>
            </w:pPr>
            <w:r w:rsidRPr="00E04768">
              <w:rPr>
                <w:sz w:val="18"/>
                <w:szCs w:val="18"/>
              </w:rPr>
              <w:t>Negative</w:t>
            </w:r>
          </w:p>
        </w:tc>
        <w:tc>
          <w:tcPr>
            <w:tcW w:w="6662" w:type="dxa"/>
          </w:tcPr>
          <w:p w14:paraId="6D4A514C" w14:textId="1FBE1C91" w:rsidR="005777ED" w:rsidRPr="00E04768" w:rsidRDefault="005777ED" w:rsidP="005777ED">
            <w:pPr>
              <w:rPr>
                <w:rFonts w:cs="Arial"/>
                <w:sz w:val="18"/>
                <w:szCs w:val="18"/>
              </w:rPr>
            </w:pPr>
            <w:r w:rsidRPr="005777ED">
              <w:rPr>
                <w:rFonts w:ascii="Calibri" w:hAnsi="Calibri" w:cs="Arial"/>
                <w:sz w:val="18"/>
                <w:szCs w:val="18"/>
              </w:rPr>
              <w:t>Rotation of consultants between both sites may still present risks if the anaesthetic and theatre teams do not</w:t>
            </w:r>
            <w:r>
              <w:rPr>
                <w:rFonts w:ascii="Calibri" w:hAnsi="Calibri" w:cs="Arial"/>
                <w:sz w:val="18"/>
                <w:szCs w:val="18"/>
              </w:rPr>
              <w:t xml:space="preserve"> work regularly with children, </w:t>
            </w:r>
            <w:r w:rsidRPr="005777ED">
              <w:rPr>
                <w:rFonts w:ascii="Calibri" w:hAnsi="Calibri" w:cs="Arial"/>
                <w:sz w:val="18"/>
                <w:szCs w:val="18"/>
              </w:rPr>
              <w:t>also ward staff may not see sufficient children to maintain their skills due to the rotation.</w:t>
            </w:r>
          </w:p>
        </w:tc>
      </w:tr>
    </w:tbl>
    <w:p w14:paraId="01272859" w14:textId="77777777" w:rsidR="005777ED" w:rsidRDefault="005777ED" w:rsidP="005777ED">
      <w:pPr>
        <w:pStyle w:val="Heading2"/>
      </w:pPr>
    </w:p>
    <w:p w14:paraId="4C5D362B" w14:textId="6FDCBF28" w:rsidR="005777ED" w:rsidRDefault="00B77048" w:rsidP="005777ED">
      <w:pPr>
        <w:pStyle w:val="Heading2"/>
      </w:pPr>
      <w:bookmarkStart w:id="24" w:name="_Toc388275371"/>
      <w:r>
        <w:t>6</w:t>
      </w:r>
      <w:r w:rsidR="005777ED">
        <w:t>.5 Evaluation criteria assessment</w:t>
      </w:r>
      <w:bookmarkEnd w:id="24"/>
    </w:p>
    <w:p w14:paraId="2EF3DB00" w14:textId="77777777" w:rsidR="005777ED" w:rsidRDefault="005777ED" w:rsidP="005777ED">
      <w:r>
        <w:t>The programme board undertook an evaluation criteria scoring exercise, taking into consideration the above benefits and risks and the views of the local clinical community.  A summary of the scoring is included below:</w:t>
      </w:r>
    </w:p>
    <w:p w14:paraId="5C255E7F" w14:textId="32AF78A7" w:rsidR="005777ED" w:rsidRDefault="005777ED" w:rsidP="005777ED">
      <w:pPr>
        <w:pStyle w:val="Heading4"/>
      </w:pPr>
      <w:r>
        <w:t xml:space="preserve">Table 15 – Evaluation scoring for option </w:t>
      </w:r>
      <w:r w:rsidR="00B77048">
        <w:t>2</w:t>
      </w:r>
      <w:r>
        <w:t xml:space="preserve"> (</w:t>
      </w:r>
      <w:r w:rsidR="00B77048">
        <w:t>rotation of consultants between both sites</w:t>
      </w:r>
      <w:r>
        <w:t>)</w:t>
      </w:r>
    </w:p>
    <w:tbl>
      <w:tblPr>
        <w:tblStyle w:val="TableGrid"/>
        <w:tblW w:w="0" w:type="auto"/>
        <w:tblLook w:val="04A0" w:firstRow="1" w:lastRow="0" w:firstColumn="1" w:lastColumn="0" w:noHBand="0" w:noVBand="1"/>
      </w:tblPr>
      <w:tblGrid>
        <w:gridCol w:w="1180"/>
        <w:gridCol w:w="658"/>
        <w:gridCol w:w="7178"/>
      </w:tblGrid>
      <w:tr w:rsidR="005777ED" w14:paraId="03B94E4F" w14:textId="77777777" w:rsidTr="00B77048">
        <w:tc>
          <w:tcPr>
            <w:tcW w:w="1180" w:type="dxa"/>
            <w:shd w:val="clear" w:color="auto" w:fill="767171" w:themeFill="background2" w:themeFillShade="80"/>
          </w:tcPr>
          <w:p w14:paraId="20A723A0" w14:textId="77777777" w:rsidR="005777ED" w:rsidRPr="00E4010B" w:rsidRDefault="005777ED" w:rsidP="0076385F">
            <w:pPr>
              <w:rPr>
                <w:color w:val="FFFFFF" w:themeColor="background1"/>
                <w:sz w:val="18"/>
                <w:szCs w:val="18"/>
              </w:rPr>
            </w:pPr>
            <w:r w:rsidRPr="00E4010B">
              <w:rPr>
                <w:color w:val="FFFFFF" w:themeColor="background1"/>
                <w:sz w:val="18"/>
                <w:szCs w:val="18"/>
              </w:rPr>
              <w:t>Criteria</w:t>
            </w:r>
          </w:p>
        </w:tc>
        <w:tc>
          <w:tcPr>
            <w:tcW w:w="658" w:type="dxa"/>
            <w:shd w:val="clear" w:color="auto" w:fill="767171" w:themeFill="background2" w:themeFillShade="80"/>
          </w:tcPr>
          <w:p w14:paraId="470E83C5" w14:textId="77777777" w:rsidR="005777ED" w:rsidRPr="00E4010B" w:rsidRDefault="005777ED" w:rsidP="0076385F">
            <w:pPr>
              <w:jc w:val="center"/>
              <w:rPr>
                <w:color w:val="FFFFFF" w:themeColor="background1"/>
                <w:sz w:val="18"/>
                <w:szCs w:val="18"/>
              </w:rPr>
            </w:pPr>
            <w:r w:rsidRPr="00E4010B">
              <w:rPr>
                <w:color w:val="FFFFFF" w:themeColor="background1"/>
                <w:sz w:val="18"/>
                <w:szCs w:val="18"/>
              </w:rPr>
              <w:t>Score</w:t>
            </w:r>
          </w:p>
        </w:tc>
        <w:tc>
          <w:tcPr>
            <w:tcW w:w="7178" w:type="dxa"/>
            <w:shd w:val="clear" w:color="auto" w:fill="767171" w:themeFill="background2" w:themeFillShade="80"/>
          </w:tcPr>
          <w:p w14:paraId="12E203D2" w14:textId="77777777" w:rsidR="005777ED" w:rsidRPr="00E4010B" w:rsidRDefault="005777ED" w:rsidP="0076385F">
            <w:pPr>
              <w:rPr>
                <w:color w:val="FFFFFF" w:themeColor="background1"/>
                <w:sz w:val="18"/>
                <w:szCs w:val="18"/>
              </w:rPr>
            </w:pPr>
            <w:r w:rsidRPr="00E4010B">
              <w:rPr>
                <w:color w:val="FFFFFF" w:themeColor="background1"/>
                <w:sz w:val="18"/>
                <w:szCs w:val="18"/>
              </w:rPr>
              <w:t>Rationale</w:t>
            </w:r>
          </w:p>
        </w:tc>
      </w:tr>
      <w:tr w:rsidR="005777ED" w14:paraId="4BB51B69" w14:textId="77777777" w:rsidTr="00B77048">
        <w:tc>
          <w:tcPr>
            <w:tcW w:w="1180" w:type="dxa"/>
          </w:tcPr>
          <w:p w14:paraId="76FDD6F5" w14:textId="77777777" w:rsidR="005777ED" w:rsidRPr="00E4010B" w:rsidRDefault="005777ED" w:rsidP="0076385F">
            <w:pPr>
              <w:rPr>
                <w:sz w:val="18"/>
                <w:szCs w:val="18"/>
              </w:rPr>
            </w:pPr>
            <w:r w:rsidRPr="00E4010B">
              <w:rPr>
                <w:sz w:val="18"/>
                <w:szCs w:val="18"/>
              </w:rPr>
              <w:t>Quality</w:t>
            </w:r>
          </w:p>
        </w:tc>
        <w:tc>
          <w:tcPr>
            <w:tcW w:w="658" w:type="dxa"/>
          </w:tcPr>
          <w:p w14:paraId="032C5FEE" w14:textId="272BB5AA" w:rsidR="005777ED" w:rsidRPr="00E4010B" w:rsidRDefault="005777ED" w:rsidP="0076385F">
            <w:pPr>
              <w:jc w:val="center"/>
              <w:rPr>
                <w:sz w:val="18"/>
                <w:szCs w:val="18"/>
              </w:rPr>
            </w:pPr>
            <w:r>
              <w:rPr>
                <w:sz w:val="18"/>
                <w:szCs w:val="18"/>
              </w:rPr>
              <w:t>45</w:t>
            </w:r>
          </w:p>
        </w:tc>
        <w:tc>
          <w:tcPr>
            <w:tcW w:w="7178" w:type="dxa"/>
          </w:tcPr>
          <w:p w14:paraId="5868E8BA" w14:textId="593DC7D3" w:rsidR="005777ED" w:rsidRPr="00E4010B" w:rsidRDefault="005777ED" w:rsidP="0076385F">
            <w:pPr>
              <w:rPr>
                <w:sz w:val="18"/>
                <w:szCs w:val="18"/>
              </w:rPr>
            </w:pPr>
            <w:r>
              <w:rPr>
                <w:sz w:val="18"/>
                <w:szCs w:val="18"/>
              </w:rPr>
              <w:t>This was not deemed a safe option as the clinical teams would not be present on each site for periods of time.  It was also anticipated that staffing would not want to rotate, and that patients and the public would find it confusing.</w:t>
            </w:r>
          </w:p>
        </w:tc>
      </w:tr>
      <w:tr w:rsidR="005777ED" w14:paraId="6CD6AF95" w14:textId="77777777" w:rsidTr="00B77048">
        <w:tc>
          <w:tcPr>
            <w:tcW w:w="1180" w:type="dxa"/>
          </w:tcPr>
          <w:p w14:paraId="7DE974F1" w14:textId="77777777" w:rsidR="005777ED" w:rsidRPr="00E4010B" w:rsidRDefault="005777ED" w:rsidP="0076385F">
            <w:pPr>
              <w:rPr>
                <w:sz w:val="18"/>
                <w:szCs w:val="18"/>
              </w:rPr>
            </w:pPr>
            <w:r w:rsidRPr="00E4010B">
              <w:rPr>
                <w:sz w:val="18"/>
                <w:szCs w:val="18"/>
              </w:rPr>
              <w:t>Access</w:t>
            </w:r>
          </w:p>
        </w:tc>
        <w:tc>
          <w:tcPr>
            <w:tcW w:w="658" w:type="dxa"/>
          </w:tcPr>
          <w:p w14:paraId="00382DAD" w14:textId="52E50E74" w:rsidR="005777ED" w:rsidRPr="00E4010B" w:rsidRDefault="005777ED" w:rsidP="0076385F">
            <w:pPr>
              <w:jc w:val="center"/>
              <w:rPr>
                <w:sz w:val="18"/>
                <w:szCs w:val="18"/>
              </w:rPr>
            </w:pPr>
            <w:r>
              <w:rPr>
                <w:sz w:val="18"/>
                <w:szCs w:val="18"/>
              </w:rPr>
              <w:t>24</w:t>
            </w:r>
          </w:p>
        </w:tc>
        <w:tc>
          <w:tcPr>
            <w:tcW w:w="7178" w:type="dxa"/>
          </w:tcPr>
          <w:p w14:paraId="063CFD86" w14:textId="18443D57" w:rsidR="005777ED" w:rsidRPr="00E4010B" w:rsidRDefault="005777ED" w:rsidP="0076385F">
            <w:pPr>
              <w:rPr>
                <w:sz w:val="18"/>
                <w:szCs w:val="18"/>
              </w:rPr>
            </w:pPr>
            <w:r>
              <w:rPr>
                <w:sz w:val="18"/>
                <w:szCs w:val="18"/>
              </w:rPr>
              <w:t xml:space="preserve">This could cause some patients to travel or be transported depending on urgency, and rotas.  </w:t>
            </w:r>
          </w:p>
        </w:tc>
      </w:tr>
      <w:tr w:rsidR="005777ED" w14:paraId="3B8D1AD4" w14:textId="77777777" w:rsidTr="00B77048">
        <w:tc>
          <w:tcPr>
            <w:tcW w:w="1180" w:type="dxa"/>
          </w:tcPr>
          <w:p w14:paraId="031ACE4C" w14:textId="77777777" w:rsidR="005777ED" w:rsidRPr="00E4010B" w:rsidRDefault="005777ED" w:rsidP="0076385F">
            <w:pPr>
              <w:rPr>
                <w:sz w:val="18"/>
                <w:szCs w:val="18"/>
              </w:rPr>
            </w:pPr>
            <w:r w:rsidRPr="00E4010B">
              <w:rPr>
                <w:sz w:val="18"/>
                <w:szCs w:val="18"/>
              </w:rPr>
              <w:t>Affordability</w:t>
            </w:r>
          </w:p>
        </w:tc>
        <w:tc>
          <w:tcPr>
            <w:tcW w:w="658" w:type="dxa"/>
          </w:tcPr>
          <w:p w14:paraId="3668DACE" w14:textId="38684DDC" w:rsidR="005777ED" w:rsidRPr="00E4010B" w:rsidRDefault="005777ED" w:rsidP="0076385F">
            <w:pPr>
              <w:jc w:val="center"/>
              <w:rPr>
                <w:sz w:val="18"/>
                <w:szCs w:val="18"/>
              </w:rPr>
            </w:pPr>
            <w:r>
              <w:rPr>
                <w:sz w:val="18"/>
                <w:szCs w:val="18"/>
              </w:rPr>
              <w:t>16</w:t>
            </w:r>
          </w:p>
        </w:tc>
        <w:tc>
          <w:tcPr>
            <w:tcW w:w="7178" w:type="dxa"/>
          </w:tcPr>
          <w:p w14:paraId="6F9ED638" w14:textId="27010FB9" w:rsidR="005777ED" w:rsidRPr="00E4010B" w:rsidRDefault="005777ED" w:rsidP="0076385F">
            <w:pPr>
              <w:rPr>
                <w:sz w:val="18"/>
                <w:szCs w:val="18"/>
              </w:rPr>
            </w:pPr>
            <w:r>
              <w:rPr>
                <w:sz w:val="18"/>
                <w:szCs w:val="18"/>
              </w:rPr>
              <w:t xml:space="preserve">This was anticipated to be costly due to travel and </w:t>
            </w:r>
            <w:r w:rsidR="00B77048">
              <w:rPr>
                <w:sz w:val="18"/>
                <w:szCs w:val="18"/>
              </w:rPr>
              <w:t>additional staffing requirements.</w:t>
            </w:r>
          </w:p>
        </w:tc>
      </w:tr>
      <w:tr w:rsidR="005777ED" w14:paraId="143D3011" w14:textId="77777777" w:rsidTr="00B77048">
        <w:tc>
          <w:tcPr>
            <w:tcW w:w="1180" w:type="dxa"/>
          </w:tcPr>
          <w:p w14:paraId="2F4B13DA" w14:textId="77777777" w:rsidR="005777ED" w:rsidRPr="00E4010B" w:rsidRDefault="005777ED" w:rsidP="0076385F">
            <w:pPr>
              <w:rPr>
                <w:sz w:val="18"/>
                <w:szCs w:val="18"/>
              </w:rPr>
            </w:pPr>
            <w:r w:rsidRPr="00E4010B">
              <w:rPr>
                <w:sz w:val="18"/>
                <w:szCs w:val="18"/>
              </w:rPr>
              <w:t>Deliverability</w:t>
            </w:r>
          </w:p>
        </w:tc>
        <w:tc>
          <w:tcPr>
            <w:tcW w:w="658" w:type="dxa"/>
          </w:tcPr>
          <w:p w14:paraId="6E456E0E" w14:textId="147FC2F9" w:rsidR="005777ED" w:rsidRPr="00E4010B" w:rsidRDefault="005777ED" w:rsidP="0076385F">
            <w:pPr>
              <w:jc w:val="center"/>
              <w:rPr>
                <w:sz w:val="18"/>
                <w:szCs w:val="18"/>
              </w:rPr>
            </w:pPr>
            <w:r>
              <w:rPr>
                <w:sz w:val="18"/>
                <w:szCs w:val="18"/>
              </w:rPr>
              <w:t>16</w:t>
            </w:r>
          </w:p>
        </w:tc>
        <w:tc>
          <w:tcPr>
            <w:tcW w:w="7178" w:type="dxa"/>
          </w:tcPr>
          <w:p w14:paraId="789C0372" w14:textId="1956DBB6" w:rsidR="005777ED" w:rsidRPr="00E4010B" w:rsidRDefault="005777ED" w:rsidP="00B77048">
            <w:pPr>
              <w:rPr>
                <w:sz w:val="18"/>
                <w:szCs w:val="18"/>
              </w:rPr>
            </w:pPr>
            <w:r>
              <w:rPr>
                <w:sz w:val="18"/>
                <w:szCs w:val="18"/>
              </w:rPr>
              <w:t xml:space="preserve">It was assumed that this would be unpopular with staff, </w:t>
            </w:r>
            <w:r w:rsidR="00B77048">
              <w:rPr>
                <w:sz w:val="18"/>
                <w:szCs w:val="18"/>
              </w:rPr>
              <w:t>and require considerable travelling, and transporting of patients.</w:t>
            </w:r>
          </w:p>
        </w:tc>
      </w:tr>
      <w:tr w:rsidR="005777ED" w14:paraId="2A2C50DE" w14:textId="77777777" w:rsidTr="00B77048">
        <w:tc>
          <w:tcPr>
            <w:tcW w:w="1180" w:type="dxa"/>
          </w:tcPr>
          <w:p w14:paraId="0A69B533" w14:textId="77777777" w:rsidR="005777ED" w:rsidRPr="00E4010B" w:rsidRDefault="005777ED" w:rsidP="0076385F">
            <w:pPr>
              <w:rPr>
                <w:sz w:val="18"/>
                <w:szCs w:val="18"/>
              </w:rPr>
            </w:pPr>
            <w:r>
              <w:rPr>
                <w:sz w:val="18"/>
                <w:szCs w:val="18"/>
              </w:rPr>
              <w:t>Total</w:t>
            </w:r>
          </w:p>
        </w:tc>
        <w:tc>
          <w:tcPr>
            <w:tcW w:w="658" w:type="dxa"/>
          </w:tcPr>
          <w:p w14:paraId="145921C6" w14:textId="046779F7" w:rsidR="005777ED" w:rsidRDefault="005777ED" w:rsidP="0076385F">
            <w:pPr>
              <w:jc w:val="center"/>
              <w:rPr>
                <w:sz w:val="18"/>
                <w:szCs w:val="18"/>
              </w:rPr>
            </w:pPr>
            <w:r>
              <w:rPr>
                <w:sz w:val="18"/>
                <w:szCs w:val="18"/>
              </w:rPr>
              <w:t>101</w:t>
            </w:r>
          </w:p>
        </w:tc>
        <w:tc>
          <w:tcPr>
            <w:tcW w:w="7178" w:type="dxa"/>
          </w:tcPr>
          <w:p w14:paraId="3A715DE8" w14:textId="1A90B157" w:rsidR="005777ED" w:rsidRDefault="005777ED" w:rsidP="0076385F">
            <w:pPr>
              <w:rPr>
                <w:sz w:val="18"/>
                <w:szCs w:val="18"/>
              </w:rPr>
            </w:pPr>
            <w:r>
              <w:rPr>
                <w:sz w:val="18"/>
                <w:szCs w:val="18"/>
              </w:rPr>
              <w:t>This option scored lowest of all options due to the safety and deliverability issues.</w:t>
            </w:r>
          </w:p>
        </w:tc>
      </w:tr>
    </w:tbl>
    <w:p w14:paraId="7A1C020D" w14:textId="60072AB2" w:rsidR="00F63B53" w:rsidRPr="00F63B53" w:rsidRDefault="005777ED" w:rsidP="00B77048">
      <w:pPr>
        <w:pStyle w:val="Heading1"/>
      </w:pPr>
      <w:r>
        <w:br w:type="page"/>
      </w:r>
      <w:bookmarkStart w:id="25" w:name="_Toc388275372"/>
      <w:r w:rsidR="00B77048">
        <w:lastRenderedPageBreak/>
        <w:t>7</w:t>
      </w:r>
      <w:r w:rsidR="00760E1C">
        <w:t xml:space="preserve">. </w:t>
      </w:r>
      <w:r w:rsidR="00A85C1A">
        <w:t>Option 3</w:t>
      </w:r>
      <w:r w:rsidR="00F63B53" w:rsidRPr="00F63B53">
        <w:t xml:space="preserve"> </w:t>
      </w:r>
      <w:r w:rsidR="00760E1C">
        <w:t>–</w:t>
      </w:r>
      <w:r w:rsidR="00F63B53" w:rsidRPr="00F63B53">
        <w:t xml:space="preserve"> </w:t>
      </w:r>
      <w:r w:rsidR="001B1F57">
        <w:t>Rotational training programme with tertiary providers</w:t>
      </w:r>
      <w:bookmarkEnd w:id="25"/>
    </w:p>
    <w:p w14:paraId="1F87AC07" w14:textId="5BD6B079" w:rsidR="00760E1C" w:rsidRDefault="00B77048" w:rsidP="00760E1C">
      <w:pPr>
        <w:pStyle w:val="Heading2"/>
      </w:pPr>
      <w:bookmarkStart w:id="26" w:name="_Toc388275373"/>
      <w:r>
        <w:t>7</w:t>
      </w:r>
      <w:r w:rsidR="00760E1C">
        <w:t>.1 Assumptions</w:t>
      </w:r>
      <w:bookmarkEnd w:id="26"/>
    </w:p>
    <w:p w14:paraId="32DF5366" w14:textId="77777777" w:rsidR="00F63B53" w:rsidRDefault="00F63B53" w:rsidP="00741948">
      <w:pPr>
        <w:spacing w:line="240" w:lineRule="auto"/>
      </w:pPr>
      <w:r>
        <w:t>This option makes the following assumptions:</w:t>
      </w:r>
    </w:p>
    <w:p w14:paraId="58DD6147" w14:textId="74A21E0B" w:rsidR="00AF150C" w:rsidRDefault="000B5E0C" w:rsidP="00AF150C">
      <w:pPr>
        <w:pStyle w:val="ListParagraph"/>
        <w:numPr>
          <w:ilvl w:val="0"/>
          <w:numId w:val="7"/>
        </w:numPr>
        <w:spacing w:before="0" w:line="240" w:lineRule="auto"/>
        <w:rPr>
          <w:rFonts w:asciiTheme="minorHAnsi" w:hAnsiTheme="minorHAnsi"/>
        </w:rPr>
      </w:pPr>
      <w:r>
        <w:rPr>
          <w:rFonts w:asciiTheme="minorHAnsi" w:hAnsiTheme="minorHAnsi"/>
        </w:rPr>
        <w:t>Surgery for children is still delivered on both DPOW and SGH sites</w:t>
      </w:r>
    </w:p>
    <w:p w14:paraId="0ADA52AB" w14:textId="40C53A59" w:rsidR="000B5E0C" w:rsidRDefault="000B5E0C" w:rsidP="00AF150C">
      <w:pPr>
        <w:pStyle w:val="ListParagraph"/>
        <w:numPr>
          <w:ilvl w:val="0"/>
          <w:numId w:val="7"/>
        </w:numPr>
        <w:spacing w:before="0" w:line="240" w:lineRule="auto"/>
        <w:rPr>
          <w:rFonts w:asciiTheme="minorHAnsi" w:hAnsiTheme="minorHAnsi"/>
        </w:rPr>
      </w:pPr>
      <w:r>
        <w:rPr>
          <w:rFonts w:asciiTheme="minorHAnsi" w:hAnsiTheme="minorHAnsi"/>
        </w:rPr>
        <w:t>Medical staff rotate with tertiary providers to ensure that they achieve higher volumes of surgery and maintain their skills</w:t>
      </w:r>
    </w:p>
    <w:p w14:paraId="695C38CE" w14:textId="63F837EF" w:rsidR="000B5E0C" w:rsidRPr="000B5E0C" w:rsidRDefault="000B5E0C" w:rsidP="000B5E0C">
      <w:pPr>
        <w:pStyle w:val="ListParagraph"/>
        <w:numPr>
          <w:ilvl w:val="0"/>
          <w:numId w:val="7"/>
        </w:numPr>
        <w:spacing w:before="0" w:line="240" w:lineRule="auto"/>
        <w:rPr>
          <w:rFonts w:asciiTheme="minorHAnsi" w:hAnsiTheme="minorHAnsi"/>
        </w:rPr>
      </w:pPr>
      <w:r>
        <w:rPr>
          <w:rFonts w:asciiTheme="minorHAnsi" w:hAnsiTheme="minorHAnsi"/>
        </w:rPr>
        <w:t>Outpatient services remain unchanged</w:t>
      </w:r>
    </w:p>
    <w:p w14:paraId="04C51291" w14:textId="77777777" w:rsidR="00293614" w:rsidRDefault="00293614" w:rsidP="00760E1C">
      <w:pPr>
        <w:pStyle w:val="Heading2"/>
      </w:pPr>
    </w:p>
    <w:p w14:paraId="22A6CEB8" w14:textId="7DA13B13" w:rsidR="00760E1C" w:rsidRDefault="00B77048" w:rsidP="00760E1C">
      <w:pPr>
        <w:pStyle w:val="Heading2"/>
      </w:pPr>
      <w:bookmarkStart w:id="27" w:name="_Toc388275374"/>
      <w:r>
        <w:t>7</w:t>
      </w:r>
      <w:r w:rsidR="00760E1C">
        <w:t>.2 Risks / issues</w:t>
      </w:r>
      <w:bookmarkEnd w:id="27"/>
    </w:p>
    <w:p w14:paraId="74551CB1" w14:textId="77777777" w:rsidR="00F63B53" w:rsidRDefault="00F63B53" w:rsidP="00F63B53">
      <w:r>
        <w:t>The risks and issues associated with this option are outlined below:</w:t>
      </w:r>
    </w:p>
    <w:p w14:paraId="003AA6D2" w14:textId="0CB44D8A" w:rsidR="00F63B53" w:rsidRPr="0097530C" w:rsidRDefault="00407DDA" w:rsidP="0097530C">
      <w:pPr>
        <w:pStyle w:val="Heading4"/>
      </w:pPr>
      <w:r w:rsidRPr="0097530C">
        <w:t xml:space="preserve">Table </w:t>
      </w:r>
      <w:r w:rsidR="00B77048">
        <w:t>16</w:t>
      </w:r>
      <w:r w:rsidR="00F63B53" w:rsidRPr="0097530C">
        <w:t xml:space="preserve"> – Risks and issues of option </w:t>
      </w:r>
      <w:r w:rsidR="001B1F57">
        <w:t>3</w:t>
      </w:r>
      <w:r w:rsidR="00F63B53" w:rsidRPr="0097530C">
        <w:t xml:space="preserve"> (</w:t>
      </w:r>
      <w:r w:rsidR="001B1F57">
        <w:t>rotational training programme with tertiary providers</w:t>
      </w:r>
      <w:r w:rsidR="00F63B53" w:rsidRPr="0097530C">
        <w:t>)</w:t>
      </w:r>
    </w:p>
    <w:tbl>
      <w:tblPr>
        <w:tblStyle w:val="TableGrid"/>
        <w:tblW w:w="0" w:type="auto"/>
        <w:tblLook w:val="04A0" w:firstRow="1" w:lastRow="0" w:firstColumn="1" w:lastColumn="0" w:noHBand="0" w:noVBand="1"/>
      </w:tblPr>
      <w:tblGrid>
        <w:gridCol w:w="1209"/>
        <w:gridCol w:w="4031"/>
        <w:gridCol w:w="745"/>
        <w:gridCol w:w="3031"/>
      </w:tblGrid>
      <w:tr w:rsidR="00F63B53" w14:paraId="60976F66" w14:textId="77777777" w:rsidTr="00DC0645">
        <w:trPr>
          <w:cantSplit/>
          <w:tblHeader/>
        </w:trPr>
        <w:tc>
          <w:tcPr>
            <w:tcW w:w="1209" w:type="dxa"/>
            <w:shd w:val="clear" w:color="auto" w:fill="767171" w:themeFill="background2" w:themeFillShade="80"/>
          </w:tcPr>
          <w:p w14:paraId="651E64C8" w14:textId="77777777" w:rsidR="00F63B53" w:rsidRPr="00926E74" w:rsidRDefault="00F63B53" w:rsidP="00DC0645">
            <w:pPr>
              <w:rPr>
                <w:color w:val="FFFFFF" w:themeColor="background1"/>
                <w:sz w:val="18"/>
                <w:szCs w:val="18"/>
              </w:rPr>
            </w:pPr>
            <w:r>
              <w:rPr>
                <w:color w:val="FFFFFF" w:themeColor="background1"/>
                <w:sz w:val="18"/>
                <w:szCs w:val="18"/>
              </w:rPr>
              <w:t>Category</w:t>
            </w:r>
          </w:p>
        </w:tc>
        <w:tc>
          <w:tcPr>
            <w:tcW w:w="4031" w:type="dxa"/>
            <w:shd w:val="clear" w:color="auto" w:fill="767171" w:themeFill="background2" w:themeFillShade="80"/>
          </w:tcPr>
          <w:p w14:paraId="5A0D4A16" w14:textId="77777777" w:rsidR="00F63B53" w:rsidRPr="00926E74" w:rsidRDefault="00F63B53" w:rsidP="00DC0645">
            <w:pPr>
              <w:rPr>
                <w:color w:val="FFFFFF" w:themeColor="background1"/>
                <w:sz w:val="18"/>
                <w:szCs w:val="18"/>
              </w:rPr>
            </w:pPr>
            <w:r>
              <w:rPr>
                <w:color w:val="FFFFFF" w:themeColor="background1"/>
                <w:sz w:val="18"/>
                <w:szCs w:val="18"/>
              </w:rPr>
              <w:t>Risk / Issue</w:t>
            </w:r>
          </w:p>
        </w:tc>
        <w:tc>
          <w:tcPr>
            <w:tcW w:w="745" w:type="dxa"/>
            <w:shd w:val="clear" w:color="auto" w:fill="767171" w:themeFill="background2" w:themeFillShade="80"/>
          </w:tcPr>
          <w:p w14:paraId="4AE018C4" w14:textId="77777777" w:rsidR="00F63B53" w:rsidRPr="00926E74" w:rsidRDefault="00F63B53" w:rsidP="00DC0645">
            <w:pPr>
              <w:ind w:left="-23"/>
              <w:jc w:val="center"/>
              <w:rPr>
                <w:color w:val="FFFFFF" w:themeColor="background1"/>
                <w:sz w:val="18"/>
                <w:szCs w:val="18"/>
              </w:rPr>
            </w:pPr>
            <w:r w:rsidRPr="00926E74">
              <w:rPr>
                <w:color w:val="FFFFFF" w:themeColor="background1"/>
                <w:sz w:val="18"/>
                <w:szCs w:val="18"/>
              </w:rPr>
              <w:t>RAG</w:t>
            </w:r>
          </w:p>
        </w:tc>
        <w:tc>
          <w:tcPr>
            <w:tcW w:w="3031" w:type="dxa"/>
            <w:shd w:val="clear" w:color="auto" w:fill="767171" w:themeFill="background2" w:themeFillShade="80"/>
          </w:tcPr>
          <w:p w14:paraId="1222EAD4" w14:textId="77777777" w:rsidR="00F63B53" w:rsidRPr="00926E74" w:rsidRDefault="00F63B53" w:rsidP="00DC0645">
            <w:pPr>
              <w:ind w:left="-23"/>
              <w:jc w:val="center"/>
              <w:rPr>
                <w:color w:val="FFFFFF" w:themeColor="background1"/>
                <w:sz w:val="18"/>
                <w:szCs w:val="18"/>
              </w:rPr>
            </w:pPr>
            <w:r>
              <w:rPr>
                <w:color w:val="FFFFFF" w:themeColor="background1"/>
                <w:sz w:val="18"/>
                <w:szCs w:val="18"/>
              </w:rPr>
              <w:t>Mitigation</w:t>
            </w:r>
          </w:p>
        </w:tc>
      </w:tr>
      <w:tr w:rsidR="00B74E85" w14:paraId="79B27A5B" w14:textId="77777777" w:rsidTr="00B74E85">
        <w:trPr>
          <w:cantSplit/>
        </w:trPr>
        <w:tc>
          <w:tcPr>
            <w:tcW w:w="1209" w:type="dxa"/>
          </w:tcPr>
          <w:p w14:paraId="3EDDFC27" w14:textId="4DE7AD65" w:rsidR="00B74E85" w:rsidRPr="00980063" w:rsidRDefault="00B74E85" w:rsidP="00B74E85">
            <w:pPr>
              <w:rPr>
                <w:sz w:val="18"/>
                <w:szCs w:val="18"/>
              </w:rPr>
            </w:pPr>
            <w:r>
              <w:rPr>
                <w:sz w:val="18"/>
                <w:szCs w:val="18"/>
              </w:rPr>
              <w:t>Quality &amp; safety</w:t>
            </w:r>
          </w:p>
        </w:tc>
        <w:tc>
          <w:tcPr>
            <w:tcW w:w="4031" w:type="dxa"/>
          </w:tcPr>
          <w:p w14:paraId="651F413A" w14:textId="6EA0D895" w:rsidR="00B74E85" w:rsidRDefault="00B74E85" w:rsidP="00B74E85">
            <w:pPr>
              <w:rPr>
                <w:sz w:val="18"/>
                <w:szCs w:val="18"/>
              </w:rPr>
            </w:pPr>
            <w:r>
              <w:rPr>
                <w:sz w:val="18"/>
                <w:szCs w:val="18"/>
              </w:rPr>
              <w:t>Patients (children) may still attend local A&amp;E departments with problems that require emergency surgery.  If there is no surgical service on that site for that time, patients may be required to be transferred between local and tertiary sites.</w:t>
            </w:r>
          </w:p>
        </w:tc>
        <w:tc>
          <w:tcPr>
            <w:tcW w:w="745" w:type="dxa"/>
            <w:shd w:val="clear" w:color="auto" w:fill="FFC000"/>
          </w:tcPr>
          <w:p w14:paraId="7B163ED6" w14:textId="63EC18BB" w:rsidR="00B74E85" w:rsidRDefault="00B74E85" w:rsidP="00B74E85">
            <w:pPr>
              <w:ind w:left="34"/>
              <w:jc w:val="center"/>
              <w:rPr>
                <w:sz w:val="18"/>
                <w:szCs w:val="18"/>
              </w:rPr>
            </w:pPr>
            <w:r>
              <w:rPr>
                <w:sz w:val="18"/>
                <w:szCs w:val="18"/>
              </w:rPr>
              <w:t>Amber</w:t>
            </w:r>
          </w:p>
        </w:tc>
        <w:tc>
          <w:tcPr>
            <w:tcW w:w="3031" w:type="dxa"/>
            <w:shd w:val="clear" w:color="auto" w:fill="auto"/>
          </w:tcPr>
          <w:p w14:paraId="737DB897" w14:textId="77777777" w:rsidR="00B74E85" w:rsidRDefault="00B74E85" w:rsidP="00B74E85">
            <w:pPr>
              <w:rPr>
                <w:sz w:val="18"/>
                <w:szCs w:val="18"/>
              </w:rPr>
            </w:pPr>
            <w:r>
              <w:rPr>
                <w:sz w:val="18"/>
                <w:szCs w:val="18"/>
              </w:rPr>
              <w:t>Establish protocol to ensure that ambulances take presenting children to the relevant tertiary centre if it is likely they may require surgery.</w:t>
            </w:r>
          </w:p>
          <w:p w14:paraId="391F5FF5" w14:textId="77777777" w:rsidR="00B74E85" w:rsidRDefault="00B74E85" w:rsidP="00B74E85">
            <w:pPr>
              <w:rPr>
                <w:sz w:val="18"/>
                <w:szCs w:val="18"/>
              </w:rPr>
            </w:pPr>
          </w:p>
          <w:p w14:paraId="1F757FBF" w14:textId="03B11173" w:rsidR="00B74E85" w:rsidRDefault="00B74E85" w:rsidP="00B74E85">
            <w:pPr>
              <w:rPr>
                <w:sz w:val="18"/>
                <w:szCs w:val="18"/>
              </w:rPr>
            </w:pPr>
            <w:r>
              <w:rPr>
                <w:sz w:val="18"/>
                <w:szCs w:val="18"/>
              </w:rPr>
              <w:t>For those patients who do not have obvious symptoms a protocol will be require to transfer them to the appropriate site if required.</w:t>
            </w:r>
          </w:p>
        </w:tc>
      </w:tr>
      <w:tr w:rsidR="00B74E85" w14:paraId="28E28F50" w14:textId="77777777" w:rsidTr="00AF150C">
        <w:trPr>
          <w:cantSplit/>
        </w:trPr>
        <w:tc>
          <w:tcPr>
            <w:tcW w:w="1209" w:type="dxa"/>
          </w:tcPr>
          <w:p w14:paraId="73BC5F32" w14:textId="0683792C" w:rsidR="00B74E85" w:rsidRDefault="00B74E85" w:rsidP="00B74E85">
            <w:pPr>
              <w:rPr>
                <w:sz w:val="18"/>
                <w:szCs w:val="18"/>
              </w:rPr>
            </w:pPr>
            <w:r w:rsidRPr="00980063">
              <w:rPr>
                <w:sz w:val="18"/>
                <w:szCs w:val="18"/>
              </w:rPr>
              <w:t>Quality &amp; Safety</w:t>
            </w:r>
          </w:p>
        </w:tc>
        <w:tc>
          <w:tcPr>
            <w:tcW w:w="4031" w:type="dxa"/>
          </w:tcPr>
          <w:p w14:paraId="1C9CF0BC" w14:textId="3EB020F4" w:rsidR="00B74E85" w:rsidRDefault="00B74E85" w:rsidP="00B74E85">
            <w:pPr>
              <w:rPr>
                <w:sz w:val="18"/>
                <w:szCs w:val="18"/>
              </w:rPr>
            </w:pPr>
            <w:r>
              <w:rPr>
                <w:sz w:val="18"/>
                <w:szCs w:val="18"/>
              </w:rPr>
              <w:t xml:space="preserve">Tertiary providers may not be able to offer enough procedures to </w:t>
            </w:r>
            <w:proofErr w:type="spellStart"/>
            <w:r>
              <w:rPr>
                <w:sz w:val="18"/>
                <w:szCs w:val="18"/>
              </w:rPr>
              <w:t>NLaG</w:t>
            </w:r>
            <w:proofErr w:type="spellEnd"/>
            <w:r>
              <w:rPr>
                <w:sz w:val="18"/>
                <w:szCs w:val="18"/>
              </w:rPr>
              <w:t xml:space="preserve"> surgeons to provide the critical mass required.</w:t>
            </w:r>
          </w:p>
        </w:tc>
        <w:tc>
          <w:tcPr>
            <w:tcW w:w="745" w:type="dxa"/>
            <w:shd w:val="clear" w:color="auto" w:fill="FF0000"/>
          </w:tcPr>
          <w:p w14:paraId="4BCC219B" w14:textId="43393BE2" w:rsidR="00B74E85" w:rsidRDefault="00B74E85" w:rsidP="00B74E85">
            <w:pPr>
              <w:ind w:left="34"/>
              <w:jc w:val="center"/>
              <w:rPr>
                <w:sz w:val="18"/>
                <w:szCs w:val="18"/>
              </w:rPr>
            </w:pPr>
            <w:r>
              <w:rPr>
                <w:sz w:val="18"/>
                <w:szCs w:val="18"/>
              </w:rPr>
              <w:t>Red</w:t>
            </w:r>
          </w:p>
        </w:tc>
        <w:tc>
          <w:tcPr>
            <w:tcW w:w="3031" w:type="dxa"/>
            <w:shd w:val="clear" w:color="auto" w:fill="auto"/>
          </w:tcPr>
          <w:p w14:paraId="713211D2" w14:textId="344EEBAE" w:rsidR="00B74E85" w:rsidRDefault="00B74E85" w:rsidP="00B74E85">
            <w:pPr>
              <w:rPr>
                <w:sz w:val="18"/>
                <w:szCs w:val="18"/>
              </w:rPr>
            </w:pPr>
            <w:r>
              <w:rPr>
                <w:sz w:val="18"/>
                <w:szCs w:val="18"/>
              </w:rPr>
              <w:t>None identified.</w:t>
            </w:r>
          </w:p>
        </w:tc>
      </w:tr>
      <w:tr w:rsidR="00B74E85" w14:paraId="51060A46" w14:textId="77777777" w:rsidTr="00D94260">
        <w:trPr>
          <w:cantSplit/>
        </w:trPr>
        <w:tc>
          <w:tcPr>
            <w:tcW w:w="1209" w:type="dxa"/>
          </w:tcPr>
          <w:p w14:paraId="39524E27" w14:textId="6FC5070E" w:rsidR="00B74E85" w:rsidRDefault="00B74E85" w:rsidP="00B74E85">
            <w:pPr>
              <w:pStyle w:val="ListParagraph"/>
              <w:spacing w:before="0" w:line="240" w:lineRule="auto"/>
              <w:ind w:left="29"/>
              <w:rPr>
                <w:rFonts w:asciiTheme="minorHAnsi" w:hAnsiTheme="minorHAnsi"/>
                <w:sz w:val="18"/>
                <w:szCs w:val="18"/>
              </w:rPr>
            </w:pPr>
            <w:r>
              <w:rPr>
                <w:rFonts w:asciiTheme="minorHAnsi" w:hAnsiTheme="minorHAnsi"/>
                <w:sz w:val="18"/>
                <w:szCs w:val="18"/>
              </w:rPr>
              <w:t>Affordability</w:t>
            </w:r>
          </w:p>
        </w:tc>
        <w:tc>
          <w:tcPr>
            <w:tcW w:w="4031" w:type="dxa"/>
          </w:tcPr>
          <w:p w14:paraId="258CF8B9" w14:textId="0087FD6D" w:rsidR="00B74E85" w:rsidRDefault="00B74E85" w:rsidP="00B74E85">
            <w:pPr>
              <w:rPr>
                <w:sz w:val="18"/>
                <w:szCs w:val="18"/>
              </w:rPr>
            </w:pPr>
            <w:r>
              <w:rPr>
                <w:sz w:val="18"/>
                <w:szCs w:val="18"/>
              </w:rPr>
              <w:t>This may require recruitment of additional Medical staff if they are required off site for periods of time.  Currently commissioners and providers are required to deliver significant cost savings, and this investment may prove to be prohibitive.</w:t>
            </w:r>
          </w:p>
        </w:tc>
        <w:tc>
          <w:tcPr>
            <w:tcW w:w="745" w:type="dxa"/>
            <w:shd w:val="clear" w:color="auto" w:fill="FF0000"/>
          </w:tcPr>
          <w:p w14:paraId="2C2EA0C8" w14:textId="03B91295" w:rsidR="00B74E85" w:rsidRDefault="00B74E85" w:rsidP="00B74E85">
            <w:pPr>
              <w:ind w:left="34"/>
              <w:jc w:val="center"/>
              <w:rPr>
                <w:sz w:val="18"/>
                <w:szCs w:val="18"/>
              </w:rPr>
            </w:pPr>
            <w:r>
              <w:rPr>
                <w:sz w:val="18"/>
                <w:szCs w:val="18"/>
              </w:rPr>
              <w:t>Red</w:t>
            </w:r>
          </w:p>
        </w:tc>
        <w:tc>
          <w:tcPr>
            <w:tcW w:w="3031" w:type="dxa"/>
            <w:shd w:val="clear" w:color="auto" w:fill="auto"/>
          </w:tcPr>
          <w:p w14:paraId="13DAEEC0" w14:textId="70C05403" w:rsidR="00B74E85" w:rsidRDefault="00B74E85" w:rsidP="00B74E85">
            <w:pPr>
              <w:rPr>
                <w:sz w:val="18"/>
                <w:szCs w:val="18"/>
              </w:rPr>
            </w:pPr>
            <w:r>
              <w:rPr>
                <w:sz w:val="18"/>
                <w:szCs w:val="18"/>
              </w:rPr>
              <w:t xml:space="preserve">Discuss with the tertiary provider a reciprocal rotation arrangement where one of their team </w:t>
            </w:r>
            <w:proofErr w:type="gramStart"/>
            <w:r>
              <w:rPr>
                <w:sz w:val="18"/>
                <w:szCs w:val="18"/>
              </w:rPr>
              <w:t>replace</w:t>
            </w:r>
            <w:proofErr w:type="gramEnd"/>
            <w:r>
              <w:rPr>
                <w:sz w:val="18"/>
                <w:szCs w:val="18"/>
              </w:rPr>
              <w:t xml:space="preserve"> the </w:t>
            </w:r>
            <w:proofErr w:type="spellStart"/>
            <w:r>
              <w:rPr>
                <w:sz w:val="18"/>
                <w:szCs w:val="18"/>
              </w:rPr>
              <w:t>NLaG</w:t>
            </w:r>
            <w:proofErr w:type="spellEnd"/>
            <w:r>
              <w:rPr>
                <w:sz w:val="18"/>
                <w:szCs w:val="18"/>
              </w:rPr>
              <w:t xml:space="preserve"> clinician during the rotation.</w:t>
            </w:r>
          </w:p>
        </w:tc>
      </w:tr>
      <w:tr w:rsidR="00B74E85" w14:paraId="74968C00" w14:textId="77777777" w:rsidTr="000B5E0C">
        <w:trPr>
          <w:cantSplit/>
        </w:trPr>
        <w:tc>
          <w:tcPr>
            <w:tcW w:w="1209" w:type="dxa"/>
          </w:tcPr>
          <w:p w14:paraId="1B483BC8" w14:textId="08744DAD" w:rsidR="00B74E85" w:rsidRDefault="00B74E85" w:rsidP="00B74E85">
            <w:pPr>
              <w:pStyle w:val="ListParagraph"/>
              <w:spacing w:before="0" w:line="240" w:lineRule="auto"/>
              <w:ind w:left="29"/>
              <w:rPr>
                <w:rFonts w:asciiTheme="minorHAnsi" w:hAnsiTheme="minorHAnsi"/>
                <w:sz w:val="18"/>
                <w:szCs w:val="18"/>
              </w:rPr>
            </w:pPr>
            <w:r>
              <w:rPr>
                <w:rFonts w:asciiTheme="minorHAnsi" w:hAnsiTheme="minorHAnsi"/>
                <w:sz w:val="18"/>
                <w:szCs w:val="18"/>
              </w:rPr>
              <w:t>Deliverability</w:t>
            </w:r>
          </w:p>
        </w:tc>
        <w:tc>
          <w:tcPr>
            <w:tcW w:w="4031" w:type="dxa"/>
          </w:tcPr>
          <w:p w14:paraId="3D2A2446" w14:textId="251C6D12" w:rsidR="00B74E85" w:rsidRDefault="00B74E85" w:rsidP="00B74E85">
            <w:pPr>
              <w:rPr>
                <w:sz w:val="18"/>
                <w:szCs w:val="18"/>
              </w:rPr>
            </w:pPr>
            <w:r>
              <w:rPr>
                <w:sz w:val="18"/>
                <w:szCs w:val="18"/>
              </w:rPr>
              <w:t>Rotating across sites is not attractive to staff, and this may impact negatively on morale.</w:t>
            </w:r>
          </w:p>
        </w:tc>
        <w:tc>
          <w:tcPr>
            <w:tcW w:w="745" w:type="dxa"/>
            <w:shd w:val="clear" w:color="auto" w:fill="FFC000"/>
          </w:tcPr>
          <w:p w14:paraId="14BE6940" w14:textId="2E45EF17" w:rsidR="00B74E85" w:rsidRDefault="00B74E85" w:rsidP="00B74E85">
            <w:pPr>
              <w:ind w:left="34"/>
              <w:jc w:val="center"/>
              <w:rPr>
                <w:sz w:val="18"/>
                <w:szCs w:val="18"/>
              </w:rPr>
            </w:pPr>
            <w:r>
              <w:rPr>
                <w:sz w:val="18"/>
                <w:szCs w:val="18"/>
              </w:rPr>
              <w:t>Amber</w:t>
            </w:r>
          </w:p>
        </w:tc>
        <w:tc>
          <w:tcPr>
            <w:tcW w:w="3031" w:type="dxa"/>
            <w:shd w:val="clear" w:color="auto" w:fill="auto"/>
          </w:tcPr>
          <w:p w14:paraId="67D86B3A" w14:textId="1E148758" w:rsidR="00B74E85" w:rsidRDefault="00B74E85" w:rsidP="00B74E85">
            <w:pPr>
              <w:ind w:left="34"/>
              <w:rPr>
                <w:sz w:val="18"/>
                <w:szCs w:val="18"/>
              </w:rPr>
            </w:pPr>
            <w:r>
              <w:rPr>
                <w:sz w:val="18"/>
                <w:szCs w:val="18"/>
              </w:rPr>
              <w:t>Staff could be incentivised to move within the service with travel contributions.</w:t>
            </w:r>
          </w:p>
        </w:tc>
      </w:tr>
      <w:tr w:rsidR="00B74E85" w14:paraId="1059F502" w14:textId="77777777" w:rsidTr="000E7D93">
        <w:trPr>
          <w:cantSplit/>
        </w:trPr>
        <w:tc>
          <w:tcPr>
            <w:tcW w:w="1209" w:type="dxa"/>
          </w:tcPr>
          <w:p w14:paraId="04CF2579" w14:textId="6E4F8149" w:rsidR="00B74E85" w:rsidRDefault="00B74E85" w:rsidP="00B74E85">
            <w:pPr>
              <w:pStyle w:val="ListParagraph"/>
              <w:spacing w:before="0" w:line="240" w:lineRule="auto"/>
              <w:ind w:left="29"/>
              <w:rPr>
                <w:rFonts w:asciiTheme="minorHAnsi" w:hAnsiTheme="minorHAnsi"/>
                <w:sz w:val="18"/>
                <w:szCs w:val="18"/>
              </w:rPr>
            </w:pPr>
            <w:r>
              <w:rPr>
                <w:rFonts w:asciiTheme="minorHAnsi" w:hAnsiTheme="minorHAnsi"/>
                <w:sz w:val="18"/>
                <w:szCs w:val="18"/>
              </w:rPr>
              <w:t>Deliverability</w:t>
            </w:r>
          </w:p>
        </w:tc>
        <w:tc>
          <w:tcPr>
            <w:tcW w:w="4031" w:type="dxa"/>
          </w:tcPr>
          <w:p w14:paraId="19DD4CCE" w14:textId="42CD2BF9" w:rsidR="00B74E85" w:rsidRDefault="00B74E85" w:rsidP="00B74E85">
            <w:pPr>
              <w:rPr>
                <w:sz w:val="18"/>
                <w:szCs w:val="18"/>
              </w:rPr>
            </w:pPr>
            <w:r>
              <w:rPr>
                <w:sz w:val="18"/>
                <w:szCs w:val="18"/>
              </w:rPr>
              <w:t>Rotating with tertiary centres for may compromise service delivery and on call rotas if the surgeons are required to spend more time off site in the tertiary centre.</w:t>
            </w:r>
          </w:p>
        </w:tc>
        <w:tc>
          <w:tcPr>
            <w:tcW w:w="745" w:type="dxa"/>
            <w:shd w:val="clear" w:color="auto" w:fill="FF0000"/>
          </w:tcPr>
          <w:p w14:paraId="59D83701" w14:textId="5A94CCA0" w:rsidR="00B74E85" w:rsidRDefault="00B74E85" w:rsidP="00B74E85">
            <w:pPr>
              <w:ind w:left="34"/>
              <w:jc w:val="center"/>
              <w:rPr>
                <w:sz w:val="18"/>
                <w:szCs w:val="18"/>
              </w:rPr>
            </w:pPr>
            <w:r>
              <w:rPr>
                <w:sz w:val="18"/>
                <w:szCs w:val="18"/>
              </w:rPr>
              <w:t>Red</w:t>
            </w:r>
          </w:p>
        </w:tc>
        <w:tc>
          <w:tcPr>
            <w:tcW w:w="3031" w:type="dxa"/>
            <w:shd w:val="clear" w:color="auto" w:fill="auto"/>
          </w:tcPr>
          <w:p w14:paraId="05ECF714" w14:textId="4CC3D6B6" w:rsidR="00B74E85" w:rsidRDefault="00B74E85" w:rsidP="00B74E85">
            <w:pPr>
              <w:ind w:left="-2" w:firstLine="2"/>
              <w:rPr>
                <w:sz w:val="18"/>
                <w:szCs w:val="18"/>
              </w:rPr>
            </w:pPr>
            <w:r>
              <w:rPr>
                <w:sz w:val="18"/>
                <w:szCs w:val="18"/>
              </w:rPr>
              <w:t xml:space="preserve">Adjust rotas and staffing levels to ensure the service can be maintained.            </w:t>
            </w:r>
          </w:p>
          <w:p w14:paraId="0C38B3C6" w14:textId="77777777" w:rsidR="00B74E85" w:rsidRDefault="00B74E85" w:rsidP="00B74E85">
            <w:pPr>
              <w:ind w:left="-2" w:firstLine="2"/>
              <w:jc w:val="both"/>
              <w:rPr>
                <w:sz w:val="18"/>
                <w:szCs w:val="18"/>
              </w:rPr>
            </w:pPr>
          </w:p>
          <w:p w14:paraId="56C2F5BB" w14:textId="19B0BBD2" w:rsidR="00B74E85" w:rsidRDefault="00B74E85" w:rsidP="00B74E85">
            <w:pPr>
              <w:ind w:left="-2" w:firstLine="2"/>
              <w:rPr>
                <w:sz w:val="18"/>
                <w:szCs w:val="18"/>
              </w:rPr>
            </w:pPr>
            <w:r>
              <w:rPr>
                <w:sz w:val="18"/>
                <w:szCs w:val="18"/>
              </w:rPr>
              <w:t>Use specialist GPs or locums to cover any gaps in rotas or service provision.</w:t>
            </w:r>
          </w:p>
        </w:tc>
      </w:tr>
      <w:tr w:rsidR="00B74E85" w14:paraId="124E8346" w14:textId="77777777" w:rsidTr="000E7D93">
        <w:trPr>
          <w:cantSplit/>
        </w:trPr>
        <w:tc>
          <w:tcPr>
            <w:tcW w:w="1209" w:type="dxa"/>
          </w:tcPr>
          <w:p w14:paraId="3CEA58E0" w14:textId="44264579" w:rsidR="00B74E85" w:rsidRDefault="00B74E85" w:rsidP="00B74E85">
            <w:pPr>
              <w:rPr>
                <w:sz w:val="18"/>
                <w:szCs w:val="18"/>
              </w:rPr>
            </w:pPr>
            <w:r>
              <w:rPr>
                <w:sz w:val="18"/>
                <w:szCs w:val="18"/>
              </w:rPr>
              <w:t>Deliverability</w:t>
            </w:r>
          </w:p>
        </w:tc>
        <w:tc>
          <w:tcPr>
            <w:tcW w:w="4031" w:type="dxa"/>
          </w:tcPr>
          <w:p w14:paraId="05606311" w14:textId="064E6CB3" w:rsidR="00B74E85" w:rsidRDefault="00B74E85" w:rsidP="00B74E85">
            <w:pPr>
              <w:rPr>
                <w:sz w:val="18"/>
                <w:szCs w:val="18"/>
              </w:rPr>
            </w:pPr>
            <w:r>
              <w:rPr>
                <w:sz w:val="18"/>
                <w:szCs w:val="18"/>
              </w:rPr>
              <w:t>It may not be possible for all surgeons to take part in the rotational programme due to current commitments and job plans.</w:t>
            </w:r>
          </w:p>
        </w:tc>
        <w:tc>
          <w:tcPr>
            <w:tcW w:w="745" w:type="dxa"/>
            <w:shd w:val="clear" w:color="auto" w:fill="FF0000"/>
          </w:tcPr>
          <w:p w14:paraId="5DC546E9" w14:textId="09ACB3F8" w:rsidR="00B74E85" w:rsidRDefault="00B74E85" w:rsidP="00B74E85">
            <w:pPr>
              <w:rPr>
                <w:sz w:val="18"/>
                <w:szCs w:val="18"/>
              </w:rPr>
            </w:pPr>
            <w:r>
              <w:rPr>
                <w:sz w:val="18"/>
                <w:szCs w:val="18"/>
              </w:rPr>
              <w:t>Red</w:t>
            </w:r>
          </w:p>
        </w:tc>
        <w:tc>
          <w:tcPr>
            <w:tcW w:w="3031" w:type="dxa"/>
            <w:shd w:val="clear" w:color="auto" w:fill="auto"/>
          </w:tcPr>
          <w:p w14:paraId="743E3A46" w14:textId="48520E95" w:rsidR="00B74E85" w:rsidRDefault="00B74E85" w:rsidP="00B74E85">
            <w:pPr>
              <w:rPr>
                <w:sz w:val="18"/>
                <w:szCs w:val="18"/>
              </w:rPr>
            </w:pPr>
            <w:r>
              <w:rPr>
                <w:sz w:val="18"/>
                <w:szCs w:val="18"/>
              </w:rPr>
              <w:t>Reduce the number involved in the programme, and therefore able to undertake the surgery on children.</w:t>
            </w:r>
          </w:p>
        </w:tc>
      </w:tr>
    </w:tbl>
    <w:p w14:paraId="6F65E51B" w14:textId="77777777" w:rsidR="00F63B53" w:rsidRDefault="00F63B53" w:rsidP="00F63B53"/>
    <w:p w14:paraId="33133ECF" w14:textId="7B3D64D5" w:rsidR="00760E1C" w:rsidRDefault="00B77048" w:rsidP="00760E1C">
      <w:pPr>
        <w:pStyle w:val="Heading2"/>
      </w:pPr>
      <w:bookmarkStart w:id="28" w:name="_Toc388275375"/>
      <w:r>
        <w:t>7</w:t>
      </w:r>
      <w:r w:rsidR="00566A1D">
        <w:t>.3 Benefits</w:t>
      </w:r>
      <w:bookmarkEnd w:id="28"/>
    </w:p>
    <w:p w14:paraId="045D6ABD" w14:textId="77777777" w:rsidR="00F63B53" w:rsidRDefault="00F63B53" w:rsidP="00F63B53">
      <w:r>
        <w:t>Benefits of this option are shown below:</w:t>
      </w:r>
    </w:p>
    <w:p w14:paraId="0ED4787B" w14:textId="54364D4A" w:rsidR="00F63B53" w:rsidRPr="001B1F57" w:rsidRDefault="00FB07C6" w:rsidP="001B1F57">
      <w:pPr>
        <w:pStyle w:val="Heading4"/>
      </w:pPr>
      <w:r w:rsidRPr="001B1F57">
        <w:t xml:space="preserve">Table </w:t>
      </w:r>
      <w:r w:rsidR="00B77048">
        <w:t>17</w:t>
      </w:r>
      <w:r w:rsidR="00407DDA" w:rsidRPr="001B1F57">
        <w:t xml:space="preserve"> – Benefits of option </w:t>
      </w:r>
      <w:r w:rsidR="001B1F57">
        <w:t>3</w:t>
      </w:r>
      <w:r w:rsidR="00F63B53" w:rsidRPr="001B1F57">
        <w:t xml:space="preserve"> (</w:t>
      </w:r>
      <w:r w:rsidR="001B1F57">
        <w:t>rotational training programme with tertiary providers</w:t>
      </w:r>
      <w:r w:rsidR="00F63B53" w:rsidRPr="001B1F57">
        <w:t>)</w:t>
      </w:r>
    </w:p>
    <w:tbl>
      <w:tblPr>
        <w:tblStyle w:val="TableGrid"/>
        <w:tblW w:w="9067" w:type="dxa"/>
        <w:tblLook w:val="04A0" w:firstRow="1" w:lastRow="0" w:firstColumn="1" w:lastColumn="0" w:noHBand="0" w:noVBand="1"/>
      </w:tblPr>
      <w:tblGrid>
        <w:gridCol w:w="1555"/>
        <w:gridCol w:w="7512"/>
      </w:tblGrid>
      <w:tr w:rsidR="00F63B53" w:rsidRPr="00926E74" w14:paraId="523AC1E8" w14:textId="77777777" w:rsidTr="009E6EEB">
        <w:trPr>
          <w:cantSplit/>
          <w:tblHeader/>
        </w:trPr>
        <w:tc>
          <w:tcPr>
            <w:tcW w:w="1555" w:type="dxa"/>
            <w:shd w:val="clear" w:color="auto" w:fill="767171" w:themeFill="background2" w:themeFillShade="80"/>
          </w:tcPr>
          <w:p w14:paraId="081EB36B" w14:textId="77777777" w:rsidR="00F63B53" w:rsidRPr="00926E74" w:rsidRDefault="00F63B53" w:rsidP="00DC0645">
            <w:pPr>
              <w:rPr>
                <w:color w:val="FFFFFF" w:themeColor="background1"/>
                <w:sz w:val="18"/>
                <w:szCs w:val="18"/>
              </w:rPr>
            </w:pPr>
            <w:r>
              <w:rPr>
                <w:color w:val="FFFFFF" w:themeColor="background1"/>
                <w:sz w:val="18"/>
                <w:szCs w:val="18"/>
              </w:rPr>
              <w:t>Category</w:t>
            </w:r>
          </w:p>
        </w:tc>
        <w:tc>
          <w:tcPr>
            <w:tcW w:w="7512" w:type="dxa"/>
            <w:shd w:val="clear" w:color="auto" w:fill="767171" w:themeFill="background2" w:themeFillShade="80"/>
          </w:tcPr>
          <w:p w14:paraId="1CD5D435" w14:textId="77777777" w:rsidR="00F63B53" w:rsidRPr="00926E74" w:rsidRDefault="00F63B53" w:rsidP="00DC0645">
            <w:pPr>
              <w:rPr>
                <w:color w:val="FFFFFF" w:themeColor="background1"/>
                <w:sz w:val="18"/>
                <w:szCs w:val="18"/>
              </w:rPr>
            </w:pPr>
            <w:r>
              <w:rPr>
                <w:color w:val="FFFFFF" w:themeColor="background1"/>
                <w:sz w:val="18"/>
                <w:szCs w:val="18"/>
              </w:rPr>
              <w:t>Benefit</w:t>
            </w:r>
          </w:p>
        </w:tc>
      </w:tr>
      <w:tr w:rsidR="0051757B" w:rsidRPr="00926E74" w14:paraId="6F6EE361" w14:textId="77777777" w:rsidTr="009E6EEB">
        <w:trPr>
          <w:cantSplit/>
        </w:trPr>
        <w:tc>
          <w:tcPr>
            <w:tcW w:w="1555" w:type="dxa"/>
          </w:tcPr>
          <w:p w14:paraId="332DB427" w14:textId="0B44BF4C" w:rsidR="0051757B" w:rsidRPr="00BE3329" w:rsidRDefault="0051757B" w:rsidP="0051757B">
            <w:pPr>
              <w:rPr>
                <w:sz w:val="18"/>
                <w:szCs w:val="18"/>
              </w:rPr>
            </w:pPr>
            <w:r>
              <w:rPr>
                <w:sz w:val="18"/>
                <w:szCs w:val="18"/>
              </w:rPr>
              <w:t>Access</w:t>
            </w:r>
          </w:p>
        </w:tc>
        <w:tc>
          <w:tcPr>
            <w:tcW w:w="7512" w:type="dxa"/>
          </w:tcPr>
          <w:p w14:paraId="7B6511F5" w14:textId="6E944397" w:rsidR="0051757B" w:rsidRPr="00926E74" w:rsidRDefault="000B5E0C" w:rsidP="0051757B">
            <w:pPr>
              <w:rPr>
                <w:sz w:val="18"/>
                <w:szCs w:val="18"/>
              </w:rPr>
            </w:pPr>
            <w:r>
              <w:rPr>
                <w:sz w:val="18"/>
                <w:szCs w:val="18"/>
              </w:rPr>
              <w:t>This will allow the service to be delivered on both sites which will be more acceptable for the public</w:t>
            </w:r>
          </w:p>
        </w:tc>
      </w:tr>
      <w:tr w:rsidR="000B5E0C" w:rsidRPr="00926E74" w14:paraId="5022B5D3" w14:textId="77777777" w:rsidTr="009E6EEB">
        <w:trPr>
          <w:cantSplit/>
        </w:trPr>
        <w:tc>
          <w:tcPr>
            <w:tcW w:w="1555" w:type="dxa"/>
          </w:tcPr>
          <w:p w14:paraId="7318870B" w14:textId="53E47ADB" w:rsidR="000B5E0C" w:rsidRDefault="000B5E0C" w:rsidP="0051757B">
            <w:pPr>
              <w:rPr>
                <w:sz w:val="18"/>
                <w:szCs w:val="18"/>
              </w:rPr>
            </w:pPr>
            <w:r>
              <w:rPr>
                <w:sz w:val="18"/>
                <w:szCs w:val="18"/>
              </w:rPr>
              <w:t>Deliverability</w:t>
            </w:r>
          </w:p>
        </w:tc>
        <w:tc>
          <w:tcPr>
            <w:tcW w:w="7512" w:type="dxa"/>
          </w:tcPr>
          <w:p w14:paraId="0F01B8FF" w14:textId="29F58894" w:rsidR="000B5E0C" w:rsidRDefault="000B5E0C" w:rsidP="0051757B">
            <w:pPr>
              <w:rPr>
                <w:sz w:val="18"/>
                <w:szCs w:val="18"/>
              </w:rPr>
            </w:pPr>
            <w:r>
              <w:rPr>
                <w:sz w:val="18"/>
                <w:szCs w:val="18"/>
              </w:rPr>
              <w:t>This could offer a more attractive proposition for staff if there is a tertiary rotation.  This could impact positively on recruitment.</w:t>
            </w:r>
          </w:p>
        </w:tc>
      </w:tr>
    </w:tbl>
    <w:p w14:paraId="2620CA21" w14:textId="77777777" w:rsidR="00B77048" w:rsidRDefault="00B77048" w:rsidP="005441C9">
      <w:pPr>
        <w:pStyle w:val="Heading2"/>
      </w:pPr>
    </w:p>
    <w:p w14:paraId="6A958A03" w14:textId="77777777" w:rsidR="00B77048" w:rsidRDefault="00B77048">
      <w:pPr>
        <w:rPr>
          <w:rFonts w:asciiTheme="majorHAnsi" w:eastAsiaTheme="majorEastAsia" w:hAnsiTheme="majorHAnsi" w:cstheme="majorBidi"/>
          <w:color w:val="2E74B5" w:themeColor="accent1" w:themeShade="BF"/>
          <w:sz w:val="26"/>
          <w:szCs w:val="26"/>
        </w:rPr>
      </w:pPr>
      <w:r>
        <w:br w:type="page"/>
      </w:r>
    </w:p>
    <w:p w14:paraId="6E747585" w14:textId="52F70C09" w:rsidR="005441C9" w:rsidRDefault="00B77048" w:rsidP="005441C9">
      <w:pPr>
        <w:pStyle w:val="Heading2"/>
      </w:pPr>
      <w:bookmarkStart w:id="29" w:name="_Toc388275376"/>
      <w:r>
        <w:lastRenderedPageBreak/>
        <w:t>7</w:t>
      </w:r>
      <w:r w:rsidR="002E71F0">
        <w:t>.4 Equality Impact Assessment</w:t>
      </w:r>
      <w:bookmarkEnd w:id="29"/>
    </w:p>
    <w:p w14:paraId="04CD707F" w14:textId="77777777" w:rsidR="005441C9" w:rsidRDefault="005441C9" w:rsidP="005441C9">
      <w:r>
        <w:t>The impact on people with protected characteristics can be seen below:</w:t>
      </w:r>
    </w:p>
    <w:p w14:paraId="0D273F32" w14:textId="7E93BF93" w:rsidR="00BD464D" w:rsidRDefault="005441C9" w:rsidP="00B77048">
      <w:pPr>
        <w:pStyle w:val="Heading4"/>
      </w:pPr>
      <w:r w:rsidRPr="001B1F57">
        <w:t xml:space="preserve">Table </w:t>
      </w:r>
      <w:r w:rsidR="00B77048">
        <w:t>18</w:t>
      </w:r>
      <w:r w:rsidRPr="001B1F57">
        <w:t xml:space="preserve"> – Assessment of the impact on people with protected characteristics </w:t>
      </w:r>
    </w:p>
    <w:tbl>
      <w:tblPr>
        <w:tblStyle w:val="TableGrid"/>
        <w:tblW w:w="9067" w:type="dxa"/>
        <w:tblLook w:val="04A0" w:firstRow="1" w:lastRow="0" w:firstColumn="1" w:lastColumn="0" w:noHBand="0" w:noVBand="1"/>
      </w:tblPr>
      <w:tblGrid>
        <w:gridCol w:w="1413"/>
        <w:gridCol w:w="992"/>
        <w:gridCol w:w="6662"/>
      </w:tblGrid>
      <w:tr w:rsidR="00B77048" w:rsidRPr="00283C04" w14:paraId="36EF8505" w14:textId="77777777" w:rsidTr="0076385F">
        <w:tc>
          <w:tcPr>
            <w:tcW w:w="1413" w:type="dxa"/>
            <w:shd w:val="clear" w:color="auto" w:fill="767171" w:themeFill="background2" w:themeFillShade="80"/>
          </w:tcPr>
          <w:p w14:paraId="10BDB77B" w14:textId="77777777" w:rsidR="00B77048" w:rsidRPr="00283C04" w:rsidRDefault="00B77048" w:rsidP="0076385F">
            <w:pPr>
              <w:rPr>
                <w:color w:val="FFFFFF" w:themeColor="background1"/>
                <w:sz w:val="18"/>
                <w:szCs w:val="18"/>
              </w:rPr>
            </w:pPr>
            <w:r>
              <w:br w:type="page"/>
            </w:r>
            <w:r w:rsidRPr="00283C04">
              <w:rPr>
                <w:color w:val="FFFFFF" w:themeColor="background1"/>
                <w:sz w:val="18"/>
                <w:szCs w:val="18"/>
              </w:rPr>
              <w:t>Protected characteristic</w:t>
            </w:r>
          </w:p>
        </w:tc>
        <w:tc>
          <w:tcPr>
            <w:tcW w:w="992" w:type="dxa"/>
            <w:shd w:val="clear" w:color="auto" w:fill="767171" w:themeFill="background2" w:themeFillShade="80"/>
          </w:tcPr>
          <w:p w14:paraId="59349FEE" w14:textId="77777777" w:rsidR="00B77048" w:rsidRPr="00283C04" w:rsidRDefault="00B77048" w:rsidP="0076385F">
            <w:pPr>
              <w:jc w:val="center"/>
              <w:rPr>
                <w:color w:val="FFFFFF" w:themeColor="background1"/>
                <w:sz w:val="18"/>
                <w:szCs w:val="18"/>
              </w:rPr>
            </w:pPr>
            <w:r w:rsidRPr="00283C04">
              <w:rPr>
                <w:color w:val="FFFFFF" w:themeColor="background1"/>
                <w:sz w:val="18"/>
                <w:szCs w:val="18"/>
              </w:rPr>
              <w:t>Impact</w:t>
            </w:r>
          </w:p>
        </w:tc>
        <w:tc>
          <w:tcPr>
            <w:tcW w:w="6662" w:type="dxa"/>
            <w:shd w:val="clear" w:color="auto" w:fill="767171" w:themeFill="background2" w:themeFillShade="80"/>
          </w:tcPr>
          <w:p w14:paraId="52E85AC8" w14:textId="77777777" w:rsidR="00B77048" w:rsidRPr="00283C04" w:rsidRDefault="00B77048" w:rsidP="0076385F">
            <w:pPr>
              <w:rPr>
                <w:color w:val="FFFFFF" w:themeColor="background1"/>
                <w:sz w:val="18"/>
                <w:szCs w:val="18"/>
              </w:rPr>
            </w:pPr>
            <w:r w:rsidRPr="00283C04">
              <w:rPr>
                <w:color w:val="FFFFFF" w:themeColor="background1"/>
                <w:sz w:val="18"/>
                <w:szCs w:val="18"/>
              </w:rPr>
              <w:t>Nature of impact</w:t>
            </w:r>
          </w:p>
        </w:tc>
      </w:tr>
      <w:tr w:rsidR="00B77048" w:rsidRPr="00283C04" w14:paraId="3DF476F7" w14:textId="77777777" w:rsidTr="0076385F">
        <w:tc>
          <w:tcPr>
            <w:tcW w:w="1413" w:type="dxa"/>
          </w:tcPr>
          <w:p w14:paraId="1DCEECE8" w14:textId="77777777" w:rsidR="00B77048" w:rsidRPr="00283C04" w:rsidRDefault="00B77048" w:rsidP="0076385F">
            <w:pPr>
              <w:rPr>
                <w:sz w:val="18"/>
                <w:szCs w:val="18"/>
              </w:rPr>
            </w:pPr>
            <w:r w:rsidRPr="00283C04">
              <w:rPr>
                <w:sz w:val="18"/>
                <w:szCs w:val="18"/>
              </w:rPr>
              <w:t>Age</w:t>
            </w:r>
          </w:p>
        </w:tc>
        <w:tc>
          <w:tcPr>
            <w:tcW w:w="992" w:type="dxa"/>
            <w:shd w:val="clear" w:color="auto" w:fill="FF0000"/>
          </w:tcPr>
          <w:p w14:paraId="26633CD3" w14:textId="77777777" w:rsidR="00B77048" w:rsidRPr="00283C04" w:rsidRDefault="00B77048" w:rsidP="0076385F">
            <w:pPr>
              <w:jc w:val="center"/>
              <w:rPr>
                <w:sz w:val="18"/>
                <w:szCs w:val="18"/>
              </w:rPr>
            </w:pPr>
            <w:r w:rsidRPr="00283C04">
              <w:rPr>
                <w:sz w:val="18"/>
                <w:szCs w:val="18"/>
              </w:rPr>
              <w:t>Negative</w:t>
            </w:r>
          </w:p>
        </w:tc>
        <w:tc>
          <w:tcPr>
            <w:tcW w:w="6662" w:type="dxa"/>
          </w:tcPr>
          <w:p w14:paraId="48213B80" w14:textId="7A43B088" w:rsidR="00B77048" w:rsidRPr="00B77048" w:rsidRDefault="00B77048" w:rsidP="0076385F">
            <w:pPr>
              <w:rPr>
                <w:sz w:val="18"/>
                <w:szCs w:val="18"/>
              </w:rPr>
            </w:pPr>
            <w:r w:rsidRPr="00B77048">
              <w:rPr>
                <w:rFonts w:ascii="Calibri" w:hAnsi="Calibri" w:cs="Arial"/>
                <w:sz w:val="18"/>
                <w:szCs w:val="18"/>
              </w:rPr>
              <w:t>Children patients may still attend local A&amp;E with problems that require emergency surgery. If there is no surgical service on that site for that time, patients may be required to be transferred between local and tertiary sites. Tertiary providers may not be able to offer enough procedures to NL&amp;G surgeons to provide the critical mass required. Rotating with tertiary centres may compromise service delivery and on call rotas if the surgeons are required to spend more time off site in the tertiary centre</w:t>
            </w:r>
            <w:r>
              <w:rPr>
                <w:rFonts w:ascii="Calibri" w:hAnsi="Calibri" w:cs="Arial"/>
                <w:sz w:val="18"/>
                <w:szCs w:val="18"/>
              </w:rPr>
              <w:t>.</w:t>
            </w:r>
          </w:p>
        </w:tc>
      </w:tr>
      <w:tr w:rsidR="00B77048" w:rsidRPr="00283C04" w14:paraId="2E2988E2" w14:textId="77777777" w:rsidTr="0076385F">
        <w:tc>
          <w:tcPr>
            <w:tcW w:w="1413" w:type="dxa"/>
          </w:tcPr>
          <w:p w14:paraId="6684B6EC" w14:textId="77777777" w:rsidR="00B77048" w:rsidRPr="00283C04" w:rsidRDefault="00B77048" w:rsidP="0076385F">
            <w:pPr>
              <w:rPr>
                <w:sz w:val="18"/>
                <w:szCs w:val="18"/>
              </w:rPr>
            </w:pPr>
            <w:r w:rsidRPr="00283C04">
              <w:rPr>
                <w:sz w:val="18"/>
                <w:szCs w:val="18"/>
              </w:rPr>
              <w:t>Disability</w:t>
            </w:r>
          </w:p>
        </w:tc>
        <w:tc>
          <w:tcPr>
            <w:tcW w:w="992" w:type="dxa"/>
            <w:shd w:val="clear" w:color="auto" w:fill="FFC000"/>
          </w:tcPr>
          <w:p w14:paraId="0C6A69BC" w14:textId="77777777" w:rsidR="00B77048" w:rsidRPr="00283C04" w:rsidRDefault="00B77048" w:rsidP="0076385F">
            <w:pPr>
              <w:jc w:val="center"/>
              <w:rPr>
                <w:sz w:val="18"/>
                <w:szCs w:val="18"/>
              </w:rPr>
            </w:pPr>
            <w:r w:rsidRPr="00283C04">
              <w:rPr>
                <w:sz w:val="18"/>
                <w:szCs w:val="18"/>
              </w:rPr>
              <w:t>Neutral</w:t>
            </w:r>
          </w:p>
        </w:tc>
        <w:tc>
          <w:tcPr>
            <w:tcW w:w="6662" w:type="dxa"/>
          </w:tcPr>
          <w:p w14:paraId="6966F749" w14:textId="77777777" w:rsidR="00B77048" w:rsidRPr="00E04768" w:rsidRDefault="00B77048" w:rsidP="0076385F">
            <w:pPr>
              <w:rPr>
                <w:sz w:val="18"/>
                <w:szCs w:val="18"/>
              </w:rPr>
            </w:pPr>
            <w:r w:rsidRPr="00E04768">
              <w:rPr>
                <w:rFonts w:cs="Arial"/>
                <w:sz w:val="18"/>
                <w:szCs w:val="18"/>
              </w:rPr>
              <w:t>Potential negative impact for the population in general, however there is currently no data gathered to monitor the impact on this cohort of patients.</w:t>
            </w:r>
          </w:p>
        </w:tc>
      </w:tr>
      <w:tr w:rsidR="00B77048" w:rsidRPr="00283C04" w14:paraId="35E9BD27" w14:textId="77777777" w:rsidTr="0076385F">
        <w:tc>
          <w:tcPr>
            <w:tcW w:w="1413" w:type="dxa"/>
          </w:tcPr>
          <w:p w14:paraId="0A750605" w14:textId="77777777" w:rsidR="00B77048" w:rsidRPr="00283C04" w:rsidRDefault="00B77048" w:rsidP="0076385F">
            <w:pPr>
              <w:rPr>
                <w:sz w:val="18"/>
                <w:szCs w:val="18"/>
              </w:rPr>
            </w:pPr>
            <w:r w:rsidRPr="00283C04">
              <w:rPr>
                <w:sz w:val="18"/>
                <w:szCs w:val="18"/>
              </w:rPr>
              <w:t>Gender reassignment</w:t>
            </w:r>
          </w:p>
        </w:tc>
        <w:tc>
          <w:tcPr>
            <w:tcW w:w="992" w:type="dxa"/>
            <w:shd w:val="clear" w:color="auto" w:fill="FFC000"/>
          </w:tcPr>
          <w:p w14:paraId="46749EF8" w14:textId="77777777" w:rsidR="00B77048" w:rsidRPr="00283C04" w:rsidRDefault="00B77048" w:rsidP="0076385F">
            <w:pPr>
              <w:jc w:val="center"/>
              <w:rPr>
                <w:sz w:val="18"/>
                <w:szCs w:val="18"/>
              </w:rPr>
            </w:pPr>
            <w:r w:rsidRPr="00283C04">
              <w:rPr>
                <w:sz w:val="18"/>
                <w:szCs w:val="18"/>
              </w:rPr>
              <w:t>Neutral</w:t>
            </w:r>
          </w:p>
        </w:tc>
        <w:tc>
          <w:tcPr>
            <w:tcW w:w="6662" w:type="dxa"/>
          </w:tcPr>
          <w:p w14:paraId="03036FEE" w14:textId="77777777" w:rsidR="00B77048" w:rsidRPr="00283C04" w:rsidRDefault="00B77048" w:rsidP="0076385F">
            <w:pPr>
              <w:rPr>
                <w:sz w:val="18"/>
                <w:szCs w:val="18"/>
              </w:rPr>
            </w:pPr>
            <w:r w:rsidRPr="00283C04">
              <w:rPr>
                <w:rFonts w:cs="Arial"/>
                <w:sz w:val="18"/>
                <w:szCs w:val="18"/>
              </w:rPr>
              <w:t>Potential negative impact</w:t>
            </w:r>
            <w:r>
              <w:rPr>
                <w:rFonts w:cs="Arial"/>
                <w:sz w:val="18"/>
                <w:szCs w:val="18"/>
              </w:rPr>
              <w:t xml:space="preserve"> for the population in general, however there is</w:t>
            </w:r>
            <w:r w:rsidRPr="00283C04">
              <w:rPr>
                <w:rFonts w:cs="Arial"/>
                <w:sz w:val="18"/>
                <w:szCs w:val="18"/>
              </w:rPr>
              <w:t xml:space="preserve"> currently no data gathere</w:t>
            </w:r>
            <w:r>
              <w:rPr>
                <w:rFonts w:cs="Arial"/>
                <w:sz w:val="18"/>
                <w:szCs w:val="18"/>
              </w:rPr>
              <w:t>d to monitor the impact on this cohort of patients.</w:t>
            </w:r>
          </w:p>
        </w:tc>
      </w:tr>
      <w:tr w:rsidR="00B77048" w:rsidRPr="00283C04" w14:paraId="37287037" w14:textId="77777777" w:rsidTr="0076385F">
        <w:tc>
          <w:tcPr>
            <w:tcW w:w="1413" w:type="dxa"/>
          </w:tcPr>
          <w:p w14:paraId="630A43C8" w14:textId="77777777" w:rsidR="00B77048" w:rsidRPr="00283C04" w:rsidRDefault="00B77048" w:rsidP="0076385F">
            <w:pPr>
              <w:rPr>
                <w:sz w:val="18"/>
                <w:szCs w:val="18"/>
              </w:rPr>
            </w:pPr>
            <w:r w:rsidRPr="00283C04">
              <w:rPr>
                <w:sz w:val="18"/>
                <w:szCs w:val="18"/>
              </w:rPr>
              <w:t>Marriage and civil partnership</w:t>
            </w:r>
          </w:p>
        </w:tc>
        <w:tc>
          <w:tcPr>
            <w:tcW w:w="992" w:type="dxa"/>
            <w:shd w:val="clear" w:color="auto" w:fill="FFC000"/>
          </w:tcPr>
          <w:p w14:paraId="1BD72C7F" w14:textId="77777777" w:rsidR="00B77048" w:rsidRPr="00283C04" w:rsidRDefault="00B77048" w:rsidP="0076385F">
            <w:pPr>
              <w:jc w:val="center"/>
              <w:rPr>
                <w:sz w:val="18"/>
                <w:szCs w:val="18"/>
              </w:rPr>
            </w:pPr>
            <w:r w:rsidRPr="00283C04">
              <w:rPr>
                <w:sz w:val="18"/>
                <w:szCs w:val="18"/>
              </w:rPr>
              <w:t>Neutral</w:t>
            </w:r>
          </w:p>
        </w:tc>
        <w:tc>
          <w:tcPr>
            <w:tcW w:w="6662" w:type="dxa"/>
          </w:tcPr>
          <w:p w14:paraId="28D2B9A3" w14:textId="77777777" w:rsidR="00B77048" w:rsidRPr="00283C04" w:rsidRDefault="00B77048"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B77048" w:rsidRPr="00283C04" w14:paraId="33C64BD4" w14:textId="77777777" w:rsidTr="0076385F">
        <w:tc>
          <w:tcPr>
            <w:tcW w:w="1413" w:type="dxa"/>
          </w:tcPr>
          <w:p w14:paraId="2565CB31" w14:textId="77777777" w:rsidR="00B77048" w:rsidRPr="00283C04" w:rsidRDefault="00B77048" w:rsidP="0076385F">
            <w:pPr>
              <w:rPr>
                <w:sz w:val="18"/>
                <w:szCs w:val="18"/>
              </w:rPr>
            </w:pPr>
            <w:r w:rsidRPr="00283C04">
              <w:rPr>
                <w:sz w:val="18"/>
                <w:szCs w:val="18"/>
              </w:rPr>
              <w:t>Pregnancy and maternity</w:t>
            </w:r>
          </w:p>
        </w:tc>
        <w:tc>
          <w:tcPr>
            <w:tcW w:w="992" w:type="dxa"/>
            <w:shd w:val="clear" w:color="auto" w:fill="FFC000"/>
          </w:tcPr>
          <w:p w14:paraId="4D30EF24" w14:textId="77777777" w:rsidR="00B77048" w:rsidRPr="00283C04" w:rsidRDefault="00B77048" w:rsidP="0076385F">
            <w:pPr>
              <w:jc w:val="center"/>
              <w:rPr>
                <w:sz w:val="18"/>
                <w:szCs w:val="18"/>
              </w:rPr>
            </w:pPr>
            <w:r w:rsidRPr="00283C04">
              <w:rPr>
                <w:sz w:val="18"/>
                <w:szCs w:val="18"/>
              </w:rPr>
              <w:t>Neutral</w:t>
            </w:r>
          </w:p>
        </w:tc>
        <w:tc>
          <w:tcPr>
            <w:tcW w:w="6662" w:type="dxa"/>
          </w:tcPr>
          <w:p w14:paraId="695317D6" w14:textId="77777777" w:rsidR="00B77048" w:rsidRPr="00283C04" w:rsidRDefault="00B77048"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B77048" w:rsidRPr="00283C04" w14:paraId="10B4C52D" w14:textId="77777777" w:rsidTr="0076385F">
        <w:tc>
          <w:tcPr>
            <w:tcW w:w="1413" w:type="dxa"/>
          </w:tcPr>
          <w:p w14:paraId="5957CABF" w14:textId="77777777" w:rsidR="00B77048" w:rsidRPr="00283C04" w:rsidRDefault="00B77048" w:rsidP="0076385F">
            <w:pPr>
              <w:rPr>
                <w:sz w:val="18"/>
                <w:szCs w:val="18"/>
              </w:rPr>
            </w:pPr>
            <w:r w:rsidRPr="00283C04">
              <w:rPr>
                <w:sz w:val="18"/>
                <w:szCs w:val="18"/>
              </w:rPr>
              <w:t>Race</w:t>
            </w:r>
          </w:p>
        </w:tc>
        <w:tc>
          <w:tcPr>
            <w:tcW w:w="992" w:type="dxa"/>
            <w:shd w:val="clear" w:color="auto" w:fill="FFC000"/>
          </w:tcPr>
          <w:p w14:paraId="1809ED36" w14:textId="77777777" w:rsidR="00B77048" w:rsidRPr="00283C04" w:rsidRDefault="00B77048" w:rsidP="0076385F">
            <w:pPr>
              <w:jc w:val="center"/>
              <w:rPr>
                <w:sz w:val="18"/>
                <w:szCs w:val="18"/>
              </w:rPr>
            </w:pPr>
            <w:r w:rsidRPr="00283C04">
              <w:rPr>
                <w:sz w:val="18"/>
                <w:szCs w:val="18"/>
              </w:rPr>
              <w:t>Neutral</w:t>
            </w:r>
          </w:p>
        </w:tc>
        <w:tc>
          <w:tcPr>
            <w:tcW w:w="6662" w:type="dxa"/>
          </w:tcPr>
          <w:p w14:paraId="4FDDF2B4" w14:textId="77777777" w:rsidR="00B77048" w:rsidRPr="00283C04" w:rsidRDefault="00B77048" w:rsidP="0076385F">
            <w:pPr>
              <w:rPr>
                <w:sz w:val="18"/>
                <w:szCs w:val="18"/>
              </w:rPr>
            </w:pPr>
            <w:r w:rsidRPr="00283C04">
              <w:rPr>
                <w:rFonts w:cs="Arial"/>
                <w:sz w:val="18"/>
                <w:szCs w:val="18"/>
              </w:rPr>
              <w:t xml:space="preserve">Potential </w:t>
            </w:r>
            <w:r>
              <w:rPr>
                <w:rFonts w:cs="Arial"/>
                <w:sz w:val="18"/>
                <w:szCs w:val="18"/>
              </w:rPr>
              <w:t>ne</w:t>
            </w:r>
            <w:r w:rsidRPr="00283C04">
              <w:rPr>
                <w:rFonts w:cs="Arial"/>
                <w:sz w:val="18"/>
                <w:szCs w:val="18"/>
              </w:rPr>
              <w:t xml:space="preserve">gative impact for service users for </w:t>
            </w:r>
            <w:proofErr w:type="gramStart"/>
            <w:r w:rsidRPr="00283C04">
              <w:rPr>
                <w:rFonts w:cs="Arial"/>
                <w:sz w:val="18"/>
                <w:szCs w:val="18"/>
              </w:rPr>
              <w:t>whom</w:t>
            </w:r>
            <w:proofErr w:type="gramEnd"/>
            <w:r w:rsidRPr="00283C04">
              <w:rPr>
                <w:rFonts w:cs="Arial"/>
                <w:sz w:val="18"/>
                <w:szCs w:val="18"/>
              </w:rPr>
              <w:t xml:space="preserve"> English is not their first language and may have issues understanding and retaining information about their condition and its future management.</w:t>
            </w:r>
          </w:p>
        </w:tc>
      </w:tr>
      <w:tr w:rsidR="00B77048" w:rsidRPr="00283C04" w14:paraId="077ECCFC" w14:textId="77777777" w:rsidTr="0076385F">
        <w:tc>
          <w:tcPr>
            <w:tcW w:w="1413" w:type="dxa"/>
          </w:tcPr>
          <w:p w14:paraId="01FD0467" w14:textId="77777777" w:rsidR="00B77048" w:rsidRPr="00283C04" w:rsidRDefault="00B77048" w:rsidP="0076385F">
            <w:pPr>
              <w:rPr>
                <w:sz w:val="18"/>
                <w:szCs w:val="18"/>
              </w:rPr>
            </w:pPr>
            <w:r w:rsidRPr="00283C04">
              <w:rPr>
                <w:sz w:val="18"/>
                <w:szCs w:val="18"/>
              </w:rPr>
              <w:t>Religion and belief</w:t>
            </w:r>
          </w:p>
        </w:tc>
        <w:tc>
          <w:tcPr>
            <w:tcW w:w="992" w:type="dxa"/>
            <w:shd w:val="clear" w:color="auto" w:fill="FFC000"/>
          </w:tcPr>
          <w:p w14:paraId="629E879B" w14:textId="77777777" w:rsidR="00B77048" w:rsidRPr="00283C04" w:rsidRDefault="00B77048" w:rsidP="0076385F">
            <w:pPr>
              <w:jc w:val="center"/>
              <w:rPr>
                <w:sz w:val="18"/>
                <w:szCs w:val="18"/>
              </w:rPr>
            </w:pPr>
            <w:r w:rsidRPr="00283C04">
              <w:rPr>
                <w:sz w:val="18"/>
                <w:szCs w:val="18"/>
              </w:rPr>
              <w:t>Neutral</w:t>
            </w:r>
          </w:p>
        </w:tc>
        <w:tc>
          <w:tcPr>
            <w:tcW w:w="6662" w:type="dxa"/>
          </w:tcPr>
          <w:p w14:paraId="76C53B3F" w14:textId="77777777" w:rsidR="00B77048" w:rsidRPr="00283C04" w:rsidRDefault="00B77048"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B77048" w:rsidRPr="00283C04" w14:paraId="673BFB61" w14:textId="77777777" w:rsidTr="0076385F">
        <w:tc>
          <w:tcPr>
            <w:tcW w:w="1413" w:type="dxa"/>
          </w:tcPr>
          <w:p w14:paraId="268AA502" w14:textId="77777777" w:rsidR="00B77048" w:rsidRPr="00283C04" w:rsidRDefault="00B77048" w:rsidP="0076385F">
            <w:pPr>
              <w:rPr>
                <w:sz w:val="18"/>
                <w:szCs w:val="18"/>
              </w:rPr>
            </w:pPr>
            <w:r w:rsidRPr="00283C04">
              <w:rPr>
                <w:sz w:val="18"/>
                <w:szCs w:val="18"/>
              </w:rPr>
              <w:t>Sex</w:t>
            </w:r>
          </w:p>
        </w:tc>
        <w:tc>
          <w:tcPr>
            <w:tcW w:w="992" w:type="dxa"/>
            <w:shd w:val="clear" w:color="auto" w:fill="FF0000"/>
          </w:tcPr>
          <w:p w14:paraId="2FE8FFD1" w14:textId="77777777" w:rsidR="00B77048" w:rsidRPr="00283C04" w:rsidRDefault="00B77048" w:rsidP="0076385F">
            <w:pPr>
              <w:jc w:val="center"/>
              <w:rPr>
                <w:sz w:val="18"/>
                <w:szCs w:val="18"/>
              </w:rPr>
            </w:pPr>
            <w:r>
              <w:rPr>
                <w:sz w:val="18"/>
                <w:szCs w:val="18"/>
              </w:rPr>
              <w:t>Negative</w:t>
            </w:r>
          </w:p>
        </w:tc>
        <w:tc>
          <w:tcPr>
            <w:tcW w:w="6662" w:type="dxa"/>
          </w:tcPr>
          <w:p w14:paraId="18AAB059" w14:textId="77777777" w:rsidR="00B77048" w:rsidRPr="00283C04" w:rsidRDefault="00B77048" w:rsidP="0076385F">
            <w:pPr>
              <w:rPr>
                <w:sz w:val="18"/>
                <w:szCs w:val="18"/>
              </w:rPr>
            </w:pPr>
            <w:r w:rsidRPr="00283C04">
              <w:rPr>
                <w:sz w:val="18"/>
                <w:szCs w:val="18"/>
              </w:rPr>
              <w:t>National Stroke Association noted that statistics showed that males have a higher risk of having a stroke.  Therefore returning the service back to its delivery prior to summer 2013 would have a potentially negative impact across Northern Lincolnshire.</w:t>
            </w:r>
          </w:p>
        </w:tc>
      </w:tr>
      <w:tr w:rsidR="00B77048" w:rsidRPr="00283C04" w14:paraId="1E5F4B73" w14:textId="77777777" w:rsidTr="0076385F">
        <w:tc>
          <w:tcPr>
            <w:tcW w:w="1413" w:type="dxa"/>
          </w:tcPr>
          <w:p w14:paraId="0327A929" w14:textId="77777777" w:rsidR="00B77048" w:rsidRPr="00283C04" w:rsidRDefault="00B77048" w:rsidP="0076385F">
            <w:pPr>
              <w:rPr>
                <w:sz w:val="18"/>
                <w:szCs w:val="18"/>
              </w:rPr>
            </w:pPr>
            <w:r w:rsidRPr="00283C04">
              <w:rPr>
                <w:sz w:val="18"/>
                <w:szCs w:val="18"/>
              </w:rPr>
              <w:t>Sexual orientation</w:t>
            </w:r>
          </w:p>
        </w:tc>
        <w:tc>
          <w:tcPr>
            <w:tcW w:w="992" w:type="dxa"/>
            <w:shd w:val="clear" w:color="auto" w:fill="FFC000"/>
          </w:tcPr>
          <w:p w14:paraId="2391331B" w14:textId="77777777" w:rsidR="00B77048" w:rsidRPr="00283C04" w:rsidRDefault="00B77048" w:rsidP="0076385F">
            <w:pPr>
              <w:jc w:val="center"/>
              <w:rPr>
                <w:sz w:val="18"/>
                <w:szCs w:val="18"/>
              </w:rPr>
            </w:pPr>
            <w:r w:rsidRPr="00283C04">
              <w:rPr>
                <w:sz w:val="18"/>
                <w:szCs w:val="18"/>
              </w:rPr>
              <w:t>Neutral</w:t>
            </w:r>
          </w:p>
        </w:tc>
        <w:tc>
          <w:tcPr>
            <w:tcW w:w="6662" w:type="dxa"/>
          </w:tcPr>
          <w:p w14:paraId="146268E8" w14:textId="77777777" w:rsidR="00B77048" w:rsidRPr="00283C04" w:rsidRDefault="00B77048"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B77048" w:rsidRPr="00283C04" w14:paraId="5201A7A5" w14:textId="77777777" w:rsidTr="0076385F">
        <w:tc>
          <w:tcPr>
            <w:tcW w:w="1413" w:type="dxa"/>
          </w:tcPr>
          <w:p w14:paraId="48DE32F9" w14:textId="77777777" w:rsidR="00B77048" w:rsidRPr="00283C04" w:rsidRDefault="00B77048" w:rsidP="0076385F">
            <w:pPr>
              <w:rPr>
                <w:sz w:val="18"/>
                <w:szCs w:val="18"/>
              </w:rPr>
            </w:pPr>
            <w:r w:rsidRPr="00283C04">
              <w:rPr>
                <w:sz w:val="18"/>
                <w:szCs w:val="18"/>
              </w:rPr>
              <w:t>Deprivation</w:t>
            </w:r>
          </w:p>
        </w:tc>
        <w:tc>
          <w:tcPr>
            <w:tcW w:w="992" w:type="dxa"/>
            <w:shd w:val="clear" w:color="auto" w:fill="FFC000"/>
          </w:tcPr>
          <w:p w14:paraId="0F565D24" w14:textId="77777777" w:rsidR="00B77048" w:rsidRPr="00283C04" w:rsidRDefault="00B77048" w:rsidP="0076385F">
            <w:pPr>
              <w:jc w:val="center"/>
              <w:rPr>
                <w:sz w:val="18"/>
                <w:szCs w:val="18"/>
              </w:rPr>
            </w:pPr>
            <w:r w:rsidRPr="00283C04">
              <w:rPr>
                <w:sz w:val="18"/>
                <w:szCs w:val="18"/>
              </w:rPr>
              <w:t>Neutral</w:t>
            </w:r>
          </w:p>
        </w:tc>
        <w:tc>
          <w:tcPr>
            <w:tcW w:w="6662" w:type="dxa"/>
          </w:tcPr>
          <w:p w14:paraId="7F3FEA04" w14:textId="77777777" w:rsidR="00B77048" w:rsidRPr="005777ED" w:rsidRDefault="00B77048" w:rsidP="0076385F">
            <w:pPr>
              <w:rPr>
                <w:rFonts w:cs="Arial"/>
                <w:sz w:val="18"/>
                <w:szCs w:val="18"/>
              </w:rPr>
            </w:pPr>
            <w:r w:rsidRPr="005777ED">
              <w:rPr>
                <w:rFonts w:ascii="Calibri" w:hAnsi="Calibri" w:cs="Calibri"/>
                <w:sz w:val="18"/>
                <w:szCs w:val="18"/>
              </w:rPr>
              <w:t xml:space="preserve">It should be noted that deprivation cuts across Northern Lincolnshire. The low number of people with access to private transport is well documented, especially in the context of accessing services. This is exacerbated by the rural nature of the area and poor public transport. </w:t>
            </w:r>
            <w:r w:rsidRPr="005777ED">
              <w:rPr>
                <w:rFonts w:ascii="Calibri" w:hAnsi="Calibri" w:cs="Arial"/>
                <w:sz w:val="18"/>
                <w:szCs w:val="18"/>
              </w:rPr>
              <w:t xml:space="preserve">In North East Lincolnshire 28.3% of children are in poverty and in North Lincolnshire the figure is 21.0%. In view of the large demographic areas both SGH and </w:t>
            </w:r>
            <w:proofErr w:type="spellStart"/>
            <w:r w:rsidRPr="005777ED">
              <w:rPr>
                <w:rFonts w:ascii="Calibri" w:hAnsi="Calibri" w:cs="Arial"/>
                <w:sz w:val="18"/>
                <w:szCs w:val="18"/>
              </w:rPr>
              <w:t>DPoW</w:t>
            </w:r>
            <w:proofErr w:type="spellEnd"/>
            <w:r w:rsidRPr="005777ED">
              <w:rPr>
                <w:rFonts w:ascii="Calibri" w:hAnsi="Calibri" w:cs="Arial"/>
                <w:sz w:val="18"/>
                <w:szCs w:val="18"/>
              </w:rPr>
              <w:t xml:space="preserve"> service serves, and the associated deprivation within North East Lincolnshire in particular, the need to ensure children and families can access appropriate healthcare is paramount.  </w:t>
            </w:r>
            <w:r>
              <w:rPr>
                <w:rFonts w:ascii="Calibri" w:hAnsi="Calibri" w:cs="Arial"/>
                <w:sz w:val="18"/>
                <w:szCs w:val="18"/>
              </w:rPr>
              <w:t>Rotating</w:t>
            </w:r>
            <w:r w:rsidRPr="005777ED">
              <w:rPr>
                <w:rFonts w:ascii="Calibri" w:hAnsi="Calibri" w:cs="Arial"/>
                <w:sz w:val="18"/>
                <w:szCs w:val="18"/>
              </w:rPr>
              <w:t xml:space="preserve"> surgical services either entirely or by speciality will undoubtedly cause access to the appropriate healthcare an issue for some families.  Consideration needs to be given to the potential increase in families being unable to access services if they are not local to them.</w:t>
            </w:r>
          </w:p>
        </w:tc>
      </w:tr>
      <w:tr w:rsidR="00B77048" w:rsidRPr="00283C04" w14:paraId="6A17E618" w14:textId="77777777" w:rsidTr="0076385F">
        <w:tc>
          <w:tcPr>
            <w:tcW w:w="1413" w:type="dxa"/>
          </w:tcPr>
          <w:p w14:paraId="24893916" w14:textId="77777777" w:rsidR="00B77048" w:rsidRPr="00283C04" w:rsidRDefault="00B77048" w:rsidP="0076385F">
            <w:pPr>
              <w:rPr>
                <w:sz w:val="18"/>
                <w:szCs w:val="18"/>
              </w:rPr>
            </w:pPr>
            <w:r w:rsidRPr="00283C04">
              <w:rPr>
                <w:sz w:val="18"/>
                <w:szCs w:val="18"/>
              </w:rPr>
              <w:t>Human rights</w:t>
            </w:r>
          </w:p>
        </w:tc>
        <w:tc>
          <w:tcPr>
            <w:tcW w:w="992" w:type="dxa"/>
            <w:shd w:val="clear" w:color="auto" w:fill="FF0000"/>
          </w:tcPr>
          <w:p w14:paraId="3F5FDA28" w14:textId="77777777" w:rsidR="00B77048" w:rsidRPr="00E04768" w:rsidRDefault="00B77048" w:rsidP="0076385F">
            <w:pPr>
              <w:jc w:val="center"/>
              <w:rPr>
                <w:sz w:val="18"/>
                <w:szCs w:val="18"/>
              </w:rPr>
            </w:pPr>
            <w:r w:rsidRPr="00E04768">
              <w:rPr>
                <w:sz w:val="18"/>
                <w:szCs w:val="18"/>
              </w:rPr>
              <w:t>Negative</w:t>
            </w:r>
          </w:p>
        </w:tc>
        <w:tc>
          <w:tcPr>
            <w:tcW w:w="6662" w:type="dxa"/>
          </w:tcPr>
          <w:p w14:paraId="5B411037" w14:textId="0DC5098A" w:rsidR="00B77048" w:rsidRPr="00B77048" w:rsidRDefault="00B77048" w:rsidP="00B77048">
            <w:pPr>
              <w:rPr>
                <w:rFonts w:cs="Arial"/>
                <w:sz w:val="18"/>
                <w:szCs w:val="18"/>
              </w:rPr>
            </w:pPr>
            <w:r w:rsidRPr="00B77048">
              <w:rPr>
                <w:rFonts w:ascii="Calibri" w:hAnsi="Calibri" w:cs="Arial"/>
                <w:sz w:val="18"/>
                <w:szCs w:val="18"/>
              </w:rPr>
              <w:t>Rotational training programme with tertiary providers may result in tertiary providers not being able to offer enough procedures to NL&amp;G surgeons to provide the critical mass required.</w:t>
            </w:r>
          </w:p>
        </w:tc>
      </w:tr>
    </w:tbl>
    <w:p w14:paraId="31E317F0" w14:textId="77777777" w:rsidR="00B77048" w:rsidRDefault="00B77048" w:rsidP="00B77048">
      <w:pPr>
        <w:pStyle w:val="Heading2"/>
      </w:pPr>
    </w:p>
    <w:p w14:paraId="701A1745" w14:textId="61896D9F" w:rsidR="00B77048" w:rsidRDefault="00B77048" w:rsidP="00B77048">
      <w:pPr>
        <w:pStyle w:val="Heading2"/>
      </w:pPr>
      <w:bookmarkStart w:id="30" w:name="_Toc388275377"/>
      <w:r>
        <w:t>7.5 Evaluation criteria assessment</w:t>
      </w:r>
      <w:bookmarkEnd w:id="30"/>
    </w:p>
    <w:p w14:paraId="33FB9E0A" w14:textId="77777777" w:rsidR="00B77048" w:rsidRDefault="00B77048" w:rsidP="00B77048">
      <w:r>
        <w:t>The programme board undertook an evaluation criteria scoring exercise, taking into consideration the above benefits and risks and the views of the local clinical community.  A summary of the scoring is included below:</w:t>
      </w:r>
    </w:p>
    <w:p w14:paraId="56EAB5BB" w14:textId="15081F89" w:rsidR="00B77048" w:rsidRDefault="00B77048" w:rsidP="00B77048">
      <w:pPr>
        <w:pStyle w:val="Heading4"/>
      </w:pPr>
      <w:r>
        <w:t>Table 19 – Evaluation scoring for option 3 (rotational training programme with tertiary providers)</w:t>
      </w:r>
    </w:p>
    <w:tbl>
      <w:tblPr>
        <w:tblStyle w:val="TableGrid"/>
        <w:tblW w:w="0" w:type="auto"/>
        <w:tblLook w:val="04A0" w:firstRow="1" w:lastRow="0" w:firstColumn="1" w:lastColumn="0" w:noHBand="0" w:noVBand="1"/>
      </w:tblPr>
      <w:tblGrid>
        <w:gridCol w:w="1180"/>
        <w:gridCol w:w="658"/>
        <w:gridCol w:w="7178"/>
      </w:tblGrid>
      <w:tr w:rsidR="00B77048" w14:paraId="2EF6F184" w14:textId="77777777" w:rsidTr="0076385F">
        <w:tc>
          <w:tcPr>
            <w:tcW w:w="1180" w:type="dxa"/>
            <w:shd w:val="clear" w:color="auto" w:fill="767171" w:themeFill="background2" w:themeFillShade="80"/>
          </w:tcPr>
          <w:p w14:paraId="054AA772" w14:textId="77777777" w:rsidR="00B77048" w:rsidRPr="00E4010B" w:rsidRDefault="00B77048" w:rsidP="0076385F">
            <w:pPr>
              <w:rPr>
                <w:color w:val="FFFFFF" w:themeColor="background1"/>
                <w:sz w:val="18"/>
                <w:szCs w:val="18"/>
              </w:rPr>
            </w:pPr>
            <w:r w:rsidRPr="00E4010B">
              <w:rPr>
                <w:color w:val="FFFFFF" w:themeColor="background1"/>
                <w:sz w:val="18"/>
                <w:szCs w:val="18"/>
              </w:rPr>
              <w:t>Criteria</w:t>
            </w:r>
          </w:p>
        </w:tc>
        <w:tc>
          <w:tcPr>
            <w:tcW w:w="658" w:type="dxa"/>
            <w:shd w:val="clear" w:color="auto" w:fill="767171" w:themeFill="background2" w:themeFillShade="80"/>
          </w:tcPr>
          <w:p w14:paraId="1C067218" w14:textId="77777777" w:rsidR="00B77048" w:rsidRPr="00E4010B" w:rsidRDefault="00B77048" w:rsidP="0076385F">
            <w:pPr>
              <w:jc w:val="center"/>
              <w:rPr>
                <w:color w:val="FFFFFF" w:themeColor="background1"/>
                <w:sz w:val="18"/>
                <w:szCs w:val="18"/>
              </w:rPr>
            </w:pPr>
            <w:r w:rsidRPr="00E4010B">
              <w:rPr>
                <w:color w:val="FFFFFF" w:themeColor="background1"/>
                <w:sz w:val="18"/>
                <w:szCs w:val="18"/>
              </w:rPr>
              <w:t>Score</w:t>
            </w:r>
          </w:p>
        </w:tc>
        <w:tc>
          <w:tcPr>
            <w:tcW w:w="7178" w:type="dxa"/>
            <w:shd w:val="clear" w:color="auto" w:fill="767171" w:themeFill="background2" w:themeFillShade="80"/>
          </w:tcPr>
          <w:p w14:paraId="3E53C69B" w14:textId="77777777" w:rsidR="00B77048" w:rsidRPr="00E4010B" w:rsidRDefault="00B77048" w:rsidP="0076385F">
            <w:pPr>
              <w:rPr>
                <w:color w:val="FFFFFF" w:themeColor="background1"/>
                <w:sz w:val="18"/>
                <w:szCs w:val="18"/>
              </w:rPr>
            </w:pPr>
            <w:r w:rsidRPr="00E4010B">
              <w:rPr>
                <w:color w:val="FFFFFF" w:themeColor="background1"/>
                <w:sz w:val="18"/>
                <w:szCs w:val="18"/>
              </w:rPr>
              <w:t>Rationale</w:t>
            </w:r>
          </w:p>
        </w:tc>
      </w:tr>
      <w:tr w:rsidR="00B77048" w14:paraId="021F95CF" w14:textId="77777777" w:rsidTr="0076385F">
        <w:tc>
          <w:tcPr>
            <w:tcW w:w="1180" w:type="dxa"/>
          </w:tcPr>
          <w:p w14:paraId="529C1A30" w14:textId="77777777" w:rsidR="00B77048" w:rsidRPr="00E4010B" w:rsidRDefault="00B77048" w:rsidP="0076385F">
            <w:pPr>
              <w:rPr>
                <w:sz w:val="18"/>
                <w:szCs w:val="18"/>
              </w:rPr>
            </w:pPr>
            <w:r w:rsidRPr="00E4010B">
              <w:rPr>
                <w:sz w:val="18"/>
                <w:szCs w:val="18"/>
              </w:rPr>
              <w:t>Quality</w:t>
            </w:r>
          </w:p>
        </w:tc>
        <w:tc>
          <w:tcPr>
            <w:tcW w:w="658" w:type="dxa"/>
          </w:tcPr>
          <w:p w14:paraId="49A576FB" w14:textId="002F2C7F" w:rsidR="00B77048" w:rsidRPr="00E4010B" w:rsidRDefault="00B77048" w:rsidP="0076385F">
            <w:pPr>
              <w:jc w:val="center"/>
              <w:rPr>
                <w:sz w:val="18"/>
                <w:szCs w:val="18"/>
              </w:rPr>
            </w:pPr>
            <w:r>
              <w:rPr>
                <w:sz w:val="18"/>
                <w:szCs w:val="18"/>
              </w:rPr>
              <w:t>118</w:t>
            </w:r>
          </w:p>
        </w:tc>
        <w:tc>
          <w:tcPr>
            <w:tcW w:w="7178" w:type="dxa"/>
          </w:tcPr>
          <w:p w14:paraId="6BD26953" w14:textId="4F3FF1B0" w:rsidR="00B77048" w:rsidRPr="00E4010B" w:rsidRDefault="00B77048" w:rsidP="0076385F">
            <w:pPr>
              <w:rPr>
                <w:sz w:val="18"/>
                <w:szCs w:val="18"/>
              </w:rPr>
            </w:pPr>
            <w:r>
              <w:rPr>
                <w:sz w:val="18"/>
                <w:szCs w:val="18"/>
              </w:rPr>
              <w:t>This was deemed a safer option as the tertiary provider would be offering clinical leadership for this cohort of patients, but that the service would still be local.</w:t>
            </w:r>
          </w:p>
        </w:tc>
      </w:tr>
      <w:tr w:rsidR="00B77048" w14:paraId="2098AFB5" w14:textId="77777777" w:rsidTr="0076385F">
        <w:tc>
          <w:tcPr>
            <w:tcW w:w="1180" w:type="dxa"/>
          </w:tcPr>
          <w:p w14:paraId="10C2D508" w14:textId="77777777" w:rsidR="00B77048" w:rsidRPr="00E4010B" w:rsidRDefault="00B77048" w:rsidP="0076385F">
            <w:pPr>
              <w:rPr>
                <w:sz w:val="18"/>
                <w:szCs w:val="18"/>
              </w:rPr>
            </w:pPr>
            <w:r w:rsidRPr="00E4010B">
              <w:rPr>
                <w:sz w:val="18"/>
                <w:szCs w:val="18"/>
              </w:rPr>
              <w:t>Access</w:t>
            </w:r>
          </w:p>
        </w:tc>
        <w:tc>
          <w:tcPr>
            <w:tcW w:w="658" w:type="dxa"/>
          </w:tcPr>
          <w:p w14:paraId="1D735B8B" w14:textId="2CCAAA20" w:rsidR="00B77048" w:rsidRPr="00E4010B" w:rsidRDefault="00B77048" w:rsidP="0076385F">
            <w:pPr>
              <w:jc w:val="center"/>
              <w:rPr>
                <w:sz w:val="18"/>
                <w:szCs w:val="18"/>
              </w:rPr>
            </w:pPr>
            <w:r>
              <w:rPr>
                <w:sz w:val="18"/>
                <w:szCs w:val="18"/>
              </w:rPr>
              <w:t>36</w:t>
            </w:r>
          </w:p>
        </w:tc>
        <w:tc>
          <w:tcPr>
            <w:tcW w:w="7178" w:type="dxa"/>
          </w:tcPr>
          <w:p w14:paraId="6D8BA07C" w14:textId="7FDFA4D4" w:rsidR="00B77048" w:rsidRPr="00E4010B" w:rsidRDefault="00B77048" w:rsidP="0076385F">
            <w:pPr>
              <w:rPr>
                <w:sz w:val="18"/>
                <w:szCs w:val="18"/>
              </w:rPr>
            </w:pPr>
            <w:r>
              <w:rPr>
                <w:sz w:val="18"/>
                <w:szCs w:val="18"/>
              </w:rPr>
              <w:t>This would be more positive for patients as they would not need to travel for their surgery.</w:t>
            </w:r>
          </w:p>
        </w:tc>
      </w:tr>
      <w:tr w:rsidR="00B77048" w14:paraId="0EBB16D9" w14:textId="77777777" w:rsidTr="0076385F">
        <w:tc>
          <w:tcPr>
            <w:tcW w:w="1180" w:type="dxa"/>
          </w:tcPr>
          <w:p w14:paraId="1C997392" w14:textId="77777777" w:rsidR="00B77048" w:rsidRPr="00E4010B" w:rsidRDefault="00B77048" w:rsidP="0076385F">
            <w:pPr>
              <w:rPr>
                <w:sz w:val="18"/>
                <w:szCs w:val="18"/>
              </w:rPr>
            </w:pPr>
            <w:r w:rsidRPr="00E4010B">
              <w:rPr>
                <w:sz w:val="18"/>
                <w:szCs w:val="18"/>
              </w:rPr>
              <w:t>Affordability</w:t>
            </w:r>
          </w:p>
        </w:tc>
        <w:tc>
          <w:tcPr>
            <w:tcW w:w="658" w:type="dxa"/>
          </w:tcPr>
          <w:p w14:paraId="45F36016" w14:textId="75ED6AFC" w:rsidR="00B77048" w:rsidRPr="00E4010B" w:rsidRDefault="00B77048" w:rsidP="0076385F">
            <w:pPr>
              <w:jc w:val="center"/>
              <w:rPr>
                <w:sz w:val="18"/>
                <w:szCs w:val="18"/>
              </w:rPr>
            </w:pPr>
            <w:r>
              <w:rPr>
                <w:sz w:val="18"/>
                <w:szCs w:val="18"/>
              </w:rPr>
              <w:t>16</w:t>
            </w:r>
          </w:p>
        </w:tc>
        <w:tc>
          <w:tcPr>
            <w:tcW w:w="7178" w:type="dxa"/>
          </w:tcPr>
          <w:p w14:paraId="24BA00BD" w14:textId="5C246C78" w:rsidR="00B77048" w:rsidRPr="00E4010B" w:rsidRDefault="00B77048" w:rsidP="0076385F">
            <w:pPr>
              <w:rPr>
                <w:sz w:val="18"/>
                <w:szCs w:val="18"/>
              </w:rPr>
            </w:pPr>
            <w:r>
              <w:rPr>
                <w:sz w:val="18"/>
                <w:szCs w:val="18"/>
              </w:rPr>
              <w:t>This would incur costs as the staff would need to be back-filled while they are on rotation.</w:t>
            </w:r>
          </w:p>
        </w:tc>
      </w:tr>
      <w:tr w:rsidR="00B77048" w14:paraId="4A78018F" w14:textId="77777777" w:rsidTr="0076385F">
        <w:tc>
          <w:tcPr>
            <w:tcW w:w="1180" w:type="dxa"/>
          </w:tcPr>
          <w:p w14:paraId="3A68418C" w14:textId="77777777" w:rsidR="00B77048" w:rsidRPr="00E4010B" w:rsidRDefault="00B77048" w:rsidP="0076385F">
            <w:pPr>
              <w:rPr>
                <w:sz w:val="18"/>
                <w:szCs w:val="18"/>
              </w:rPr>
            </w:pPr>
            <w:r w:rsidRPr="00E4010B">
              <w:rPr>
                <w:sz w:val="18"/>
                <w:szCs w:val="18"/>
              </w:rPr>
              <w:t>Deliverability</w:t>
            </w:r>
          </w:p>
        </w:tc>
        <w:tc>
          <w:tcPr>
            <w:tcW w:w="658" w:type="dxa"/>
          </w:tcPr>
          <w:p w14:paraId="4CA772F9" w14:textId="302E3A36" w:rsidR="00B77048" w:rsidRPr="00E4010B" w:rsidRDefault="00B77048" w:rsidP="0076385F">
            <w:pPr>
              <w:jc w:val="center"/>
              <w:rPr>
                <w:sz w:val="18"/>
                <w:szCs w:val="18"/>
              </w:rPr>
            </w:pPr>
            <w:r>
              <w:rPr>
                <w:sz w:val="18"/>
                <w:szCs w:val="18"/>
              </w:rPr>
              <w:t>40</w:t>
            </w:r>
          </w:p>
        </w:tc>
        <w:tc>
          <w:tcPr>
            <w:tcW w:w="7178" w:type="dxa"/>
          </w:tcPr>
          <w:p w14:paraId="4EF28F80" w14:textId="0A65D66C" w:rsidR="00B77048" w:rsidRPr="00E4010B" w:rsidRDefault="00B77048" w:rsidP="0076385F">
            <w:pPr>
              <w:rPr>
                <w:sz w:val="18"/>
                <w:szCs w:val="18"/>
              </w:rPr>
            </w:pPr>
            <w:r>
              <w:rPr>
                <w:sz w:val="18"/>
                <w:szCs w:val="18"/>
              </w:rPr>
              <w:t>This would be deemed more acceptable publically, as the service would still be available on both sites.</w:t>
            </w:r>
          </w:p>
        </w:tc>
      </w:tr>
      <w:tr w:rsidR="00B77048" w14:paraId="16EE555B" w14:textId="77777777" w:rsidTr="0076385F">
        <w:tc>
          <w:tcPr>
            <w:tcW w:w="1180" w:type="dxa"/>
          </w:tcPr>
          <w:p w14:paraId="78E09F8A" w14:textId="77777777" w:rsidR="00B77048" w:rsidRPr="00E4010B" w:rsidRDefault="00B77048" w:rsidP="0076385F">
            <w:pPr>
              <w:rPr>
                <w:sz w:val="18"/>
                <w:szCs w:val="18"/>
              </w:rPr>
            </w:pPr>
            <w:r>
              <w:rPr>
                <w:sz w:val="18"/>
                <w:szCs w:val="18"/>
              </w:rPr>
              <w:t>Total</w:t>
            </w:r>
          </w:p>
        </w:tc>
        <w:tc>
          <w:tcPr>
            <w:tcW w:w="658" w:type="dxa"/>
          </w:tcPr>
          <w:p w14:paraId="5C55741B" w14:textId="3CF5F813" w:rsidR="00B77048" w:rsidRDefault="00B77048" w:rsidP="0076385F">
            <w:pPr>
              <w:jc w:val="center"/>
              <w:rPr>
                <w:sz w:val="18"/>
                <w:szCs w:val="18"/>
              </w:rPr>
            </w:pPr>
            <w:r>
              <w:rPr>
                <w:sz w:val="18"/>
                <w:szCs w:val="18"/>
              </w:rPr>
              <w:t>210</w:t>
            </w:r>
          </w:p>
        </w:tc>
        <w:tc>
          <w:tcPr>
            <w:tcW w:w="7178" w:type="dxa"/>
          </w:tcPr>
          <w:p w14:paraId="55541D21" w14:textId="499CE281" w:rsidR="00B77048" w:rsidRDefault="00B77048" w:rsidP="0076385F">
            <w:pPr>
              <w:rPr>
                <w:sz w:val="18"/>
                <w:szCs w:val="18"/>
              </w:rPr>
            </w:pPr>
          </w:p>
        </w:tc>
      </w:tr>
    </w:tbl>
    <w:p w14:paraId="2869FD9C" w14:textId="3703BC82" w:rsidR="00AB39E5" w:rsidRDefault="00B77048" w:rsidP="00B77048">
      <w:pPr>
        <w:pStyle w:val="Heading1"/>
      </w:pPr>
      <w:r>
        <w:br w:type="page"/>
      </w:r>
      <w:bookmarkStart w:id="31" w:name="_Toc388275378"/>
      <w:r>
        <w:lastRenderedPageBreak/>
        <w:t>8</w:t>
      </w:r>
      <w:r w:rsidR="00AB39E5">
        <w:t>. Option 4</w:t>
      </w:r>
      <w:r w:rsidR="00AB39E5" w:rsidRPr="00F63B53">
        <w:t xml:space="preserve"> </w:t>
      </w:r>
      <w:r w:rsidR="00AB39E5">
        <w:t>–</w:t>
      </w:r>
      <w:r w:rsidR="00AB39E5" w:rsidRPr="00F63B53">
        <w:t xml:space="preserve"> </w:t>
      </w:r>
      <w:r w:rsidR="00AB39E5">
        <w:t xml:space="preserve">Decommission the local service and send all </w:t>
      </w:r>
      <w:r w:rsidR="001B1F57">
        <w:t xml:space="preserve">children’s surgery </w:t>
      </w:r>
      <w:r w:rsidR="00AB39E5">
        <w:t>to tertiary centres</w:t>
      </w:r>
      <w:bookmarkEnd w:id="31"/>
    </w:p>
    <w:p w14:paraId="11C7B3D7" w14:textId="7A661800" w:rsidR="00AB39E5" w:rsidRDefault="00B77048" w:rsidP="00AB39E5">
      <w:pPr>
        <w:pStyle w:val="Heading2"/>
      </w:pPr>
      <w:bookmarkStart w:id="32" w:name="_Toc388275379"/>
      <w:r>
        <w:t>8</w:t>
      </w:r>
      <w:r w:rsidR="00AB39E5">
        <w:t>.1 Assumptions</w:t>
      </w:r>
      <w:bookmarkEnd w:id="32"/>
    </w:p>
    <w:p w14:paraId="07B46AD3" w14:textId="157D6762" w:rsidR="004D2797" w:rsidRDefault="004D2797" w:rsidP="004D2797">
      <w:pPr>
        <w:spacing w:line="240" w:lineRule="auto"/>
      </w:pPr>
      <w:r>
        <w:t>This option makes the following assumptions:</w:t>
      </w:r>
    </w:p>
    <w:p w14:paraId="66D9A087" w14:textId="1F82E507" w:rsidR="007B2459" w:rsidRDefault="007B2459" w:rsidP="007B2459">
      <w:pPr>
        <w:pStyle w:val="ListParagraph"/>
        <w:numPr>
          <w:ilvl w:val="0"/>
          <w:numId w:val="37"/>
        </w:numPr>
        <w:spacing w:line="240" w:lineRule="auto"/>
        <w:rPr>
          <w:rFonts w:asciiTheme="minorHAnsi" w:hAnsiTheme="minorHAnsi"/>
        </w:rPr>
      </w:pPr>
      <w:r w:rsidRPr="00D56447">
        <w:rPr>
          <w:rFonts w:asciiTheme="minorHAnsi" w:hAnsiTheme="minorHAnsi"/>
        </w:rPr>
        <w:t xml:space="preserve">All children’s surgery services will be decommissioned </w:t>
      </w:r>
      <w:r w:rsidR="00153B1E">
        <w:rPr>
          <w:rFonts w:asciiTheme="minorHAnsi" w:hAnsiTheme="minorHAnsi"/>
        </w:rPr>
        <w:t>locally</w:t>
      </w:r>
    </w:p>
    <w:p w14:paraId="1D63FA38" w14:textId="3155B966" w:rsidR="00153B1E" w:rsidRPr="00D56447" w:rsidRDefault="00153B1E" w:rsidP="007B2459">
      <w:pPr>
        <w:pStyle w:val="ListParagraph"/>
        <w:numPr>
          <w:ilvl w:val="0"/>
          <w:numId w:val="37"/>
        </w:numPr>
        <w:spacing w:line="240" w:lineRule="auto"/>
        <w:rPr>
          <w:rFonts w:asciiTheme="minorHAnsi" w:hAnsiTheme="minorHAnsi"/>
        </w:rPr>
      </w:pPr>
      <w:r>
        <w:rPr>
          <w:rFonts w:asciiTheme="minorHAnsi" w:hAnsiTheme="minorHAnsi"/>
        </w:rPr>
        <w:t>Patients will travel to the tertiary provider (e.g. Sheffield Children’s Hospital) for their surgery</w:t>
      </w:r>
    </w:p>
    <w:p w14:paraId="2F1D6641" w14:textId="011E4B73" w:rsidR="007B2459" w:rsidRPr="005B40D3" w:rsidRDefault="00153B1E" w:rsidP="007B2459">
      <w:pPr>
        <w:pStyle w:val="ListParagraph"/>
        <w:numPr>
          <w:ilvl w:val="0"/>
          <w:numId w:val="37"/>
        </w:numPr>
        <w:spacing w:line="240" w:lineRule="auto"/>
        <w:rPr>
          <w:rFonts w:asciiTheme="minorHAnsi" w:hAnsiTheme="minorHAnsi"/>
        </w:rPr>
      </w:pPr>
      <w:r>
        <w:rPr>
          <w:rFonts w:asciiTheme="minorHAnsi" w:hAnsiTheme="minorHAnsi"/>
        </w:rPr>
        <w:t>There will be no change to outpatient service provision</w:t>
      </w:r>
    </w:p>
    <w:p w14:paraId="2294C792" w14:textId="77777777" w:rsidR="001B1F57" w:rsidRDefault="001B1F57" w:rsidP="00AB39E5">
      <w:pPr>
        <w:pStyle w:val="Heading2"/>
      </w:pPr>
    </w:p>
    <w:p w14:paraId="0F91CD7B" w14:textId="3C868D78" w:rsidR="00AB39E5" w:rsidRDefault="00B77048" w:rsidP="00AB39E5">
      <w:pPr>
        <w:pStyle w:val="Heading2"/>
      </w:pPr>
      <w:bookmarkStart w:id="33" w:name="_Toc388275380"/>
      <w:r>
        <w:t>8</w:t>
      </w:r>
      <w:r w:rsidR="00AB39E5">
        <w:t>.2 Risks / issues</w:t>
      </w:r>
      <w:bookmarkEnd w:id="33"/>
    </w:p>
    <w:p w14:paraId="6784A7F8" w14:textId="77777777" w:rsidR="00AB39E5" w:rsidRDefault="00AB39E5" w:rsidP="00AB39E5">
      <w:r>
        <w:t>The risks and issues associated with this option are outlined below:</w:t>
      </w:r>
    </w:p>
    <w:p w14:paraId="672CCF73" w14:textId="167EB794" w:rsidR="00AB39E5" w:rsidRPr="00AB39E5" w:rsidRDefault="00B77048" w:rsidP="00AB39E5">
      <w:pPr>
        <w:pStyle w:val="Heading4"/>
      </w:pPr>
      <w:r>
        <w:t>Table 20</w:t>
      </w:r>
      <w:r w:rsidR="00AB39E5" w:rsidRPr="00AB39E5">
        <w:t xml:space="preserve"> – Risks and issues of option </w:t>
      </w:r>
      <w:r w:rsidR="001B1F57">
        <w:t>4</w:t>
      </w:r>
      <w:r w:rsidR="00AB39E5" w:rsidRPr="00AB39E5">
        <w:t xml:space="preserve"> (</w:t>
      </w:r>
      <w:r w:rsidR="001B1F57">
        <w:t>decommission local service</w:t>
      </w:r>
      <w:r w:rsidR="00AB39E5" w:rsidRPr="00AB39E5">
        <w:t>)</w:t>
      </w:r>
    </w:p>
    <w:tbl>
      <w:tblPr>
        <w:tblStyle w:val="TableGrid"/>
        <w:tblW w:w="0" w:type="auto"/>
        <w:tblLook w:val="04A0" w:firstRow="1" w:lastRow="0" w:firstColumn="1" w:lastColumn="0" w:noHBand="0" w:noVBand="1"/>
      </w:tblPr>
      <w:tblGrid>
        <w:gridCol w:w="1209"/>
        <w:gridCol w:w="4031"/>
        <w:gridCol w:w="745"/>
        <w:gridCol w:w="3031"/>
      </w:tblGrid>
      <w:tr w:rsidR="00AB39E5" w14:paraId="05069968" w14:textId="77777777" w:rsidTr="001B1F57">
        <w:trPr>
          <w:cantSplit/>
          <w:tblHeader/>
        </w:trPr>
        <w:tc>
          <w:tcPr>
            <w:tcW w:w="1209" w:type="dxa"/>
            <w:shd w:val="clear" w:color="auto" w:fill="767171" w:themeFill="background2" w:themeFillShade="80"/>
          </w:tcPr>
          <w:p w14:paraId="3D1F605E" w14:textId="77777777" w:rsidR="00AB39E5" w:rsidRPr="00926E74" w:rsidRDefault="00AB39E5" w:rsidP="001B1F57">
            <w:pPr>
              <w:rPr>
                <w:color w:val="FFFFFF" w:themeColor="background1"/>
                <w:sz w:val="18"/>
                <w:szCs w:val="18"/>
              </w:rPr>
            </w:pPr>
            <w:r>
              <w:rPr>
                <w:color w:val="FFFFFF" w:themeColor="background1"/>
                <w:sz w:val="18"/>
                <w:szCs w:val="18"/>
              </w:rPr>
              <w:t>Category</w:t>
            </w:r>
          </w:p>
        </w:tc>
        <w:tc>
          <w:tcPr>
            <w:tcW w:w="4031" w:type="dxa"/>
            <w:shd w:val="clear" w:color="auto" w:fill="767171" w:themeFill="background2" w:themeFillShade="80"/>
          </w:tcPr>
          <w:p w14:paraId="77C0DE12" w14:textId="77777777" w:rsidR="00AB39E5" w:rsidRPr="00926E74" w:rsidRDefault="00AB39E5" w:rsidP="001B1F57">
            <w:pPr>
              <w:rPr>
                <w:color w:val="FFFFFF" w:themeColor="background1"/>
                <w:sz w:val="18"/>
                <w:szCs w:val="18"/>
              </w:rPr>
            </w:pPr>
            <w:r>
              <w:rPr>
                <w:color w:val="FFFFFF" w:themeColor="background1"/>
                <w:sz w:val="18"/>
                <w:szCs w:val="18"/>
              </w:rPr>
              <w:t>Risk / Issue</w:t>
            </w:r>
          </w:p>
        </w:tc>
        <w:tc>
          <w:tcPr>
            <w:tcW w:w="745" w:type="dxa"/>
            <w:shd w:val="clear" w:color="auto" w:fill="767171" w:themeFill="background2" w:themeFillShade="80"/>
          </w:tcPr>
          <w:p w14:paraId="3D145645" w14:textId="77777777" w:rsidR="00AB39E5" w:rsidRPr="00926E74" w:rsidRDefault="00AB39E5" w:rsidP="001B1F57">
            <w:pPr>
              <w:ind w:left="-23"/>
              <w:jc w:val="center"/>
              <w:rPr>
                <w:color w:val="FFFFFF" w:themeColor="background1"/>
                <w:sz w:val="18"/>
                <w:szCs w:val="18"/>
              </w:rPr>
            </w:pPr>
            <w:r w:rsidRPr="00926E74">
              <w:rPr>
                <w:color w:val="FFFFFF" w:themeColor="background1"/>
                <w:sz w:val="18"/>
                <w:szCs w:val="18"/>
              </w:rPr>
              <w:t>RAG</w:t>
            </w:r>
          </w:p>
        </w:tc>
        <w:tc>
          <w:tcPr>
            <w:tcW w:w="3031" w:type="dxa"/>
            <w:shd w:val="clear" w:color="auto" w:fill="767171" w:themeFill="background2" w:themeFillShade="80"/>
          </w:tcPr>
          <w:p w14:paraId="503E671D" w14:textId="77777777" w:rsidR="00AB39E5" w:rsidRPr="00926E74" w:rsidRDefault="00AB39E5" w:rsidP="001B1F57">
            <w:pPr>
              <w:ind w:left="-23"/>
              <w:jc w:val="center"/>
              <w:rPr>
                <w:color w:val="FFFFFF" w:themeColor="background1"/>
                <w:sz w:val="18"/>
                <w:szCs w:val="18"/>
              </w:rPr>
            </w:pPr>
            <w:r>
              <w:rPr>
                <w:color w:val="FFFFFF" w:themeColor="background1"/>
                <w:sz w:val="18"/>
                <w:szCs w:val="18"/>
              </w:rPr>
              <w:t>Mitigation</w:t>
            </w:r>
          </w:p>
        </w:tc>
      </w:tr>
      <w:tr w:rsidR="002D27E9" w14:paraId="622A7709" w14:textId="77777777" w:rsidTr="003A1A08">
        <w:trPr>
          <w:cantSplit/>
        </w:trPr>
        <w:tc>
          <w:tcPr>
            <w:tcW w:w="1209" w:type="dxa"/>
          </w:tcPr>
          <w:p w14:paraId="6AFDE04F" w14:textId="12257561" w:rsidR="002D27E9" w:rsidRDefault="002D27E9" w:rsidP="00AD4FDA">
            <w:pPr>
              <w:rPr>
                <w:sz w:val="18"/>
                <w:szCs w:val="18"/>
              </w:rPr>
            </w:pPr>
            <w:r>
              <w:rPr>
                <w:sz w:val="18"/>
                <w:szCs w:val="18"/>
              </w:rPr>
              <w:t>Quality &amp; safety</w:t>
            </w:r>
          </w:p>
        </w:tc>
        <w:tc>
          <w:tcPr>
            <w:tcW w:w="4031" w:type="dxa"/>
          </w:tcPr>
          <w:p w14:paraId="28932FEF" w14:textId="1BDFE40C" w:rsidR="002D27E9" w:rsidRDefault="002D27E9" w:rsidP="00A7470F">
            <w:pPr>
              <w:rPr>
                <w:sz w:val="18"/>
                <w:szCs w:val="18"/>
              </w:rPr>
            </w:pPr>
            <w:r>
              <w:rPr>
                <w:sz w:val="18"/>
                <w:szCs w:val="18"/>
              </w:rPr>
              <w:t>Patients (children) may still attend local A&amp;E departments with problems that require emergency surgery.  If there is no local surgical service patients may be required to be transferred between local and tertiary sites.</w:t>
            </w:r>
          </w:p>
        </w:tc>
        <w:tc>
          <w:tcPr>
            <w:tcW w:w="745" w:type="dxa"/>
            <w:shd w:val="clear" w:color="auto" w:fill="FFC000"/>
          </w:tcPr>
          <w:p w14:paraId="31A2B9C5" w14:textId="66ECF173" w:rsidR="002D27E9" w:rsidRDefault="002D27E9" w:rsidP="00AD4FDA">
            <w:pPr>
              <w:ind w:left="34"/>
              <w:jc w:val="center"/>
              <w:rPr>
                <w:sz w:val="18"/>
                <w:szCs w:val="18"/>
              </w:rPr>
            </w:pPr>
            <w:r>
              <w:rPr>
                <w:sz w:val="18"/>
                <w:szCs w:val="18"/>
              </w:rPr>
              <w:t>Amber</w:t>
            </w:r>
          </w:p>
        </w:tc>
        <w:tc>
          <w:tcPr>
            <w:tcW w:w="3031" w:type="dxa"/>
            <w:shd w:val="clear" w:color="auto" w:fill="auto"/>
          </w:tcPr>
          <w:p w14:paraId="5EF03F1D" w14:textId="77777777" w:rsidR="002D27E9" w:rsidRDefault="002D27E9" w:rsidP="00A7470F">
            <w:pPr>
              <w:rPr>
                <w:sz w:val="18"/>
                <w:szCs w:val="18"/>
              </w:rPr>
            </w:pPr>
            <w:r>
              <w:rPr>
                <w:sz w:val="18"/>
                <w:szCs w:val="18"/>
              </w:rPr>
              <w:t>Establish protocol to ensure that ambulances take presenting children to the relevant tertiary centre if it is likely they may require surgery.</w:t>
            </w:r>
          </w:p>
          <w:p w14:paraId="698E99AB" w14:textId="77777777" w:rsidR="002D27E9" w:rsidRDefault="002D27E9" w:rsidP="00A7470F">
            <w:pPr>
              <w:rPr>
                <w:sz w:val="18"/>
                <w:szCs w:val="18"/>
              </w:rPr>
            </w:pPr>
          </w:p>
          <w:p w14:paraId="4ABD7B27" w14:textId="1B60AD81" w:rsidR="002D27E9" w:rsidRDefault="002D27E9" w:rsidP="00A7470F">
            <w:pPr>
              <w:rPr>
                <w:sz w:val="18"/>
                <w:szCs w:val="18"/>
              </w:rPr>
            </w:pPr>
            <w:r>
              <w:rPr>
                <w:sz w:val="18"/>
                <w:szCs w:val="18"/>
              </w:rPr>
              <w:t>For those patients who do not have obvious symptoms a protocol will be require to transfer them to the appropriate site if required.</w:t>
            </w:r>
          </w:p>
        </w:tc>
      </w:tr>
      <w:tr w:rsidR="00AD4FDA" w14:paraId="3A224CD7" w14:textId="77777777" w:rsidTr="003A1A08">
        <w:trPr>
          <w:cantSplit/>
        </w:trPr>
        <w:tc>
          <w:tcPr>
            <w:tcW w:w="1209" w:type="dxa"/>
          </w:tcPr>
          <w:p w14:paraId="6937E466" w14:textId="41B22051" w:rsidR="00AD4FDA" w:rsidRDefault="00AD4FDA" w:rsidP="00AD4FDA">
            <w:pPr>
              <w:rPr>
                <w:sz w:val="18"/>
                <w:szCs w:val="18"/>
              </w:rPr>
            </w:pPr>
            <w:r>
              <w:rPr>
                <w:sz w:val="18"/>
                <w:szCs w:val="18"/>
              </w:rPr>
              <w:t>Access</w:t>
            </w:r>
          </w:p>
        </w:tc>
        <w:tc>
          <w:tcPr>
            <w:tcW w:w="4031" w:type="dxa"/>
          </w:tcPr>
          <w:p w14:paraId="2042110C" w14:textId="1365820D" w:rsidR="00AD4FDA" w:rsidRDefault="00AD4FDA" w:rsidP="00A7470F">
            <w:pPr>
              <w:rPr>
                <w:sz w:val="18"/>
                <w:szCs w:val="18"/>
              </w:rPr>
            </w:pPr>
            <w:r>
              <w:rPr>
                <w:sz w:val="18"/>
                <w:szCs w:val="18"/>
              </w:rPr>
              <w:t xml:space="preserve">Public may find </w:t>
            </w:r>
            <w:r w:rsidR="00BA45F1">
              <w:rPr>
                <w:sz w:val="18"/>
                <w:szCs w:val="18"/>
              </w:rPr>
              <w:t>an off-site</w:t>
            </w:r>
            <w:r>
              <w:rPr>
                <w:sz w:val="18"/>
                <w:szCs w:val="18"/>
              </w:rPr>
              <w:t xml:space="preserve"> centralised service less acceptable.  They have raised concerns over transportation and access if services are moved.  This would incur additional travel for some patients.  Particular concerns have been raised about access to services in Hull and the cost of the Humber Bridge.</w:t>
            </w:r>
          </w:p>
        </w:tc>
        <w:tc>
          <w:tcPr>
            <w:tcW w:w="745" w:type="dxa"/>
            <w:shd w:val="clear" w:color="auto" w:fill="FFC000"/>
          </w:tcPr>
          <w:p w14:paraId="2194B3BB" w14:textId="3AA07BEF" w:rsidR="00AD4FDA" w:rsidRDefault="00AD4FDA" w:rsidP="00AD4FDA">
            <w:pPr>
              <w:ind w:left="34"/>
              <w:jc w:val="center"/>
              <w:rPr>
                <w:sz w:val="18"/>
                <w:szCs w:val="18"/>
              </w:rPr>
            </w:pPr>
            <w:r>
              <w:rPr>
                <w:sz w:val="18"/>
                <w:szCs w:val="18"/>
              </w:rPr>
              <w:t>Amber</w:t>
            </w:r>
          </w:p>
        </w:tc>
        <w:tc>
          <w:tcPr>
            <w:tcW w:w="3031" w:type="dxa"/>
            <w:shd w:val="clear" w:color="auto" w:fill="auto"/>
          </w:tcPr>
          <w:p w14:paraId="60BFD384" w14:textId="48D4C646" w:rsidR="00AD4FDA" w:rsidRDefault="00AD4FDA" w:rsidP="00A7470F">
            <w:pPr>
              <w:rPr>
                <w:sz w:val="18"/>
                <w:szCs w:val="18"/>
              </w:rPr>
            </w:pPr>
            <w:r>
              <w:rPr>
                <w:sz w:val="18"/>
                <w:szCs w:val="18"/>
              </w:rPr>
              <w:t xml:space="preserve">The case for change should be clearly communicated, and the feedback from the large number of patients and public who said they would be happy to travel further for higher quality care.   </w:t>
            </w:r>
          </w:p>
        </w:tc>
      </w:tr>
      <w:tr w:rsidR="00A7470F" w14:paraId="5F4BAECB" w14:textId="77777777" w:rsidTr="003A1A08">
        <w:trPr>
          <w:cantSplit/>
        </w:trPr>
        <w:tc>
          <w:tcPr>
            <w:tcW w:w="1209" w:type="dxa"/>
          </w:tcPr>
          <w:p w14:paraId="50EA9E6F" w14:textId="117DDE36" w:rsidR="00A7470F" w:rsidRPr="006C33F1" w:rsidRDefault="00A7470F" w:rsidP="00A7470F">
            <w:pPr>
              <w:rPr>
                <w:sz w:val="18"/>
                <w:szCs w:val="18"/>
              </w:rPr>
            </w:pPr>
            <w:r>
              <w:rPr>
                <w:sz w:val="18"/>
                <w:szCs w:val="18"/>
              </w:rPr>
              <w:t>Access</w:t>
            </w:r>
          </w:p>
        </w:tc>
        <w:tc>
          <w:tcPr>
            <w:tcW w:w="4031" w:type="dxa"/>
          </w:tcPr>
          <w:p w14:paraId="4E68D75A" w14:textId="4E41E47C" w:rsidR="00A7470F" w:rsidRPr="00F43FFA" w:rsidRDefault="00A7470F" w:rsidP="00153B1E">
            <w:pPr>
              <w:rPr>
                <w:sz w:val="18"/>
                <w:szCs w:val="18"/>
              </w:rPr>
            </w:pPr>
            <w:r>
              <w:rPr>
                <w:sz w:val="18"/>
                <w:szCs w:val="18"/>
              </w:rPr>
              <w:t xml:space="preserve">Both areas within Northern Lincolnshire have a deprived populations and pockets of communities with </w:t>
            </w:r>
            <w:r w:rsidRPr="00D035D0">
              <w:rPr>
                <w:sz w:val="18"/>
                <w:szCs w:val="18"/>
              </w:rPr>
              <w:t>low incomes</w:t>
            </w:r>
            <w:r>
              <w:rPr>
                <w:sz w:val="18"/>
                <w:szCs w:val="18"/>
              </w:rPr>
              <w:t xml:space="preserve">.  This </w:t>
            </w:r>
            <w:r w:rsidR="00153B1E">
              <w:rPr>
                <w:sz w:val="18"/>
                <w:szCs w:val="18"/>
              </w:rPr>
              <w:t>could be seen to disadvantage deprived populations.</w:t>
            </w:r>
          </w:p>
        </w:tc>
        <w:tc>
          <w:tcPr>
            <w:tcW w:w="745" w:type="dxa"/>
            <w:shd w:val="clear" w:color="auto" w:fill="FFC000"/>
          </w:tcPr>
          <w:p w14:paraId="271A89F6" w14:textId="550BB9C6" w:rsidR="00A7470F" w:rsidRDefault="00A7470F" w:rsidP="00A7470F">
            <w:pPr>
              <w:ind w:left="34"/>
              <w:jc w:val="center"/>
              <w:rPr>
                <w:sz w:val="18"/>
                <w:szCs w:val="18"/>
              </w:rPr>
            </w:pPr>
            <w:r>
              <w:rPr>
                <w:sz w:val="18"/>
                <w:szCs w:val="18"/>
              </w:rPr>
              <w:t>Amber</w:t>
            </w:r>
          </w:p>
        </w:tc>
        <w:tc>
          <w:tcPr>
            <w:tcW w:w="3031" w:type="dxa"/>
            <w:shd w:val="clear" w:color="auto" w:fill="auto"/>
          </w:tcPr>
          <w:p w14:paraId="402B7C48" w14:textId="3B73F2CB" w:rsidR="00A7470F" w:rsidRDefault="00A7470F" w:rsidP="00A7470F">
            <w:pPr>
              <w:ind w:left="34"/>
              <w:rPr>
                <w:sz w:val="18"/>
                <w:szCs w:val="18"/>
              </w:rPr>
            </w:pPr>
            <w:r>
              <w:rPr>
                <w:sz w:val="18"/>
                <w:szCs w:val="18"/>
              </w:rPr>
              <w:t>Support with travel costs is available for certain people that meet the criteria for subsidy or refund. This could be reviewed to be more inclusive.</w:t>
            </w:r>
          </w:p>
        </w:tc>
      </w:tr>
      <w:tr w:rsidR="00AB39E5" w14:paraId="71E44356" w14:textId="77777777" w:rsidTr="002D27E9">
        <w:trPr>
          <w:cantSplit/>
        </w:trPr>
        <w:tc>
          <w:tcPr>
            <w:tcW w:w="1209" w:type="dxa"/>
          </w:tcPr>
          <w:p w14:paraId="757D9D60" w14:textId="418862E8" w:rsidR="00AB39E5" w:rsidRDefault="00AD4FDA" w:rsidP="001B1F57">
            <w:pPr>
              <w:pStyle w:val="ListParagraph"/>
              <w:spacing w:before="0" w:line="240" w:lineRule="auto"/>
              <w:ind w:left="29"/>
              <w:rPr>
                <w:rFonts w:asciiTheme="minorHAnsi" w:hAnsiTheme="minorHAnsi"/>
                <w:sz w:val="18"/>
                <w:szCs w:val="18"/>
              </w:rPr>
            </w:pPr>
            <w:r>
              <w:rPr>
                <w:rFonts w:asciiTheme="minorHAnsi" w:hAnsiTheme="minorHAnsi"/>
                <w:sz w:val="18"/>
                <w:szCs w:val="18"/>
              </w:rPr>
              <w:t>Affordability</w:t>
            </w:r>
          </w:p>
        </w:tc>
        <w:tc>
          <w:tcPr>
            <w:tcW w:w="4031" w:type="dxa"/>
          </w:tcPr>
          <w:p w14:paraId="6F0B60D6" w14:textId="44475298" w:rsidR="00AB39E5" w:rsidRDefault="00153B1E" w:rsidP="00153B1E">
            <w:pPr>
              <w:rPr>
                <w:sz w:val="18"/>
                <w:szCs w:val="18"/>
              </w:rPr>
            </w:pPr>
            <w:r>
              <w:rPr>
                <w:sz w:val="18"/>
                <w:szCs w:val="18"/>
              </w:rPr>
              <w:t>This will reduce income to the acute trust as the tariff will follow the patient to the tertiary provider.</w:t>
            </w:r>
          </w:p>
        </w:tc>
        <w:tc>
          <w:tcPr>
            <w:tcW w:w="745" w:type="dxa"/>
            <w:shd w:val="clear" w:color="auto" w:fill="92D050"/>
          </w:tcPr>
          <w:p w14:paraId="228EE06A" w14:textId="263D10FE" w:rsidR="00AB39E5" w:rsidRPr="005368F5" w:rsidRDefault="002D27E9" w:rsidP="001B1F57">
            <w:pPr>
              <w:ind w:left="34"/>
              <w:jc w:val="center"/>
              <w:rPr>
                <w:sz w:val="18"/>
                <w:szCs w:val="18"/>
              </w:rPr>
            </w:pPr>
            <w:r>
              <w:rPr>
                <w:sz w:val="18"/>
                <w:szCs w:val="18"/>
              </w:rPr>
              <w:t>Green</w:t>
            </w:r>
          </w:p>
        </w:tc>
        <w:tc>
          <w:tcPr>
            <w:tcW w:w="3031" w:type="dxa"/>
            <w:shd w:val="clear" w:color="auto" w:fill="auto"/>
          </w:tcPr>
          <w:p w14:paraId="4444D42E" w14:textId="77777777" w:rsidR="00AB39E5" w:rsidRDefault="00153B1E" w:rsidP="00153B1E">
            <w:pPr>
              <w:rPr>
                <w:sz w:val="18"/>
                <w:szCs w:val="18"/>
              </w:rPr>
            </w:pPr>
            <w:r>
              <w:rPr>
                <w:sz w:val="18"/>
                <w:szCs w:val="18"/>
              </w:rPr>
              <w:t xml:space="preserve">Use the reduction in surgical volumes to support a theatre capacity </w:t>
            </w:r>
            <w:proofErr w:type="gramStart"/>
            <w:r>
              <w:rPr>
                <w:sz w:val="18"/>
                <w:szCs w:val="18"/>
              </w:rPr>
              <w:t>review,</w:t>
            </w:r>
            <w:proofErr w:type="gramEnd"/>
            <w:r>
              <w:rPr>
                <w:sz w:val="18"/>
                <w:szCs w:val="18"/>
              </w:rPr>
              <w:t xml:space="preserve"> either reduce theatre lists or use that capacity for other specialities.</w:t>
            </w:r>
          </w:p>
          <w:p w14:paraId="5E4400EC" w14:textId="2E9CB2A1" w:rsidR="00153B1E" w:rsidRPr="005368F5" w:rsidRDefault="00153B1E" w:rsidP="00153B1E">
            <w:pPr>
              <w:rPr>
                <w:sz w:val="18"/>
                <w:szCs w:val="18"/>
              </w:rPr>
            </w:pPr>
          </w:p>
        </w:tc>
      </w:tr>
      <w:tr w:rsidR="00153B1E" w14:paraId="01D03B74" w14:textId="77777777" w:rsidTr="002D27E9">
        <w:trPr>
          <w:cantSplit/>
        </w:trPr>
        <w:tc>
          <w:tcPr>
            <w:tcW w:w="1209" w:type="dxa"/>
          </w:tcPr>
          <w:p w14:paraId="0870C42B" w14:textId="2620934D" w:rsidR="00153B1E" w:rsidRDefault="00153B1E" w:rsidP="001B1F57">
            <w:pPr>
              <w:pStyle w:val="ListParagraph"/>
              <w:spacing w:before="0" w:line="240" w:lineRule="auto"/>
              <w:ind w:left="29"/>
              <w:rPr>
                <w:rFonts w:asciiTheme="minorHAnsi" w:hAnsiTheme="minorHAnsi"/>
                <w:sz w:val="18"/>
                <w:szCs w:val="18"/>
              </w:rPr>
            </w:pPr>
            <w:r>
              <w:rPr>
                <w:rFonts w:asciiTheme="minorHAnsi" w:hAnsiTheme="minorHAnsi"/>
                <w:sz w:val="18"/>
                <w:szCs w:val="18"/>
              </w:rPr>
              <w:t>Affordability</w:t>
            </w:r>
          </w:p>
        </w:tc>
        <w:tc>
          <w:tcPr>
            <w:tcW w:w="4031" w:type="dxa"/>
          </w:tcPr>
          <w:p w14:paraId="692262D6" w14:textId="2B836065" w:rsidR="00153B1E" w:rsidRDefault="002D27E9" w:rsidP="002D27E9">
            <w:pPr>
              <w:rPr>
                <w:sz w:val="18"/>
                <w:szCs w:val="18"/>
              </w:rPr>
            </w:pPr>
            <w:r>
              <w:rPr>
                <w:sz w:val="18"/>
                <w:szCs w:val="18"/>
              </w:rPr>
              <w:t>T</w:t>
            </w:r>
            <w:r w:rsidR="00153B1E">
              <w:rPr>
                <w:sz w:val="18"/>
                <w:szCs w:val="18"/>
              </w:rPr>
              <w:t>here could be a tertiary premium applied to the tariff by the tertiary provider</w:t>
            </w:r>
            <w:r>
              <w:rPr>
                <w:sz w:val="18"/>
                <w:szCs w:val="18"/>
              </w:rPr>
              <w:t>.  Commissioners are currently required to reduce their costs within current allocations.</w:t>
            </w:r>
          </w:p>
        </w:tc>
        <w:tc>
          <w:tcPr>
            <w:tcW w:w="745" w:type="dxa"/>
            <w:shd w:val="clear" w:color="auto" w:fill="FFC000"/>
          </w:tcPr>
          <w:p w14:paraId="673694F0" w14:textId="6EB5FCCE" w:rsidR="00153B1E" w:rsidRDefault="002D27E9" w:rsidP="001B1F57">
            <w:pPr>
              <w:ind w:left="34"/>
              <w:jc w:val="center"/>
              <w:rPr>
                <w:sz w:val="18"/>
                <w:szCs w:val="18"/>
              </w:rPr>
            </w:pPr>
            <w:r>
              <w:rPr>
                <w:sz w:val="18"/>
                <w:szCs w:val="18"/>
              </w:rPr>
              <w:t>Amber</w:t>
            </w:r>
          </w:p>
        </w:tc>
        <w:tc>
          <w:tcPr>
            <w:tcW w:w="3031" w:type="dxa"/>
            <w:shd w:val="clear" w:color="auto" w:fill="auto"/>
          </w:tcPr>
          <w:p w14:paraId="33FCBC4A" w14:textId="4C7DA36D" w:rsidR="00153B1E" w:rsidRDefault="00153B1E" w:rsidP="003F36A5">
            <w:pPr>
              <w:rPr>
                <w:sz w:val="18"/>
                <w:szCs w:val="18"/>
              </w:rPr>
            </w:pPr>
            <w:r>
              <w:rPr>
                <w:sz w:val="18"/>
                <w:szCs w:val="18"/>
              </w:rPr>
              <w:t>Negotiate rates with the tertiary provider to avoid additional costs to the commissioners.</w:t>
            </w:r>
          </w:p>
        </w:tc>
      </w:tr>
    </w:tbl>
    <w:p w14:paraId="70117FE1" w14:textId="7179C8A9" w:rsidR="00AB39E5" w:rsidRDefault="00A7470F" w:rsidP="00A7470F">
      <w:pPr>
        <w:tabs>
          <w:tab w:val="left" w:pos="3621"/>
        </w:tabs>
      </w:pPr>
      <w:r>
        <w:tab/>
      </w:r>
    </w:p>
    <w:p w14:paraId="6A63E009" w14:textId="654A567A" w:rsidR="00AB39E5" w:rsidRDefault="00B77048" w:rsidP="00AB39E5">
      <w:pPr>
        <w:pStyle w:val="Heading2"/>
      </w:pPr>
      <w:bookmarkStart w:id="34" w:name="_Toc388275381"/>
      <w:r>
        <w:t>8</w:t>
      </w:r>
      <w:r w:rsidR="00AB39E5">
        <w:t>.3 Benefits</w:t>
      </w:r>
      <w:bookmarkEnd w:id="34"/>
    </w:p>
    <w:p w14:paraId="14969882" w14:textId="77777777" w:rsidR="00AB39E5" w:rsidRDefault="00AB39E5" w:rsidP="00AB39E5">
      <w:r>
        <w:t>Benefits of this option are shown below:</w:t>
      </w:r>
    </w:p>
    <w:p w14:paraId="70656188" w14:textId="28D96498" w:rsidR="00AB39E5" w:rsidRPr="001B1F57" w:rsidRDefault="00B77048" w:rsidP="001B1F57">
      <w:pPr>
        <w:pStyle w:val="Heading4"/>
      </w:pPr>
      <w:r>
        <w:t>Table 2</w:t>
      </w:r>
      <w:r w:rsidR="001B1F57">
        <w:t>1</w:t>
      </w:r>
      <w:r w:rsidR="00AB39E5" w:rsidRPr="001B1F57">
        <w:t xml:space="preserve"> – Benefits of option </w:t>
      </w:r>
      <w:r w:rsidR="00CC7E0A">
        <w:t>4</w:t>
      </w:r>
      <w:r w:rsidR="00AB39E5" w:rsidRPr="001B1F57">
        <w:t xml:space="preserve"> (</w:t>
      </w:r>
      <w:r w:rsidR="00CC7E0A">
        <w:t>De</w:t>
      </w:r>
      <w:r w:rsidR="00AB39E5" w:rsidRPr="001B1F57">
        <w:t>c</w:t>
      </w:r>
      <w:r w:rsidR="00CC7E0A">
        <w:t>ommission local service</w:t>
      </w:r>
      <w:r w:rsidR="00AB39E5" w:rsidRPr="001B1F57">
        <w:t>)</w:t>
      </w:r>
    </w:p>
    <w:tbl>
      <w:tblPr>
        <w:tblStyle w:val="TableGrid"/>
        <w:tblW w:w="9067" w:type="dxa"/>
        <w:tblLook w:val="04A0" w:firstRow="1" w:lastRow="0" w:firstColumn="1" w:lastColumn="0" w:noHBand="0" w:noVBand="1"/>
      </w:tblPr>
      <w:tblGrid>
        <w:gridCol w:w="1555"/>
        <w:gridCol w:w="7512"/>
      </w:tblGrid>
      <w:tr w:rsidR="00AB39E5" w:rsidRPr="00926E74" w14:paraId="73321F11" w14:textId="77777777" w:rsidTr="001B1F57">
        <w:trPr>
          <w:cantSplit/>
          <w:tblHeader/>
        </w:trPr>
        <w:tc>
          <w:tcPr>
            <w:tcW w:w="1555" w:type="dxa"/>
            <w:shd w:val="clear" w:color="auto" w:fill="767171" w:themeFill="background2" w:themeFillShade="80"/>
          </w:tcPr>
          <w:p w14:paraId="7C5B81FC" w14:textId="77777777" w:rsidR="00AB39E5" w:rsidRPr="00926E74" w:rsidRDefault="00AB39E5" w:rsidP="001B1F57">
            <w:pPr>
              <w:rPr>
                <w:color w:val="FFFFFF" w:themeColor="background1"/>
                <w:sz w:val="18"/>
                <w:szCs w:val="18"/>
              </w:rPr>
            </w:pPr>
            <w:r>
              <w:rPr>
                <w:color w:val="FFFFFF" w:themeColor="background1"/>
                <w:sz w:val="18"/>
                <w:szCs w:val="18"/>
              </w:rPr>
              <w:t>Category</w:t>
            </w:r>
          </w:p>
        </w:tc>
        <w:tc>
          <w:tcPr>
            <w:tcW w:w="7512" w:type="dxa"/>
            <w:shd w:val="clear" w:color="auto" w:fill="767171" w:themeFill="background2" w:themeFillShade="80"/>
          </w:tcPr>
          <w:p w14:paraId="5D9689D2" w14:textId="77777777" w:rsidR="00AB39E5" w:rsidRPr="00926E74" w:rsidRDefault="00AB39E5" w:rsidP="001B1F57">
            <w:pPr>
              <w:rPr>
                <w:color w:val="FFFFFF" w:themeColor="background1"/>
                <w:sz w:val="18"/>
                <w:szCs w:val="18"/>
              </w:rPr>
            </w:pPr>
            <w:r>
              <w:rPr>
                <w:color w:val="FFFFFF" w:themeColor="background1"/>
                <w:sz w:val="18"/>
                <w:szCs w:val="18"/>
              </w:rPr>
              <w:t>Benefit</w:t>
            </w:r>
          </w:p>
        </w:tc>
      </w:tr>
      <w:tr w:rsidR="00AB39E5" w:rsidRPr="00926E74" w14:paraId="3205ACBD" w14:textId="77777777" w:rsidTr="001B1F57">
        <w:trPr>
          <w:cantSplit/>
        </w:trPr>
        <w:tc>
          <w:tcPr>
            <w:tcW w:w="1555" w:type="dxa"/>
          </w:tcPr>
          <w:p w14:paraId="64DED0F3" w14:textId="4B1F7334" w:rsidR="00AB39E5" w:rsidRPr="00BE3329" w:rsidRDefault="00A7470F" w:rsidP="00CC7E0A">
            <w:pPr>
              <w:rPr>
                <w:sz w:val="18"/>
                <w:szCs w:val="18"/>
              </w:rPr>
            </w:pPr>
            <w:r>
              <w:rPr>
                <w:sz w:val="18"/>
                <w:szCs w:val="18"/>
              </w:rPr>
              <w:t xml:space="preserve">Quality &amp; </w:t>
            </w:r>
            <w:r w:rsidR="00CC7E0A">
              <w:rPr>
                <w:sz w:val="18"/>
                <w:szCs w:val="18"/>
              </w:rPr>
              <w:t>s</w:t>
            </w:r>
            <w:r>
              <w:rPr>
                <w:sz w:val="18"/>
                <w:szCs w:val="18"/>
              </w:rPr>
              <w:t>afety</w:t>
            </w:r>
          </w:p>
        </w:tc>
        <w:tc>
          <w:tcPr>
            <w:tcW w:w="7512" w:type="dxa"/>
          </w:tcPr>
          <w:p w14:paraId="5302EB32" w14:textId="06B8AF16" w:rsidR="00AB39E5" w:rsidRPr="00926E74" w:rsidRDefault="00A7470F" w:rsidP="00A7470F">
            <w:pPr>
              <w:rPr>
                <w:sz w:val="18"/>
                <w:szCs w:val="18"/>
              </w:rPr>
            </w:pPr>
            <w:r>
              <w:rPr>
                <w:sz w:val="18"/>
                <w:szCs w:val="18"/>
              </w:rPr>
              <w:t xml:space="preserve">Children would receive optimal care from staff who </w:t>
            </w:r>
            <w:proofErr w:type="gramStart"/>
            <w:r>
              <w:rPr>
                <w:sz w:val="18"/>
                <w:szCs w:val="18"/>
              </w:rPr>
              <w:t>meet</w:t>
            </w:r>
            <w:proofErr w:type="gramEnd"/>
            <w:r>
              <w:rPr>
                <w:sz w:val="18"/>
                <w:szCs w:val="18"/>
              </w:rPr>
              <w:t xml:space="preserve"> </w:t>
            </w:r>
            <w:r w:rsidR="00CC7E0A">
              <w:rPr>
                <w:sz w:val="18"/>
                <w:szCs w:val="18"/>
              </w:rPr>
              <w:t xml:space="preserve">all the required </w:t>
            </w:r>
            <w:r>
              <w:rPr>
                <w:sz w:val="18"/>
                <w:szCs w:val="18"/>
              </w:rPr>
              <w:t xml:space="preserve">competency requirements </w:t>
            </w:r>
            <w:r w:rsidR="00CC7E0A">
              <w:rPr>
                <w:sz w:val="18"/>
                <w:szCs w:val="18"/>
              </w:rPr>
              <w:t>to</w:t>
            </w:r>
            <w:r w:rsidR="002D27E9">
              <w:rPr>
                <w:sz w:val="18"/>
                <w:szCs w:val="18"/>
              </w:rPr>
              <w:t xml:space="preserve"> work within children’s surgery.</w:t>
            </w:r>
          </w:p>
        </w:tc>
      </w:tr>
      <w:tr w:rsidR="00AB39E5" w:rsidRPr="00926E74" w14:paraId="653EAAD7" w14:textId="77777777" w:rsidTr="001B1F57">
        <w:trPr>
          <w:cantSplit/>
        </w:trPr>
        <w:tc>
          <w:tcPr>
            <w:tcW w:w="1555" w:type="dxa"/>
          </w:tcPr>
          <w:p w14:paraId="1EC0A4C1" w14:textId="00E98A02" w:rsidR="00AB39E5" w:rsidRDefault="00CC7E0A" w:rsidP="00CC7E0A">
            <w:pPr>
              <w:rPr>
                <w:sz w:val="18"/>
                <w:szCs w:val="18"/>
              </w:rPr>
            </w:pPr>
            <w:r>
              <w:rPr>
                <w:sz w:val="18"/>
                <w:szCs w:val="18"/>
              </w:rPr>
              <w:t>Quality &amp; safety</w:t>
            </w:r>
          </w:p>
        </w:tc>
        <w:tc>
          <w:tcPr>
            <w:tcW w:w="7512" w:type="dxa"/>
          </w:tcPr>
          <w:p w14:paraId="5F7D4EA3" w14:textId="76219ADB" w:rsidR="00AB39E5" w:rsidRDefault="00F72145" w:rsidP="003F36A5">
            <w:pPr>
              <w:rPr>
                <w:sz w:val="18"/>
                <w:szCs w:val="18"/>
              </w:rPr>
            </w:pPr>
            <w:r>
              <w:rPr>
                <w:sz w:val="18"/>
                <w:szCs w:val="18"/>
              </w:rPr>
              <w:t xml:space="preserve">Patient safety would be </w:t>
            </w:r>
            <w:r w:rsidR="003F36A5">
              <w:rPr>
                <w:sz w:val="18"/>
                <w:szCs w:val="18"/>
              </w:rPr>
              <w:t>assu</w:t>
            </w:r>
            <w:r>
              <w:rPr>
                <w:sz w:val="18"/>
                <w:szCs w:val="18"/>
              </w:rPr>
              <w:t>red by providing care from tertiary centres</w:t>
            </w:r>
            <w:r w:rsidR="002D27E9">
              <w:rPr>
                <w:sz w:val="18"/>
                <w:szCs w:val="18"/>
              </w:rPr>
              <w:t>.</w:t>
            </w:r>
            <w:r>
              <w:rPr>
                <w:sz w:val="18"/>
                <w:szCs w:val="18"/>
              </w:rPr>
              <w:t xml:space="preserve"> </w:t>
            </w:r>
          </w:p>
        </w:tc>
      </w:tr>
      <w:tr w:rsidR="002D27E9" w:rsidRPr="00926E74" w14:paraId="1E590C53" w14:textId="77777777" w:rsidTr="001B1F57">
        <w:trPr>
          <w:cantSplit/>
        </w:trPr>
        <w:tc>
          <w:tcPr>
            <w:tcW w:w="1555" w:type="dxa"/>
          </w:tcPr>
          <w:p w14:paraId="2993AE66" w14:textId="593A926F" w:rsidR="002D27E9" w:rsidRDefault="002D27E9" w:rsidP="00CC7E0A">
            <w:pPr>
              <w:rPr>
                <w:sz w:val="18"/>
                <w:szCs w:val="18"/>
              </w:rPr>
            </w:pPr>
            <w:r>
              <w:rPr>
                <w:sz w:val="18"/>
                <w:szCs w:val="18"/>
              </w:rPr>
              <w:lastRenderedPageBreak/>
              <w:t>Deliverability</w:t>
            </w:r>
          </w:p>
        </w:tc>
        <w:tc>
          <w:tcPr>
            <w:tcW w:w="7512" w:type="dxa"/>
          </w:tcPr>
          <w:p w14:paraId="21964EC8" w14:textId="122571D8" w:rsidR="002D27E9" w:rsidRDefault="002D27E9" w:rsidP="003F36A5">
            <w:pPr>
              <w:rPr>
                <w:sz w:val="18"/>
                <w:szCs w:val="18"/>
              </w:rPr>
            </w:pPr>
            <w:r>
              <w:rPr>
                <w:sz w:val="18"/>
                <w:szCs w:val="18"/>
              </w:rPr>
              <w:t xml:space="preserve">This would allow </w:t>
            </w:r>
            <w:proofErr w:type="spellStart"/>
            <w:r>
              <w:rPr>
                <w:sz w:val="18"/>
                <w:szCs w:val="18"/>
              </w:rPr>
              <w:t>NLaG</w:t>
            </w:r>
            <w:proofErr w:type="spellEnd"/>
            <w:r>
              <w:rPr>
                <w:sz w:val="18"/>
                <w:szCs w:val="18"/>
              </w:rPr>
              <w:t xml:space="preserve"> to focus their resources on other higher volume activities and reduce pressure on the current service.</w:t>
            </w:r>
          </w:p>
        </w:tc>
      </w:tr>
    </w:tbl>
    <w:p w14:paraId="0870C1C3" w14:textId="77777777" w:rsidR="001B1F57" w:rsidRDefault="001B1F57" w:rsidP="00AB39E5">
      <w:pPr>
        <w:pStyle w:val="Heading2"/>
      </w:pPr>
    </w:p>
    <w:p w14:paraId="25BBDB09" w14:textId="69009074" w:rsidR="00AB39E5" w:rsidRDefault="00B77048" w:rsidP="00337650">
      <w:pPr>
        <w:pStyle w:val="Heading2"/>
        <w:tabs>
          <w:tab w:val="left" w:pos="3729"/>
        </w:tabs>
      </w:pPr>
      <w:bookmarkStart w:id="35" w:name="_Toc388275382"/>
      <w:r>
        <w:t>8</w:t>
      </w:r>
      <w:r w:rsidR="00AB39E5">
        <w:t>.4 Equality Impact Assessment</w:t>
      </w:r>
      <w:bookmarkEnd w:id="35"/>
      <w:r w:rsidR="00337650">
        <w:tab/>
      </w:r>
    </w:p>
    <w:p w14:paraId="32CEAB68" w14:textId="77777777" w:rsidR="00AB39E5" w:rsidRDefault="00AB39E5" w:rsidP="00AB39E5">
      <w:r>
        <w:t>The impact on people with protected characteristics can be seen below:</w:t>
      </w:r>
    </w:p>
    <w:p w14:paraId="4FD2B0A1" w14:textId="2373E917" w:rsidR="00AB39E5" w:rsidRDefault="001B1F57" w:rsidP="00B77048">
      <w:pPr>
        <w:pStyle w:val="Heading4"/>
        <w:rPr>
          <w:color w:val="0070C0"/>
          <w:sz w:val="32"/>
          <w:szCs w:val="32"/>
        </w:rPr>
      </w:pPr>
      <w:r w:rsidRPr="00B77048">
        <w:t xml:space="preserve">Table </w:t>
      </w:r>
      <w:r w:rsidR="00B77048">
        <w:t>2</w:t>
      </w:r>
      <w:r w:rsidRPr="00B77048">
        <w:t>2 -</w:t>
      </w:r>
      <w:r w:rsidR="00AB39E5" w:rsidRPr="00B77048">
        <w:t xml:space="preserve"> Assessment of the impact on people with protected characteristics </w:t>
      </w:r>
    </w:p>
    <w:tbl>
      <w:tblPr>
        <w:tblStyle w:val="TableGrid"/>
        <w:tblW w:w="9067" w:type="dxa"/>
        <w:tblLook w:val="04A0" w:firstRow="1" w:lastRow="0" w:firstColumn="1" w:lastColumn="0" w:noHBand="0" w:noVBand="1"/>
      </w:tblPr>
      <w:tblGrid>
        <w:gridCol w:w="1413"/>
        <w:gridCol w:w="992"/>
        <w:gridCol w:w="6662"/>
      </w:tblGrid>
      <w:tr w:rsidR="00B77048" w:rsidRPr="00283C04" w14:paraId="6B547688" w14:textId="77777777" w:rsidTr="0076385F">
        <w:tc>
          <w:tcPr>
            <w:tcW w:w="1413" w:type="dxa"/>
            <w:shd w:val="clear" w:color="auto" w:fill="767171" w:themeFill="background2" w:themeFillShade="80"/>
          </w:tcPr>
          <w:p w14:paraId="0D6ADA30" w14:textId="77777777" w:rsidR="00B77048" w:rsidRPr="00283C04" w:rsidRDefault="00B77048" w:rsidP="0076385F">
            <w:pPr>
              <w:rPr>
                <w:color w:val="FFFFFF" w:themeColor="background1"/>
                <w:sz w:val="18"/>
                <w:szCs w:val="18"/>
              </w:rPr>
            </w:pPr>
            <w:r>
              <w:br w:type="page"/>
            </w:r>
            <w:r w:rsidRPr="00283C04">
              <w:rPr>
                <w:color w:val="FFFFFF" w:themeColor="background1"/>
                <w:sz w:val="18"/>
                <w:szCs w:val="18"/>
              </w:rPr>
              <w:t>Protected characteristic</w:t>
            </w:r>
          </w:p>
        </w:tc>
        <w:tc>
          <w:tcPr>
            <w:tcW w:w="992" w:type="dxa"/>
            <w:shd w:val="clear" w:color="auto" w:fill="767171" w:themeFill="background2" w:themeFillShade="80"/>
          </w:tcPr>
          <w:p w14:paraId="57410AA0" w14:textId="77777777" w:rsidR="00B77048" w:rsidRPr="00283C04" w:rsidRDefault="00B77048" w:rsidP="0076385F">
            <w:pPr>
              <w:jc w:val="center"/>
              <w:rPr>
                <w:color w:val="FFFFFF" w:themeColor="background1"/>
                <w:sz w:val="18"/>
                <w:szCs w:val="18"/>
              </w:rPr>
            </w:pPr>
            <w:r w:rsidRPr="00283C04">
              <w:rPr>
                <w:color w:val="FFFFFF" w:themeColor="background1"/>
                <w:sz w:val="18"/>
                <w:szCs w:val="18"/>
              </w:rPr>
              <w:t>Impact</w:t>
            </w:r>
          </w:p>
        </w:tc>
        <w:tc>
          <w:tcPr>
            <w:tcW w:w="6662" w:type="dxa"/>
            <w:shd w:val="clear" w:color="auto" w:fill="767171" w:themeFill="background2" w:themeFillShade="80"/>
          </w:tcPr>
          <w:p w14:paraId="754175E3" w14:textId="77777777" w:rsidR="00B77048" w:rsidRPr="00283C04" w:rsidRDefault="00B77048" w:rsidP="0076385F">
            <w:pPr>
              <w:rPr>
                <w:color w:val="FFFFFF" w:themeColor="background1"/>
                <w:sz w:val="18"/>
                <w:szCs w:val="18"/>
              </w:rPr>
            </w:pPr>
            <w:r w:rsidRPr="00283C04">
              <w:rPr>
                <w:color w:val="FFFFFF" w:themeColor="background1"/>
                <w:sz w:val="18"/>
                <w:szCs w:val="18"/>
              </w:rPr>
              <w:t>Nature of impact</w:t>
            </w:r>
          </w:p>
        </w:tc>
      </w:tr>
      <w:tr w:rsidR="00B77048" w:rsidRPr="00283C04" w14:paraId="0BA605DD" w14:textId="77777777" w:rsidTr="0076385F">
        <w:tc>
          <w:tcPr>
            <w:tcW w:w="1413" w:type="dxa"/>
          </w:tcPr>
          <w:p w14:paraId="22541CFE" w14:textId="77777777" w:rsidR="00B77048" w:rsidRPr="00283C04" w:rsidRDefault="00B77048" w:rsidP="0076385F">
            <w:pPr>
              <w:rPr>
                <w:sz w:val="18"/>
                <w:szCs w:val="18"/>
              </w:rPr>
            </w:pPr>
            <w:r w:rsidRPr="00283C04">
              <w:rPr>
                <w:sz w:val="18"/>
                <w:szCs w:val="18"/>
              </w:rPr>
              <w:t>Age</w:t>
            </w:r>
          </w:p>
        </w:tc>
        <w:tc>
          <w:tcPr>
            <w:tcW w:w="992" w:type="dxa"/>
            <w:shd w:val="clear" w:color="auto" w:fill="FF0000"/>
          </w:tcPr>
          <w:p w14:paraId="0FE9112C" w14:textId="77777777" w:rsidR="00B77048" w:rsidRPr="00283C04" w:rsidRDefault="00B77048" w:rsidP="0076385F">
            <w:pPr>
              <w:jc w:val="center"/>
              <w:rPr>
                <w:sz w:val="18"/>
                <w:szCs w:val="18"/>
              </w:rPr>
            </w:pPr>
            <w:r w:rsidRPr="00283C04">
              <w:rPr>
                <w:sz w:val="18"/>
                <w:szCs w:val="18"/>
              </w:rPr>
              <w:t>Negative</w:t>
            </w:r>
          </w:p>
        </w:tc>
        <w:tc>
          <w:tcPr>
            <w:tcW w:w="6662" w:type="dxa"/>
          </w:tcPr>
          <w:p w14:paraId="7B4470BD" w14:textId="50721F9F" w:rsidR="00B77048" w:rsidRPr="00B77048" w:rsidRDefault="00B77048" w:rsidP="00B77048">
            <w:pPr>
              <w:rPr>
                <w:sz w:val="18"/>
                <w:szCs w:val="18"/>
              </w:rPr>
            </w:pPr>
            <w:r w:rsidRPr="00B77048">
              <w:rPr>
                <w:rFonts w:ascii="Calibri" w:hAnsi="Calibri" w:cs="Arial"/>
                <w:sz w:val="18"/>
                <w:szCs w:val="18"/>
              </w:rPr>
              <w:t>Children patients may still attend local A&amp;E departments with problems that require emergency surgery. If there is no local surgical service patients may be required to be transferred between local and tertiary sites. However North East Lincolnshire has 38.2% of the population of residents in the most deprived quintile and in North Lincolnshire the figure is 19.6%, therefore locating the service outside of Northern Lincolnshire would present a r</w:t>
            </w:r>
            <w:r>
              <w:rPr>
                <w:rFonts w:ascii="Calibri" w:hAnsi="Calibri" w:cs="Arial"/>
                <w:sz w:val="18"/>
                <w:szCs w:val="18"/>
              </w:rPr>
              <w:t>isk to this cohort of residents.</w:t>
            </w:r>
            <w:r w:rsidRPr="00B77048">
              <w:rPr>
                <w:rFonts w:ascii="Calibri" w:hAnsi="Calibri" w:cs="Arial"/>
                <w:sz w:val="18"/>
                <w:szCs w:val="18"/>
              </w:rPr>
              <w:t xml:space="preserve"> </w:t>
            </w:r>
          </w:p>
        </w:tc>
      </w:tr>
      <w:tr w:rsidR="00B77048" w:rsidRPr="00283C04" w14:paraId="7C9746D3" w14:textId="77777777" w:rsidTr="0076385F">
        <w:tc>
          <w:tcPr>
            <w:tcW w:w="1413" w:type="dxa"/>
          </w:tcPr>
          <w:p w14:paraId="7B3BA4DB" w14:textId="77777777" w:rsidR="00B77048" w:rsidRPr="00283C04" w:rsidRDefault="00B77048" w:rsidP="0076385F">
            <w:pPr>
              <w:rPr>
                <w:sz w:val="18"/>
                <w:szCs w:val="18"/>
              </w:rPr>
            </w:pPr>
            <w:r w:rsidRPr="00283C04">
              <w:rPr>
                <w:sz w:val="18"/>
                <w:szCs w:val="18"/>
              </w:rPr>
              <w:t>Disability</w:t>
            </w:r>
          </w:p>
        </w:tc>
        <w:tc>
          <w:tcPr>
            <w:tcW w:w="992" w:type="dxa"/>
            <w:shd w:val="clear" w:color="auto" w:fill="FFC000"/>
          </w:tcPr>
          <w:p w14:paraId="3A3060E4" w14:textId="77777777" w:rsidR="00B77048" w:rsidRPr="00283C04" w:rsidRDefault="00B77048" w:rsidP="0076385F">
            <w:pPr>
              <w:jc w:val="center"/>
              <w:rPr>
                <w:sz w:val="18"/>
                <w:szCs w:val="18"/>
              </w:rPr>
            </w:pPr>
            <w:r w:rsidRPr="00283C04">
              <w:rPr>
                <w:sz w:val="18"/>
                <w:szCs w:val="18"/>
              </w:rPr>
              <w:t>Neutral</w:t>
            </w:r>
          </w:p>
        </w:tc>
        <w:tc>
          <w:tcPr>
            <w:tcW w:w="6662" w:type="dxa"/>
          </w:tcPr>
          <w:p w14:paraId="6D01E411" w14:textId="77777777" w:rsidR="00B77048" w:rsidRPr="00E04768" w:rsidRDefault="00B77048" w:rsidP="0076385F">
            <w:pPr>
              <w:rPr>
                <w:sz w:val="18"/>
                <w:szCs w:val="18"/>
              </w:rPr>
            </w:pPr>
            <w:r w:rsidRPr="00E04768">
              <w:rPr>
                <w:rFonts w:cs="Arial"/>
                <w:sz w:val="18"/>
                <w:szCs w:val="18"/>
              </w:rPr>
              <w:t>Potential negative impact for the population in general, however there is currently no data gathered to monitor the impact on this cohort of patients.</w:t>
            </w:r>
          </w:p>
        </w:tc>
      </w:tr>
      <w:tr w:rsidR="00B77048" w:rsidRPr="00283C04" w14:paraId="34F12E5C" w14:textId="77777777" w:rsidTr="0076385F">
        <w:tc>
          <w:tcPr>
            <w:tcW w:w="1413" w:type="dxa"/>
          </w:tcPr>
          <w:p w14:paraId="52850729" w14:textId="77777777" w:rsidR="00B77048" w:rsidRPr="00283C04" w:rsidRDefault="00B77048" w:rsidP="0076385F">
            <w:pPr>
              <w:rPr>
                <w:sz w:val="18"/>
                <w:szCs w:val="18"/>
              </w:rPr>
            </w:pPr>
            <w:r w:rsidRPr="00283C04">
              <w:rPr>
                <w:sz w:val="18"/>
                <w:szCs w:val="18"/>
              </w:rPr>
              <w:t>Gender reassignment</w:t>
            </w:r>
          </w:p>
        </w:tc>
        <w:tc>
          <w:tcPr>
            <w:tcW w:w="992" w:type="dxa"/>
            <w:shd w:val="clear" w:color="auto" w:fill="FFC000"/>
          </w:tcPr>
          <w:p w14:paraId="54708922" w14:textId="77777777" w:rsidR="00B77048" w:rsidRPr="00283C04" w:rsidRDefault="00B77048" w:rsidP="0076385F">
            <w:pPr>
              <w:jc w:val="center"/>
              <w:rPr>
                <w:sz w:val="18"/>
                <w:szCs w:val="18"/>
              </w:rPr>
            </w:pPr>
            <w:r w:rsidRPr="00283C04">
              <w:rPr>
                <w:sz w:val="18"/>
                <w:szCs w:val="18"/>
              </w:rPr>
              <w:t>Neutral</w:t>
            </w:r>
          </w:p>
        </w:tc>
        <w:tc>
          <w:tcPr>
            <w:tcW w:w="6662" w:type="dxa"/>
          </w:tcPr>
          <w:p w14:paraId="7C49C400" w14:textId="77777777" w:rsidR="00B77048" w:rsidRPr="00283C04" w:rsidRDefault="00B77048" w:rsidP="0076385F">
            <w:pPr>
              <w:rPr>
                <w:sz w:val="18"/>
                <w:szCs w:val="18"/>
              </w:rPr>
            </w:pPr>
            <w:r w:rsidRPr="00283C04">
              <w:rPr>
                <w:rFonts w:cs="Arial"/>
                <w:sz w:val="18"/>
                <w:szCs w:val="18"/>
              </w:rPr>
              <w:t>Potential negative impact</w:t>
            </w:r>
            <w:r>
              <w:rPr>
                <w:rFonts w:cs="Arial"/>
                <w:sz w:val="18"/>
                <w:szCs w:val="18"/>
              </w:rPr>
              <w:t xml:space="preserve"> for the population in general, however there is</w:t>
            </w:r>
            <w:r w:rsidRPr="00283C04">
              <w:rPr>
                <w:rFonts w:cs="Arial"/>
                <w:sz w:val="18"/>
                <w:szCs w:val="18"/>
              </w:rPr>
              <w:t xml:space="preserve"> currently no data gathere</w:t>
            </w:r>
            <w:r>
              <w:rPr>
                <w:rFonts w:cs="Arial"/>
                <w:sz w:val="18"/>
                <w:szCs w:val="18"/>
              </w:rPr>
              <w:t>d to monitor the impact on this cohort of patients.</w:t>
            </w:r>
          </w:p>
        </w:tc>
      </w:tr>
      <w:tr w:rsidR="00B77048" w:rsidRPr="00283C04" w14:paraId="640B8A92" w14:textId="77777777" w:rsidTr="0076385F">
        <w:tc>
          <w:tcPr>
            <w:tcW w:w="1413" w:type="dxa"/>
          </w:tcPr>
          <w:p w14:paraId="238C4ABA" w14:textId="77777777" w:rsidR="00B77048" w:rsidRPr="00283C04" w:rsidRDefault="00B77048" w:rsidP="0076385F">
            <w:pPr>
              <w:rPr>
                <w:sz w:val="18"/>
                <w:szCs w:val="18"/>
              </w:rPr>
            </w:pPr>
            <w:r w:rsidRPr="00283C04">
              <w:rPr>
                <w:sz w:val="18"/>
                <w:szCs w:val="18"/>
              </w:rPr>
              <w:t>Marriage and civil partnership</w:t>
            </w:r>
          </w:p>
        </w:tc>
        <w:tc>
          <w:tcPr>
            <w:tcW w:w="992" w:type="dxa"/>
            <w:shd w:val="clear" w:color="auto" w:fill="FFC000"/>
          </w:tcPr>
          <w:p w14:paraId="581B8A1A" w14:textId="77777777" w:rsidR="00B77048" w:rsidRPr="00283C04" w:rsidRDefault="00B77048" w:rsidP="0076385F">
            <w:pPr>
              <w:jc w:val="center"/>
              <w:rPr>
                <w:sz w:val="18"/>
                <w:szCs w:val="18"/>
              </w:rPr>
            </w:pPr>
            <w:r w:rsidRPr="00283C04">
              <w:rPr>
                <w:sz w:val="18"/>
                <w:szCs w:val="18"/>
              </w:rPr>
              <w:t>Neutral</w:t>
            </w:r>
          </w:p>
        </w:tc>
        <w:tc>
          <w:tcPr>
            <w:tcW w:w="6662" w:type="dxa"/>
          </w:tcPr>
          <w:p w14:paraId="338DDAB1" w14:textId="77777777" w:rsidR="00B77048" w:rsidRPr="00283C04" w:rsidRDefault="00B77048"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B77048" w:rsidRPr="00283C04" w14:paraId="0E9E21D3" w14:textId="77777777" w:rsidTr="0076385F">
        <w:tc>
          <w:tcPr>
            <w:tcW w:w="1413" w:type="dxa"/>
          </w:tcPr>
          <w:p w14:paraId="29CFEDD0" w14:textId="77777777" w:rsidR="00B77048" w:rsidRPr="00283C04" w:rsidRDefault="00B77048" w:rsidP="0076385F">
            <w:pPr>
              <w:rPr>
                <w:sz w:val="18"/>
                <w:szCs w:val="18"/>
              </w:rPr>
            </w:pPr>
            <w:r w:rsidRPr="00283C04">
              <w:rPr>
                <w:sz w:val="18"/>
                <w:szCs w:val="18"/>
              </w:rPr>
              <w:t>Pregnancy and maternity</w:t>
            </w:r>
          </w:p>
        </w:tc>
        <w:tc>
          <w:tcPr>
            <w:tcW w:w="992" w:type="dxa"/>
            <w:shd w:val="clear" w:color="auto" w:fill="FFC000"/>
          </w:tcPr>
          <w:p w14:paraId="28E3182F" w14:textId="77777777" w:rsidR="00B77048" w:rsidRPr="00283C04" w:rsidRDefault="00B77048" w:rsidP="0076385F">
            <w:pPr>
              <w:jc w:val="center"/>
              <w:rPr>
                <w:sz w:val="18"/>
                <w:szCs w:val="18"/>
              </w:rPr>
            </w:pPr>
            <w:r w:rsidRPr="00283C04">
              <w:rPr>
                <w:sz w:val="18"/>
                <w:szCs w:val="18"/>
              </w:rPr>
              <w:t>Neutral</w:t>
            </w:r>
          </w:p>
        </w:tc>
        <w:tc>
          <w:tcPr>
            <w:tcW w:w="6662" w:type="dxa"/>
          </w:tcPr>
          <w:p w14:paraId="2B2391D3" w14:textId="77777777" w:rsidR="00B77048" w:rsidRPr="00283C04" w:rsidRDefault="00B77048"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B77048" w:rsidRPr="00283C04" w14:paraId="2A7D637C" w14:textId="77777777" w:rsidTr="0076385F">
        <w:tc>
          <w:tcPr>
            <w:tcW w:w="1413" w:type="dxa"/>
          </w:tcPr>
          <w:p w14:paraId="63844AC8" w14:textId="77777777" w:rsidR="00B77048" w:rsidRPr="00283C04" w:rsidRDefault="00B77048" w:rsidP="0076385F">
            <w:pPr>
              <w:rPr>
                <w:sz w:val="18"/>
                <w:szCs w:val="18"/>
              </w:rPr>
            </w:pPr>
            <w:r w:rsidRPr="00283C04">
              <w:rPr>
                <w:sz w:val="18"/>
                <w:szCs w:val="18"/>
              </w:rPr>
              <w:t>Race</w:t>
            </w:r>
          </w:p>
        </w:tc>
        <w:tc>
          <w:tcPr>
            <w:tcW w:w="992" w:type="dxa"/>
            <w:shd w:val="clear" w:color="auto" w:fill="FFC000"/>
          </w:tcPr>
          <w:p w14:paraId="6535BE29" w14:textId="77777777" w:rsidR="00B77048" w:rsidRPr="00283C04" w:rsidRDefault="00B77048" w:rsidP="0076385F">
            <w:pPr>
              <w:jc w:val="center"/>
              <w:rPr>
                <w:sz w:val="18"/>
                <w:szCs w:val="18"/>
              </w:rPr>
            </w:pPr>
            <w:r w:rsidRPr="00283C04">
              <w:rPr>
                <w:sz w:val="18"/>
                <w:szCs w:val="18"/>
              </w:rPr>
              <w:t>Neutral</w:t>
            </w:r>
          </w:p>
        </w:tc>
        <w:tc>
          <w:tcPr>
            <w:tcW w:w="6662" w:type="dxa"/>
          </w:tcPr>
          <w:p w14:paraId="59CD0D20" w14:textId="77777777" w:rsidR="00B77048" w:rsidRPr="00283C04" w:rsidRDefault="00B77048" w:rsidP="0076385F">
            <w:pPr>
              <w:rPr>
                <w:sz w:val="18"/>
                <w:szCs w:val="18"/>
              </w:rPr>
            </w:pPr>
            <w:r w:rsidRPr="00283C04">
              <w:rPr>
                <w:rFonts w:cs="Arial"/>
                <w:sz w:val="18"/>
                <w:szCs w:val="18"/>
              </w:rPr>
              <w:t xml:space="preserve">Potential </w:t>
            </w:r>
            <w:r>
              <w:rPr>
                <w:rFonts w:cs="Arial"/>
                <w:sz w:val="18"/>
                <w:szCs w:val="18"/>
              </w:rPr>
              <w:t>ne</w:t>
            </w:r>
            <w:r w:rsidRPr="00283C04">
              <w:rPr>
                <w:rFonts w:cs="Arial"/>
                <w:sz w:val="18"/>
                <w:szCs w:val="18"/>
              </w:rPr>
              <w:t xml:space="preserve">gative impact for service users for </w:t>
            </w:r>
            <w:proofErr w:type="gramStart"/>
            <w:r w:rsidRPr="00283C04">
              <w:rPr>
                <w:rFonts w:cs="Arial"/>
                <w:sz w:val="18"/>
                <w:szCs w:val="18"/>
              </w:rPr>
              <w:t>whom</w:t>
            </w:r>
            <w:proofErr w:type="gramEnd"/>
            <w:r w:rsidRPr="00283C04">
              <w:rPr>
                <w:rFonts w:cs="Arial"/>
                <w:sz w:val="18"/>
                <w:szCs w:val="18"/>
              </w:rPr>
              <w:t xml:space="preserve"> English is not their first language and may have issues understanding and retaining information about their condition and its future management.</w:t>
            </w:r>
          </w:p>
        </w:tc>
      </w:tr>
      <w:tr w:rsidR="00B77048" w:rsidRPr="00283C04" w14:paraId="3028ACA6" w14:textId="77777777" w:rsidTr="0076385F">
        <w:tc>
          <w:tcPr>
            <w:tcW w:w="1413" w:type="dxa"/>
          </w:tcPr>
          <w:p w14:paraId="275E643D" w14:textId="77777777" w:rsidR="00B77048" w:rsidRPr="00283C04" w:rsidRDefault="00B77048" w:rsidP="0076385F">
            <w:pPr>
              <w:rPr>
                <w:sz w:val="18"/>
                <w:szCs w:val="18"/>
              </w:rPr>
            </w:pPr>
            <w:r w:rsidRPr="00283C04">
              <w:rPr>
                <w:sz w:val="18"/>
                <w:szCs w:val="18"/>
              </w:rPr>
              <w:t>Religion and belief</w:t>
            </w:r>
          </w:p>
        </w:tc>
        <w:tc>
          <w:tcPr>
            <w:tcW w:w="992" w:type="dxa"/>
            <w:shd w:val="clear" w:color="auto" w:fill="FFC000"/>
          </w:tcPr>
          <w:p w14:paraId="6B3849FB" w14:textId="77777777" w:rsidR="00B77048" w:rsidRPr="00283C04" w:rsidRDefault="00B77048" w:rsidP="0076385F">
            <w:pPr>
              <w:jc w:val="center"/>
              <w:rPr>
                <w:sz w:val="18"/>
                <w:szCs w:val="18"/>
              </w:rPr>
            </w:pPr>
            <w:r w:rsidRPr="00283C04">
              <w:rPr>
                <w:sz w:val="18"/>
                <w:szCs w:val="18"/>
              </w:rPr>
              <w:t>Neutral</w:t>
            </w:r>
          </w:p>
        </w:tc>
        <w:tc>
          <w:tcPr>
            <w:tcW w:w="6662" w:type="dxa"/>
          </w:tcPr>
          <w:p w14:paraId="697B0982" w14:textId="77777777" w:rsidR="00B77048" w:rsidRPr="00283C04" w:rsidRDefault="00B77048"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B77048" w:rsidRPr="00283C04" w14:paraId="15E79117" w14:textId="77777777" w:rsidTr="0076385F">
        <w:tc>
          <w:tcPr>
            <w:tcW w:w="1413" w:type="dxa"/>
          </w:tcPr>
          <w:p w14:paraId="23742FC7" w14:textId="77777777" w:rsidR="00B77048" w:rsidRPr="00283C04" w:rsidRDefault="00B77048" w:rsidP="0076385F">
            <w:pPr>
              <w:rPr>
                <w:sz w:val="18"/>
                <w:szCs w:val="18"/>
              </w:rPr>
            </w:pPr>
            <w:r w:rsidRPr="00283C04">
              <w:rPr>
                <w:sz w:val="18"/>
                <w:szCs w:val="18"/>
              </w:rPr>
              <w:t>Sex</w:t>
            </w:r>
          </w:p>
        </w:tc>
        <w:tc>
          <w:tcPr>
            <w:tcW w:w="992" w:type="dxa"/>
            <w:shd w:val="clear" w:color="auto" w:fill="FF0000"/>
          </w:tcPr>
          <w:p w14:paraId="3B59A61B" w14:textId="77777777" w:rsidR="00B77048" w:rsidRPr="00283C04" w:rsidRDefault="00B77048" w:rsidP="0076385F">
            <w:pPr>
              <w:jc w:val="center"/>
              <w:rPr>
                <w:sz w:val="18"/>
                <w:szCs w:val="18"/>
              </w:rPr>
            </w:pPr>
            <w:r>
              <w:rPr>
                <w:sz w:val="18"/>
                <w:szCs w:val="18"/>
              </w:rPr>
              <w:t>Negative</w:t>
            </w:r>
          </w:p>
        </w:tc>
        <w:tc>
          <w:tcPr>
            <w:tcW w:w="6662" w:type="dxa"/>
          </w:tcPr>
          <w:p w14:paraId="79463837" w14:textId="77777777" w:rsidR="00B77048" w:rsidRPr="00283C04" w:rsidRDefault="00B77048" w:rsidP="0076385F">
            <w:pPr>
              <w:rPr>
                <w:sz w:val="18"/>
                <w:szCs w:val="18"/>
              </w:rPr>
            </w:pPr>
            <w:r w:rsidRPr="00283C04">
              <w:rPr>
                <w:sz w:val="18"/>
                <w:szCs w:val="18"/>
              </w:rPr>
              <w:t>National Stroke Association noted that statistics showed that males have a higher risk of having a stroke.  Therefore returning the service back to its delivery prior to summer 2013 would have a potentially negative impact across Northern Lincolnshire.</w:t>
            </w:r>
          </w:p>
        </w:tc>
      </w:tr>
      <w:tr w:rsidR="00B77048" w:rsidRPr="00283C04" w14:paraId="35CBAEEC" w14:textId="77777777" w:rsidTr="0076385F">
        <w:tc>
          <w:tcPr>
            <w:tcW w:w="1413" w:type="dxa"/>
          </w:tcPr>
          <w:p w14:paraId="6FB5E39D" w14:textId="77777777" w:rsidR="00B77048" w:rsidRPr="00283C04" w:rsidRDefault="00B77048" w:rsidP="0076385F">
            <w:pPr>
              <w:rPr>
                <w:sz w:val="18"/>
                <w:szCs w:val="18"/>
              </w:rPr>
            </w:pPr>
            <w:r w:rsidRPr="00283C04">
              <w:rPr>
                <w:sz w:val="18"/>
                <w:szCs w:val="18"/>
              </w:rPr>
              <w:t>Sexual orientation</w:t>
            </w:r>
          </w:p>
        </w:tc>
        <w:tc>
          <w:tcPr>
            <w:tcW w:w="992" w:type="dxa"/>
            <w:shd w:val="clear" w:color="auto" w:fill="FFC000"/>
          </w:tcPr>
          <w:p w14:paraId="2FE9EA15" w14:textId="77777777" w:rsidR="00B77048" w:rsidRPr="00283C04" w:rsidRDefault="00B77048" w:rsidP="0076385F">
            <w:pPr>
              <w:jc w:val="center"/>
              <w:rPr>
                <w:sz w:val="18"/>
                <w:szCs w:val="18"/>
              </w:rPr>
            </w:pPr>
            <w:r w:rsidRPr="00283C04">
              <w:rPr>
                <w:sz w:val="18"/>
                <w:szCs w:val="18"/>
              </w:rPr>
              <w:t>Neutral</w:t>
            </w:r>
          </w:p>
        </w:tc>
        <w:tc>
          <w:tcPr>
            <w:tcW w:w="6662" w:type="dxa"/>
          </w:tcPr>
          <w:p w14:paraId="3BC5FEC5" w14:textId="77777777" w:rsidR="00B77048" w:rsidRPr="00283C04" w:rsidRDefault="00B77048" w:rsidP="0076385F">
            <w:pPr>
              <w:rPr>
                <w:sz w:val="18"/>
                <w:szCs w:val="18"/>
              </w:rPr>
            </w:pPr>
            <w:r w:rsidRPr="00301DCF">
              <w:rPr>
                <w:rFonts w:cs="Arial"/>
                <w:sz w:val="18"/>
                <w:szCs w:val="18"/>
              </w:rPr>
              <w:t>Potential negative impact for the population in general, however there is currently no data gathered to monitor the impact on this cohort of patients</w:t>
            </w:r>
          </w:p>
        </w:tc>
      </w:tr>
      <w:tr w:rsidR="00B77048" w:rsidRPr="00283C04" w14:paraId="65EE0877" w14:textId="77777777" w:rsidTr="00F5732C">
        <w:tc>
          <w:tcPr>
            <w:tcW w:w="1413" w:type="dxa"/>
          </w:tcPr>
          <w:p w14:paraId="62026807" w14:textId="77777777" w:rsidR="00B77048" w:rsidRPr="00283C04" w:rsidRDefault="00B77048" w:rsidP="0076385F">
            <w:pPr>
              <w:rPr>
                <w:sz w:val="18"/>
                <w:szCs w:val="18"/>
              </w:rPr>
            </w:pPr>
            <w:r w:rsidRPr="00283C04">
              <w:rPr>
                <w:sz w:val="18"/>
                <w:szCs w:val="18"/>
              </w:rPr>
              <w:t>Deprivation</w:t>
            </w:r>
          </w:p>
        </w:tc>
        <w:tc>
          <w:tcPr>
            <w:tcW w:w="992" w:type="dxa"/>
            <w:shd w:val="clear" w:color="auto" w:fill="FF0000"/>
          </w:tcPr>
          <w:p w14:paraId="115DBBA6" w14:textId="668CA956" w:rsidR="00B77048" w:rsidRPr="00283C04" w:rsidRDefault="00F5732C" w:rsidP="0076385F">
            <w:pPr>
              <w:jc w:val="center"/>
              <w:rPr>
                <w:sz w:val="18"/>
                <w:szCs w:val="18"/>
              </w:rPr>
            </w:pPr>
            <w:r>
              <w:rPr>
                <w:sz w:val="18"/>
                <w:szCs w:val="18"/>
              </w:rPr>
              <w:t>Negative</w:t>
            </w:r>
          </w:p>
        </w:tc>
        <w:tc>
          <w:tcPr>
            <w:tcW w:w="6662" w:type="dxa"/>
          </w:tcPr>
          <w:p w14:paraId="53F48062" w14:textId="49F56409" w:rsidR="00B77048" w:rsidRPr="005777ED" w:rsidRDefault="00B77048" w:rsidP="00F5732C">
            <w:pPr>
              <w:rPr>
                <w:rFonts w:cs="Arial"/>
                <w:sz w:val="18"/>
                <w:szCs w:val="18"/>
              </w:rPr>
            </w:pPr>
            <w:r w:rsidRPr="005777ED">
              <w:rPr>
                <w:rFonts w:ascii="Calibri" w:hAnsi="Calibri" w:cs="Calibri"/>
                <w:sz w:val="18"/>
                <w:szCs w:val="18"/>
              </w:rPr>
              <w:t xml:space="preserve">It should be noted that deprivation cuts across Northern Lincolnshire. The low number of people with access to private transport is well documented, especially in the context of accessing services. This is exacerbated by the rural nature of the area and poor public transport. </w:t>
            </w:r>
            <w:r w:rsidRPr="005777ED">
              <w:rPr>
                <w:rFonts w:ascii="Calibri" w:hAnsi="Calibri" w:cs="Arial"/>
                <w:sz w:val="18"/>
                <w:szCs w:val="18"/>
              </w:rPr>
              <w:t xml:space="preserve">In North East Lincolnshire 28.3% of children are in poverty and in North Lincolnshire the figure is 21.0%. In view of the large demographic areas both SGH and </w:t>
            </w:r>
            <w:proofErr w:type="spellStart"/>
            <w:r w:rsidRPr="005777ED">
              <w:rPr>
                <w:rFonts w:ascii="Calibri" w:hAnsi="Calibri" w:cs="Arial"/>
                <w:sz w:val="18"/>
                <w:szCs w:val="18"/>
              </w:rPr>
              <w:t>DPoW</w:t>
            </w:r>
            <w:proofErr w:type="spellEnd"/>
            <w:r w:rsidRPr="005777ED">
              <w:rPr>
                <w:rFonts w:ascii="Calibri" w:hAnsi="Calibri" w:cs="Arial"/>
                <w:sz w:val="18"/>
                <w:szCs w:val="18"/>
              </w:rPr>
              <w:t xml:space="preserve"> service serves, and the associated deprivation within North East Lincolnshire in particular, the need to ensure children and families can access appropriate healthcare is paramount.  </w:t>
            </w:r>
            <w:r w:rsidR="00F5732C">
              <w:rPr>
                <w:rFonts w:ascii="Calibri" w:hAnsi="Calibri" w:cs="Arial"/>
                <w:sz w:val="18"/>
                <w:szCs w:val="18"/>
              </w:rPr>
              <w:t>Centralising</w:t>
            </w:r>
            <w:r w:rsidRPr="005777ED">
              <w:rPr>
                <w:rFonts w:ascii="Calibri" w:hAnsi="Calibri" w:cs="Arial"/>
                <w:sz w:val="18"/>
                <w:szCs w:val="18"/>
              </w:rPr>
              <w:t xml:space="preserve"> surgical services either entirely or by speciality will undoubtedly cause access to the appropriate healthcare an issue for some families.  Consideration needs to be given to the potential increase in families being unable to access services if they are not local to them.</w:t>
            </w:r>
          </w:p>
        </w:tc>
      </w:tr>
      <w:tr w:rsidR="00B77048" w:rsidRPr="00283C04" w14:paraId="45EB8B28" w14:textId="77777777" w:rsidTr="00F5732C">
        <w:tc>
          <w:tcPr>
            <w:tcW w:w="1413" w:type="dxa"/>
          </w:tcPr>
          <w:p w14:paraId="77C7A767" w14:textId="77777777" w:rsidR="00B77048" w:rsidRPr="00283C04" w:rsidRDefault="00B77048" w:rsidP="0076385F">
            <w:pPr>
              <w:rPr>
                <w:sz w:val="18"/>
                <w:szCs w:val="18"/>
              </w:rPr>
            </w:pPr>
            <w:r w:rsidRPr="00283C04">
              <w:rPr>
                <w:sz w:val="18"/>
                <w:szCs w:val="18"/>
              </w:rPr>
              <w:t>Human rights</w:t>
            </w:r>
          </w:p>
        </w:tc>
        <w:tc>
          <w:tcPr>
            <w:tcW w:w="992" w:type="dxa"/>
            <w:shd w:val="clear" w:color="auto" w:fill="92D050"/>
          </w:tcPr>
          <w:p w14:paraId="416E0305" w14:textId="61717C77" w:rsidR="00B77048" w:rsidRPr="00E04768" w:rsidRDefault="00F5732C" w:rsidP="00F5732C">
            <w:pPr>
              <w:jc w:val="center"/>
              <w:rPr>
                <w:sz w:val="18"/>
                <w:szCs w:val="18"/>
              </w:rPr>
            </w:pPr>
            <w:r>
              <w:rPr>
                <w:sz w:val="18"/>
                <w:szCs w:val="18"/>
              </w:rPr>
              <w:t>Positive</w:t>
            </w:r>
          </w:p>
        </w:tc>
        <w:tc>
          <w:tcPr>
            <w:tcW w:w="6662" w:type="dxa"/>
          </w:tcPr>
          <w:p w14:paraId="29F4F0E3" w14:textId="77777777" w:rsidR="00F5732C" w:rsidRPr="00F5732C" w:rsidRDefault="00F5732C" w:rsidP="00F5732C">
            <w:pPr>
              <w:rPr>
                <w:rFonts w:ascii="Calibri" w:hAnsi="Calibri" w:cs="Arial"/>
                <w:sz w:val="18"/>
                <w:szCs w:val="18"/>
              </w:rPr>
            </w:pPr>
            <w:r w:rsidRPr="00F5732C">
              <w:rPr>
                <w:rFonts w:ascii="Calibri" w:hAnsi="Calibri" w:cs="Arial"/>
                <w:sz w:val="18"/>
                <w:szCs w:val="18"/>
              </w:rPr>
              <w:t>Decommissioning the local service and sending all children’s surgery to tertiary centres would still allow the patient (children) to attend local A&amp;E departments with problems that require emergency surgery.  If there is no local surgical service patients may be required to be transferred between local and tertiary sites. Support for travel costs is available for certain people that meet the criteria for subsidy or refund.</w:t>
            </w:r>
          </w:p>
          <w:p w14:paraId="3476A02C" w14:textId="34C9ECD0" w:rsidR="00B77048" w:rsidRPr="00F5732C" w:rsidRDefault="00F5732C" w:rsidP="00F5732C">
            <w:pPr>
              <w:rPr>
                <w:rFonts w:cs="Arial"/>
                <w:sz w:val="18"/>
                <w:szCs w:val="18"/>
              </w:rPr>
            </w:pPr>
            <w:r w:rsidRPr="00F5732C">
              <w:rPr>
                <w:rFonts w:ascii="Calibri" w:hAnsi="Calibri" w:cs="Arial"/>
                <w:sz w:val="18"/>
                <w:szCs w:val="18"/>
              </w:rPr>
              <w:t>Option 4 would therefore provide a more positive impact in relation to Human rights and access to treatment as long as transport measures were put in place for the cohort of deprived population to enable them to gain access to the site</w:t>
            </w:r>
          </w:p>
        </w:tc>
      </w:tr>
    </w:tbl>
    <w:p w14:paraId="784648D5" w14:textId="77777777" w:rsidR="00B77048" w:rsidRDefault="00B77048" w:rsidP="00B77048">
      <w:pPr>
        <w:pStyle w:val="Heading2"/>
      </w:pPr>
    </w:p>
    <w:p w14:paraId="3B650246" w14:textId="16929748" w:rsidR="00B77048" w:rsidRDefault="00B77048" w:rsidP="00B77048">
      <w:pPr>
        <w:pStyle w:val="Heading2"/>
      </w:pPr>
      <w:bookmarkStart w:id="36" w:name="_Toc388275383"/>
      <w:r>
        <w:t>8.5 Evaluation criteria assessment</w:t>
      </w:r>
      <w:bookmarkEnd w:id="36"/>
    </w:p>
    <w:p w14:paraId="2D150AAD" w14:textId="77777777" w:rsidR="00B77048" w:rsidRDefault="00B77048" w:rsidP="00B77048">
      <w:r>
        <w:t>The programme board undertook an evaluation criteria scoring exercise, taking into consideration the above benefits and risks and the views of the local clinical community.  A summary of the scoring is included below:</w:t>
      </w:r>
    </w:p>
    <w:p w14:paraId="1B47611F" w14:textId="68692FDC" w:rsidR="00B77048" w:rsidRDefault="00B77048" w:rsidP="00B77048">
      <w:pPr>
        <w:pStyle w:val="Heading4"/>
      </w:pPr>
      <w:r>
        <w:lastRenderedPageBreak/>
        <w:t>Table 23 – Evaluation scoring for option 4 (De</w:t>
      </w:r>
      <w:r w:rsidRPr="001B1F57">
        <w:t>c</w:t>
      </w:r>
      <w:r>
        <w:t>ommission local service)</w:t>
      </w:r>
    </w:p>
    <w:tbl>
      <w:tblPr>
        <w:tblStyle w:val="TableGrid"/>
        <w:tblW w:w="0" w:type="auto"/>
        <w:tblLook w:val="04A0" w:firstRow="1" w:lastRow="0" w:firstColumn="1" w:lastColumn="0" w:noHBand="0" w:noVBand="1"/>
      </w:tblPr>
      <w:tblGrid>
        <w:gridCol w:w="1180"/>
        <w:gridCol w:w="658"/>
        <w:gridCol w:w="7178"/>
      </w:tblGrid>
      <w:tr w:rsidR="00B77048" w14:paraId="714A9E1E" w14:textId="77777777" w:rsidTr="0076385F">
        <w:tc>
          <w:tcPr>
            <w:tcW w:w="1180" w:type="dxa"/>
            <w:shd w:val="clear" w:color="auto" w:fill="767171" w:themeFill="background2" w:themeFillShade="80"/>
          </w:tcPr>
          <w:p w14:paraId="1C65A6AC" w14:textId="77777777" w:rsidR="00B77048" w:rsidRPr="00E4010B" w:rsidRDefault="00B77048" w:rsidP="0076385F">
            <w:pPr>
              <w:rPr>
                <w:color w:val="FFFFFF" w:themeColor="background1"/>
                <w:sz w:val="18"/>
                <w:szCs w:val="18"/>
              </w:rPr>
            </w:pPr>
            <w:r w:rsidRPr="00E4010B">
              <w:rPr>
                <w:color w:val="FFFFFF" w:themeColor="background1"/>
                <w:sz w:val="18"/>
                <w:szCs w:val="18"/>
              </w:rPr>
              <w:t>Criteria</w:t>
            </w:r>
          </w:p>
        </w:tc>
        <w:tc>
          <w:tcPr>
            <w:tcW w:w="658" w:type="dxa"/>
            <w:shd w:val="clear" w:color="auto" w:fill="767171" w:themeFill="background2" w:themeFillShade="80"/>
          </w:tcPr>
          <w:p w14:paraId="02B7E81C" w14:textId="77777777" w:rsidR="00B77048" w:rsidRPr="00E4010B" w:rsidRDefault="00B77048" w:rsidP="0076385F">
            <w:pPr>
              <w:jc w:val="center"/>
              <w:rPr>
                <w:color w:val="FFFFFF" w:themeColor="background1"/>
                <w:sz w:val="18"/>
                <w:szCs w:val="18"/>
              </w:rPr>
            </w:pPr>
            <w:r w:rsidRPr="00E4010B">
              <w:rPr>
                <w:color w:val="FFFFFF" w:themeColor="background1"/>
                <w:sz w:val="18"/>
                <w:szCs w:val="18"/>
              </w:rPr>
              <w:t>Score</w:t>
            </w:r>
          </w:p>
        </w:tc>
        <w:tc>
          <w:tcPr>
            <w:tcW w:w="7178" w:type="dxa"/>
            <w:shd w:val="clear" w:color="auto" w:fill="767171" w:themeFill="background2" w:themeFillShade="80"/>
          </w:tcPr>
          <w:p w14:paraId="6450228E" w14:textId="77777777" w:rsidR="00B77048" w:rsidRPr="00E4010B" w:rsidRDefault="00B77048" w:rsidP="0076385F">
            <w:pPr>
              <w:rPr>
                <w:color w:val="FFFFFF" w:themeColor="background1"/>
                <w:sz w:val="18"/>
                <w:szCs w:val="18"/>
              </w:rPr>
            </w:pPr>
            <w:r w:rsidRPr="00E4010B">
              <w:rPr>
                <w:color w:val="FFFFFF" w:themeColor="background1"/>
                <w:sz w:val="18"/>
                <w:szCs w:val="18"/>
              </w:rPr>
              <w:t>Rationale</w:t>
            </w:r>
          </w:p>
        </w:tc>
      </w:tr>
      <w:tr w:rsidR="00B77048" w14:paraId="63559FEE" w14:textId="77777777" w:rsidTr="0076385F">
        <w:tc>
          <w:tcPr>
            <w:tcW w:w="1180" w:type="dxa"/>
          </w:tcPr>
          <w:p w14:paraId="56A0D165" w14:textId="77777777" w:rsidR="00B77048" w:rsidRPr="00E4010B" w:rsidRDefault="00B77048" w:rsidP="0076385F">
            <w:pPr>
              <w:rPr>
                <w:sz w:val="18"/>
                <w:szCs w:val="18"/>
              </w:rPr>
            </w:pPr>
            <w:r w:rsidRPr="00E4010B">
              <w:rPr>
                <w:sz w:val="18"/>
                <w:szCs w:val="18"/>
              </w:rPr>
              <w:t>Quality</w:t>
            </w:r>
          </w:p>
        </w:tc>
        <w:tc>
          <w:tcPr>
            <w:tcW w:w="658" w:type="dxa"/>
          </w:tcPr>
          <w:p w14:paraId="728DEA21" w14:textId="352CDF71" w:rsidR="00B77048" w:rsidRPr="00E4010B" w:rsidRDefault="00B77048" w:rsidP="0076385F">
            <w:pPr>
              <w:jc w:val="center"/>
              <w:rPr>
                <w:sz w:val="18"/>
                <w:szCs w:val="18"/>
              </w:rPr>
            </w:pPr>
            <w:r>
              <w:rPr>
                <w:sz w:val="18"/>
                <w:szCs w:val="18"/>
              </w:rPr>
              <w:t>145</w:t>
            </w:r>
          </w:p>
        </w:tc>
        <w:tc>
          <w:tcPr>
            <w:tcW w:w="7178" w:type="dxa"/>
          </w:tcPr>
          <w:p w14:paraId="495BD70B" w14:textId="7B2387B7" w:rsidR="00B77048" w:rsidRPr="00E4010B" w:rsidRDefault="00F5732C" w:rsidP="0076385F">
            <w:pPr>
              <w:rPr>
                <w:sz w:val="18"/>
                <w:szCs w:val="18"/>
              </w:rPr>
            </w:pPr>
            <w:r>
              <w:rPr>
                <w:sz w:val="18"/>
                <w:szCs w:val="18"/>
              </w:rPr>
              <w:t>This scored highly from a safety and quality perspective as specialist surgeons would be undertaking the procedures.</w:t>
            </w:r>
          </w:p>
        </w:tc>
      </w:tr>
      <w:tr w:rsidR="00B77048" w14:paraId="42FD0680" w14:textId="77777777" w:rsidTr="0076385F">
        <w:tc>
          <w:tcPr>
            <w:tcW w:w="1180" w:type="dxa"/>
          </w:tcPr>
          <w:p w14:paraId="66E54C9E" w14:textId="77777777" w:rsidR="00B77048" w:rsidRPr="00E4010B" w:rsidRDefault="00B77048" w:rsidP="0076385F">
            <w:pPr>
              <w:rPr>
                <w:sz w:val="18"/>
                <w:szCs w:val="18"/>
              </w:rPr>
            </w:pPr>
            <w:r w:rsidRPr="00E4010B">
              <w:rPr>
                <w:sz w:val="18"/>
                <w:szCs w:val="18"/>
              </w:rPr>
              <w:t>Access</w:t>
            </w:r>
          </w:p>
        </w:tc>
        <w:tc>
          <w:tcPr>
            <w:tcW w:w="658" w:type="dxa"/>
          </w:tcPr>
          <w:p w14:paraId="05B93D77" w14:textId="1584CA78" w:rsidR="00B77048" w:rsidRPr="00E4010B" w:rsidRDefault="00B77048" w:rsidP="0076385F">
            <w:pPr>
              <w:jc w:val="center"/>
              <w:rPr>
                <w:sz w:val="18"/>
                <w:szCs w:val="18"/>
              </w:rPr>
            </w:pPr>
            <w:r>
              <w:rPr>
                <w:sz w:val="18"/>
                <w:szCs w:val="18"/>
              </w:rPr>
              <w:t>24</w:t>
            </w:r>
          </w:p>
        </w:tc>
        <w:tc>
          <w:tcPr>
            <w:tcW w:w="7178" w:type="dxa"/>
          </w:tcPr>
          <w:p w14:paraId="2E77BF92" w14:textId="1D1A68ED" w:rsidR="00B77048" w:rsidRPr="00E4010B" w:rsidRDefault="00F5732C" w:rsidP="0076385F">
            <w:pPr>
              <w:rPr>
                <w:sz w:val="18"/>
                <w:szCs w:val="18"/>
              </w:rPr>
            </w:pPr>
            <w:r>
              <w:rPr>
                <w:sz w:val="18"/>
                <w:szCs w:val="18"/>
              </w:rPr>
              <w:t>This would require patients to travel off site for their surgery.</w:t>
            </w:r>
          </w:p>
        </w:tc>
      </w:tr>
      <w:tr w:rsidR="00B77048" w14:paraId="589B9F22" w14:textId="77777777" w:rsidTr="0076385F">
        <w:tc>
          <w:tcPr>
            <w:tcW w:w="1180" w:type="dxa"/>
          </w:tcPr>
          <w:p w14:paraId="7FEF3AC2" w14:textId="77777777" w:rsidR="00B77048" w:rsidRPr="00E4010B" w:rsidRDefault="00B77048" w:rsidP="0076385F">
            <w:pPr>
              <w:rPr>
                <w:sz w:val="18"/>
                <w:szCs w:val="18"/>
              </w:rPr>
            </w:pPr>
            <w:r w:rsidRPr="00E4010B">
              <w:rPr>
                <w:sz w:val="18"/>
                <w:szCs w:val="18"/>
              </w:rPr>
              <w:t>Affordability</w:t>
            </w:r>
          </w:p>
        </w:tc>
        <w:tc>
          <w:tcPr>
            <w:tcW w:w="658" w:type="dxa"/>
          </w:tcPr>
          <w:p w14:paraId="17AE11A6" w14:textId="22581DF6" w:rsidR="00B77048" w:rsidRPr="00E4010B" w:rsidRDefault="00B77048" w:rsidP="0076385F">
            <w:pPr>
              <w:jc w:val="center"/>
              <w:rPr>
                <w:sz w:val="18"/>
                <w:szCs w:val="18"/>
              </w:rPr>
            </w:pPr>
            <w:r>
              <w:rPr>
                <w:sz w:val="18"/>
                <w:szCs w:val="18"/>
              </w:rPr>
              <w:t>24</w:t>
            </w:r>
          </w:p>
        </w:tc>
        <w:tc>
          <w:tcPr>
            <w:tcW w:w="7178" w:type="dxa"/>
          </w:tcPr>
          <w:p w14:paraId="0BE7D9CF" w14:textId="7F79E8CB" w:rsidR="00B77048" w:rsidRPr="00E4010B" w:rsidRDefault="00F5732C" w:rsidP="00F5732C">
            <w:pPr>
              <w:rPr>
                <w:sz w:val="18"/>
                <w:szCs w:val="18"/>
              </w:rPr>
            </w:pPr>
            <w:r>
              <w:rPr>
                <w:sz w:val="18"/>
                <w:szCs w:val="18"/>
              </w:rPr>
              <w:t>If capacity could be identified within the tertiary centre it was assumed that this would not require significant financial investment.</w:t>
            </w:r>
          </w:p>
        </w:tc>
      </w:tr>
      <w:tr w:rsidR="00B77048" w14:paraId="59D798E9" w14:textId="77777777" w:rsidTr="0076385F">
        <w:tc>
          <w:tcPr>
            <w:tcW w:w="1180" w:type="dxa"/>
          </w:tcPr>
          <w:p w14:paraId="6534B962" w14:textId="77777777" w:rsidR="00B77048" w:rsidRPr="00E4010B" w:rsidRDefault="00B77048" w:rsidP="0076385F">
            <w:pPr>
              <w:rPr>
                <w:sz w:val="18"/>
                <w:szCs w:val="18"/>
              </w:rPr>
            </w:pPr>
            <w:r w:rsidRPr="00E4010B">
              <w:rPr>
                <w:sz w:val="18"/>
                <w:szCs w:val="18"/>
              </w:rPr>
              <w:t>Deliverability</w:t>
            </w:r>
          </w:p>
        </w:tc>
        <w:tc>
          <w:tcPr>
            <w:tcW w:w="658" w:type="dxa"/>
          </w:tcPr>
          <w:p w14:paraId="32B8E33B" w14:textId="29821AF8" w:rsidR="00B77048" w:rsidRPr="00E4010B" w:rsidRDefault="00B77048" w:rsidP="0076385F">
            <w:pPr>
              <w:jc w:val="center"/>
              <w:rPr>
                <w:sz w:val="18"/>
                <w:szCs w:val="18"/>
              </w:rPr>
            </w:pPr>
            <w:r>
              <w:rPr>
                <w:sz w:val="18"/>
                <w:szCs w:val="18"/>
              </w:rPr>
              <w:t>72</w:t>
            </w:r>
          </w:p>
        </w:tc>
        <w:tc>
          <w:tcPr>
            <w:tcW w:w="7178" w:type="dxa"/>
          </w:tcPr>
          <w:p w14:paraId="79F22738" w14:textId="5D665437" w:rsidR="00B77048" w:rsidRPr="00E4010B" w:rsidRDefault="00F5732C" w:rsidP="0076385F">
            <w:pPr>
              <w:rPr>
                <w:sz w:val="18"/>
                <w:szCs w:val="18"/>
              </w:rPr>
            </w:pPr>
            <w:r>
              <w:rPr>
                <w:sz w:val="18"/>
                <w:szCs w:val="18"/>
              </w:rPr>
              <w:t>It was assumed that this would be very attractive to staff working at the tertiary centre, and would relieve pressure on the local services, creating theatre and ward capacity that could be used on other services.</w:t>
            </w:r>
          </w:p>
        </w:tc>
      </w:tr>
      <w:tr w:rsidR="00B77048" w14:paraId="481AFD1E" w14:textId="77777777" w:rsidTr="0076385F">
        <w:tc>
          <w:tcPr>
            <w:tcW w:w="1180" w:type="dxa"/>
          </w:tcPr>
          <w:p w14:paraId="3F120F5E" w14:textId="77777777" w:rsidR="00B77048" w:rsidRPr="00E4010B" w:rsidRDefault="00B77048" w:rsidP="0076385F">
            <w:pPr>
              <w:rPr>
                <w:sz w:val="18"/>
                <w:szCs w:val="18"/>
              </w:rPr>
            </w:pPr>
            <w:r>
              <w:rPr>
                <w:sz w:val="18"/>
                <w:szCs w:val="18"/>
              </w:rPr>
              <w:t>Total</w:t>
            </w:r>
          </w:p>
        </w:tc>
        <w:tc>
          <w:tcPr>
            <w:tcW w:w="658" w:type="dxa"/>
          </w:tcPr>
          <w:p w14:paraId="32E45221" w14:textId="7F516332" w:rsidR="00B77048" w:rsidRDefault="00B77048" w:rsidP="0076385F">
            <w:pPr>
              <w:jc w:val="center"/>
              <w:rPr>
                <w:sz w:val="18"/>
                <w:szCs w:val="18"/>
              </w:rPr>
            </w:pPr>
            <w:r>
              <w:rPr>
                <w:sz w:val="18"/>
                <w:szCs w:val="18"/>
              </w:rPr>
              <w:t>265</w:t>
            </w:r>
          </w:p>
        </w:tc>
        <w:tc>
          <w:tcPr>
            <w:tcW w:w="7178" w:type="dxa"/>
          </w:tcPr>
          <w:p w14:paraId="7C2F92AD" w14:textId="39B9AE07" w:rsidR="00B77048" w:rsidRDefault="00F5732C" w:rsidP="0076385F">
            <w:pPr>
              <w:rPr>
                <w:sz w:val="18"/>
                <w:szCs w:val="18"/>
              </w:rPr>
            </w:pPr>
            <w:r>
              <w:rPr>
                <w:sz w:val="18"/>
                <w:szCs w:val="18"/>
              </w:rPr>
              <w:t>This scored highest out of the options appraised.</w:t>
            </w:r>
          </w:p>
        </w:tc>
      </w:tr>
    </w:tbl>
    <w:p w14:paraId="5D3BF8B7" w14:textId="4E6D54EB" w:rsidR="00AB39E5" w:rsidRDefault="00B77048">
      <w:pPr>
        <w:rPr>
          <w:rFonts w:asciiTheme="majorHAnsi" w:hAnsiTheme="majorHAnsi"/>
          <w:color w:val="0070C0"/>
          <w:sz w:val="32"/>
          <w:szCs w:val="32"/>
        </w:rPr>
      </w:pPr>
      <w:r>
        <w:br w:type="page"/>
      </w:r>
    </w:p>
    <w:p w14:paraId="37315416" w14:textId="592BC15D" w:rsidR="00EF3405" w:rsidRPr="00F954CD" w:rsidRDefault="00F5732C" w:rsidP="00F954CD">
      <w:pPr>
        <w:spacing w:line="240" w:lineRule="auto"/>
        <w:rPr>
          <w:rFonts w:asciiTheme="majorHAnsi" w:hAnsiTheme="majorHAnsi"/>
          <w:color w:val="0070C0"/>
          <w:sz w:val="32"/>
          <w:szCs w:val="32"/>
        </w:rPr>
      </w:pPr>
      <w:r>
        <w:rPr>
          <w:rFonts w:asciiTheme="majorHAnsi" w:hAnsiTheme="majorHAnsi"/>
          <w:color w:val="0070C0"/>
          <w:sz w:val="32"/>
          <w:szCs w:val="32"/>
        </w:rPr>
        <w:lastRenderedPageBreak/>
        <w:t>9</w:t>
      </w:r>
      <w:r w:rsidR="00D24655" w:rsidRPr="00F954CD">
        <w:rPr>
          <w:rFonts w:asciiTheme="majorHAnsi" w:hAnsiTheme="majorHAnsi"/>
          <w:color w:val="0070C0"/>
          <w:sz w:val="32"/>
          <w:szCs w:val="32"/>
        </w:rPr>
        <w:t xml:space="preserve">. </w:t>
      </w:r>
      <w:r>
        <w:rPr>
          <w:rFonts w:asciiTheme="majorHAnsi" w:hAnsiTheme="majorHAnsi"/>
          <w:color w:val="0070C0"/>
          <w:sz w:val="32"/>
          <w:szCs w:val="32"/>
        </w:rPr>
        <w:t>Conclusion and recommendation</w:t>
      </w:r>
    </w:p>
    <w:p w14:paraId="0EC18962" w14:textId="079709B9" w:rsidR="00F5732C" w:rsidRDefault="00F5732C" w:rsidP="00F5732C">
      <w:r>
        <w:t>This options appraisal sets out the options, risks and benefits for children’s surgery within Northern Lincolnshire as proposed by the provider clinical teams.  The programme board have reviewed this work, and undertaken an evaluation criteria scoring exercise to form a preferred option for the future of the service.</w:t>
      </w:r>
    </w:p>
    <w:p w14:paraId="31C0235C" w14:textId="77777777" w:rsidR="00F5732C" w:rsidRDefault="00F5732C" w:rsidP="00F5732C">
      <w:r>
        <w:t>The summary scores can be seen below:</w:t>
      </w:r>
    </w:p>
    <w:p w14:paraId="33194116" w14:textId="77777777" w:rsidR="00F5732C" w:rsidRDefault="00F5732C" w:rsidP="00F5732C">
      <w:pPr>
        <w:pStyle w:val="Heading4"/>
      </w:pPr>
      <w:r>
        <w:t xml:space="preserve">Table 41 – Summary evaluation scoring </w:t>
      </w:r>
    </w:p>
    <w:tbl>
      <w:tblPr>
        <w:tblStyle w:val="TableGrid"/>
        <w:tblW w:w="0" w:type="auto"/>
        <w:tblLook w:val="04A0" w:firstRow="1" w:lastRow="0" w:firstColumn="1" w:lastColumn="0" w:noHBand="0" w:noVBand="1"/>
      </w:tblPr>
      <w:tblGrid>
        <w:gridCol w:w="1803"/>
        <w:gridCol w:w="1803"/>
        <w:gridCol w:w="1803"/>
        <w:gridCol w:w="1803"/>
        <w:gridCol w:w="1804"/>
      </w:tblGrid>
      <w:tr w:rsidR="00F5732C" w14:paraId="03826519" w14:textId="77777777" w:rsidTr="0076385F">
        <w:tc>
          <w:tcPr>
            <w:tcW w:w="1803" w:type="dxa"/>
            <w:shd w:val="clear" w:color="auto" w:fill="767171" w:themeFill="background2" w:themeFillShade="80"/>
          </w:tcPr>
          <w:p w14:paraId="6AE2B976" w14:textId="77777777" w:rsidR="00F5732C" w:rsidRPr="00BF6C7D" w:rsidRDefault="00F5732C" w:rsidP="0076385F">
            <w:pPr>
              <w:jc w:val="center"/>
              <w:rPr>
                <w:color w:val="FFFFFF" w:themeColor="background1"/>
                <w:sz w:val="18"/>
                <w:szCs w:val="18"/>
              </w:rPr>
            </w:pPr>
          </w:p>
        </w:tc>
        <w:tc>
          <w:tcPr>
            <w:tcW w:w="1803" w:type="dxa"/>
            <w:shd w:val="clear" w:color="auto" w:fill="767171" w:themeFill="background2" w:themeFillShade="80"/>
          </w:tcPr>
          <w:p w14:paraId="16F1E738" w14:textId="77777777" w:rsidR="00F5732C" w:rsidRPr="00BF6C7D" w:rsidRDefault="00F5732C" w:rsidP="0076385F">
            <w:pPr>
              <w:jc w:val="center"/>
              <w:rPr>
                <w:color w:val="FFFFFF" w:themeColor="background1"/>
                <w:sz w:val="18"/>
                <w:szCs w:val="18"/>
              </w:rPr>
            </w:pPr>
            <w:r w:rsidRPr="00BF6C7D">
              <w:rPr>
                <w:color w:val="FFFFFF" w:themeColor="background1"/>
                <w:sz w:val="18"/>
                <w:szCs w:val="18"/>
              </w:rPr>
              <w:t>Option 1</w:t>
            </w:r>
          </w:p>
        </w:tc>
        <w:tc>
          <w:tcPr>
            <w:tcW w:w="1803" w:type="dxa"/>
            <w:shd w:val="clear" w:color="auto" w:fill="767171" w:themeFill="background2" w:themeFillShade="80"/>
          </w:tcPr>
          <w:p w14:paraId="594012DA" w14:textId="77777777" w:rsidR="00F5732C" w:rsidRPr="00BF6C7D" w:rsidRDefault="00F5732C" w:rsidP="0076385F">
            <w:pPr>
              <w:jc w:val="center"/>
              <w:rPr>
                <w:color w:val="FFFFFF" w:themeColor="background1"/>
                <w:sz w:val="18"/>
                <w:szCs w:val="18"/>
              </w:rPr>
            </w:pPr>
            <w:r w:rsidRPr="00BF6C7D">
              <w:rPr>
                <w:color w:val="FFFFFF" w:themeColor="background1"/>
                <w:sz w:val="18"/>
                <w:szCs w:val="18"/>
              </w:rPr>
              <w:t>Option 2</w:t>
            </w:r>
          </w:p>
        </w:tc>
        <w:tc>
          <w:tcPr>
            <w:tcW w:w="1803" w:type="dxa"/>
            <w:shd w:val="clear" w:color="auto" w:fill="767171" w:themeFill="background2" w:themeFillShade="80"/>
          </w:tcPr>
          <w:p w14:paraId="0A20284A" w14:textId="77777777" w:rsidR="00F5732C" w:rsidRPr="00BF6C7D" w:rsidRDefault="00F5732C" w:rsidP="0076385F">
            <w:pPr>
              <w:jc w:val="center"/>
              <w:rPr>
                <w:color w:val="FFFFFF" w:themeColor="background1"/>
                <w:sz w:val="18"/>
                <w:szCs w:val="18"/>
              </w:rPr>
            </w:pPr>
            <w:r w:rsidRPr="00BF6C7D">
              <w:rPr>
                <w:color w:val="FFFFFF" w:themeColor="background1"/>
                <w:sz w:val="18"/>
                <w:szCs w:val="18"/>
              </w:rPr>
              <w:t>Option 3</w:t>
            </w:r>
          </w:p>
        </w:tc>
        <w:tc>
          <w:tcPr>
            <w:tcW w:w="1804" w:type="dxa"/>
            <w:shd w:val="clear" w:color="auto" w:fill="767171" w:themeFill="background2" w:themeFillShade="80"/>
          </w:tcPr>
          <w:p w14:paraId="0EB6525D" w14:textId="77777777" w:rsidR="00F5732C" w:rsidRPr="00BF6C7D" w:rsidRDefault="00F5732C" w:rsidP="0076385F">
            <w:pPr>
              <w:jc w:val="center"/>
              <w:rPr>
                <w:color w:val="FFFFFF" w:themeColor="background1"/>
                <w:sz w:val="18"/>
                <w:szCs w:val="18"/>
              </w:rPr>
            </w:pPr>
            <w:r w:rsidRPr="00BF6C7D">
              <w:rPr>
                <w:color w:val="FFFFFF" w:themeColor="background1"/>
                <w:sz w:val="18"/>
                <w:szCs w:val="18"/>
              </w:rPr>
              <w:t>Option 4</w:t>
            </w:r>
          </w:p>
        </w:tc>
      </w:tr>
      <w:tr w:rsidR="00F5732C" w14:paraId="3C4F52F4" w14:textId="77777777" w:rsidTr="0076385F">
        <w:tc>
          <w:tcPr>
            <w:tcW w:w="1803" w:type="dxa"/>
          </w:tcPr>
          <w:p w14:paraId="3C6D231C" w14:textId="77777777" w:rsidR="00F5732C" w:rsidRPr="00BF6C7D" w:rsidRDefault="00F5732C" w:rsidP="0076385F">
            <w:pPr>
              <w:rPr>
                <w:sz w:val="18"/>
                <w:szCs w:val="18"/>
              </w:rPr>
            </w:pPr>
            <w:r>
              <w:rPr>
                <w:sz w:val="18"/>
                <w:szCs w:val="18"/>
              </w:rPr>
              <w:t>Quality</w:t>
            </w:r>
          </w:p>
        </w:tc>
        <w:tc>
          <w:tcPr>
            <w:tcW w:w="1803" w:type="dxa"/>
          </w:tcPr>
          <w:p w14:paraId="41E8B766" w14:textId="721D515A" w:rsidR="00F5732C" w:rsidRPr="00BF6C7D" w:rsidRDefault="00F5732C" w:rsidP="0076385F">
            <w:pPr>
              <w:jc w:val="center"/>
              <w:rPr>
                <w:sz w:val="18"/>
                <w:szCs w:val="18"/>
              </w:rPr>
            </w:pPr>
            <w:r>
              <w:rPr>
                <w:sz w:val="18"/>
                <w:szCs w:val="18"/>
              </w:rPr>
              <w:t>72</w:t>
            </w:r>
          </w:p>
        </w:tc>
        <w:tc>
          <w:tcPr>
            <w:tcW w:w="1803" w:type="dxa"/>
          </w:tcPr>
          <w:p w14:paraId="17D08FCF" w14:textId="171AF8EF" w:rsidR="00F5732C" w:rsidRPr="00BF6C7D" w:rsidRDefault="00F5732C" w:rsidP="0076385F">
            <w:pPr>
              <w:jc w:val="center"/>
              <w:rPr>
                <w:sz w:val="18"/>
                <w:szCs w:val="18"/>
              </w:rPr>
            </w:pPr>
            <w:r>
              <w:rPr>
                <w:sz w:val="18"/>
                <w:szCs w:val="18"/>
              </w:rPr>
              <w:t>45</w:t>
            </w:r>
          </w:p>
        </w:tc>
        <w:tc>
          <w:tcPr>
            <w:tcW w:w="1803" w:type="dxa"/>
          </w:tcPr>
          <w:p w14:paraId="3729C42D" w14:textId="7BFE95FC" w:rsidR="00F5732C" w:rsidRPr="00BF6C7D" w:rsidRDefault="00F5732C" w:rsidP="0076385F">
            <w:pPr>
              <w:jc w:val="center"/>
              <w:rPr>
                <w:sz w:val="18"/>
                <w:szCs w:val="18"/>
              </w:rPr>
            </w:pPr>
            <w:r>
              <w:rPr>
                <w:sz w:val="18"/>
                <w:szCs w:val="18"/>
              </w:rPr>
              <w:t>118</w:t>
            </w:r>
          </w:p>
        </w:tc>
        <w:tc>
          <w:tcPr>
            <w:tcW w:w="1804" w:type="dxa"/>
          </w:tcPr>
          <w:p w14:paraId="5857D33B" w14:textId="189B776F" w:rsidR="00F5732C" w:rsidRPr="00BF6C7D" w:rsidRDefault="00F5732C" w:rsidP="0076385F">
            <w:pPr>
              <w:jc w:val="center"/>
              <w:rPr>
                <w:sz w:val="18"/>
                <w:szCs w:val="18"/>
              </w:rPr>
            </w:pPr>
            <w:r>
              <w:rPr>
                <w:sz w:val="18"/>
                <w:szCs w:val="18"/>
              </w:rPr>
              <w:t>145</w:t>
            </w:r>
          </w:p>
        </w:tc>
      </w:tr>
      <w:tr w:rsidR="00F5732C" w14:paraId="08E83C1E" w14:textId="77777777" w:rsidTr="0076385F">
        <w:tc>
          <w:tcPr>
            <w:tcW w:w="1803" w:type="dxa"/>
          </w:tcPr>
          <w:p w14:paraId="4A2E3049" w14:textId="77777777" w:rsidR="00F5732C" w:rsidRDefault="00F5732C" w:rsidP="0076385F">
            <w:pPr>
              <w:rPr>
                <w:sz w:val="18"/>
                <w:szCs w:val="18"/>
              </w:rPr>
            </w:pPr>
            <w:r>
              <w:rPr>
                <w:sz w:val="18"/>
                <w:szCs w:val="18"/>
              </w:rPr>
              <w:t>Access</w:t>
            </w:r>
          </w:p>
        </w:tc>
        <w:tc>
          <w:tcPr>
            <w:tcW w:w="1803" w:type="dxa"/>
          </w:tcPr>
          <w:p w14:paraId="68FF2B98" w14:textId="69C6D0CB" w:rsidR="00F5732C" w:rsidRPr="00BF6C7D" w:rsidRDefault="00F5732C" w:rsidP="0076385F">
            <w:pPr>
              <w:jc w:val="center"/>
              <w:rPr>
                <w:sz w:val="18"/>
                <w:szCs w:val="18"/>
              </w:rPr>
            </w:pPr>
            <w:r>
              <w:rPr>
                <w:sz w:val="18"/>
                <w:szCs w:val="18"/>
              </w:rPr>
              <w:t>36</w:t>
            </w:r>
          </w:p>
        </w:tc>
        <w:tc>
          <w:tcPr>
            <w:tcW w:w="1803" w:type="dxa"/>
          </w:tcPr>
          <w:p w14:paraId="20386693" w14:textId="00CCB927" w:rsidR="00F5732C" w:rsidRPr="00BF6C7D" w:rsidRDefault="00F5732C" w:rsidP="0076385F">
            <w:pPr>
              <w:jc w:val="center"/>
              <w:rPr>
                <w:sz w:val="18"/>
                <w:szCs w:val="18"/>
              </w:rPr>
            </w:pPr>
            <w:r>
              <w:rPr>
                <w:sz w:val="18"/>
                <w:szCs w:val="18"/>
              </w:rPr>
              <w:t>24</w:t>
            </w:r>
          </w:p>
        </w:tc>
        <w:tc>
          <w:tcPr>
            <w:tcW w:w="1803" w:type="dxa"/>
          </w:tcPr>
          <w:p w14:paraId="2EC3CEA6" w14:textId="70CCDC48" w:rsidR="00F5732C" w:rsidRPr="00BF6C7D" w:rsidRDefault="00F5732C" w:rsidP="0076385F">
            <w:pPr>
              <w:jc w:val="center"/>
              <w:rPr>
                <w:sz w:val="18"/>
                <w:szCs w:val="18"/>
              </w:rPr>
            </w:pPr>
            <w:r>
              <w:rPr>
                <w:sz w:val="18"/>
                <w:szCs w:val="18"/>
              </w:rPr>
              <w:t>36</w:t>
            </w:r>
          </w:p>
        </w:tc>
        <w:tc>
          <w:tcPr>
            <w:tcW w:w="1804" w:type="dxa"/>
          </w:tcPr>
          <w:p w14:paraId="28DB8774" w14:textId="1F418EEE" w:rsidR="00F5732C" w:rsidRPr="00BF6C7D" w:rsidRDefault="00F5732C" w:rsidP="0076385F">
            <w:pPr>
              <w:jc w:val="center"/>
              <w:rPr>
                <w:sz w:val="18"/>
                <w:szCs w:val="18"/>
              </w:rPr>
            </w:pPr>
            <w:r>
              <w:rPr>
                <w:sz w:val="18"/>
                <w:szCs w:val="18"/>
              </w:rPr>
              <w:t>24</w:t>
            </w:r>
          </w:p>
        </w:tc>
      </w:tr>
      <w:tr w:rsidR="00F5732C" w14:paraId="71D4106F" w14:textId="77777777" w:rsidTr="0076385F">
        <w:tc>
          <w:tcPr>
            <w:tcW w:w="1803" w:type="dxa"/>
          </w:tcPr>
          <w:p w14:paraId="50570F9B" w14:textId="77777777" w:rsidR="00F5732C" w:rsidRDefault="00F5732C" w:rsidP="0076385F">
            <w:pPr>
              <w:rPr>
                <w:sz w:val="18"/>
                <w:szCs w:val="18"/>
              </w:rPr>
            </w:pPr>
            <w:r>
              <w:rPr>
                <w:sz w:val="18"/>
                <w:szCs w:val="18"/>
              </w:rPr>
              <w:t>Affordability</w:t>
            </w:r>
          </w:p>
        </w:tc>
        <w:tc>
          <w:tcPr>
            <w:tcW w:w="1803" w:type="dxa"/>
          </w:tcPr>
          <w:p w14:paraId="36FE9CCE" w14:textId="0B44F98E" w:rsidR="00F5732C" w:rsidRPr="00BF6C7D" w:rsidRDefault="00F5732C" w:rsidP="0076385F">
            <w:pPr>
              <w:jc w:val="center"/>
              <w:rPr>
                <w:sz w:val="18"/>
                <w:szCs w:val="18"/>
              </w:rPr>
            </w:pPr>
            <w:r>
              <w:rPr>
                <w:sz w:val="18"/>
                <w:szCs w:val="18"/>
              </w:rPr>
              <w:t>40</w:t>
            </w:r>
          </w:p>
        </w:tc>
        <w:tc>
          <w:tcPr>
            <w:tcW w:w="1803" w:type="dxa"/>
          </w:tcPr>
          <w:p w14:paraId="60D2491A" w14:textId="48E7B5DB" w:rsidR="00F5732C" w:rsidRPr="00BF6C7D" w:rsidRDefault="00F5732C" w:rsidP="0076385F">
            <w:pPr>
              <w:jc w:val="center"/>
              <w:rPr>
                <w:sz w:val="18"/>
                <w:szCs w:val="18"/>
              </w:rPr>
            </w:pPr>
            <w:r>
              <w:rPr>
                <w:sz w:val="18"/>
                <w:szCs w:val="18"/>
              </w:rPr>
              <w:t>16</w:t>
            </w:r>
          </w:p>
        </w:tc>
        <w:tc>
          <w:tcPr>
            <w:tcW w:w="1803" w:type="dxa"/>
          </w:tcPr>
          <w:p w14:paraId="7E4B421C" w14:textId="7E2B9A2F" w:rsidR="00F5732C" w:rsidRPr="00BF6C7D" w:rsidRDefault="00F5732C" w:rsidP="0076385F">
            <w:pPr>
              <w:jc w:val="center"/>
              <w:rPr>
                <w:sz w:val="18"/>
                <w:szCs w:val="18"/>
              </w:rPr>
            </w:pPr>
            <w:r>
              <w:rPr>
                <w:sz w:val="18"/>
                <w:szCs w:val="18"/>
              </w:rPr>
              <w:t>16</w:t>
            </w:r>
          </w:p>
        </w:tc>
        <w:tc>
          <w:tcPr>
            <w:tcW w:w="1804" w:type="dxa"/>
          </w:tcPr>
          <w:p w14:paraId="283419F2" w14:textId="3114FD61" w:rsidR="00F5732C" w:rsidRPr="00BF6C7D" w:rsidRDefault="00F5732C" w:rsidP="0076385F">
            <w:pPr>
              <w:jc w:val="center"/>
              <w:rPr>
                <w:sz w:val="18"/>
                <w:szCs w:val="18"/>
              </w:rPr>
            </w:pPr>
            <w:r>
              <w:rPr>
                <w:sz w:val="18"/>
                <w:szCs w:val="18"/>
              </w:rPr>
              <w:t>24</w:t>
            </w:r>
          </w:p>
        </w:tc>
      </w:tr>
      <w:tr w:rsidR="00F5732C" w14:paraId="2D3A568E" w14:textId="77777777" w:rsidTr="0076385F">
        <w:tc>
          <w:tcPr>
            <w:tcW w:w="1803" w:type="dxa"/>
          </w:tcPr>
          <w:p w14:paraId="6F876304" w14:textId="77777777" w:rsidR="00F5732C" w:rsidRDefault="00F5732C" w:rsidP="0076385F">
            <w:pPr>
              <w:rPr>
                <w:sz w:val="18"/>
                <w:szCs w:val="18"/>
              </w:rPr>
            </w:pPr>
            <w:r>
              <w:rPr>
                <w:sz w:val="18"/>
                <w:szCs w:val="18"/>
              </w:rPr>
              <w:t>Deliverability</w:t>
            </w:r>
          </w:p>
        </w:tc>
        <w:tc>
          <w:tcPr>
            <w:tcW w:w="1803" w:type="dxa"/>
          </w:tcPr>
          <w:p w14:paraId="37EE717C" w14:textId="70266F16" w:rsidR="00F5732C" w:rsidRPr="00BF6C7D" w:rsidRDefault="00F5732C" w:rsidP="0076385F">
            <w:pPr>
              <w:jc w:val="center"/>
              <w:rPr>
                <w:sz w:val="18"/>
                <w:szCs w:val="18"/>
              </w:rPr>
            </w:pPr>
            <w:r>
              <w:rPr>
                <w:sz w:val="18"/>
                <w:szCs w:val="18"/>
              </w:rPr>
              <w:t>48</w:t>
            </w:r>
          </w:p>
        </w:tc>
        <w:tc>
          <w:tcPr>
            <w:tcW w:w="1803" w:type="dxa"/>
          </w:tcPr>
          <w:p w14:paraId="51848494" w14:textId="7C385E3C" w:rsidR="00F5732C" w:rsidRPr="00BF6C7D" w:rsidRDefault="00F5732C" w:rsidP="0076385F">
            <w:pPr>
              <w:jc w:val="center"/>
              <w:rPr>
                <w:sz w:val="18"/>
                <w:szCs w:val="18"/>
              </w:rPr>
            </w:pPr>
            <w:r>
              <w:rPr>
                <w:sz w:val="18"/>
                <w:szCs w:val="18"/>
              </w:rPr>
              <w:t>16</w:t>
            </w:r>
          </w:p>
        </w:tc>
        <w:tc>
          <w:tcPr>
            <w:tcW w:w="1803" w:type="dxa"/>
          </w:tcPr>
          <w:p w14:paraId="63DEF622" w14:textId="07399B29" w:rsidR="00F5732C" w:rsidRPr="00BF6C7D" w:rsidRDefault="00F5732C" w:rsidP="0076385F">
            <w:pPr>
              <w:jc w:val="center"/>
              <w:rPr>
                <w:sz w:val="18"/>
                <w:szCs w:val="18"/>
              </w:rPr>
            </w:pPr>
            <w:r>
              <w:rPr>
                <w:sz w:val="18"/>
                <w:szCs w:val="18"/>
              </w:rPr>
              <w:t>40</w:t>
            </w:r>
          </w:p>
        </w:tc>
        <w:tc>
          <w:tcPr>
            <w:tcW w:w="1804" w:type="dxa"/>
          </w:tcPr>
          <w:p w14:paraId="7B95646B" w14:textId="0D493F91" w:rsidR="00F5732C" w:rsidRPr="00BF6C7D" w:rsidRDefault="00F5732C" w:rsidP="0076385F">
            <w:pPr>
              <w:jc w:val="center"/>
              <w:rPr>
                <w:sz w:val="18"/>
                <w:szCs w:val="18"/>
              </w:rPr>
            </w:pPr>
            <w:r>
              <w:rPr>
                <w:sz w:val="18"/>
                <w:szCs w:val="18"/>
              </w:rPr>
              <w:t>72</w:t>
            </w:r>
          </w:p>
        </w:tc>
      </w:tr>
      <w:tr w:rsidR="00F5732C" w14:paraId="2CF741AA" w14:textId="77777777" w:rsidTr="0076385F">
        <w:tc>
          <w:tcPr>
            <w:tcW w:w="1803" w:type="dxa"/>
          </w:tcPr>
          <w:p w14:paraId="32175ED4" w14:textId="77777777" w:rsidR="00F5732C" w:rsidRDefault="00F5732C" w:rsidP="0076385F">
            <w:pPr>
              <w:rPr>
                <w:sz w:val="18"/>
                <w:szCs w:val="18"/>
              </w:rPr>
            </w:pPr>
            <w:r>
              <w:rPr>
                <w:sz w:val="18"/>
                <w:szCs w:val="18"/>
              </w:rPr>
              <w:t>Total</w:t>
            </w:r>
          </w:p>
        </w:tc>
        <w:tc>
          <w:tcPr>
            <w:tcW w:w="1803" w:type="dxa"/>
          </w:tcPr>
          <w:p w14:paraId="459DAB4E" w14:textId="0D80892B" w:rsidR="00F5732C" w:rsidRPr="00BF6C7D" w:rsidRDefault="00F5732C" w:rsidP="0076385F">
            <w:pPr>
              <w:jc w:val="center"/>
              <w:rPr>
                <w:sz w:val="18"/>
                <w:szCs w:val="18"/>
              </w:rPr>
            </w:pPr>
            <w:r>
              <w:rPr>
                <w:sz w:val="18"/>
                <w:szCs w:val="18"/>
              </w:rPr>
              <w:t>196</w:t>
            </w:r>
          </w:p>
        </w:tc>
        <w:tc>
          <w:tcPr>
            <w:tcW w:w="1803" w:type="dxa"/>
          </w:tcPr>
          <w:p w14:paraId="4CC1A355" w14:textId="19841AA3" w:rsidR="00F5732C" w:rsidRPr="00BF6C7D" w:rsidRDefault="00F5732C" w:rsidP="0076385F">
            <w:pPr>
              <w:jc w:val="center"/>
              <w:rPr>
                <w:sz w:val="18"/>
                <w:szCs w:val="18"/>
              </w:rPr>
            </w:pPr>
            <w:r>
              <w:rPr>
                <w:sz w:val="18"/>
                <w:szCs w:val="18"/>
              </w:rPr>
              <w:t>101</w:t>
            </w:r>
          </w:p>
        </w:tc>
        <w:tc>
          <w:tcPr>
            <w:tcW w:w="1803" w:type="dxa"/>
          </w:tcPr>
          <w:p w14:paraId="3BA3BF1C" w14:textId="48023AED" w:rsidR="00F5732C" w:rsidRPr="00BF6C7D" w:rsidRDefault="00F5732C" w:rsidP="00F5732C">
            <w:pPr>
              <w:jc w:val="center"/>
              <w:rPr>
                <w:sz w:val="18"/>
                <w:szCs w:val="18"/>
              </w:rPr>
            </w:pPr>
            <w:r>
              <w:rPr>
                <w:sz w:val="18"/>
                <w:szCs w:val="18"/>
              </w:rPr>
              <w:t>210</w:t>
            </w:r>
          </w:p>
        </w:tc>
        <w:tc>
          <w:tcPr>
            <w:tcW w:w="1804" w:type="dxa"/>
          </w:tcPr>
          <w:p w14:paraId="13E756BD" w14:textId="4E186289" w:rsidR="00F5732C" w:rsidRPr="00BF6C7D" w:rsidRDefault="00F5732C" w:rsidP="0076385F">
            <w:pPr>
              <w:jc w:val="center"/>
              <w:rPr>
                <w:sz w:val="18"/>
                <w:szCs w:val="18"/>
              </w:rPr>
            </w:pPr>
            <w:r>
              <w:rPr>
                <w:sz w:val="18"/>
                <w:szCs w:val="18"/>
              </w:rPr>
              <w:t>265</w:t>
            </w:r>
          </w:p>
        </w:tc>
      </w:tr>
    </w:tbl>
    <w:p w14:paraId="249EE8A8" w14:textId="77777777" w:rsidR="00F5732C" w:rsidRPr="00BF6C7D" w:rsidRDefault="00F5732C" w:rsidP="00F5732C"/>
    <w:p w14:paraId="4E63F858" w14:textId="06D8D0C0" w:rsidR="00F5732C" w:rsidRDefault="00F5732C" w:rsidP="00F5732C">
      <w:pPr>
        <w:spacing w:line="240" w:lineRule="auto"/>
      </w:pPr>
      <w:r>
        <w:t xml:space="preserve">Through consideration of these options the programme board felt these options did not present sufficient solutions to the problems identified by the provider clinical teams, and that there </w:t>
      </w:r>
      <w:proofErr w:type="gramStart"/>
      <w:r>
        <w:t>were</w:t>
      </w:r>
      <w:proofErr w:type="gramEnd"/>
      <w:r>
        <w:t xml:space="preserve"> other options available.  The programme board felt that two additional options should be considered before making a recommendation for changing the service:</w:t>
      </w:r>
    </w:p>
    <w:p w14:paraId="3386ABB7" w14:textId="6C3B1CC9" w:rsidR="00F5732C" w:rsidRPr="00F5732C" w:rsidRDefault="00F5732C" w:rsidP="00F5732C">
      <w:pPr>
        <w:pStyle w:val="ListParagraph"/>
        <w:numPr>
          <w:ilvl w:val="0"/>
          <w:numId w:val="43"/>
        </w:numPr>
        <w:spacing w:line="240" w:lineRule="auto"/>
        <w:rPr>
          <w:rFonts w:asciiTheme="minorHAnsi" w:hAnsiTheme="minorHAnsi"/>
        </w:rPr>
      </w:pPr>
      <w:r w:rsidRPr="00F5732C">
        <w:rPr>
          <w:rFonts w:asciiTheme="minorHAnsi" w:hAnsiTheme="minorHAnsi"/>
        </w:rPr>
        <w:t>Centralise the children’s surgery on SGH site</w:t>
      </w:r>
    </w:p>
    <w:p w14:paraId="50764EC4" w14:textId="77777777" w:rsidR="00F5732C" w:rsidRDefault="00F5732C" w:rsidP="00F5732C">
      <w:pPr>
        <w:numPr>
          <w:ilvl w:val="0"/>
          <w:numId w:val="42"/>
        </w:numPr>
        <w:spacing w:after="0" w:line="240" w:lineRule="auto"/>
        <w:contextualSpacing/>
        <w:rPr>
          <w:rFonts w:eastAsia="Arial" w:cs="Arial"/>
          <w:bCs/>
          <w:lang w:eastAsia="en-GB"/>
        </w:rPr>
      </w:pPr>
      <w:r w:rsidRPr="00F5732C">
        <w:rPr>
          <w:rFonts w:eastAsia="Arial" w:cs="Arial"/>
          <w:bCs/>
          <w:lang w:eastAsia="en-GB"/>
        </w:rPr>
        <w:t>Centralise children’s surgery on DPOW site</w:t>
      </w:r>
    </w:p>
    <w:p w14:paraId="1F7C83CB" w14:textId="77777777" w:rsidR="00F5732C" w:rsidRPr="00F5732C" w:rsidRDefault="00F5732C" w:rsidP="00F5732C">
      <w:pPr>
        <w:spacing w:after="0" w:line="240" w:lineRule="auto"/>
        <w:ind w:left="720"/>
        <w:contextualSpacing/>
        <w:rPr>
          <w:rFonts w:eastAsia="Arial" w:cs="Arial"/>
          <w:bCs/>
          <w:lang w:eastAsia="en-GB"/>
        </w:rPr>
      </w:pPr>
    </w:p>
    <w:p w14:paraId="33473A7E" w14:textId="4E9BD2DB" w:rsidR="00F5732C" w:rsidRDefault="00F5732C" w:rsidP="00F5732C">
      <w:r>
        <w:t xml:space="preserve">The Clinical Senate will be approached to discuss options with the paediatric clinical teams to ensure that proposals are robust and will offer a safe alternative to the patients of Northern Lincolnshire. </w:t>
      </w:r>
    </w:p>
    <w:p w14:paraId="73E94AA2" w14:textId="77777777" w:rsidR="005D767C" w:rsidRDefault="005D767C" w:rsidP="005D767C">
      <w:r>
        <w:t>It is recommended that further work be undertaken to scope out these options and complete the business case content for this options appraisal, and that this work be combined with a further period of public engagement.</w:t>
      </w:r>
    </w:p>
    <w:p w14:paraId="72E57BEF" w14:textId="1393B435" w:rsidR="005D767C" w:rsidRDefault="005D767C" w:rsidP="005D767C">
      <w:r>
        <w:t>The Council of Members and Governing Bodies are asked to review and endorse this course of action.</w:t>
      </w:r>
    </w:p>
    <w:p w14:paraId="1734DA05" w14:textId="77777777" w:rsidR="00EF3405" w:rsidRDefault="00EF3405" w:rsidP="00EF3405">
      <w:pPr>
        <w:spacing w:line="240" w:lineRule="auto"/>
      </w:pPr>
    </w:p>
    <w:p w14:paraId="619CC117" w14:textId="77777777" w:rsidR="00EF3405" w:rsidRPr="00EF3405" w:rsidRDefault="00EF3405" w:rsidP="00EF3405">
      <w:pPr>
        <w:spacing w:line="240" w:lineRule="auto"/>
      </w:pPr>
    </w:p>
    <w:p w14:paraId="55A86FF0" w14:textId="77777777" w:rsidR="00D24655" w:rsidRDefault="00D24655" w:rsidP="00D24655"/>
    <w:p w14:paraId="39DB2933" w14:textId="77777777" w:rsidR="007B3A87" w:rsidRDefault="007B3A87">
      <w:pPr>
        <w:rPr>
          <w:rFonts w:asciiTheme="majorHAnsi" w:eastAsiaTheme="majorEastAsia" w:hAnsiTheme="majorHAnsi" w:cstheme="majorBidi"/>
          <w:color w:val="2E74B5" w:themeColor="accent1" w:themeShade="BF"/>
          <w:sz w:val="32"/>
          <w:szCs w:val="32"/>
        </w:rPr>
      </w:pPr>
      <w:r>
        <w:br w:type="page"/>
      </w:r>
    </w:p>
    <w:p w14:paraId="27C8494B" w14:textId="74D90E0F" w:rsidR="00D24655" w:rsidRDefault="00D45227" w:rsidP="00D24655">
      <w:pPr>
        <w:pStyle w:val="Heading1"/>
      </w:pPr>
      <w:bookmarkStart w:id="37" w:name="_Toc388275384"/>
      <w:r>
        <w:lastRenderedPageBreak/>
        <w:t>7</w:t>
      </w:r>
      <w:r w:rsidR="009A1910">
        <w:t>. Appendix Log</w:t>
      </w:r>
      <w:bookmarkEnd w:id="37"/>
    </w:p>
    <w:p w14:paraId="49B08BD3" w14:textId="77777777" w:rsidR="009A1910" w:rsidRPr="009A1910" w:rsidRDefault="009A1910" w:rsidP="009A1910"/>
    <w:p w14:paraId="14F105BB" w14:textId="37A64B9A" w:rsidR="003B2502" w:rsidRDefault="00DD6CFE" w:rsidP="00DD6CFE">
      <w:pPr>
        <w:pStyle w:val="Heading2"/>
      </w:pPr>
      <w:bookmarkStart w:id="38" w:name="_Toc388275385"/>
      <w:r>
        <w:t xml:space="preserve">Appendix 1 </w:t>
      </w:r>
      <w:r w:rsidR="00A85C1A">
        <w:t>–</w:t>
      </w:r>
      <w:r>
        <w:t xml:space="preserve"> </w:t>
      </w:r>
      <w:proofErr w:type="spellStart"/>
      <w:r w:rsidR="00A85C1A">
        <w:t>NLaG</w:t>
      </w:r>
      <w:proofErr w:type="spellEnd"/>
      <w:r w:rsidR="00A85C1A">
        <w:t xml:space="preserve"> Business Case for</w:t>
      </w:r>
      <w:r w:rsidR="00462037">
        <w:t xml:space="preserve"> Children’s surgery</w:t>
      </w:r>
      <w:r w:rsidR="00FF09AC">
        <w:t xml:space="preserve"> </w:t>
      </w:r>
      <w:r w:rsidR="00A85C1A">
        <w:t>– May</w:t>
      </w:r>
      <w:r w:rsidR="00FF09AC">
        <w:t xml:space="preserve"> 201</w:t>
      </w:r>
      <w:r w:rsidR="00A85C1A">
        <w:t>4</w:t>
      </w:r>
      <w:bookmarkEnd w:id="38"/>
    </w:p>
    <w:p w14:paraId="32C8AF00" w14:textId="071ACCAA" w:rsidR="002A2B13" w:rsidRDefault="009A1910" w:rsidP="002A2B13">
      <w:pPr>
        <w:pStyle w:val="Heading2"/>
      </w:pPr>
      <w:bookmarkStart w:id="39" w:name="_Toc388275386"/>
      <w:r>
        <w:t xml:space="preserve">Appendix </w:t>
      </w:r>
      <w:r w:rsidR="00462037">
        <w:t>2</w:t>
      </w:r>
      <w:r>
        <w:t xml:space="preserve"> – </w:t>
      </w:r>
      <w:r w:rsidR="002A2B13">
        <w:t>Evaluation Criteria Process</w:t>
      </w:r>
      <w:bookmarkEnd w:id="39"/>
    </w:p>
    <w:p w14:paraId="2A2A4CD5" w14:textId="258F0F8A" w:rsidR="00462037" w:rsidRDefault="00462037" w:rsidP="00462037">
      <w:pPr>
        <w:pStyle w:val="Heading2"/>
      </w:pPr>
      <w:bookmarkStart w:id="40" w:name="_Toc388275387"/>
      <w:r>
        <w:t>Appendix 3 – Equality Impact Assessment for Children’s surgery – May 2014</w:t>
      </w:r>
      <w:bookmarkEnd w:id="40"/>
    </w:p>
    <w:p w14:paraId="55C8C1BC" w14:textId="09F80A2F" w:rsidR="003F1AF0" w:rsidRPr="003F1AF0" w:rsidRDefault="003F1AF0" w:rsidP="003F1AF0">
      <w:pPr>
        <w:pStyle w:val="Heading2"/>
      </w:pPr>
      <w:bookmarkStart w:id="41" w:name="_Toc388275388"/>
      <w:r>
        <w:t>Appendix 4 – Evaluation Criteria Assessment for Children’s surgery – May 2014</w:t>
      </w:r>
      <w:bookmarkEnd w:id="41"/>
    </w:p>
    <w:p w14:paraId="61DA7FAE" w14:textId="77777777" w:rsidR="00DD6CFE" w:rsidRPr="00DD6CFE" w:rsidRDefault="00DD6CFE" w:rsidP="00DD6CFE"/>
    <w:p w14:paraId="1661239C" w14:textId="77777777" w:rsidR="00DD6CFE" w:rsidRPr="00DD6CFE" w:rsidRDefault="00DD6CFE" w:rsidP="00DD6CFE"/>
    <w:p w14:paraId="279FD2A4" w14:textId="77777777" w:rsidR="00DD6CFE" w:rsidRPr="00DD6CFE" w:rsidRDefault="00DD6CFE" w:rsidP="00DD6CFE"/>
    <w:p w14:paraId="3960B58B" w14:textId="77777777" w:rsidR="00DD6CFE" w:rsidRPr="00D24655" w:rsidRDefault="00DD6CFE" w:rsidP="003B2502">
      <w:pPr>
        <w:tabs>
          <w:tab w:val="left" w:pos="6030"/>
        </w:tabs>
      </w:pPr>
    </w:p>
    <w:p w14:paraId="4E2178C7" w14:textId="77777777" w:rsidR="00D24655" w:rsidRPr="00D24655" w:rsidRDefault="00D24655"/>
    <w:sectPr w:rsidR="00D24655" w:rsidRPr="00D24655" w:rsidSect="00D828FF">
      <w:headerReference w:type="even" r:id="rId11"/>
      <w:headerReference w:type="default" r:id="rId12"/>
      <w:footerReference w:type="default" r:id="rId13"/>
      <w:headerReference w:type="firs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5BDC5" w14:textId="77777777" w:rsidR="00074A32" w:rsidRDefault="00074A32" w:rsidP="00C81612">
      <w:pPr>
        <w:spacing w:after="0" w:line="240" w:lineRule="auto"/>
      </w:pPr>
      <w:r>
        <w:separator/>
      </w:r>
    </w:p>
  </w:endnote>
  <w:endnote w:type="continuationSeparator" w:id="0">
    <w:p w14:paraId="17C34763" w14:textId="77777777" w:rsidR="00074A32" w:rsidRDefault="00074A32" w:rsidP="00C8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868014"/>
      <w:docPartObj>
        <w:docPartGallery w:val="Page Numbers (Bottom of Page)"/>
        <w:docPartUnique/>
      </w:docPartObj>
    </w:sdtPr>
    <w:sdtEndPr>
      <w:rPr>
        <w:noProof/>
      </w:rPr>
    </w:sdtEndPr>
    <w:sdtContent>
      <w:p w14:paraId="6684F36B" w14:textId="77777777" w:rsidR="00462037" w:rsidRDefault="00462037">
        <w:pPr>
          <w:pStyle w:val="Footer"/>
          <w:jc w:val="right"/>
        </w:pPr>
        <w:r>
          <w:fldChar w:fldCharType="begin"/>
        </w:r>
        <w:r>
          <w:instrText xml:space="preserve"> PAGE   \* MERGEFORMAT </w:instrText>
        </w:r>
        <w:r>
          <w:fldChar w:fldCharType="separate"/>
        </w:r>
        <w:r w:rsidR="00BD740D">
          <w:rPr>
            <w:noProof/>
          </w:rPr>
          <w:t>1</w:t>
        </w:r>
        <w:r>
          <w:rPr>
            <w:noProof/>
          </w:rPr>
          <w:fldChar w:fldCharType="end"/>
        </w:r>
      </w:p>
    </w:sdtContent>
  </w:sdt>
  <w:p w14:paraId="157B39D3" w14:textId="77777777" w:rsidR="00462037" w:rsidRDefault="00462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C2B1A" w14:textId="77777777" w:rsidR="00074A32" w:rsidRDefault="00074A32" w:rsidP="00C81612">
      <w:pPr>
        <w:spacing w:after="0" w:line="240" w:lineRule="auto"/>
      </w:pPr>
      <w:r>
        <w:separator/>
      </w:r>
    </w:p>
  </w:footnote>
  <w:footnote w:type="continuationSeparator" w:id="0">
    <w:p w14:paraId="346CB977" w14:textId="77777777" w:rsidR="00074A32" w:rsidRDefault="00074A32" w:rsidP="00C81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19246" w14:textId="211FCD82" w:rsidR="00462037" w:rsidRDefault="0046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D48E" w14:textId="5C1BBE2E" w:rsidR="00462037" w:rsidRDefault="00462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1D90" w14:textId="20E8E181" w:rsidR="00462037" w:rsidRDefault="0046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8BE"/>
    <w:multiLevelType w:val="multilevel"/>
    <w:tmpl w:val="DCC88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E50AB0"/>
    <w:multiLevelType w:val="hybridMultilevel"/>
    <w:tmpl w:val="4B28C858"/>
    <w:lvl w:ilvl="0" w:tplc="5F92E3A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31379"/>
    <w:multiLevelType w:val="hybridMultilevel"/>
    <w:tmpl w:val="20C69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5F43DE"/>
    <w:multiLevelType w:val="hybridMultilevel"/>
    <w:tmpl w:val="D506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264B6"/>
    <w:multiLevelType w:val="hybridMultilevel"/>
    <w:tmpl w:val="B4A82834"/>
    <w:lvl w:ilvl="0" w:tplc="5F92E3AE">
      <w:start w:val="1"/>
      <w:numFmt w:val="bullet"/>
      <w:lvlText w:val="•"/>
      <w:lvlJc w:val="left"/>
      <w:pPr>
        <w:tabs>
          <w:tab w:val="num" w:pos="1074"/>
        </w:tabs>
        <w:ind w:left="1074" w:hanging="360"/>
      </w:pPr>
      <w:rPr>
        <w:rFonts w:ascii="Arial" w:hAnsi="Aria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nsid w:val="150A6462"/>
    <w:multiLevelType w:val="hybridMultilevel"/>
    <w:tmpl w:val="84EC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92591"/>
    <w:multiLevelType w:val="hybridMultilevel"/>
    <w:tmpl w:val="D23CBD72"/>
    <w:lvl w:ilvl="0" w:tplc="5F92E3AE">
      <w:start w:val="1"/>
      <w:numFmt w:val="bullet"/>
      <w:lvlText w:val="•"/>
      <w:lvlJc w:val="left"/>
      <w:pPr>
        <w:tabs>
          <w:tab w:val="num" w:pos="360"/>
        </w:tabs>
        <w:ind w:left="360" w:hanging="360"/>
      </w:pPr>
      <w:rPr>
        <w:rFonts w:ascii="Arial" w:hAnsi="Arial" w:hint="default"/>
      </w:rPr>
    </w:lvl>
    <w:lvl w:ilvl="1" w:tplc="21B8E2EA">
      <w:start w:val="1"/>
      <w:numFmt w:val="bullet"/>
      <w:lvlText w:val="•"/>
      <w:lvlJc w:val="left"/>
      <w:pPr>
        <w:tabs>
          <w:tab w:val="num" w:pos="1080"/>
        </w:tabs>
        <w:ind w:left="1080" w:hanging="360"/>
      </w:pPr>
      <w:rPr>
        <w:rFonts w:ascii="Arial" w:hAnsi="Arial" w:hint="default"/>
      </w:rPr>
    </w:lvl>
    <w:lvl w:ilvl="2" w:tplc="DDE2C21A" w:tentative="1">
      <w:start w:val="1"/>
      <w:numFmt w:val="bullet"/>
      <w:lvlText w:val="•"/>
      <w:lvlJc w:val="left"/>
      <w:pPr>
        <w:tabs>
          <w:tab w:val="num" w:pos="1800"/>
        </w:tabs>
        <w:ind w:left="1800" w:hanging="360"/>
      </w:pPr>
      <w:rPr>
        <w:rFonts w:ascii="Arial" w:hAnsi="Arial" w:hint="default"/>
      </w:rPr>
    </w:lvl>
    <w:lvl w:ilvl="3" w:tplc="1018CEE8" w:tentative="1">
      <w:start w:val="1"/>
      <w:numFmt w:val="bullet"/>
      <w:lvlText w:val="•"/>
      <w:lvlJc w:val="left"/>
      <w:pPr>
        <w:tabs>
          <w:tab w:val="num" w:pos="2520"/>
        </w:tabs>
        <w:ind w:left="2520" w:hanging="360"/>
      </w:pPr>
      <w:rPr>
        <w:rFonts w:ascii="Arial" w:hAnsi="Arial" w:hint="default"/>
      </w:rPr>
    </w:lvl>
    <w:lvl w:ilvl="4" w:tplc="225C77A2" w:tentative="1">
      <w:start w:val="1"/>
      <w:numFmt w:val="bullet"/>
      <w:lvlText w:val="•"/>
      <w:lvlJc w:val="left"/>
      <w:pPr>
        <w:tabs>
          <w:tab w:val="num" w:pos="3240"/>
        </w:tabs>
        <w:ind w:left="3240" w:hanging="360"/>
      </w:pPr>
      <w:rPr>
        <w:rFonts w:ascii="Arial" w:hAnsi="Arial" w:hint="default"/>
      </w:rPr>
    </w:lvl>
    <w:lvl w:ilvl="5" w:tplc="1CF65116" w:tentative="1">
      <w:start w:val="1"/>
      <w:numFmt w:val="bullet"/>
      <w:lvlText w:val="•"/>
      <w:lvlJc w:val="left"/>
      <w:pPr>
        <w:tabs>
          <w:tab w:val="num" w:pos="3960"/>
        </w:tabs>
        <w:ind w:left="3960" w:hanging="360"/>
      </w:pPr>
      <w:rPr>
        <w:rFonts w:ascii="Arial" w:hAnsi="Arial" w:hint="default"/>
      </w:rPr>
    </w:lvl>
    <w:lvl w:ilvl="6" w:tplc="2E3C1F72" w:tentative="1">
      <w:start w:val="1"/>
      <w:numFmt w:val="bullet"/>
      <w:lvlText w:val="•"/>
      <w:lvlJc w:val="left"/>
      <w:pPr>
        <w:tabs>
          <w:tab w:val="num" w:pos="4680"/>
        </w:tabs>
        <w:ind w:left="4680" w:hanging="360"/>
      </w:pPr>
      <w:rPr>
        <w:rFonts w:ascii="Arial" w:hAnsi="Arial" w:hint="default"/>
      </w:rPr>
    </w:lvl>
    <w:lvl w:ilvl="7" w:tplc="C17644B4" w:tentative="1">
      <w:start w:val="1"/>
      <w:numFmt w:val="bullet"/>
      <w:lvlText w:val="•"/>
      <w:lvlJc w:val="left"/>
      <w:pPr>
        <w:tabs>
          <w:tab w:val="num" w:pos="5400"/>
        </w:tabs>
        <w:ind w:left="5400" w:hanging="360"/>
      </w:pPr>
      <w:rPr>
        <w:rFonts w:ascii="Arial" w:hAnsi="Arial" w:hint="default"/>
      </w:rPr>
    </w:lvl>
    <w:lvl w:ilvl="8" w:tplc="01E29F66" w:tentative="1">
      <w:start w:val="1"/>
      <w:numFmt w:val="bullet"/>
      <w:lvlText w:val="•"/>
      <w:lvlJc w:val="left"/>
      <w:pPr>
        <w:tabs>
          <w:tab w:val="num" w:pos="6120"/>
        </w:tabs>
        <w:ind w:left="6120" w:hanging="360"/>
      </w:pPr>
      <w:rPr>
        <w:rFonts w:ascii="Arial" w:hAnsi="Arial" w:hint="default"/>
      </w:rPr>
    </w:lvl>
  </w:abstractNum>
  <w:abstractNum w:abstractNumId="7">
    <w:nsid w:val="181503FE"/>
    <w:multiLevelType w:val="hybridMultilevel"/>
    <w:tmpl w:val="B15A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2305A"/>
    <w:multiLevelType w:val="hybridMultilevel"/>
    <w:tmpl w:val="F8A8CD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A585D8C"/>
    <w:multiLevelType w:val="hybridMultilevel"/>
    <w:tmpl w:val="50564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C7559F"/>
    <w:multiLevelType w:val="hybridMultilevel"/>
    <w:tmpl w:val="49AA6C34"/>
    <w:lvl w:ilvl="0" w:tplc="8844FF92">
      <w:numFmt w:val="bullet"/>
      <w:lvlText w:val="•"/>
      <w:lvlJc w:val="left"/>
      <w:pPr>
        <w:ind w:left="1139" w:hanging="855"/>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1D2E2376"/>
    <w:multiLevelType w:val="hybridMultilevel"/>
    <w:tmpl w:val="C05AF8B8"/>
    <w:lvl w:ilvl="0" w:tplc="BC78DC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3639E7"/>
    <w:multiLevelType w:val="hybridMultilevel"/>
    <w:tmpl w:val="37AAF9F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2177106E"/>
    <w:multiLevelType w:val="hybridMultilevel"/>
    <w:tmpl w:val="E67A58B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CE070E"/>
    <w:multiLevelType w:val="multilevel"/>
    <w:tmpl w:val="CC80DD4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62100F"/>
    <w:multiLevelType w:val="hybridMultilevel"/>
    <w:tmpl w:val="89FCEA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242026C7"/>
    <w:multiLevelType w:val="hybridMultilevel"/>
    <w:tmpl w:val="BA3E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C937ED"/>
    <w:multiLevelType w:val="multilevel"/>
    <w:tmpl w:val="718C8FC4"/>
    <w:lvl w:ilvl="0">
      <w:start w:val="1"/>
      <w:numFmt w:val="bullet"/>
      <w:lvlText w:val=""/>
      <w:lvlJc w:val="left"/>
      <w:pPr>
        <w:ind w:left="1080" w:hanging="72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3D15C3"/>
    <w:multiLevelType w:val="hybridMultilevel"/>
    <w:tmpl w:val="20C698C6"/>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9">
    <w:nsid w:val="318614E6"/>
    <w:multiLevelType w:val="hybridMultilevel"/>
    <w:tmpl w:val="DAEE7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CB603A"/>
    <w:multiLevelType w:val="hybridMultilevel"/>
    <w:tmpl w:val="B4C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6E15B2"/>
    <w:multiLevelType w:val="hybridMultilevel"/>
    <w:tmpl w:val="0768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005DE5"/>
    <w:multiLevelType w:val="hybridMultilevel"/>
    <w:tmpl w:val="CC8A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3118A3"/>
    <w:multiLevelType w:val="multilevel"/>
    <w:tmpl w:val="49AA6C34"/>
    <w:lvl w:ilvl="0">
      <w:numFmt w:val="bullet"/>
      <w:lvlText w:val="•"/>
      <w:lvlJc w:val="left"/>
      <w:pPr>
        <w:ind w:left="1139" w:hanging="855"/>
      </w:pPr>
      <w:rPr>
        <w:rFonts w:ascii="Calibri" w:eastAsiaTheme="minorHAnsi" w:hAnsi="Calibri" w:cstheme="minorBidi"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24">
    <w:nsid w:val="3BCE10A2"/>
    <w:multiLevelType w:val="hybridMultilevel"/>
    <w:tmpl w:val="8BAA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1C4682"/>
    <w:multiLevelType w:val="hybridMultilevel"/>
    <w:tmpl w:val="78942B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nsid w:val="43C65756"/>
    <w:multiLevelType w:val="hybridMultilevel"/>
    <w:tmpl w:val="8EA0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DE5213"/>
    <w:multiLevelType w:val="hybridMultilevel"/>
    <w:tmpl w:val="C4FCB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06171C"/>
    <w:multiLevelType w:val="multilevel"/>
    <w:tmpl w:val="6C5EC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AC634C"/>
    <w:multiLevelType w:val="hybridMultilevel"/>
    <w:tmpl w:val="20C69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A810F8"/>
    <w:multiLevelType w:val="hybridMultilevel"/>
    <w:tmpl w:val="20C69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08268C"/>
    <w:multiLevelType w:val="multilevel"/>
    <w:tmpl w:val="E91EB90E"/>
    <w:lvl w:ilvl="0">
      <w:start w:val="1"/>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5962567C"/>
    <w:multiLevelType w:val="hybridMultilevel"/>
    <w:tmpl w:val="3750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8717E1"/>
    <w:multiLevelType w:val="multilevel"/>
    <w:tmpl w:val="49AA6C34"/>
    <w:lvl w:ilvl="0">
      <w:numFmt w:val="bullet"/>
      <w:lvlText w:val="•"/>
      <w:lvlJc w:val="left"/>
      <w:pPr>
        <w:ind w:left="1139" w:hanging="855"/>
      </w:pPr>
      <w:rPr>
        <w:rFonts w:ascii="Calibri" w:eastAsiaTheme="minorHAnsi" w:hAnsi="Calibri" w:cstheme="minorBidi"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34">
    <w:nsid w:val="63ED5012"/>
    <w:multiLevelType w:val="hybridMultilevel"/>
    <w:tmpl w:val="FC9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960AB4"/>
    <w:multiLevelType w:val="multilevel"/>
    <w:tmpl w:val="B54CDD56"/>
    <w:lvl w:ilvl="0">
      <w:start w:val="1"/>
      <w:numFmt w:val="decimal"/>
      <w:lvlText w:val="%1."/>
      <w:lvlJc w:val="left"/>
      <w:pPr>
        <w:ind w:left="360" w:hanging="360"/>
      </w:pPr>
      <w:rPr>
        <w:rFonts w:asciiTheme="minorHAnsi" w:hAnsiTheme="minorHAns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65B774FA"/>
    <w:multiLevelType w:val="hybridMultilevel"/>
    <w:tmpl w:val="20C69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C170DE"/>
    <w:multiLevelType w:val="hybridMultilevel"/>
    <w:tmpl w:val="4D5E8836"/>
    <w:lvl w:ilvl="0" w:tplc="5BFC40A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1F74E77"/>
    <w:multiLevelType w:val="multilevel"/>
    <w:tmpl w:val="BE1E2E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34B5ED4"/>
    <w:multiLevelType w:val="multilevel"/>
    <w:tmpl w:val="BC6ACE5A"/>
    <w:lvl w:ilvl="0">
      <w:start w:val="3"/>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78F5270F"/>
    <w:multiLevelType w:val="hybridMultilevel"/>
    <w:tmpl w:val="451224DA"/>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41">
    <w:nsid w:val="7A1A1A24"/>
    <w:multiLevelType w:val="hybridMultilevel"/>
    <w:tmpl w:val="06C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493EE1"/>
    <w:multiLevelType w:val="hybridMultilevel"/>
    <w:tmpl w:val="01B86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1"/>
  </w:num>
  <w:num w:numId="3">
    <w:abstractNumId w:val="31"/>
  </w:num>
  <w:num w:numId="4">
    <w:abstractNumId w:val="29"/>
  </w:num>
  <w:num w:numId="5">
    <w:abstractNumId w:val="42"/>
  </w:num>
  <w:num w:numId="6">
    <w:abstractNumId w:val="25"/>
  </w:num>
  <w:num w:numId="7">
    <w:abstractNumId w:val="15"/>
  </w:num>
  <w:num w:numId="8">
    <w:abstractNumId w:val="9"/>
  </w:num>
  <w:num w:numId="9">
    <w:abstractNumId w:val="34"/>
  </w:num>
  <w:num w:numId="10">
    <w:abstractNumId w:val="3"/>
  </w:num>
  <w:num w:numId="11">
    <w:abstractNumId w:val="27"/>
  </w:num>
  <w:num w:numId="12">
    <w:abstractNumId w:val="7"/>
  </w:num>
  <w:num w:numId="13">
    <w:abstractNumId w:val="21"/>
  </w:num>
  <w:num w:numId="14">
    <w:abstractNumId w:val="11"/>
  </w:num>
  <w:num w:numId="15">
    <w:abstractNumId w:val="40"/>
  </w:num>
  <w:num w:numId="16">
    <w:abstractNumId w:val="37"/>
  </w:num>
  <w:num w:numId="17">
    <w:abstractNumId w:val="13"/>
  </w:num>
  <w:num w:numId="18">
    <w:abstractNumId w:val="14"/>
  </w:num>
  <w:num w:numId="19">
    <w:abstractNumId w:val="17"/>
  </w:num>
  <w:num w:numId="20">
    <w:abstractNumId w:val="10"/>
  </w:num>
  <w:num w:numId="21">
    <w:abstractNumId w:val="33"/>
  </w:num>
  <w:num w:numId="22">
    <w:abstractNumId w:val="28"/>
  </w:num>
  <w:num w:numId="23">
    <w:abstractNumId w:val="39"/>
  </w:num>
  <w:num w:numId="24">
    <w:abstractNumId w:val="23"/>
  </w:num>
  <w:num w:numId="25">
    <w:abstractNumId w:val="22"/>
  </w:num>
  <w:num w:numId="26">
    <w:abstractNumId w:val="19"/>
  </w:num>
  <w:num w:numId="27">
    <w:abstractNumId w:val="26"/>
  </w:num>
  <w:num w:numId="28">
    <w:abstractNumId w:val="0"/>
  </w:num>
  <w:num w:numId="29">
    <w:abstractNumId w:val="38"/>
  </w:num>
  <w:num w:numId="30">
    <w:abstractNumId w:val="30"/>
  </w:num>
  <w:num w:numId="31">
    <w:abstractNumId w:val="5"/>
  </w:num>
  <w:num w:numId="32">
    <w:abstractNumId w:val="1"/>
  </w:num>
  <w:num w:numId="33">
    <w:abstractNumId w:val="4"/>
  </w:num>
  <w:num w:numId="34">
    <w:abstractNumId w:val="2"/>
  </w:num>
  <w:num w:numId="35">
    <w:abstractNumId w:val="12"/>
  </w:num>
  <w:num w:numId="36">
    <w:abstractNumId w:val="35"/>
  </w:num>
  <w:num w:numId="37">
    <w:abstractNumId w:val="32"/>
  </w:num>
  <w:num w:numId="38">
    <w:abstractNumId w:val="18"/>
  </w:num>
  <w:num w:numId="39">
    <w:abstractNumId w:val="8"/>
  </w:num>
  <w:num w:numId="40">
    <w:abstractNumId w:val="36"/>
  </w:num>
  <w:num w:numId="41">
    <w:abstractNumId w:val="24"/>
  </w:num>
  <w:num w:numId="42">
    <w:abstractNumId w:val="16"/>
  </w:num>
  <w:num w:numId="4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55"/>
    <w:rsid w:val="0000084C"/>
    <w:rsid w:val="000019AA"/>
    <w:rsid w:val="00013AA4"/>
    <w:rsid w:val="000160ED"/>
    <w:rsid w:val="00017FB4"/>
    <w:rsid w:val="00024235"/>
    <w:rsid w:val="000276C4"/>
    <w:rsid w:val="00027BCC"/>
    <w:rsid w:val="0003107C"/>
    <w:rsid w:val="00034E5A"/>
    <w:rsid w:val="00045816"/>
    <w:rsid w:val="00054751"/>
    <w:rsid w:val="0006341F"/>
    <w:rsid w:val="00067F25"/>
    <w:rsid w:val="00074A32"/>
    <w:rsid w:val="00075142"/>
    <w:rsid w:val="00082256"/>
    <w:rsid w:val="0009450E"/>
    <w:rsid w:val="0009582C"/>
    <w:rsid w:val="000A3D2F"/>
    <w:rsid w:val="000B071E"/>
    <w:rsid w:val="000B0F18"/>
    <w:rsid w:val="000B1811"/>
    <w:rsid w:val="000B4FC5"/>
    <w:rsid w:val="000B594E"/>
    <w:rsid w:val="000B5E0C"/>
    <w:rsid w:val="000B71EE"/>
    <w:rsid w:val="000C3FF8"/>
    <w:rsid w:val="000C477A"/>
    <w:rsid w:val="000C7BE5"/>
    <w:rsid w:val="000D674F"/>
    <w:rsid w:val="000E4754"/>
    <w:rsid w:val="000E725D"/>
    <w:rsid w:val="000E7D93"/>
    <w:rsid w:val="000F2A1F"/>
    <w:rsid w:val="000F7161"/>
    <w:rsid w:val="000F7F00"/>
    <w:rsid w:val="00113858"/>
    <w:rsid w:val="00117A95"/>
    <w:rsid w:val="00123FC5"/>
    <w:rsid w:val="0012533E"/>
    <w:rsid w:val="001324BB"/>
    <w:rsid w:val="00135EEF"/>
    <w:rsid w:val="001366CD"/>
    <w:rsid w:val="00137307"/>
    <w:rsid w:val="0014202E"/>
    <w:rsid w:val="00144F72"/>
    <w:rsid w:val="0014762E"/>
    <w:rsid w:val="00153B1E"/>
    <w:rsid w:val="0015448F"/>
    <w:rsid w:val="00155C17"/>
    <w:rsid w:val="00166C94"/>
    <w:rsid w:val="0017328A"/>
    <w:rsid w:val="00183257"/>
    <w:rsid w:val="00184522"/>
    <w:rsid w:val="00196C55"/>
    <w:rsid w:val="001A53C0"/>
    <w:rsid w:val="001A5715"/>
    <w:rsid w:val="001A6ABB"/>
    <w:rsid w:val="001B1F57"/>
    <w:rsid w:val="001B53A1"/>
    <w:rsid w:val="001B7833"/>
    <w:rsid w:val="001C5D6B"/>
    <w:rsid w:val="001C624A"/>
    <w:rsid w:val="001D0D6B"/>
    <w:rsid w:val="001D2E84"/>
    <w:rsid w:val="001E6009"/>
    <w:rsid w:val="00201632"/>
    <w:rsid w:val="00205067"/>
    <w:rsid w:val="00206CC4"/>
    <w:rsid w:val="0021376A"/>
    <w:rsid w:val="00221DB9"/>
    <w:rsid w:val="002263D9"/>
    <w:rsid w:val="002263E2"/>
    <w:rsid w:val="0024248E"/>
    <w:rsid w:val="002433FF"/>
    <w:rsid w:val="00247A4D"/>
    <w:rsid w:val="0025341B"/>
    <w:rsid w:val="00264A5E"/>
    <w:rsid w:val="00267441"/>
    <w:rsid w:val="002738DC"/>
    <w:rsid w:val="00275F9D"/>
    <w:rsid w:val="00277320"/>
    <w:rsid w:val="002800F4"/>
    <w:rsid w:val="00280BB7"/>
    <w:rsid w:val="00282E5D"/>
    <w:rsid w:val="00287748"/>
    <w:rsid w:val="00293614"/>
    <w:rsid w:val="002A2B13"/>
    <w:rsid w:val="002A3A85"/>
    <w:rsid w:val="002A50E5"/>
    <w:rsid w:val="002B6CE8"/>
    <w:rsid w:val="002B7202"/>
    <w:rsid w:val="002C18AB"/>
    <w:rsid w:val="002C21B5"/>
    <w:rsid w:val="002C4B21"/>
    <w:rsid w:val="002D1484"/>
    <w:rsid w:val="002D14D9"/>
    <w:rsid w:val="002D27E9"/>
    <w:rsid w:val="002D66B4"/>
    <w:rsid w:val="002E18DA"/>
    <w:rsid w:val="002E71F0"/>
    <w:rsid w:val="003015B4"/>
    <w:rsid w:val="00302139"/>
    <w:rsid w:val="00306693"/>
    <w:rsid w:val="00306A8A"/>
    <w:rsid w:val="00316530"/>
    <w:rsid w:val="00331D42"/>
    <w:rsid w:val="00337650"/>
    <w:rsid w:val="003538AB"/>
    <w:rsid w:val="00357A04"/>
    <w:rsid w:val="00357D65"/>
    <w:rsid w:val="003729B8"/>
    <w:rsid w:val="00374CCC"/>
    <w:rsid w:val="00374CFD"/>
    <w:rsid w:val="00377579"/>
    <w:rsid w:val="003779C7"/>
    <w:rsid w:val="003800DF"/>
    <w:rsid w:val="0039057A"/>
    <w:rsid w:val="003908E8"/>
    <w:rsid w:val="00395887"/>
    <w:rsid w:val="003A1A08"/>
    <w:rsid w:val="003B2502"/>
    <w:rsid w:val="003B30BC"/>
    <w:rsid w:val="003B541C"/>
    <w:rsid w:val="003B7A5F"/>
    <w:rsid w:val="003C0B6E"/>
    <w:rsid w:val="003C642D"/>
    <w:rsid w:val="003C717A"/>
    <w:rsid w:val="003D081F"/>
    <w:rsid w:val="003D41ED"/>
    <w:rsid w:val="003D494F"/>
    <w:rsid w:val="003E0BFA"/>
    <w:rsid w:val="003E4A95"/>
    <w:rsid w:val="003E61E3"/>
    <w:rsid w:val="003E6919"/>
    <w:rsid w:val="003F1AF0"/>
    <w:rsid w:val="003F36A5"/>
    <w:rsid w:val="003F4AF7"/>
    <w:rsid w:val="00407DDA"/>
    <w:rsid w:val="004122FD"/>
    <w:rsid w:val="004177AD"/>
    <w:rsid w:val="004223CB"/>
    <w:rsid w:val="00422AF6"/>
    <w:rsid w:val="00431315"/>
    <w:rsid w:val="0044197A"/>
    <w:rsid w:val="00443083"/>
    <w:rsid w:val="00453749"/>
    <w:rsid w:val="00461E1F"/>
    <w:rsid w:val="00462037"/>
    <w:rsid w:val="00467009"/>
    <w:rsid w:val="00483B2A"/>
    <w:rsid w:val="00485B0E"/>
    <w:rsid w:val="004872AB"/>
    <w:rsid w:val="004A71DB"/>
    <w:rsid w:val="004B5D3C"/>
    <w:rsid w:val="004B646A"/>
    <w:rsid w:val="004D2797"/>
    <w:rsid w:val="004D48D8"/>
    <w:rsid w:val="004F06B6"/>
    <w:rsid w:val="00502073"/>
    <w:rsid w:val="0051497A"/>
    <w:rsid w:val="005150C2"/>
    <w:rsid w:val="00516425"/>
    <w:rsid w:val="0051757B"/>
    <w:rsid w:val="00521A95"/>
    <w:rsid w:val="00527C4A"/>
    <w:rsid w:val="005350CB"/>
    <w:rsid w:val="005368F5"/>
    <w:rsid w:val="005441C9"/>
    <w:rsid w:val="00545CC3"/>
    <w:rsid w:val="0054784B"/>
    <w:rsid w:val="0055019E"/>
    <w:rsid w:val="00550AED"/>
    <w:rsid w:val="00552F35"/>
    <w:rsid w:val="00561253"/>
    <w:rsid w:val="00563854"/>
    <w:rsid w:val="00566070"/>
    <w:rsid w:val="005665C7"/>
    <w:rsid w:val="00566A1D"/>
    <w:rsid w:val="0057088B"/>
    <w:rsid w:val="00574872"/>
    <w:rsid w:val="005777ED"/>
    <w:rsid w:val="0058233D"/>
    <w:rsid w:val="00587558"/>
    <w:rsid w:val="00590F7A"/>
    <w:rsid w:val="005941B3"/>
    <w:rsid w:val="0059470E"/>
    <w:rsid w:val="005A409E"/>
    <w:rsid w:val="005B3E9E"/>
    <w:rsid w:val="005B40D3"/>
    <w:rsid w:val="005B4B9F"/>
    <w:rsid w:val="005B50B5"/>
    <w:rsid w:val="005B5FF0"/>
    <w:rsid w:val="005B67D6"/>
    <w:rsid w:val="005C2E20"/>
    <w:rsid w:val="005D25A1"/>
    <w:rsid w:val="005D33FF"/>
    <w:rsid w:val="005D767C"/>
    <w:rsid w:val="005E0BBB"/>
    <w:rsid w:val="005E5EAA"/>
    <w:rsid w:val="005F079C"/>
    <w:rsid w:val="005F13B4"/>
    <w:rsid w:val="005F17F8"/>
    <w:rsid w:val="005F55AA"/>
    <w:rsid w:val="005F6E0A"/>
    <w:rsid w:val="006031EB"/>
    <w:rsid w:val="006125CF"/>
    <w:rsid w:val="00631156"/>
    <w:rsid w:val="006340C2"/>
    <w:rsid w:val="006359EE"/>
    <w:rsid w:val="00650C4B"/>
    <w:rsid w:val="00681D00"/>
    <w:rsid w:val="00684556"/>
    <w:rsid w:val="00694C76"/>
    <w:rsid w:val="0069508C"/>
    <w:rsid w:val="00696E4F"/>
    <w:rsid w:val="006A6BB1"/>
    <w:rsid w:val="006B0338"/>
    <w:rsid w:val="006B45FE"/>
    <w:rsid w:val="006B7085"/>
    <w:rsid w:val="006B7F82"/>
    <w:rsid w:val="006C32FB"/>
    <w:rsid w:val="006C33F1"/>
    <w:rsid w:val="006D3270"/>
    <w:rsid w:val="006E61D6"/>
    <w:rsid w:val="006F0B0A"/>
    <w:rsid w:val="006F4118"/>
    <w:rsid w:val="006F5418"/>
    <w:rsid w:val="006F74BD"/>
    <w:rsid w:val="00703DD5"/>
    <w:rsid w:val="00704947"/>
    <w:rsid w:val="007132C9"/>
    <w:rsid w:val="007230CE"/>
    <w:rsid w:val="0072353B"/>
    <w:rsid w:val="00730ADC"/>
    <w:rsid w:val="00734AED"/>
    <w:rsid w:val="0074162A"/>
    <w:rsid w:val="00741948"/>
    <w:rsid w:val="007421EF"/>
    <w:rsid w:val="0074234D"/>
    <w:rsid w:val="00744EEA"/>
    <w:rsid w:val="007458B8"/>
    <w:rsid w:val="00746DF3"/>
    <w:rsid w:val="00754BAB"/>
    <w:rsid w:val="00760E1C"/>
    <w:rsid w:val="00770A0B"/>
    <w:rsid w:val="007849E5"/>
    <w:rsid w:val="007919BF"/>
    <w:rsid w:val="007B1176"/>
    <w:rsid w:val="007B2459"/>
    <w:rsid w:val="007B3A87"/>
    <w:rsid w:val="007B4E82"/>
    <w:rsid w:val="007B660E"/>
    <w:rsid w:val="007C1E7A"/>
    <w:rsid w:val="007C2300"/>
    <w:rsid w:val="007C2D68"/>
    <w:rsid w:val="007C39B9"/>
    <w:rsid w:val="007C7153"/>
    <w:rsid w:val="007D1363"/>
    <w:rsid w:val="007D67D8"/>
    <w:rsid w:val="00803B91"/>
    <w:rsid w:val="008121AF"/>
    <w:rsid w:val="008143CF"/>
    <w:rsid w:val="008249A0"/>
    <w:rsid w:val="00825B7C"/>
    <w:rsid w:val="00853EB1"/>
    <w:rsid w:val="008613ED"/>
    <w:rsid w:val="008A21D8"/>
    <w:rsid w:val="008B65B5"/>
    <w:rsid w:val="008C349F"/>
    <w:rsid w:val="008D255F"/>
    <w:rsid w:val="00902B78"/>
    <w:rsid w:val="0092290D"/>
    <w:rsid w:val="00922C4E"/>
    <w:rsid w:val="00926E74"/>
    <w:rsid w:val="0094089F"/>
    <w:rsid w:val="009430AF"/>
    <w:rsid w:val="009452D3"/>
    <w:rsid w:val="00952A43"/>
    <w:rsid w:val="009544F6"/>
    <w:rsid w:val="009708E3"/>
    <w:rsid w:val="00974065"/>
    <w:rsid w:val="0097530C"/>
    <w:rsid w:val="0097639A"/>
    <w:rsid w:val="00980063"/>
    <w:rsid w:val="00990178"/>
    <w:rsid w:val="0099338B"/>
    <w:rsid w:val="009948FC"/>
    <w:rsid w:val="009A1910"/>
    <w:rsid w:val="009A39A5"/>
    <w:rsid w:val="009A622B"/>
    <w:rsid w:val="009C027C"/>
    <w:rsid w:val="009C7EAA"/>
    <w:rsid w:val="009D18EB"/>
    <w:rsid w:val="009D6002"/>
    <w:rsid w:val="009D718E"/>
    <w:rsid w:val="009E6EEB"/>
    <w:rsid w:val="009E74B7"/>
    <w:rsid w:val="009F017E"/>
    <w:rsid w:val="009F14B0"/>
    <w:rsid w:val="009F2E4F"/>
    <w:rsid w:val="009F5D31"/>
    <w:rsid w:val="009F6EEC"/>
    <w:rsid w:val="00A05342"/>
    <w:rsid w:val="00A07558"/>
    <w:rsid w:val="00A20654"/>
    <w:rsid w:val="00A218EA"/>
    <w:rsid w:val="00A3342A"/>
    <w:rsid w:val="00A34CB4"/>
    <w:rsid w:val="00A36837"/>
    <w:rsid w:val="00A41869"/>
    <w:rsid w:val="00A4301A"/>
    <w:rsid w:val="00A4421C"/>
    <w:rsid w:val="00A57792"/>
    <w:rsid w:val="00A6791D"/>
    <w:rsid w:val="00A7470F"/>
    <w:rsid w:val="00A77F84"/>
    <w:rsid w:val="00A8026F"/>
    <w:rsid w:val="00A802EE"/>
    <w:rsid w:val="00A81378"/>
    <w:rsid w:val="00A84B94"/>
    <w:rsid w:val="00A85C1A"/>
    <w:rsid w:val="00A86B19"/>
    <w:rsid w:val="00A9428D"/>
    <w:rsid w:val="00AA204A"/>
    <w:rsid w:val="00AA351D"/>
    <w:rsid w:val="00AB120A"/>
    <w:rsid w:val="00AB39E5"/>
    <w:rsid w:val="00AD11BC"/>
    <w:rsid w:val="00AD1870"/>
    <w:rsid w:val="00AD1F39"/>
    <w:rsid w:val="00AD4FDA"/>
    <w:rsid w:val="00AD5C0C"/>
    <w:rsid w:val="00AE443C"/>
    <w:rsid w:val="00AF150C"/>
    <w:rsid w:val="00AF2F83"/>
    <w:rsid w:val="00B02CFB"/>
    <w:rsid w:val="00B10BA7"/>
    <w:rsid w:val="00B150E1"/>
    <w:rsid w:val="00B15D9C"/>
    <w:rsid w:val="00B17F9C"/>
    <w:rsid w:val="00B22616"/>
    <w:rsid w:val="00B23F9D"/>
    <w:rsid w:val="00B2422D"/>
    <w:rsid w:val="00B24A1A"/>
    <w:rsid w:val="00B37D59"/>
    <w:rsid w:val="00B45C4F"/>
    <w:rsid w:val="00B5059A"/>
    <w:rsid w:val="00B5288A"/>
    <w:rsid w:val="00B52995"/>
    <w:rsid w:val="00B61A30"/>
    <w:rsid w:val="00B702BC"/>
    <w:rsid w:val="00B71708"/>
    <w:rsid w:val="00B746DE"/>
    <w:rsid w:val="00B74E85"/>
    <w:rsid w:val="00B77048"/>
    <w:rsid w:val="00B77232"/>
    <w:rsid w:val="00B80B82"/>
    <w:rsid w:val="00B82AFC"/>
    <w:rsid w:val="00B931B1"/>
    <w:rsid w:val="00B96458"/>
    <w:rsid w:val="00BA0544"/>
    <w:rsid w:val="00BA192F"/>
    <w:rsid w:val="00BA45F1"/>
    <w:rsid w:val="00BC68AB"/>
    <w:rsid w:val="00BD0CD1"/>
    <w:rsid w:val="00BD464D"/>
    <w:rsid w:val="00BD5EA2"/>
    <w:rsid w:val="00BD740D"/>
    <w:rsid w:val="00BE3329"/>
    <w:rsid w:val="00BE3B27"/>
    <w:rsid w:val="00C02C03"/>
    <w:rsid w:val="00C043DB"/>
    <w:rsid w:val="00C062D2"/>
    <w:rsid w:val="00C122CE"/>
    <w:rsid w:val="00C12FD9"/>
    <w:rsid w:val="00C1615E"/>
    <w:rsid w:val="00C22740"/>
    <w:rsid w:val="00C246DA"/>
    <w:rsid w:val="00C26B76"/>
    <w:rsid w:val="00C27B1F"/>
    <w:rsid w:val="00C30DC7"/>
    <w:rsid w:val="00C322B1"/>
    <w:rsid w:val="00C57DE9"/>
    <w:rsid w:val="00C60507"/>
    <w:rsid w:val="00C61E69"/>
    <w:rsid w:val="00C6416C"/>
    <w:rsid w:val="00C74434"/>
    <w:rsid w:val="00C81612"/>
    <w:rsid w:val="00C82730"/>
    <w:rsid w:val="00C9797A"/>
    <w:rsid w:val="00CA1F21"/>
    <w:rsid w:val="00CB001B"/>
    <w:rsid w:val="00CB3BDE"/>
    <w:rsid w:val="00CB6028"/>
    <w:rsid w:val="00CC2F6B"/>
    <w:rsid w:val="00CC7770"/>
    <w:rsid w:val="00CC7E0A"/>
    <w:rsid w:val="00CD7B29"/>
    <w:rsid w:val="00CD7E98"/>
    <w:rsid w:val="00CF032D"/>
    <w:rsid w:val="00CF4916"/>
    <w:rsid w:val="00CF7B94"/>
    <w:rsid w:val="00D019C1"/>
    <w:rsid w:val="00D02532"/>
    <w:rsid w:val="00D03106"/>
    <w:rsid w:val="00D0342F"/>
    <w:rsid w:val="00D035D0"/>
    <w:rsid w:val="00D112CE"/>
    <w:rsid w:val="00D12A14"/>
    <w:rsid w:val="00D24655"/>
    <w:rsid w:val="00D30B2C"/>
    <w:rsid w:val="00D44713"/>
    <w:rsid w:val="00D45227"/>
    <w:rsid w:val="00D469BC"/>
    <w:rsid w:val="00D526F0"/>
    <w:rsid w:val="00D56447"/>
    <w:rsid w:val="00D612F7"/>
    <w:rsid w:val="00D62EFA"/>
    <w:rsid w:val="00D679A6"/>
    <w:rsid w:val="00D73A26"/>
    <w:rsid w:val="00D74CC1"/>
    <w:rsid w:val="00D75CBE"/>
    <w:rsid w:val="00D76861"/>
    <w:rsid w:val="00D828FF"/>
    <w:rsid w:val="00D8328A"/>
    <w:rsid w:val="00D834C9"/>
    <w:rsid w:val="00D8692E"/>
    <w:rsid w:val="00D91E71"/>
    <w:rsid w:val="00D94260"/>
    <w:rsid w:val="00D9598A"/>
    <w:rsid w:val="00DA04BB"/>
    <w:rsid w:val="00DA47C8"/>
    <w:rsid w:val="00DB28BC"/>
    <w:rsid w:val="00DB2ED1"/>
    <w:rsid w:val="00DB4B44"/>
    <w:rsid w:val="00DC0645"/>
    <w:rsid w:val="00DC66F8"/>
    <w:rsid w:val="00DC79E6"/>
    <w:rsid w:val="00DD3DF5"/>
    <w:rsid w:val="00DD6CFE"/>
    <w:rsid w:val="00DD7E75"/>
    <w:rsid w:val="00DE5D97"/>
    <w:rsid w:val="00DE6C09"/>
    <w:rsid w:val="00DE7F6B"/>
    <w:rsid w:val="00DF18BE"/>
    <w:rsid w:val="00DF2AEC"/>
    <w:rsid w:val="00DF3FE9"/>
    <w:rsid w:val="00E03808"/>
    <w:rsid w:val="00E041FD"/>
    <w:rsid w:val="00E04768"/>
    <w:rsid w:val="00E168B6"/>
    <w:rsid w:val="00E2156A"/>
    <w:rsid w:val="00E25F54"/>
    <w:rsid w:val="00E267B4"/>
    <w:rsid w:val="00E26844"/>
    <w:rsid w:val="00E456AD"/>
    <w:rsid w:val="00E46FF8"/>
    <w:rsid w:val="00E473DE"/>
    <w:rsid w:val="00E51E23"/>
    <w:rsid w:val="00E57FA8"/>
    <w:rsid w:val="00E600E2"/>
    <w:rsid w:val="00E70CB6"/>
    <w:rsid w:val="00E8422C"/>
    <w:rsid w:val="00E85766"/>
    <w:rsid w:val="00E90C15"/>
    <w:rsid w:val="00E90E20"/>
    <w:rsid w:val="00E92230"/>
    <w:rsid w:val="00E935B3"/>
    <w:rsid w:val="00E9433C"/>
    <w:rsid w:val="00EA067C"/>
    <w:rsid w:val="00EA1277"/>
    <w:rsid w:val="00EA1CFF"/>
    <w:rsid w:val="00EA2712"/>
    <w:rsid w:val="00EA2743"/>
    <w:rsid w:val="00EA6888"/>
    <w:rsid w:val="00EA7A00"/>
    <w:rsid w:val="00EA7FD2"/>
    <w:rsid w:val="00EB094A"/>
    <w:rsid w:val="00EB1319"/>
    <w:rsid w:val="00EB2C06"/>
    <w:rsid w:val="00EC22FC"/>
    <w:rsid w:val="00ED2BCA"/>
    <w:rsid w:val="00ED40FF"/>
    <w:rsid w:val="00ED686E"/>
    <w:rsid w:val="00ED6E81"/>
    <w:rsid w:val="00EE360D"/>
    <w:rsid w:val="00EF2165"/>
    <w:rsid w:val="00EF3405"/>
    <w:rsid w:val="00F03EAE"/>
    <w:rsid w:val="00F20227"/>
    <w:rsid w:val="00F22AC8"/>
    <w:rsid w:val="00F244B1"/>
    <w:rsid w:val="00F2762F"/>
    <w:rsid w:val="00F408B2"/>
    <w:rsid w:val="00F42C2F"/>
    <w:rsid w:val="00F43FFA"/>
    <w:rsid w:val="00F5732C"/>
    <w:rsid w:val="00F57F07"/>
    <w:rsid w:val="00F63B53"/>
    <w:rsid w:val="00F704D3"/>
    <w:rsid w:val="00F70FDD"/>
    <w:rsid w:val="00F72145"/>
    <w:rsid w:val="00F82D3E"/>
    <w:rsid w:val="00F864CC"/>
    <w:rsid w:val="00F87789"/>
    <w:rsid w:val="00F927A7"/>
    <w:rsid w:val="00F92AF6"/>
    <w:rsid w:val="00F954CD"/>
    <w:rsid w:val="00FA0B95"/>
    <w:rsid w:val="00FA282E"/>
    <w:rsid w:val="00FB0731"/>
    <w:rsid w:val="00FB07C6"/>
    <w:rsid w:val="00FB56BF"/>
    <w:rsid w:val="00FC6816"/>
    <w:rsid w:val="00FC77F2"/>
    <w:rsid w:val="00FD1C25"/>
    <w:rsid w:val="00FE5873"/>
    <w:rsid w:val="00FE68C3"/>
    <w:rsid w:val="00FE7A7D"/>
    <w:rsid w:val="00FF05D2"/>
    <w:rsid w:val="00FF09AC"/>
    <w:rsid w:val="00FF0C52"/>
    <w:rsid w:val="00FF15BF"/>
    <w:rsid w:val="00FF5A9F"/>
    <w:rsid w:val="00FF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9D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CD"/>
  </w:style>
  <w:style w:type="paragraph" w:styleId="Heading1">
    <w:name w:val="heading 1"/>
    <w:basedOn w:val="Normal"/>
    <w:next w:val="Normal"/>
    <w:link w:val="Heading1Char"/>
    <w:uiPriority w:val="9"/>
    <w:qFormat/>
    <w:rsid w:val="00D246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3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04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948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65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E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C81612"/>
    <w:rPr>
      <w:rFonts w:cs="Times New Roman"/>
      <w:vertAlign w:val="superscript"/>
    </w:rPr>
  </w:style>
  <w:style w:type="paragraph" w:styleId="FootnoteText">
    <w:name w:val="footnote text"/>
    <w:basedOn w:val="Normal"/>
    <w:link w:val="FootnoteTextChar"/>
    <w:uiPriority w:val="99"/>
    <w:rsid w:val="00C81612"/>
    <w:pPr>
      <w:spacing w:before="300" w:after="0" w:line="360" w:lineRule="auto"/>
    </w:pPr>
    <w:rPr>
      <w:rFonts w:ascii="Arial" w:eastAsia="Arial" w:hAnsi="Arial" w:cs="Arial"/>
      <w:bCs/>
      <w:sz w:val="18"/>
      <w:szCs w:val="20"/>
      <w:lang w:eastAsia="en-GB"/>
    </w:rPr>
  </w:style>
  <w:style w:type="character" w:customStyle="1" w:styleId="FootnoteTextChar">
    <w:name w:val="Footnote Text Char"/>
    <w:basedOn w:val="DefaultParagraphFont"/>
    <w:link w:val="FootnoteText"/>
    <w:uiPriority w:val="99"/>
    <w:rsid w:val="00C81612"/>
    <w:rPr>
      <w:rFonts w:ascii="Arial" w:eastAsia="Arial" w:hAnsi="Arial" w:cs="Arial"/>
      <w:bCs/>
      <w:sz w:val="18"/>
      <w:szCs w:val="20"/>
      <w:lang w:eastAsia="en-GB"/>
    </w:rPr>
  </w:style>
  <w:style w:type="paragraph" w:styleId="ListParagraph">
    <w:name w:val="List Paragraph"/>
    <w:basedOn w:val="Normal"/>
    <w:qFormat/>
    <w:rsid w:val="00C81612"/>
    <w:pPr>
      <w:spacing w:before="300" w:after="0" w:line="360" w:lineRule="auto"/>
      <w:ind w:left="720"/>
      <w:contextualSpacing/>
    </w:pPr>
    <w:rPr>
      <w:rFonts w:ascii="Arial" w:eastAsia="Arial" w:hAnsi="Arial" w:cs="Arial"/>
      <w:bCs/>
      <w:szCs w:val="24"/>
      <w:lang w:eastAsia="en-GB"/>
    </w:rPr>
  </w:style>
  <w:style w:type="character" w:customStyle="1" w:styleId="Heading2Char">
    <w:name w:val="Heading 2 Char"/>
    <w:basedOn w:val="DefaultParagraphFont"/>
    <w:link w:val="Heading2"/>
    <w:uiPriority w:val="9"/>
    <w:rsid w:val="006031E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24235"/>
    <w:pPr>
      <w:outlineLvl w:val="9"/>
    </w:pPr>
    <w:rPr>
      <w:lang w:val="en-US"/>
    </w:rPr>
  </w:style>
  <w:style w:type="paragraph" w:styleId="TOC1">
    <w:name w:val="toc 1"/>
    <w:basedOn w:val="Normal"/>
    <w:next w:val="Normal"/>
    <w:autoRedefine/>
    <w:uiPriority w:val="39"/>
    <w:unhideWhenUsed/>
    <w:rsid w:val="00024235"/>
    <w:pPr>
      <w:spacing w:after="100"/>
    </w:pPr>
  </w:style>
  <w:style w:type="paragraph" w:styleId="TOC2">
    <w:name w:val="toc 2"/>
    <w:basedOn w:val="Normal"/>
    <w:next w:val="Normal"/>
    <w:autoRedefine/>
    <w:uiPriority w:val="39"/>
    <w:unhideWhenUsed/>
    <w:rsid w:val="00024235"/>
    <w:pPr>
      <w:spacing w:after="100"/>
      <w:ind w:left="220"/>
    </w:pPr>
  </w:style>
  <w:style w:type="character" w:styleId="Hyperlink">
    <w:name w:val="Hyperlink"/>
    <w:basedOn w:val="DefaultParagraphFont"/>
    <w:uiPriority w:val="99"/>
    <w:unhideWhenUsed/>
    <w:rsid w:val="00024235"/>
    <w:rPr>
      <w:color w:val="0563C1" w:themeColor="hyperlink"/>
      <w:u w:val="single"/>
    </w:rPr>
  </w:style>
  <w:style w:type="paragraph" w:customStyle="1" w:styleId="Default">
    <w:name w:val="Default"/>
    <w:rsid w:val="00B24A1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704D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948F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1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A14"/>
    <w:rPr>
      <w:rFonts w:ascii="Tahoma" w:hAnsi="Tahoma" w:cs="Tahoma"/>
      <w:sz w:val="16"/>
      <w:szCs w:val="16"/>
    </w:rPr>
  </w:style>
  <w:style w:type="paragraph" w:styleId="Header">
    <w:name w:val="header"/>
    <w:basedOn w:val="Normal"/>
    <w:link w:val="HeaderChar"/>
    <w:uiPriority w:val="99"/>
    <w:unhideWhenUsed/>
    <w:rsid w:val="00FF5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A9F"/>
  </w:style>
  <w:style w:type="paragraph" w:styleId="Footer">
    <w:name w:val="footer"/>
    <w:basedOn w:val="Normal"/>
    <w:link w:val="FooterChar"/>
    <w:uiPriority w:val="99"/>
    <w:unhideWhenUsed/>
    <w:rsid w:val="00FF5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A9F"/>
  </w:style>
  <w:style w:type="character" w:styleId="CommentReference">
    <w:name w:val="annotation reference"/>
    <w:basedOn w:val="DefaultParagraphFont"/>
    <w:uiPriority w:val="99"/>
    <w:semiHidden/>
    <w:unhideWhenUsed/>
    <w:rsid w:val="00B82AFC"/>
    <w:rPr>
      <w:sz w:val="16"/>
      <w:szCs w:val="16"/>
    </w:rPr>
  </w:style>
  <w:style w:type="paragraph" w:styleId="CommentText">
    <w:name w:val="annotation text"/>
    <w:basedOn w:val="Normal"/>
    <w:link w:val="CommentTextChar"/>
    <w:uiPriority w:val="99"/>
    <w:semiHidden/>
    <w:unhideWhenUsed/>
    <w:rsid w:val="00B82AFC"/>
    <w:pPr>
      <w:spacing w:line="240" w:lineRule="auto"/>
    </w:pPr>
    <w:rPr>
      <w:sz w:val="20"/>
      <w:szCs w:val="20"/>
    </w:rPr>
  </w:style>
  <w:style w:type="character" w:customStyle="1" w:styleId="CommentTextChar">
    <w:name w:val="Comment Text Char"/>
    <w:basedOn w:val="DefaultParagraphFont"/>
    <w:link w:val="CommentText"/>
    <w:uiPriority w:val="99"/>
    <w:semiHidden/>
    <w:rsid w:val="00B82AFC"/>
    <w:rPr>
      <w:sz w:val="20"/>
      <w:szCs w:val="20"/>
    </w:rPr>
  </w:style>
  <w:style w:type="paragraph" w:styleId="CommentSubject">
    <w:name w:val="annotation subject"/>
    <w:basedOn w:val="CommentText"/>
    <w:next w:val="CommentText"/>
    <w:link w:val="CommentSubjectChar"/>
    <w:uiPriority w:val="99"/>
    <w:semiHidden/>
    <w:unhideWhenUsed/>
    <w:rsid w:val="00B82AFC"/>
    <w:rPr>
      <w:b/>
      <w:bCs/>
    </w:rPr>
  </w:style>
  <w:style w:type="character" w:customStyle="1" w:styleId="CommentSubjectChar">
    <w:name w:val="Comment Subject Char"/>
    <w:basedOn w:val="CommentTextChar"/>
    <w:link w:val="CommentSubject"/>
    <w:uiPriority w:val="99"/>
    <w:semiHidden/>
    <w:rsid w:val="00B82AFC"/>
    <w:rPr>
      <w:b/>
      <w:bCs/>
      <w:sz w:val="20"/>
      <w:szCs w:val="20"/>
    </w:rPr>
  </w:style>
  <w:style w:type="table" w:customStyle="1" w:styleId="TableGrid1">
    <w:name w:val="Table Grid1"/>
    <w:basedOn w:val="TableNormal"/>
    <w:next w:val="TableGrid"/>
    <w:uiPriority w:val="39"/>
    <w:rsid w:val="0063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3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E6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F18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CD"/>
  </w:style>
  <w:style w:type="paragraph" w:styleId="Heading1">
    <w:name w:val="heading 1"/>
    <w:basedOn w:val="Normal"/>
    <w:next w:val="Normal"/>
    <w:link w:val="Heading1Char"/>
    <w:uiPriority w:val="9"/>
    <w:qFormat/>
    <w:rsid w:val="00D246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3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04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948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65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E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C81612"/>
    <w:rPr>
      <w:rFonts w:cs="Times New Roman"/>
      <w:vertAlign w:val="superscript"/>
    </w:rPr>
  </w:style>
  <w:style w:type="paragraph" w:styleId="FootnoteText">
    <w:name w:val="footnote text"/>
    <w:basedOn w:val="Normal"/>
    <w:link w:val="FootnoteTextChar"/>
    <w:uiPriority w:val="99"/>
    <w:rsid w:val="00C81612"/>
    <w:pPr>
      <w:spacing w:before="300" w:after="0" w:line="360" w:lineRule="auto"/>
    </w:pPr>
    <w:rPr>
      <w:rFonts w:ascii="Arial" w:eastAsia="Arial" w:hAnsi="Arial" w:cs="Arial"/>
      <w:bCs/>
      <w:sz w:val="18"/>
      <w:szCs w:val="20"/>
      <w:lang w:eastAsia="en-GB"/>
    </w:rPr>
  </w:style>
  <w:style w:type="character" w:customStyle="1" w:styleId="FootnoteTextChar">
    <w:name w:val="Footnote Text Char"/>
    <w:basedOn w:val="DefaultParagraphFont"/>
    <w:link w:val="FootnoteText"/>
    <w:uiPriority w:val="99"/>
    <w:rsid w:val="00C81612"/>
    <w:rPr>
      <w:rFonts w:ascii="Arial" w:eastAsia="Arial" w:hAnsi="Arial" w:cs="Arial"/>
      <w:bCs/>
      <w:sz w:val="18"/>
      <w:szCs w:val="20"/>
      <w:lang w:eastAsia="en-GB"/>
    </w:rPr>
  </w:style>
  <w:style w:type="paragraph" w:styleId="ListParagraph">
    <w:name w:val="List Paragraph"/>
    <w:basedOn w:val="Normal"/>
    <w:qFormat/>
    <w:rsid w:val="00C81612"/>
    <w:pPr>
      <w:spacing w:before="300" w:after="0" w:line="360" w:lineRule="auto"/>
      <w:ind w:left="720"/>
      <w:contextualSpacing/>
    </w:pPr>
    <w:rPr>
      <w:rFonts w:ascii="Arial" w:eastAsia="Arial" w:hAnsi="Arial" w:cs="Arial"/>
      <w:bCs/>
      <w:szCs w:val="24"/>
      <w:lang w:eastAsia="en-GB"/>
    </w:rPr>
  </w:style>
  <w:style w:type="character" w:customStyle="1" w:styleId="Heading2Char">
    <w:name w:val="Heading 2 Char"/>
    <w:basedOn w:val="DefaultParagraphFont"/>
    <w:link w:val="Heading2"/>
    <w:uiPriority w:val="9"/>
    <w:rsid w:val="006031E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24235"/>
    <w:pPr>
      <w:outlineLvl w:val="9"/>
    </w:pPr>
    <w:rPr>
      <w:lang w:val="en-US"/>
    </w:rPr>
  </w:style>
  <w:style w:type="paragraph" w:styleId="TOC1">
    <w:name w:val="toc 1"/>
    <w:basedOn w:val="Normal"/>
    <w:next w:val="Normal"/>
    <w:autoRedefine/>
    <w:uiPriority w:val="39"/>
    <w:unhideWhenUsed/>
    <w:rsid w:val="00024235"/>
    <w:pPr>
      <w:spacing w:after="100"/>
    </w:pPr>
  </w:style>
  <w:style w:type="paragraph" w:styleId="TOC2">
    <w:name w:val="toc 2"/>
    <w:basedOn w:val="Normal"/>
    <w:next w:val="Normal"/>
    <w:autoRedefine/>
    <w:uiPriority w:val="39"/>
    <w:unhideWhenUsed/>
    <w:rsid w:val="00024235"/>
    <w:pPr>
      <w:spacing w:after="100"/>
      <w:ind w:left="220"/>
    </w:pPr>
  </w:style>
  <w:style w:type="character" w:styleId="Hyperlink">
    <w:name w:val="Hyperlink"/>
    <w:basedOn w:val="DefaultParagraphFont"/>
    <w:uiPriority w:val="99"/>
    <w:unhideWhenUsed/>
    <w:rsid w:val="00024235"/>
    <w:rPr>
      <w:color w:val="0563C1" w:themeColor="hyperlink"/>
      <w:u w:val="single"/>
    </w:rPr>
  </w:style>
  <w:style w:type="paragraph" w:customStyle="1" w:styleId="Default">
    <w:name w:val="Default"/>
    <w:rsid w:val="00B24A1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704D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948F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1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A14"/>
    <w:rPr>
      <w:rFonts w:ascii="Tahoma" w:hAnsi="Tahoma" w:cs="Tahoma"/>
      <w:sz w:val="16"/>
      <w:szCs w:val="16"/>
    </w:rPr>
  </w:style>
  <w:style w:type="paragraph" w:styleId="Header">
    <w:name w:val="header"/>
    <w:basedOn w:val="Normal"/>
    <w:link w:val="HeaderChar"/>
    <w:uiPriority w:val="99"/>
    <w:unhideWhenUsed/>
    <w:rsid w:val="00FF5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A9F"/>
  </w:style>
  <w:style w:type="paragraph" w:styleId="Footer">
    <w:name w:val="footer"/>
    <w:basedOn w:val="Normal"/>
    <w:link w:val="FooterChar"/>
    <w:uiPriority w:val="99"/>
    <w:unhideWhenUsed/>
    <w:rsid w:val="00FF5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A9F"/>
  </w:style>
  <w:style w:type="character" w:styleId="CommentReference">
    <w:name w:val="annotation reference"/>
    <w:basedOn w:val="DefaultParagraphFont"/>
    <w:uiPriority w:val="99"/>
    <w:semiHidden/>
    <w:unhideWhenUsed/>
    <w:rsid w:val="00B82AFC"/>
    <w:rPr>
      <w:sz w:val="16"/>
      <w:szCs w:val="16"/>
    </w:rPr>
  </w:style>
  <w:style w:type="paragraph" w:styleId="CommentText">
    <w:name w:val="annotation text"/>
    <w:basedOn w:val="Normal"/>
    <w:link w:val="CommentTextChar"/>
    <w:uiPriority w:val="99"/>
    <w:semiHidden/>
    <w:unhideWhenUsed/>
    <w:rsid w:val="00B82AFC"/>
    <w:pPr>
      <w:spacing w:line="240" w:lineRule="auto"/>
    </w:pPr>
    <w:rPr>
      <w:sz w:val="20"/>
      <w:szCs w:val="20"/>
    </w:rPr>
  </w:style>
  <w:style w:type="character" w:customStyle="1" w:styleId="CommentTextChar">
    <w:name w:val="Comment Text Char"/>
    <w:basedOn w:val="DefaultParagraphFont"/>
    <w:link w:val="CommentText"/>
    <w:uiPriority w:val="99"/>
    <w:semiHidden/>
    <w:rsid w:val="00B82AFC"/>
    <w:rPr>
      <w:sz w:val="20"/>
      <w:szCs w:val="20"/>
    </w:rPr>
  </w:style>
  <w:style w:type="paragraph" w:styleId="CommentSubject">
    <w:name w:val="annotation subject"/>
    <w:basedOn w:val="CommentText"/>
    <w:next w:val="CommentText"/>
    <w:link w:val="CommentSubjectChar"/>
    <w:uiPriority w:val="99"/>
    <w:semiHidden/>
    <w:unhideWhenUsed/>
    <w:rsid w:val="00B82AFC"/>
    <w:rPr>
      <w:b/>
      <w:bCs/>
    </w:rPr>
  </w:style>
  <w:style w:type="character" w:customStyle="1" w:styleId="CommentSubjectChar">
    <w:name w:val="Comment Subject Char"/>
    <w:basedOn w:val="CommentTextChar"/>
    <w:link w:val="CommentSubject"/>
    <w:uiPriority w:val="99"/>
    <w:semiHidden/>
    <w:rsid w:val="00B82AFC"/>
    <w:rPr>
      <w:b/>
      <w:bCs/>
      <w:sz w:val="20"/>
      <w:szCs w:val="20"/>
    </w:rPr>
  </w:style>
  <w:style w:type="table" w:customStyle="1" w:styleId="TableGrid1">
    <w:name w:val="Table Grid1"/>
    <w:basedOn w:val="TableNormal"/>
    <w:next w:val="TableGrid"/>
    <w:uiPriority w:val="39"/>
    <w:rsid w:val="0063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35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E6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F1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0950">
      <w:bodyDiv w:val="1"/>
      <w:marLeft w:val="0"/>
      <w:marRight w:val="0"/>
      <w:marTop w:val="0"/>
      <w:marBottom w:val="0"/>
      <w:divBdr>
        <w:top w:val="none" w:sz="0" w:space="0" w:color="auto"/>
        <w:left w:val="none" w:sz="0" w:space="0" w:color="auto"/>
        <w:bottom w:val="none" w:sz="0" w:space="0" w:color="auto"/>
        <w:right w:val="none" w:sz="0" w:space="0" w:color="auto"/>
      </w:divBdr>
      <w:divsChild>
        <w:div w:id="2073961111">
          <w:marLeft w:val="446"/>
          <w:marRight w:val="0"/>
          <w:marTop w:val="0"/>
          <w:marBottom w:val="0"/>
          <w:divBdr>
            <w:top w:val="none" w:sz="0" w:space="0" w:color="auto"/>
            <w:left w:val="none" w:sz="0" w:space="0" w:color="auto"/>
            <w:bottom w:val="none" w:sz="0" w:space="0" w:color="auto"/>
            <w:right w:val="none" w:sz="0" w:space="0" w:color="auto"/>
          </w:divBdr>
        </w:div>
        <w:div w:id="2080470283">
          <w:marLeft w:val="446"/>
          <w:marRight w:val="0"/>
          <w:marTop w:val="0"/>
          <w:marBottom w:val="0"/>
          <w:divBdr>
            <w:top w:val="none" w:sz="0" w:space="0" w:color="auto"/>
            <w:left w:val="none" w:sz="0" w:space="0" w:color="auto"/>
            <w:bottom w:val="none" w:sz="0" w:space="0" w:color="auto"/>
            <w:right w:val="none" w:sz="0" w:space="0" w:color="auto"/>
          </w:divBdr>
        </w:div>
        <w:div w:id="319624726">
          <w:marLeft w:val="446"/>
          <w:marRight w:val="0"/>
          <w:marTop w:val="0"/>
          <w:marBottom w:val="0"/>
          <w:divBdr>
            <w:top w:val="none" w:sz="0" w:space="0" w:color="auto"/>
            <w:left w:val="none" w:sz="0" w:space="0" w:color="auto"/>
            <w:bottom w:val="none" w:sz="0" w:space="0" w:color="auto"/>
            <w:right w:val="none" w:sz="0" w:space="0" w:color="auto"/>
          </w:divBdr>
        </w:div>
        <w:div w:id="1297686295">
          <w:marLeft w:val="446"/>
          <w:marRight w:val="0"/>
          <w:marTop w:val="0"/>
          <w:marBottom w:val="0"/>
          <w:divBdr>
            <w:top w:val="none" w:sz="0" w:space="0" w:color="auto"/>
            <w:left w:val="none" w:sz="0" w:space="0" w:color="auto"/>
            <w:bottom w:val="none" w:sz="0" w:space="0" w:color="auto"/>
            <w:right w:val="none" w:sz="0" w:space="0" w:color="auto"/>
          </w:divBdr>
        </w:div>
        <w:div w:id="1645886766">
          <w:marLeft w:val="446"/>
          <w:marRight w:val="0"/>
          <w:marTop w:val="0"/>
          <w:marBottom w:val="0"/>
          <w:divBdr>
            <w:top w:val="none" w:sz="0" w:space="0" w:color="auto"/>
            <w:left w:val="none" w:sz="0" w:space="0" w:color="auto"/>
            <w:bottom w:val="none" w:sz="0" w:space="0" w:color="auto"/>
            <w:right w:val="none" w:sz="0" w:space="0" w:color="auto"/>
          </w:divBdr>
        </w:div>
      </w:divsChild>
    </w:div>
    <w:div w:id="581840163">
      <w:bodyDiv w:val="1"/>
      <w:marLeft w:val="0"/>
      <w:marRight w:val="0"/>
      <w:marTop w:val="0"/>
      <w:marBottom w:val="0"/>
      <w:divBdr>
        <w:top w:val="none" w:sz="0" w:space="0" w:color="auto"/>
        <w:left w:val="none" w:sz="0" w:space="0" w:color="auto"/>
        <w:bottom w:val="none" w:sz="0" w:space="0" w:color="auto"/>
        <w:right w:val="none" w:sz="0" w:space="0" w:color="auto"/>
      </w:divBdr>
    </w:div>
    <w:div w:id="873495849">
      <w:bodyDiv w:val="1"/>
      <w:marLeft w:val="0"/>
      <w:marRight w:val="0"/>
      <w:marTop w:val="0"/>
      <w:marBottom w:val="0"/>
      <w:divBdr>
        <w:top w:val="none" w:sz="0" w:space="0" w:color="auto"/>
        <w:left w:val="none" w:sz="0" w:space="0" w:color="auto"/>
        <w:bottom w:val="none" w:sz="0" w:space="0" w:color="auto"/>
        <w:right w:val="none" w:sz="0" w:space="0" w:color="auto"/>
      </w:divBdr>
      <w:divsChild>
        <w:div w:id="1281301661">
          <w:marLeft w:val="461"/>
          <w:marRight w:val="0"/>
          <w:marTop w:val="0"/>
          <w:marBottom w:val="0"/>
          <w:divBdr>
            <w:top w:val="none" w:sz="0" w:space="0" w:color="auto"/>
            <w:left w:val="none" w:sz="0" w:space="0" w:color="auto"/>
            <w:bottom w:val="none" w:sz="0" w:space="0" w:color="auto"/>
            <w:right w:val="none" w:sz="0" w:space="0" w:color="auto"/>
          </w:divBdr>
        </w:div>
        <w:div w:id="1733428538">
          <w:marLeft w:val="461"/>
          <w:marRight w:val="0"/>
          <w:marTop w:val="0"/>
          <w:marBottom w:val="0"/>
          <w:divBdr>
            <w:top w:val="none" w:sz="0" w:space="0" w:color="auto"/>
            <w:left w:val="none" w:sz="0" w:space="0" w:color="auto"/>
            <w:bottom w:val="none" w:sz="0" w:space="0" w:color="auto"/>
            <w:right w:val="none" w:sz="0" w:space="0" w:color="auto"/>
          </w:divBdr>
        </w:div>
        <w:div w:id="535702198">
          <w:marLeft w:val="461"/>
          <w:marRight w:val="0"/>
          <w:marTop w:val="0"/>
          <w:marBottom w:val="0"/>
          <w:divBdr>
            <w:top w:val="none" w:sz="0" w:space="0" w:color="auto"/>
            <w:left w:val="none" w:sz="0" w:space="0" w:color="auto"/>
            <w:bottom w:val="none" w:sz="0" w:space="0" w:color="auto"/>
            <w:right w:val="none" w:sz="0" w:space="0" w:color="auto"/>
          </w:divBdr>
        </w:div>
        <w:div w:id="2146700380">
          <w:marLeft w:val="461"/>
          <w:marRight w:val="0"/>
          <w:marTop w:val="0"/>
          <w:marBottom w:val="0"/>
          <w:divBdr>
            <w:top w:val="none" w:sz="0" w:space="0" w:color="auto"/>
            <w:left w:val="none" w:sz="0" w:space="0" w:color="auto"/>
            <w:bottom w:val="none" w:sz="0" w:space="0" w:color="auto"/>
            <w:right w:val="none" w:sz="0" w:space="0" w:color="auto"/>
          </w:divBdr>
        </w:div>
      </w:divsChild>
    </w:div>
    <w:div w:id="944193047">
      <w:bodyDiv w:val="1"/>
      <w:marLeft w:val="0"/>
      <w:marRight w:val="0"/>
      <w:marTop w:val="0"/>
      <w:marBottom w:val="0"/>
      <w:divBdr>
        <w:top w:val="none" w:sz="0" w:space="0" w:color="auto"/>
        <w:left w:val="none" w:sz="0" w:space="0" w:color="auto"/>
        <w:bottom w:val="none" w:sz="0" w:space="0" w:color="auto"/>
        <w:right w:val="none" w:sz="0" w:space="0" w:color="auto"/>
      </w:divBdr>
    </w:div>
    <w:div w:id="1144395926">
      <w:bodyDiv w:val="1"/>
      <w:marLeft w:val="0"/>
      <w:marRight w:val="0"/>
      <w:marTop w:val="0"/>
      <w:marBottom w:val="0"/>
      <w:divBdr>
        <w:top w:val="none" w:sz="0" w:space="0" w:color="auto"/>
        <w:left w:val="none" w:sz="0" w:space="0" w:color="auto"/>
        <w:bottom w:val="none" w:sz="0" w:space="0" w:color="auto"/>
        <w:right w:val="none" w:sz="0" w:space="0" w:color="auto"/>
      </w:divBdr>
      <w:divsChild>
        <w:div w:id="1817185466">
          <w:marLeft w:val="461"/>
          <w:marRight w:val="0"/>
          <w:marTop w:val="0"/>
          <w:marBottom w:val="0"/>
          <w:divBdr>
            <w:top w:val="none" w:sz="0" w:space="0" w:color="auto"/>
            <w:left w:val="none" w:sz="0" w:space="0" w:color="auto"/>
            <w:bottom w:val="none" w:sz="0" w:space="0" w:color="auto"/>
            <w:right w:val="none" w:sz="0" w:space="0" w:color="auto"/>
          </w:divBdr>
        </w:div>
        <w:div w:id="60909923">
          <w:marLeft w:val="461"/>
          <w:marRight w:val="0"/>
          <w:marTop w:val="0"/>
          <w:marBottom w:val="0"/>
          <w:divBdr>
            <w:top w:val="none" w:sz="0" w:space="0" w:color="auto"/>
            <w:left w:val="none" w:sz="0" w:space="0" w:color="auto"/>
            <w:bottom w:val="none" w:sz="0" w:space="0" w:color="auto"/>
            <w:right w:val="none" w:sz="0" w:space="0" w:color="auto"/>
          </w:divBdr>
        </w:div>
        <w:div w:id="671106594">
          <w:marLeft w:val="461"/>
          <w:marRight w:val="0"/>
          <w:marTop w:val="0"/>
          <w:marBottom w:val="0"/>
          <w:divBdr>
            <w:top w:val="none" w:sz="0" w:space="0" w:color="auto"/>
            <w:left w:val="none" w:sz="0" w:space="0" w:color="auto"/>
            <w:bottom w:val="none" w:sz="0" w:space="0" w:color="auto"/>
            <w:right w:val="none" w:sz="0" w:space="0" w:color="auto"/>
          </w:divBdr>
        </w:div>
        <w:div w:id="1532304270">
          <w:marLeft w:val="461"/>
          <w:marRight w:val="0"/>
          <w:marTop w:val="0"/>
          <w:marBottom w:val="0"/>
          <w:divBdr>
            <w:top w:val="none" w:sz="0" w:space="0" w:color="auto"/>
            <w:left w:val="none" w:sz="0" w:space="0" w:color="auto"/>
            <w:bottom w:val="none" w:sz="0" w:space="0" w:color="auto"/>
            <w:right w:val="none" w:sz="0" w:space="0" w:color="auto"/>
          </w:divBdr>
        </w:div>
        <w:div w:id="1022437604">
          <w:marLeft w:val="461"/>
          <w:marRight w:val="0"/>
          <w:marTop w:val="0"/>
          <w:marBottom w:val="0"/>
          <w:divBdr>
            <w:top w:val="none" w:sz="0" w:space="0" w:color="auto"/>
            <w:left w:val="none" w:sz="0" w:space="0" w:color="auto"/>
            <w:bottom w:val="none" w:sz="0" w:space="0" w:color="auto"/>
            <w:right w:val="none" w:sz="0" w:space="0" w:color="auto"/>
          </w:divBdr>
        </w:div>
      </w:divsChild>
    </w:div>
    <w:div w:id="1376655358">
      <w:bodyDiv w:val="1"/>
      <w:marLeft w:val="0"/>
      <w:marRight w:val="0"/>
      <w:marTop w:val="0"/>
      <w:marBottom w:val="0"/>
      <w:divBdr>
        <w:top w:val="none" w:sz="0" w:space="0" w:color="auto"/>
        <w:left w:val="none" w:sz="0" w:space="0" w:color="auto"/>
        <w:bottom w:val="none" w:sz="0" w:space="0" w:color="auto"/>
        <w:right w:val="none" w:sz="0" w:space="0" w:color="auto"/>
      </w:divBdr>
      <w:divsChild>
        <w:div w:id="1541211680">
          <w:marLeft w:val="461"/>
          <w:marRight w:val="0"/>
          <w:marTop w:val="0"/>
          <w:marBottom w:val="0"/>
          <w:divBdr>
            <w:top w:val="none" w:sz="0" w:space="0" w:color="auto"/>
            <w:left w:val="none" w:sz="0" w:space="0" w:color="auto"/>
            <w:bottom w:val="none" w:sz="0" w:space="0" w:color="auto"/>
            <w:right w:val="none" w:sz="0" w:space="0" w:color="auto"/>
          </w:divBdr>
        </w:div>
        <w:div w:id="1670711338">
          <w:marLeft w:val="461"/>
          <w:marRight w:val="0"/>
          <w:marTop w:val="0"/>
          <w:marBottom w:val="0"/>
          <w:divBdr>
            <w:top w:val="none" w:sz="0" w:space="0" w:color="auto"/>
            <w:left w:val="none" w:sz="0" w:space="0" w:color="auto"/>
            <w:bottom w:val="none" w:sz="0" w:space="0" w:color="auto"/>
            <w:right w:val="none" w:sz="0" w:space="0" w:color="auto"/>
          </w:divBdr>
        </w:div>
        <w:div w:id="85349374">
          <w:marLeft w:val="461"/>
          <w:marRight w:val="0"/>
          <w:marTop w:val="0"/>
          <w:marBottom w:val="0"/>
          <w:divBdr>
            <w:top w:val="none" w:sz="0" w:space="0" w:color="auto"/>
            <w:left w:val="none" w:sz="0" w:space="0" w:color="auto"/>
            <w:bottom w:val="none" w:sz="0" w:space="0" w:color="auto"/>
            <w:right w:val="none" w:sz="0" w:space="0" w:color="auto"/>
          </w:divBdr>
        </w:div>
        <w:div w:id="1973974233">
          <w:marLeft w:val="461"/>
          <w:marRight w:val="0"/>
          <w:marTop w:val="0"/>
          <w:marBottom w:val="0"/>
          <w:divBdr>
            <w:top w:val="none" w:sz="0" w:space="0" w:color="auto"/>
            <w:left w:val="none" w:sz="0" w:space="0" w:color="auto"/>
            <w:bottom w:val="none" w:sz="0" w:space="0" w:color="auto"/>
            <w:right w:val="none" w:sz="0" w:space="0" w:color="auto"/>
          </w:divBdr>
        </w:div>
      </w:divsChild>
    </w:div>
    <w:div w:id="18027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22F04-10FD-4F5A-B4E3-D975BCF5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7138</Words>
  <Characters>40687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47730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Briggs</dc:creator>
  <cp:lastModifiedBy>%USERNAME%</cp:lastModifiedBy>
  <cp:revision>3</cp:revision>
  <cp:lastPrinted>2014-05-12T09:30:00Z</cp:lastPrinted>
  <dcterms:created xsi:type="dcterms:W3CDTF">2014-05-20T09:37:00Z</dcterms:created>
  <dcterms:modified xsi:type="dcterms:W3CDTF">2014-06-18T11:36:00Z</dcterms:modified>
</cp:coreProperties>
</file>