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14:anchorId="466A5DA4" wp14:editId="79974506">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3B3FFF53" wp14:editId="2132EEA4">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778" w:rsidRPr="00DD7564" w:rsidRDefault="000C5778" w:rsidP="00DD689C">
                            <w:pPr>
                              <w:rPr>
                                <w:rFonts w:ascii="Arial" w:hAnsi="Arial" w:cs="Arial"/>
                                <w:sz w:val="32"/>
                                <w:szCs w:val="32"/>
                              </w:rPr>
                            </w:pPr>
                            <w:r>
                              <w:rPr>
                                <w:rFonts w:ascii="Arial" w:hAnsi="Arial" w:cs="Arial"/>
                                <w:sz w:val="32"/>
                                <w:szCs w:val="32"/>
                              </w:rPr>
                              <w:t xml:space="preserve">Attachment </w:t>
                            </w:r>
                            <w:r w:rsidR="0091714D">
                              <w:rPr>
                                <w:rFonts w:ascii="Arial" w:hAnsi="Arial" w:cs="Arial"/>
                                <w:sz w:val="32"/>
                                <w:szCs w:val="32"/>
                              </w:rPr>
                              <w:t>08</w:t>
                            </w:r>
                            <w:bookmarkStart w:id="0" w:name="_GoBack"/>
                            <w:bookmarkEnd w:id="0"/>
                          </w:p>
                          <w:p w:rsidR="000C5778" w:rsidRDefault="000C5778"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0C5778" w:rsidRPr="00DD7564" w:rsidRDefault="000C5778" w:rsidP="00DD689C">
                      <w:pPr>
                        <w:rPr>
                          <w:rFonts w:ascii="Arial" w:hAnsi="Arial" w:cs="Arial"/>
                          <w:sz w:val="32"/>
                          <w:szCs w:val="32"/>
                        </w:rPr>
                      </w:pPr>
                      <w:r>
                        <w:rPr>
                          <w:rFonts w:ascii="Arial" w:hAnsi="Arial" w:cs="Arial"/>
                          <w:sz w:val="32"/>
                          <w:szCs w:val="32"/>
                        </w:rPr>
                        <w:t xml:space="preserve">Attachment </w:t>
                      </w:r>
                      <w:r w:rsidR="0091714D">
                        <w:rPr>
                          <w:rFonts w:ascii="Arial" w:hAnsi="Arial" w:cs="Arial"/>
                          <w:sz w:val="32"/>
                          <w:szCs w:val="32"/>
                        </w:rPr>
                        <w:t>08</w:t>
                      </w:r>
                      <w:bookmarkStart w:id="1" w:name="_GoBack"/>
                      <w:bookmarkEnd w:id="1"/>
                    </w:p>
                    <w:p w:rsidR="000C5778" w:rsidRDefault="000C5778"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ED0665" w:rsidP="009306C6">
            <w:pPr>
              <w:rPr>
                <w:rFonts w:ascii="Arial" w:hAnsi="Arial" w:cs="Arial"/>
                <w:bCs/>
                <w:sz w:val="22"/>
                <w:szCs w:val="22"/>
              </w:rPr>
            </w:pPr>
            <w:r>
              <w:rPr>
                <w:rFonts w:ascii="Arial" w:hAnsi="Arial" w:cs="Arial"/>
                <w:bCs/>
                <w:sz w:val="22"/>
                <w:szCs w:val="22"/>
              </w:rPr>
              <w:t>Lisa Hilder</w:t>
            </w:r>
            <w:r w:rsidR="00D55335">
              <w:rPr>
                <w:rFonts w:ascii="Arial" w:hAnsi="Arial" w:cs="Arial"/>
                <w:bCs/>
                <w:sz w:val="22"/>
                <w:szCs w:val="22"/>
              </w:rPr>
              <w:t>/Laura Whitton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ED0665" w:rsidP="00BC5CEC">
            <w:pPr>
              <w:rPr>
                <w:rFonts w:ascii="Arial" w:hAnsi="Arial" w:cs="Arial"/>
                <w:bCs/>
                <w:sz w:val="22"/>
                <w:szCs w:val="22"/>
              </w:rPr>
            </w:pPr>
            <w:r>
              <w:rPr>
                <w:rFonts w:ascii="Arial" w:hAnsi="Arial" w:cs="Arial"/>
                <w:bCs/>
                <w:sz w:val="22"/>
                <w:szCs w:val="22"/>
              </w:rPr>
              <w:t>8</w:t>
            </w:r>
            <w:r w:rsidRPr="00ED0665">
              <w:rPr>
                <w:rFonts w:ascii="Arial" w:hAnsi="Arial" w:cs="Arial"/>
                <w:bCs/>
                <w:sz w:val="22"/>
                <w:szCs w:val="22"/>
                <w:vertAlign w:val="superscript"/>
              </w:rPr>
              <w:t>th</w:t>
            </w:r>
            <w:r>
              <w:rPr>
                <w:rFonts w:ascii="Arial" w:hAnsi="Arial" w:cs="Arial"/>
                <w:bCs/>
                <w:sz w:val="22"/>
                <w:szCs w:val="22"/>
              </w:rPr>
              <w:t xml:space="preserve"> May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55335" w:rsidP="009306C6">
            <w:pPr>
              <w:rPr>
                <w:rFonts w:ascii="Arial" w:hAnsi="Arial" w:cs="Arial"/>
                <w:bCs/>
                <w:sz w:val="22"/>
                <w:szCs w:val="22"/>
              </w:rPr>
            </w:pPr>
            <w:r>
              <w:rPr>
                <w:rFonts w:ascii="Arial" w:hAnsi="Arial" w:cs="Arial"/>
                <w:bCs/>
                <w:sz w:val="22"/>
                <w:szCs w:val="22"/>
              </w:rPr>
              <w:t>Overview of NELCCG five year strategic plan and medium term financial plan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4E5C19" w:rsidP="004E5C19">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4E5C19" w:rsidP="004E5C19">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STRATEGY</w:t>
            </w:r>
            <w:r w:rsidR="00DD7564">
              <w:rPr>
                <w:rFonts w:ascii="Arial" w:hAnsi="Arial" w:cs="Arial"/>
                <w:sz w:val="22"/>
                <w:szCs w:val="22"/>
              </w:rPr>
              <w:tab/>
            </w:r>
            <w:r w:rsidR="00DD689C" w:rsidRPr="00752FD6">
              <w:rPr>
                <w:rFonts w:ascii="Arial" w:hAnsi="Arial" w:cs="Arial"/>
                <w:sz w:val="22"/>
                <w:szCs w:val="22"/>
              </w:rPr>
              <w:fldChar w:fldCharType="begin">
                <w:ffData>
                  <w:name w:val="Check4"/>
                  <w:enabled/>
                  <w:calcOnExit w:val="0"/>
                  <w:checkBox>
                    <w:sizeAuto/>
                    <w:default w:val="0"/>
                  </w:checkBox>
                </w:ffData>
              </w:fldChar>
            </w:r>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r w:rsidR="00DD689C"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00DD689C"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DD689C" w:rsidP="009306C6">
            <w:pPr>
              <w:rPr>
                <w:rFonts w:ascii="Arial" w:hAnsi="Arial" w:cs="Arial"/>
                <w:bCs/>
                <w:sz w:val="22"/>
                <w:szCs w:val="22"/>
              </w:rPr>
            </w:pPr>
          </w:p>
          <w:p w:rsidR="00DD7564" w:rsidRPr="00752FD6" w:rsidRDefault="00ED0665" w:rsidP="003E2921">
            <w:pPr>
              <w:rPr>
                <w:rFonts w:ascii="Arial" w:hAnsi="Arial" w:cs="Arial"/>
                <w:bCs/>
                <w:sz w:val="22"/>
                <w:szCs w:val="22"/>
              </w:rPr>
            </w:pPr>
            <w:r>
              <w:rPr>
                <w:rFonts w:ascii="Arial" w:hAnsi="Arial" w:cs="Arial"/>
                <w:bCs/>
                <w:sz w:val="22"/>
                <w:szCs w:val="22"/>
              </w:rPr>
              <w:t xml:space="preserve">To </w:t>
            </w:r>
            <w:r w:rsidR="00D55335">
              <w:rPr>
                <w:rFonts w:ascii="Arial" w:hAnsi="Arial" w:cs="Arial"/>
                <w:bCs/>
                <w:sz w:val="22"/>
                <w:szCs w:val="22"/>
              </w:rPr>
              <w:t>brief</w:t>
            </w:r>
            <w:r>
              <w:rPr>
                <w:rFonts w:ascii="Arial" w:hAnsi="Arial" w:cs="Arial"/>
                <w:bCs/>
                <w:sz w:val="22"/>
                <w:szCs w:val="22"/>
              </w:rPr>
              <w:t xml:space="preserve"> the Partnership Board on the </w:t>
            </w:r>
            <w:r w:rsidR="00D55335">
              <w:rPr>
                <w:rFonts w:ascii="Arial" w:hAnsi="Arial" w:cs="Arial"/>
                <w:bCs/>
                <w:sz w:val="22"/>
                <w:szCs w:val="22"/>
              </w:rPr>
              <w:t xml:space="preserve">2014/15 -2018/19 </w:t>
            </w:r>
            <w:r w:rsidR="003E2921">
              <w:rPr>
                <w:rFonts w:ascii="Arial" w:hAnsi="Arial" w:cs="Arial"/>
                <w:bCs/>
                <w:sz w:val="22"/>
                <w:szCs w:val="22"/>
              </w:rPr>
              <w:t>s</w:t>
            </w:r>
            <w:r w:rsidR="00D55335">
              <w:rPr>
                <w:rFonts w:ascii="Arial" w:hAnsi="Arial" w:cs="Arial"/>
                <w:bCs/>
                <w:sz w:val="22"/>
                <w:szCs w:val="22"/>
              </w:rPr>
              <w:t xml:space="preserve">trategic </w:t>
            </w:r>
            <w:r w:rsidR="003E2921">
              <w:rPr>
                <w:rFonts w:ascii="Arial" w:hAnsi="Arial" w:cs="Arial"/>
                <w:bCs/>
                <w:sz w:val="22"/>
                <w:szCs w:val="22"/>
              </w:rPr>
              <w:t>p</w:t>
            </w:r>
            <w:r w:rsidR="00D55335">
              <w:rPr>
                <w:rFonts w:ascii="Arial" w:hAnsi="Arial" w:cs="Arial"/>
                <w:bCs/>
                <w:sz w:val="22"/>
                <w:szCs w:val="22"/>
              </w:rPr>
              <w:t xml:space="preserve">lan and medium term </w:t>
            </w:r>
            <w:r w:rsidR="003E2921">
              <w:rPr>
                <w:rFonts w:ascii="Arial" w:hAnsi="Arial" w:cs="Arial"/>
                <w:bCs/>
                <w:sz w:val="22"/>
                <w:szCs w:val="22"/>
              </w:rPr>
              <w:t>f</w:t>
            </w:r>
            <w:r w:rsidR="00D55335">
              <w:rPr>
                <w:rFonts w:ascii="Arial" w:hAnsi="Arial" w:cs="Arial"/>
                <w:bCs/>
                <w:sz w:val="22"/>
                <w:szCs w:val="22"/>
              </w:rPr>
              <w:t xml:space="preserve">inancial </w:t>
            </w:r>
            <w:r w:rsidR="003E2921">
              <w:rPr>
                <w:rFonts w:ascii="Arial" w:hAnsi="Arial" w:cs="Arial"/>
                <w:bCs/>
                <w:sz w:val="22"/>
                <w:szCs w:val="22"/>
              </w:rPr>
              <w:t>p</w:t>
            </w:r>
            <w:r w:rsidR="00D55335">
              <w:rPr>
                <w:rFonts w:ascii="Arial" w:hAnsi="Arial" w:cs="Arial"/>
                <w:bCs/>
                <w:sz w:val="22"/>
                <w:szCs w:val="22"/>
              </w:rPr>
              <w:t>lan</w:t>
            </w:r>
            <w:r>
              <w:rPr>
                <w:rFonts w:ascii="Arial" w:hAnsi="Arial" w:cs="Arial"/>
                <w:bCs/>
                <w:sz w:val="22"/>
                <w:szCs w:val="22"/>
              </w:rPr>
              <w:t xml:space="preserve">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Default="00807543" w:rsidP="00807543">
            <w:pPr>
              <w:rPr>
                <w:rFonts w:ascii="Arial" w:hAnsi="Arial" w:cs="Arial"/>
                <w:bCs/>
                <w:sz w:val="22"/>
                <w:szCs w:val="22"/>
              </w:rPr>
            </w:pPr>
            <w:r>
              <w:rPr>
                <w:rFonts w:ascii="Arial" w:hAnsi="Arial" w:cs="Arial"/>
                <w:bCs/>
                <w:sz w:val="22"/>
                <w:szCs w:val="22"/>
              </w:rPr>
              <w:t xml:space="preserve">The CCG five year </w:t>
            </w:r>
            <w:r w:rsidR="003E2921">
              <w:rPr>
                <w:rFonts w:ascii="Arial" w:hAnsi="Arial" w:cs="Arial"/>
                <w:bCs/>
                <w:sz w:val="22"/>
                <w:szCs w:val="22"/>
              </w:rPr>
              <w:t>s</w:t>
            </w:r>
            <w:r>
              <w:rPr>
                <w:rFonts w:ascii="Arial" w:hAnsi="Arial" w:cs="Arial"/>
                <w:bCs/>
                <w:sz w:val="22"/>
                <w:szCs w:val="22"/>
              </w:rPr>
              <w:t xml:space="preserve">trategic </w:t>
            </w:r>
            <w:r w:rsidR="003E2921">
              <w:rPr>
                <w:rFonts w:ascii="Arial" w:hAnsi="Arial" w:cs="Arial"/>
                <w:bCs/>
                <w:sz w:val="22"/>
                <w:szCs w:val="22"/>
              </w:rPr>
              <w:t>p</w:t>
            </w:r>
            <w:r>
              <w:rPr>
                <w:rFonts w:ascii="Arial" w:hAnsi="Arial" w:cs="Arial"/>
                <w:bCs/>
                <w:sz w:val="22"/>
                <w:szCs w:val="22"/>
              </w:rPr>
              <w:t xml:space="preserve">lan and medium term financial plan sets out the context and aspiration for strategic development of health and social care services in North East Lincolnshire alongside the financial resource available to deliver </w:t>
            </w:r>
            <w:r w:rsidR="00AB4FAA">
              <w:rPr>
                <w:rFonts w:ascii="Arial" w:hAnsi="Arial" w:cs="Arial"/>
                <w:bCs/>
                <w:sz w:val="22"/>
                <w:szCs w:val="22"/>
              </w:rPr>
              <w:t>the required outcomes</w:t>
            </w:r>
          </w:p>
          <w:p w:rsidR="00807543" w:rsidRPr="00752FD6" w:rsidRDefault="00807543" w:rsidP="00807543">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585083" w:rsidRDefault="00585083" w:rsidP="00585083">
            <w:pPr>
              <w:jc w:val="both"/>
              <w:rPr>
                <w:rFonts w:ascii="Arial" w:hAnsi="Arial" w:cs="Arial"/>
                <w:bCs/>
                <w:sz w:val="22"/>
                <w:szCs w:val="22"/>
              </w:rPr>
            </w:pPr>
          </w:p>
          <w:p w:rsidR="00DD7564" w:rsidRPr="00752FD6" w:rsidRDefault="00807543" w:rsidP="003E2921">
            <w:pPr>
              <w:jc w:val="both"/>
              <w:rPr>
                <w:rFonts w:ascii="Arial" w:hAnsi="Arial" w:cs="Arial"/>
                <w:bCs/>
                <w:sz w:val="22"/>
                <w:szCs w:val="22"/>
              </w:rPr>
            </w:pPr>
            <w:r>
              <w:rPr>
                <w:rFonts w:ascii="Arial" w:hAnsi="Arial" w:cs="Arial"/>
                <w:bCs/>
                <w:sz w:val="22"/>
                <w:szCs w:val="22"/>
              </w:rPr>
              <w:t xml:space="preserve">The </w:t>
            </w:r>
            <w:r w:rsidR="003E2921">
              <w:rPr>
                <w:rFonts w:ascii="Arial" w:hAnsi="Arial" w:cs="Arial"/>
                <w:bCs/>
                <w:sz w:val="22"/>
                <w:szCs w:val="22"/>
              </w:rPr>
              <w:t>s</w:t>
            </w:r>
            <w:r>
              <w:rPr>
                <w:rFonts w:ascii="Arial" w:hAnsi="Arial" w:cs="Arial"/>
                <w:bCs/>
                <w:sz w:val="22"/>
                <w:szCs w:val="22"/>
              </w:rPr>
              <w:t xml:space="preserve">trategic </w:t>
            </w:r>
            <w:r w:rsidR="003E2921">
              <w:rPr>
                <w:rFonts w:ascii="Arial" w:hAnsi="Arial" w:cs="Arial"/>
                <w:bCs/>
                <w:sz w:val="22"/>
                <w:szCs w:val="22"/>
              </w:rPr>
              <w:t>p</w:t>
            </w:r>
            <w:r>
              <w:rPr>
                <w:rFonts w:ascii="Arial" w:hAnsi="Arial" w:cs="Arial"/>
                <w:bCs/>
                <w:sz w:val="22"/>
                <w:szCs w:val="22"/>
              </w:rPr>
              <w:t>lan and the medium term financial plan</w:t>
            </w:r>
            <w:r w:rsidR="000A7A83">
              <w:rPr>
                <w:rFonts w:ascii="Arial" w:hAnsi="Arial" w:cs="Arial"/>
                <w:bCs/>
                <w:sz w:val="22"/>
                <w:szCs w:val="22"/>
              </w:rPr>
              <w:t xml:space="preserve"> set out the direction of travel for the CCG for the </w:t>
            </w:r>
            <w:r w:rsidR="00E00FCA">
              <w:rPr>
                <w:rFonts w:ascii="Arial" w:hAnsi="Arial" w:cs="Arial"/>
                <w:bCs/>
                <w:sz w:val="22"/>
                <w:szCs w:val="22"/>
              </w:rPr>
              <w:t>next five years to March 2019.</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128"/>
        <w:gridCol w:w="283"/>
      </w:tblGrid>
      <w:tr w:rsidR="006A2E19" w:rsidRPr="00752FD6" w:rsidTr="00281FC3">
        <w:trPr>
          <w:trHeight w:val="787"/>
        </w:trPr>
        <w:tc>
          <w:tcPr>
            <w:tcW w:w="9889" w:type="dxa"/>
            <w:gridSpan w:val="4"/>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281FC3" w:rsidRPr="00752FD6" w:rsidTr="00281FC3">
        <w:trPr>
          <w:trHeight w:val="370"/>
        </w:trPr>
        <w:tc>
          <w:tcPr>
            <w:tcW w:w="9606" w:type="dxa"/>
            <w:gridSpan w:val="3"/>
            <w:shd w:val="clear" w:color="auto" w:fill="auto"/>
          </w:tcPr>
          <w:p w:rsidR="00281FC3" w:rsidRPr="00752FD6" w:rsidRDefault="00281FC3" w:rsidP="00281FC3">
            <w:pPr>
              <w:jc w:val="both"/>
              <w:rPr>
                <w:rFonts w:ascii="Arial" w:hAnsi="Arial" w:cs="Arial"/>
                <w:bCs/>
                <w:sz w:val="22"/>
                <w:szCs w:val="22"/>
              </w:rPr>
            </w:pPr>
            <w:r w:rsidRPr="00281FC3">
              <w:rPr>
                <w:rFonts w:ascii="Arial" w:hAnsi="Arial" w:cs="Arial"/>
                <w:bCs/>
                <w:sz w:val="22"/>
                <w:szCs w:val="22"/>
              </w:rPr>
              <w:t xml:space="preserve">The Partnership Board is asked to note and approve the direction of travel and agree the strategic approach to commissioning outlined </w:t>
            </w:r>
          </w:p>
        </w:tc>
        <w:tc>
          <w:tcPr>
            <w:tcW w:w="283" w:type="dxa"/>
            <w:shd w:val="clear" w:color="auto" w:fill="auto"/>
          </w:tcPr>
          <w:p w:rsidR="00281FC3" w:rsidRPr="00752FD6" w:rsidRDefault="00281FC3" w:rsidP="009306C6">
            <w:pPr>
              <w:rPr>
                <w:rFonts w:ascii="Arial" w:hAnsi="Arial" w:cs="Arial"/>
                <w:bCs/>
                <w:sz w:val="22"/>
                <w:szCs w:val="22"/>
              </w:rPr>
            </w:pPr>
          </w:p>
        </w:tc>
      </w:tr>
      <w:tr w:rsidR="00DD689C" w:rsidRPr="00752FD6" w:rsidTr="00281FC3">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gridSpan w:val="2"/>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91714D" w:rsidP="00752FD6">
            <w:pPr>
              <w:spacing w:before="80" w:after="80"/>
              <w:rPr>
                <w:rFonts w:ascii="Arial" w:hAnsi="Arial" w:cs="Arial"/>
                <w:sz w:val="22"/>
                <w:szCs w:val="22"/>
              </w:rPr>
            </w:pPr>
            <w:hyperlink r:id="rId9"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DC3218" w:rsidRDefault="00DC3218">
      <w:pPr>
        <w:rPr>
          <w:rFonts w:ascii="Arial" w:hAnsi="Arial" w:cs="Arial"/>
          <w:b/>
          <w:bCs/>
          <w:sz w:val="22"/>
          <w:szCs w:val="22"/>
        </w:rPr>
      </w:pPr>
      <w:r>
        <w:rPr>
          <w:rFonts w:ascii="Arial" w:hAnsi="Arial" w:cs="Arial"/>
          <w:b/>
          <w:bCs/>
          <w:sz w:val="22"/>
          <w:szCs w:val="22"/>
        </w:rPr>
        <w:br w:type="page"/>
      </w:r>
    </w:p>
    <w:p w:rsidR="00DC3218" w:rsidRDefault="00DC3218" w:rsidP="00DC3218">
      <w:pPr>
        <w:jc w:val="right"/>
        <w:rPr>
          <w:rFonts w:ascii="Arial" w:hAnsi="Arial" w:cs="Arial"/>
          <w:b/>
          <w:bCs/>
          <w:sz w:val="22"/>
          <w:szCs w:val="22"/>
        </w:rPr>
      </w:pPr>
      <w:r>
        <w:rPr>
          <w:rFonts w:ascii="Arial" w:hAnsi="Arial" w:cs="Arial"/>
          <w:b/>
          <w:bCs/>
          <w:noProof/>
          <w:sz w:val="22"/>
          <w:szCs w:val="22"/>
        </w:rPr>
        <w:lastRenderedPageBreak/>
        <w:drawing>
          <wp:inline distT="0" distB="0" distL="0" distR="0" wp14:anchorId="39F9DB1A" wp14:editId="41573FE6">
            <wp:extent cx="2005965"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965" cy="518160"/>
                    </a:xfrm>
                    <a:prstGeom prst="rect">
                      <a:avLst/>
                    </a:prstGeom>
                    <a:noFill/>
                  </pic:spPr>
                </pic:pic>
              </a:graphicData>
            </a:graphic>
          </wp:inline>
        </w:drawing>
      </w:r>
    </w:p>
    <w:p w:rsidR="00DC3218" w:rsidRDefault="00DC3218" w:rsidP="0077428E">
      <w:pPr>
        <w:rPr>
          <w:rFonts w:ascii="Arial" w:hAnsi="Arial" w:cs="Arial"/>
          <w:b/>
          <w:bCs/>
          <w:sz w:val="22"/>
          <w:szCs w:val="22"/>
        </w:rPr>
      </w:pPr>
    </w:p>
    <w:p w:rsidR="00DD689C" w:rsidRDefault="00AB4FAA" w:rsidP="0077428E">
      <w:pPr>
        <w:rPr>
          <w:rFonts w:ascii="Arial" w:hAnsi="Arial" w:cs="Arial"/>
          <w:b/>
          <w:bCs/>
          <w:sz w:val="22"/>
          <w:szCs w:val="22"/>
        </w:rPr>
      </w:pPr>
      <w:r>
        <w:rPr>
          <w:rFonts w:ascii="Arial" w:hAnsi="Arial" w:cs="Arial"/>
          <w:b/>
          <w:bCs/>
          <w:sz w:val="22"/>
          <w:szCs w:val="22"/>
        </w:rPr>
        <w:t>NELCCG Five Year Strategic Plan</w:t>
      </w:r>
    </w:p>
    <w:p w:rsidR="00AB4FAA" w:rsidRDefault="00AB4FAA" w:rsidP="0077428E">
      <w:pPr>
        <w:rPr>
          <w:rFonts w:ascii="Arial" w:hAnsi="Arial" w:cs="Arial"/>
          <w:b/>
          <w:bCs/>
          <w:sz w:val="22"/>
          <w:szCs w:val="22"/>
        </w:rPr>
      </w:pPr>
    </w:p>
    <w:p w:rsidR="00DC3218" w:rsidRDefault="00AB4FAA" w:rsidP="0077428E">
      <w:pPr>
        <w:rPr>
          <w:rFonts w:ascii="Arial" w:hAnsi="Arial" w:cs="Arial"/>
          <w:bCs/>
          <w:sz w:val="22"/>
          <w:szCs w:val="22"/>
        </w:rPr>
      </w:pPr>
      <w:r w:rsidRPr="00AB4FAA">
        <w:rPr>
          <w:rFonts w:ascii="Arial" w:hAnsi="Arial" w:cs="Arial"/>
          <w:bCs/>
          <w:sz w:val="22"/>
          <w:szCs w:val="22"/>
        </w:rPr>
        <w:t>The Strategic plan for North East Lincolnshire CCG</w:t>
      </w:r>
      <w:r>
        <w:rPr>
          <w:rFonts w:ascii="Arial" w:hAnsi="Arial" w:cs="Arial"/>
          <w:bCs/>
          <w:sz w:val="22"/>
          <w:szCs w:val="22"/>
        </w:rPr>
        <w:t xml:space="preserve"> sets out the direction of travel for service design, development and commissioning for the next five years and is fully compliant with the </w:t>
      </w:r>
      <w:r w:rsidR="0082041F">
        <w:rPr>
          <w:rFonts w:ascii="Arial" w:hAnsi="Arial" w:cs="Arial"/>
          <w:bCs/>
          <w:sz w:val="22"/>
          <w:szCs w:val="22"/>
        </w:rPr>
        <w:t xml:space="preserve">national </w:t>
      </w:r>
      <w:r>
        <w:rPr>
          <w:rFonts w:ascii="Arial" w:hAnsi="Arial" w:cs="Arial"/>
          <w:bCs/>
          <w:sz w:val="22"/>
          <w:szCs w:val="22"/>
        </w:rPr>
        <w:t>requirements mandated</w:t>
      </w:r>
      <w:r w:rsidR="0082041F">
        <w:rPr>
          <w:rFonts w:ascii="Arial" w:hAnsi="Arial" w:cs="Arial"/>
          <w:bCs/>
          <w:sz w:val="22"/>
          <w:szCs w:val="22"/>
        </w:rPr>
        <w:t xml:space="preserve"> by NHS England</w:t>
      </w:r>
      <w:r>
        <w:rPr>
          <w:rFonts w:ascii="Arial" w:hAnsi="Arial" w:cs="Arial"/>
          <w:bCs/>
          <w:sz w:val="22"/>
          <w:szCs w:val="22"/>
        </w:rPr>
        <w:t xml:space="preserve"> in Everyone Counts: Planning for Patients 2014/15 – 2018/19.</w:t>
      </w:r>
    </w:p>
    <w:p w:rsidR="0082041F" w:rsidRDefault="0082041F" w:rsidP="0077428E">
      <w:pPr>
        <w:rPr>
          <w:rFonts w:ascii="Arial" w:hAnsi="Arial" w:cs="Arial"/>
          <w:bCs/>
          <w:sz w:val="22"/>
          <w:szCs w:val="22"/>
        </w:rPr>
      </w:pPr>
    </w:p>
    <w:p w:rsidR="0082041F" w:rsidRDefault="0082041F" w:rsidP="0077428E">
      <w:pPr>
        <w:rPr>
          <w:rFonts w:ascii="Arial" w:hAnsi="Arial" w:cs="Arial"/>
          <w:bCs/>
          <w:sz w:val="22"/>
          <w:szCs w:val="22"/>
        </w:rPr>
      </w:pPr>
      <w:r>
        <w:rPr>
          <w:rFonts w:ascii="Arial" w:hAnsi="Arial" w:cs="Arial"/>
          <w:bCs/>
          <w:sz w:val="22"/>
          <w:szCs w:val="22"/>
        </w:rPr>
        <w:t>These requirements include five year finance, activity and performance targets which demonstrate that the CCG has clear plans to deliver high quality care which improves outcomes for patients and which is affordable within current and assumed levels of financial allocations.</w:t>
      </w:r>
    </w:p>
    <w:p w:rsidR="00615ED7" w:rsidRDefault="00615ED7" w:rsidP="0077428E">
      <w:pPr>
        <w:rPr>
          <w:rFonts w:ascii="Arial" w:hAnsi="Arial" w:cs="Arial"/>
          <w:bCs/>
          <w:sz w:val="22"/>
          <w:szCs w:val="22"/>
        </w:rPr>
      </w:pPr>
    </w:p>
    <w:p w:rsidR="00615ED7" w:rsidRDefault="00615ED7" w:rsidP="0077428E">
      <w:pPr>
        <w:rPr>
          <w:rFonts w:ascii="Arial" w:hAnsi="Arial" w:cs="Arial"/>
          <w:bCs/>
          <w:sz w:val="22"/>
          <w:szCs w:val="22"/>
        </w:rPr>
      </w:pPr>
      <w:r>
        <w:rPr>
          <w:rFonts w:ascii="Arial" w:hAnsi="Arial" w:cs="Arial"/>
          <w:bCs/>
          <w:sz w:val="22"/>
          <w:szCs w:val="22"/>
        </w:rPr>
        <w:t xml:space="preserve">NELCCG’s five year strategic plan incorporates actions to deliver across each of the five outcome domains (figure 1) of the NHS England outcomes framework and demonstrates the six characteristics of </w:t>
      </w:r>
      <w:r w:rsidR="00925C0B" w:rsidRPr="00615ED7">
        <w:rPr>
          <w:rFonts w:ascii="Arial" w:hAnsi="Arial" w:cs="Arial"/>
          <w:bCs/>
          <w:sz w:val="22"/>
          <w:szCs w:val="22"/>
        </w:rPr>
        <w:t>High Quality, Sustainable Health and Care Systems</w:t>
      </w:r>
      <w:r>
        <w:rPr>
          <w:rFonts w:ascii="Arial" w:hAnsi="Arial" w:cs="Arial"/>
          <w:bCs/>
          <w:sz w:val="22"/>
          <w:szCs w:val="22"/>
        </w:rPr>
        <w:t xml:space="preserve"> (figure 2).</w:t>
      </w:r>
    </w:p>
    <w:p w:rsidR="00615ED7" w:rsidRDefault="00615ED7" w:rsidP="0077428E">
      <w:pPr>
        <w:rPr>
          <w:rFonts w:ascii="Arial" w:hAnsi="Arial" w:cs="Arial"/>
          <w:bCs/>
          <w:sz w:val="22"/>
          <w:szCs w:val="22"/>
        </w:rPr>
      </w:pPr>
    </w:p>
    <w:p w:rsidR="00615ED7" w:rsidRDefault="00615ED7" w:rsidP="0077428E">
      <w:pPr>
        <w:rPr>
          <w:rFonts w:ascii="Arial" w:hAnsi="Arial" w:cs="Arial"/>
          <w:bCs/>
          <w:sz w:val="22"/>
          <w:szCs w:val="22"/>
        </w:rPr>
      </w:pPr>
    </w:p>
    <w:p w:rsidR="0082041F" w:rsidRDefault="0082041F" w:rsidP="0077428E">
      <w:pPr>
        <w:rPr>
          <w:rFonts w:ascii="Arial" w:hAnsi="Arial" w:cs="Arial"/>
          <w:bCs/>
          <w:sz w:val="22"/>
          <w:szCs w:val="22"/>
        </w:rPr>
      </w:pPr>
      <w:r>
        <w:rPr>
          <w:rFonts w:ascii="Arial" w:hAnsi="Arial" w:cs="Arial"/>
          <w:bCs/>
          <w:noProof/>
          <w:sz w:val="22"/>
          <w:szCs w:val="22"/>
        </w:rPr>
        <w:drawing>
          <wp:inline distT="0" distB="0" distL="0" distR="0" wp14:anchorId="4B3B3106" wp14:editId="38D47E2F">
            <wp:extent cx="5117926" cy="383745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5042" cy="3835290"/>
                    </a:xfrm>
                    <a:prstGeom prst="rect">
                      <a:avLst/>
                    </a:prstGeom>
                    <a:noFill/>
                  </pic:spPr>
                </pic:pic>
              </a:graphicData>
            </a:graphic>
          </wp:inline>
        </w:drawing>
      </w:r>
    </w:p>
    <w:p w:rsidR="00AB4FAA" w:rsidRPr="00615ED7" w:rsidRDefault="0082041F" w:rsidP="0077428E">
      <w:pPr>
        <w:rPr>
          <w:rFonts w:ascii="Arial" w:hAnsi="Arial" w:cs="Arial"/>
          <w:bCs/>
          <w:i/>
          <w:sz w:val="22"/>
          <w:szCs w:val="22"/>
        </w:rPr>
      </w:pPr>
      <w:r>
        <w:rPr>
          <w:rFonts w:ascii="Arial" w:hAnsi="Arial" w:cs="Arial"/>
          <w:bCs/>
          <w:sz w:val="22"/>
          <w:szCs w:val="22"/>
        </w:rPr>
        <w:t xml:space="preserve"> </w:t>
      </w:r>
      <w:r w:rsidR="00615ED7" w:rsidRPr="00615ED7">
        <w:rPr>
          <w:rFonts w:ascii="Arial" w:hAnsi="Arial" w:cs="Arial"/>
          <w:bCs/>
          <w:i/>
          <w:sz w:val="22"/>
          <w:szCs w:val="22"/>
        </w:rPr>
        <w:t>Figure 1</w:t>
      </w:r>
    </w:p>
    <w:p w:rsidR="00615ED7" w:rsidRDefault="00615ED7" w:rsidP="0077428E">
      <w:pPr>
        <w:rPr>
          <w:rFonts w:ascii="Arial" w:hAnsi="Arial" w:cs="Arial"/>
          <w:b/>
          <w:bCs/>
          <w:sz w:val="22"/>
          <w:szCs w:val="22"/>
        </w:rPr>
      </w:pPr>
    </w:p>
    <w:p w:rsidR="00615ED7" w:rsidRPr="00615ED7" w:rsidRDefault="00615ED7" w:rsidP="00615ED7">
      <w:pPr>
        <w:rPr>
          <w:rFonts w:ascii="Arial" w:hAnsi="Arial" w:cs="Arial"/>
          <w:bCs/>
          <w:sz w:val="22"/>
          <w:szCs w:val="22"/>
        </w:rPr>
      </w:pPr>
      <w:r w:rsidRPr="00615ED7">
        <w:rPr>
          <w:rFonts w:ascii="Arial" w:hAnsi="Arial" w:cs="Arial"/>
          <w:bCs/>
          <w:sz w:val="22"/>
          <w:szCs w:val="22"/>
        </w:rPr>
        <w:t>The 6 characteristics of high quality, sustainable health and care systems in 5 years time are:</w:t>
      </w:r>
    </w:p>
    <w:p w:rsidR="00853026" w:rsidRPr="00615ED7" w:rsidRDefault="00925C0B" w:rsidP="00615ED7">
      <w:pPr>
        <w:numPr>
          <w:ilvl w:val="0"/>
          <w:numId w:val="25"/>
        </w:numPr>
        <w:rPr>
          <w:rFonts w:ascii="Arial" w:hAnsi="Arial" w:cs="Arial"/>
          <w:bCs/>
          <w:sz w:val="22"/>
          <w:szCs w:val="22"/>
        </w:rPr>
      </w:pPr>
      <w:r w:rsidRPr="00615ED7">
        <w:rPr>
          <w:rFonts w:ascii="Arial" w:hAnsi="Arial" w:cs="Arial"/>
          <w:bCs/>
          <w:sz w:val="22"/>
          <w:szCs w:val="22"/>
        </w:rPr>
        <w:t>Citizen inclusion and empowerment</w:t>
      </w:r>
    </w:p>
    <w:p w:rsidR="00853026" w:rsidRPr="00615ED7" w:rsidRDefault="00925C0B" w:rsidP="00615ED7">
      <w:pPr>
        <w:numPr>
          <w:ilvl w:val="0"/>
          <w:numId w:val="25"/>
        </w:numPr>
        <w:rPr>
          <w:rFonts w:ascii="Arial" w:hAnsi="Arial" w:cs="Arial"/>
          <w:bCs/>
          <w:sz w:val="22"/>
          <w:szCs w:val="22"/>
        </w:rPr>
      </w:pPr>
      <w:r w:rsidRPr="00615ED7">
        <w:rPr>
          <w:rFonts w:ascii="Arial" w:hAnsi="Arial" w:cs="Arial"/>
          <w:bCs/>
          <w:sz w:val="22"/>
          <w:szCs w:val="22"/>
        </w:rPr>
        <w:t>Wider primary care, provided at scale</w:t>
      </w:r>
    </w:p>
    <w:p w:rsidR="00853026" w:rsidRPr="00615ED7" w:rsidRDefault="00925C0B" w:rsidP="00615ED7">
      <w:pPr>
        <w:numPr>
          <w:ilvl w:val="0"/>
          <w:numId w:val="25"/>
        </w:numPr>
        <w:rPr>
          <w:rFonts w:ascii="Arial" w:hAnsi="Arial" w:cs="Arial"/>
          <w:bCs/>
          <w:sz w:val="22"/>
          <w:szCs w:val="22"/>
        </w:rPr>
      </w:pPr>
      <w:r w:rsidRPr="00615ED7">
        <w:rPr>
          <w:rFonts w:ascii="Arial" w:hAnsi="Arial" w:cs="Arial"/>
          <w:bCs/>
          <w:sz w:val="22"/>
          <w:szCs w:val="22"/>
        </w:rPr>
        <w:t>A modern model of integrated care</w:t>
      </w:r>
    </w:p>
    <w:p w:rsidR="00853026" w:rsidRPr="00615ED7" w:rsidRDefault="00925C0B" w:rsidP="00615ED7">
      <w:pPr>
        <w:numPr>
          <w:ilvl w:val="0"/>
          <w:numId w:val="25"/>
        </w:numPr>
        <w:rPr>
          <w:rFonts w:ascii="Arial" w:hAnsi="Arial" w:cs="Arial"/>
          <w:bCs/>
          <w:sz w:val="22"/>
          <w:szCs w:val="22"/>
        </w:rPr>
      </w:pPr>
      <w:r w:rsidRPr="00615ED7">
        <w:rPr>
          <w:rFonts w:ascii="Arial" w:hAnsi="Arial" w:cs="Arial"/>
          <w:bCs/>
          <w:sz w:val="22"/>
          <w:szCs w:val="22"/>
        </w:rPr>
        <w:t>Access to the highest quality urgent and emergency care</w:t>
      </w:r>
    </w:p>
    <w:p w:rsidR="00853026" w:rsidRPr="00615ED7" w:rsidRDefault="00925C0B" w:rsidP="00615ED7">
      <w:pPr>
        <w:numPr>
          <w:ilvl w:val="0"/>
          <w:numId w:val="25"/>
        </w:numPr>
        <w:rPr>
          <w:rFonts w:ascii="Arial" w:hAnsi="Arial" w:cs="Arial"/>
          <w:bCs/>
          <w:sz w:val="22"/>
          <w:szCs w:val="22"/>
        </w:rPr>
      </w:pPr>
      <w:r w:rsidRPr="00615ED7">
        <w:rPr>
          <w:rFonts w:ascii="Arial" w:hAnsi="Arial" w:cs="Arial"/>
          <w:bCs/>
          <w:sz w:val="22"/>
          <w:szCs w:val="22"/>
        </w:rPr>
        <w:t>A step-change in the productivity of elective care</w:t>
      </w:r>
    </w:p>
    <w:p w:rsidR="00853026" w:rsidRDefault="00925C0B" w:rsidP="00615ED7">
      <w:pPr>
        <w:numPr>
          <w:ilvl w:val="0"/>
          <w:numId w:val="25"/>
        </w:numPr>
        <w:rPr>
          <w:rFonts w:ascii="Arial" w:hAnsi="Arial" w:cs="Arial"/>
          <w:bCs/>
          <w:sz w:val="22"/>
          <w:szCs w:val="22"/>
        </w:rPr>
      </w:pPr>
      <w:r w:rsidRPr="00615ED7">
        <w:rPr>
          <w:rFonts w:ascii="Arial" w:hAnsi="Arial" w:cs="Arial"/>
          <w:bCs/>
          <w:sz w:val="22"/>
          <w:szCs w:val="22"/>
        </w:rPr>
        <w:t>Specialised services concentrated in centres of excellence</w:t>
      </w:r>
    </w:p>
    <w:p w:rsidR="00615ED7" w:rsidRDefault="00615ED7" w:rsidP="00615ED7">
      <w:pPr>
        <w:rPr>
          <w:rFonts w:ascii="Arial" w:hAnsi="Arial" w:cs="Arial"/>
          <w:bCs/>
          <w:i/>
          <w:sz w:val="22"/>
          <w:szCs w:val="22"/>
        </w:rPr>
      </w:pPr>
      <w:r w:rsidRPr="00615ED7">
        <w:rPr>
          <w:rFonts w:ascii="Arial" w:hAnsi="Arial" w:cs="Arial"/>
          <w:bCs/>
          <w:i/>
          <w:sz w:val="22"/>
          <w:szCs w:val="22"/>
        </w:rPr>
        <w:t>Figure 2</w:t>
      </w:r>
    </w:p>
    <w:p w:rsidR="00615ED7" w:rsidRDefault="00615ED7" w:rsidP="00615ED7">
      <w:pPr>
        <w:rPr>
          <w:rFonts w:ascii="Arial" w:hAnsi="Arial" w:cs="Arial"/>
          <w:b/>
          <w:bCs/>
          <w:sz w:val="22"/>
          <w:szCs w:val="22"/>
        </w:rPr>
      </w:pPr>
      <w:r>
        <w:rPr>
          <w:rFonts w:ascii="Arial" w:hAnsi="Arial" w:cs="Arial"/>
          <w:b/>
          <w:bCs/>
          <w:sz w:val="22"/>
          <w:szCs w:val="22"/>
        </w:rPr>
        <w:t>Strategic Plan on a Page</w:t>
      </w:r>
    </w:p>
    <w:p w:rsidR="00615ED7" w:rsidRDefault="00615ED7" w:rsidP="00615ED7">
      <w:pPr>
        <w:rPr>
          <w:rFonts w:ascii="Arial" w:hAnsi="Arial" w:cs="Arial"/>
          <w:b/>
          <w:bCs/>
          <w:sz w:val="22"/>
          <w:szCs w:val="22"/>
        </w:rPr>
      </w:pPr>
    </w:p>
    <w:p w:rsidR="008E09EE" w:rsidRDefault="00615ED7" w:rsidP="00615ED7">
      <w:pPr>
        <w:rPr>
          <w:rFonts w:ascii="Arial" w:hAnsi="Arial" w:cs="Arial"/>
          <w:bCs/>
          <w:sz w:val="22"/>
          <w:szCs w:val="22"/>
        </w:rPr>
      </w:pPr>
      <w:r w:rsidRPr="00615ED7">
        <w:rPr>
          <w:rFonts w:ascii="Arial" w:hAnsi="Arial" w:cs="Arial"/>
          <w:bCs/>
          <w:sz w:val="22"/>
          <w:szCs w:val="22"/>
        </w:rPr>
        <w:t>The five year Strategic Plan on a Page</w:t>
      </w:r>
      <w:r w:rsidR="00035B54">
        <w:rPr>
          <w:rFonts w:ascii="Arial" w:hAnsi="Arial" w:cs="Arial"/>
          <w:bCs/>
          <w:sz w:val="22"/>
          <w:szCs w:val="22"/>
        </w:rPr>
        <w:t xml:space="preserve"> (next page)</w:t>
      </w:r>
      <w:r>
        <w:rPr>
          <w:rFonts w:ascii="Arial" w:hAnsi="Arial" w:cs="Arial"/>
          <w:bCs/>
          <w:sz w:val="22"/>
          <w:szCs w:val="22"/>
        </w:rPr>
        <w:t xml:space="preserve"> describes key </w:t>
      </w:r>
      <w:r w:rsidR="008F2DF8">
        <w:rPr>
          <w:rFonts w:ascii="Arial" w:hAnsi="Arial" w:cs="Arial"/>
          <w:bCs/>
          <w:sz w:val="22"/>
          <w:szCs w:val="22"/>
        </w:rPr>
        <w:t xml:space="preserve">aims, </w:t>
      </w:r>
      <w:r>
        <w:rPr>
          <w:rFonts w:ascii="Arial" w:hAnsi="Arial" w:cs="Arial"/>
          <w:bCs/>
          <w:sz w:val="22"/>
          <w:szCs w:val="22"/>
        </w:rPr>
        <w:t>objectives, initiatives and outcomes</w:t>
      </w:r>
      <w:r w:rsidR="008E09EE">
        <w:rPr>
          <w:rFonts w:ascii="Arial" w:hAnsi="Arial" w:cs="Arial"/>
          <w:bCs/>
          <w:sz w:val="22"/>
          <w:szCs w:val="22"/>
        </w:rPr>
        <w:t xml:space="preserve"> for the North East Lincolnshire CCG and “unit of planning” (in this instance the corresponding </w:t>
      </w:r>
      <w:r w:rsidR="003E2921">
        <w:rPr>
          <w:rFonts w:ascii="Arial" w:hAnsi="Arial" w:cs="Arial"/>
          <w:bCs/>
          <w:sz w:val="22"/>
          <w:szCs w:val="22"/>
        </w:rPr>
        <w:t>NEL unitary</w:t>
      </w:r>
      <w:r w:rsidR="008E09EE">
        <w:rPr>
          <w:rFonts w:ascii="Arial" w:hAnsi="Arial" w:cs="Arial"/>
          <w:bCs/>
          <w:sz w:val="22"/>
          <w:szCs w:val="22"/>
        </w:rPr>
        <w:t xml:space="preserve"> authority area)</w:t>
      </w:r>
      <w:r w:rsidR="00035B54">
        <w:rPr>
          <w:rFonts w:ascii="Arial" w:hAnsi="Arial" w:cs="Arial"/>
          <w:bCs/>
          <w:sz w:val="22"/>
          <w:szCs w:val="22"/>
        </w:rPr>
        <w:t>.</w:t>
      </w:r>
      <w:r w:rsidR="00CB3C50">
        <w:rPr>
          <w:rFonts w:ascii="Arial" w:hAnsi="Arial" w:cs="Arial"/>
          <w:bCs/>
          <w:sz w:val="22"/>
          <w:szCs w:val="22"/>
        </w:rPr>
        <w:t xml:space="preserve"> The red indicators correspond with the six characteristics of high quality, sustainable health and care systems.</w:t>
      </w:r>
    </w:p>
    <w:p w:rsidR="00CB3C50" w:rsidRDefault="00CB3C50" w:rsidP="00615ED7">
      <w:pPr>
        <w:rPr>
          <w:rFonts w:ascii="Arial" w:hAnsi="Arial" w:cs="Arial"/>
          <w:bCs/>
          <w:sz w:val="22"/>
          <w:szCs w:val="22"/>
        </w:rPr>
      </w:pPr>
    </w:p>
    <w:p w:rsidR="008F2DF8" w:rsidRDefault="008F2DF8" w:rsidP="008F2DF8">
      <w:pPr>
        <w:rPr>
          <w:rFonts w:ascii="Arial" w:hAnsi="Arial" w:cs="Arial"/>
          <w:bCs/>
          <w:sz w:val="22"/>
          <w:szCs w:val="22"/>
        </w:rPr>
      </w:pPr>
      <w:r w:rsidRPr="008F2DF8">
        <w:rPr>
          <w:rFonts w:ascii="Arial" w:hAnsi="Arial" w:cs="Arial"/>
          <w:bCs/>
          <w:sz w:val="22"/>
          <w:szCs w:val="22"/>
        </w:rPr>
        <w:t xml:space="preserve">Our strategic aims, as set out in our constitution and </w:t>
      </w:r>
      <w:r w:rsidR="001C172B">
        <w:rPr>
          <w:rFonts w:ascii="Arial" w:hAnsi="Arial" w:cs="Arial"/>
          <w:bCs/>
          <w:sz w:val="22"/>
          <w:szCs w:val="22"/>
        </w:rPr>
        <w:t>identified in the S</w:t>
      </w:r>
      <w:r w:rsidRPr="008F2DF8">
        <w:rPr>
          <w:rFonts w:ascii="Arial" w:hAnsi="Arial" w:cs="Arial"/>
          <w:bCs/>
          <w:sz w:val="22"/>
          <w:szCs w:val="22"/>
        </w:rPr>
        <w:t xml:space="preserve">trategic </w:t>
      </w:r>
      <w:r w:rsidR="001C172B">
        <w:rPr>
          <w:rFonts w:ascii="Arial" w:hAnsi="Arial" w:cs="Arial"/>
          <w:bCs/>
          <w:sz w:val="22"/>
          <w:szCs w:val="22"/>
        </w:rPr>
        <w:t>Plan on a P</w:t>
      </w:r>
      <w:r w:rsidRPr="008F2DF8">
        <w:rPr>
          <w:rFonts w:ascii="Arial" w:hAnsi="Arial" w:cs="Arial"/>
          <w:bCs/>
          <w:sz w:val="22"/>
          <w:szCs w:val="22"/>
        </w:rPr>
        <w:t>age are de</w:t>
      </w:r>
      <w:r>
        <w:rPr>
          <w:rFonts w:ascii="Arial" w:hAnsi="Arial" w:cs="Arial"/>
          <w:bCs/>
          <w:sz w:val="22"/>
          <w:szCs w:val="22"/>
        </w:rPr>
        <w:t xml:space="preserve">fined as below </w:t>
      </w:r>
    </w:p>
    <w:p w:rsidR="008F2DF8" w:rsidRPr="008F2DF8" w:rsidRDefault="008F2DF8" w:rsidP="008F2DF8">
      <w:pPr>
        <w:rPr>
          <w:rFonts w:ascii="Arial" w:hAnsi="Arial" w:cs="Arial"/>
          <w:bCs/>
          <w:sz w:val="22"/>
          <w:szCs w:val="22"/>
        </w:rPr>
      </w:pPr>
    </w:p>
    <w:tbl>
      <w:tblPr>
        <w:tblStyle w:val="TableGrid"/>
        <w:tblW w:w="0" w:type="auto"/>
        <w:tblInd w:w="108" w:type="dxa"/>
        <w:tblLook w:val="04A0" w:firstRow="1" w:lastRow="0" w:firstColumn="1" w:lastColumn="0" w:noHBand="0" w:noVBand="1"/>
      </w:tblPr>
      <w:tblGrid>
        <w:gridCol w:w="3216"/>
        <w:gridCol w:w="3522"/>
        <w:gridCol w:w="3297"/>
      </w:tblGrid>
      <w:tr w:rsidR="008F2DF8" w:rsidRPr="008F2DF8" w:rsidTr="008F2DF8">
        <w:tc>
          <w:tcPr>
            <w:tcW w:w="3216" w:type="dxa"/>
            <w:tcBorders>
              <w:bottom w:val="single" w:sz="4" w:space="0" w:color="auto"/>
            </w:tcBorders>
            <w:shd w:val="clear" w:color="auto" w:fill="8DB3E2" w:themeFill="text2" w:themeFillTint="66"/>
          </w:tcPr>
          <w:p w:rsidR="008F2DF8" w:rsidRPr="008F2DF8" w:rsidRDefault="008F2DF8" w:rsidP="00103CE4">
            <w:pPr>
              <w:rPr>
                <w:rFonts w:ascii="Arial" w:hAnsi="Arial" w:cs="Arial"/>
                <w:b/>
                <w:bCs/>
                <w:sz w:val="22"/>
                <w:szCs w:val="22"/>
              </w:rPr>
            </w:pPr>
            <w:r w:rsidRPr="008F2DF8">
              <w:rPr>
                <w:rFonts w:ascii="Arial" w:hAnsi="Arial" w:cs="Arial"/>
                <w:b/>
                <w:bCs/>
                <w:sz w:val="22"/>
                <w:szCs w:val="22"/>
              </w:rPr>
              <w:t>Empowering People</w:t>
            </w:r>
          </w:p>
        </w:tc>
        <w:tc>
          <w:tcPr>
            <w:tcW w:w="3522" w:type="dxa"/>
            <w:tcBorders>
              <w:bottom w:val="single" w:sz="4" w:space="0" w:color="auto"/>
            </w:tcBorders>
            <w:shd w:val="clear" w:color="auto" w:fill="8DB3E2" w:themeFill="text2" w:themeFillTint="66"/>
          </w:tcPr>
          <w:p w:rsidR="008F2DF8" w:rsidRPr="008F2DF8" w:rsidRDefault="008F2DF8" w:rsidP="00103CE4">
            <w:pPr>
              <w:rPr>
                <w:rFonts w:ascii="Arial" w:hAnsi="Arial" w:cs="Arial"/>
                <w:b/>
                <w:bCs/>
                <w:sz w:val="22"/>
                <w:szCs w:val="22"/>
              </w:rPr>
            </w:pPr>
            <w:r w:rsidRPr="008F2DF8">
              <w:rPr>
                <w:rFonts w:ascii="Arial" w:hAnsi="Arial" w:cs="Arial"/>
                <w:b/>
                <w:bCs/>
                <w:sz w:val="22"/>
                <w:szCs w:val="22"/>
              </w:rPr>
              <w:t>Supporting Communities</w:t>
            </w:r>
          </w:p>
        </w:tc>
        <w:tc>
          <w:tcPr>
            <w:tcW w:w="3297" w:type="dxa"/>
            <w:tcBorders>
              <w:bottom w:val="single" w:sz="4" w:space="0" w:color="auto"/>
            </w:tcBorders>
            <w:shd w:val="clear" w:color="auto" w:fill="8DB3E2" w:themeFill="text2" w:themeFillTint="66"/>
          </w:tcPr>
          <w:p w:rsidR="008F2DF8" w:rsidRPr="008F2DF8" w:rsidRDefault="008F2DF8" w:rsidP="00103CE4">
            <w:pPr>
              <w:rPr>
                <w:rFonts w:ascii="Arial" w:hAnsi="Arial" w:cs="Arial"/>
                <w:b/>
                <w:bCs/>
                <w:sz w:val="22"/>
                <w:szCs w:val="22"/>
              </w:rPr>
            </w:pPr>
            <w:r w:rsidRPr="008F2DF8">
              <w:rPr>
                <w:rFonts w:ascii="Arial" w:hAnsi="Arial" w:cs="Arial"/>
                <w:b/>
                <w:bCs/>
                <w:sz w:val="22"/>
                <w:szCs w:val="22"/>
              </w:rPr>
              <w:t xml:space="preserve">Delivering sustainable services                </w:t>
            </w:r>
          </w:p>
        </w:tc>
      </w:tr>
      <w:tr w:rsidR="008F2DF8" w:rsidRPr="008F2DF8" w:rsidTr="008F2DF8">
        <w:tc>
          <w:tcPr>
            <w:tcW w:w="10035" w:type="dxa"/>
            <w:gridSpan w:val="3"/>
            <w:shd w:val="clear" w:color="auto" w:fill="B8CCE4" w:themeFill="accent1" w:themeFillTint="66"/>
          </w:tcPr>
          <w:p w:rsidR="008F2DF8" w:rsidRPr="008F2DF8" w:rsidRDefault="008F2DF8" w:rsidP="00103CE4">
            <w:pPr>
              <w:rPr>
                <w:rFonts w:ascii="Arial" w:hAnsi="Arial" w:cs="Arial"/>
                <w:b/>
                <w:bCs/>
                <w:sz w:val="22"/>
                <w:szCs w:val="22"/>
              </w:rPr>
            </w:pPr>
            <w:r w:rsidRPr="008F2DF8">
              <w:rPr>
                <w:rFonts w:ascii="Arial" w:hAnsi="Arial" w:cs="Arial"/>
                <w:b/>
                <w:bCs/>
                <w:sz w:val="22"/>
                <w:szCs w:val="22"/>
              </w:rPr>
              <w:t>Aim</w:t>
            </w:r>
          </w:p>
        </w:tc>
      </w:tr>
      <w:tr w:rsidR="008F2DF8" w:rsidRPr="008F2DF8" w:rsidTr="008F2DF8">
        <w:tc>
          <w:tcPr>
            <w:tcW w:w="3216" w:type="dxa"/>
            <w:tcBorders>
              <w:bottom w:val="single" w:sz="4" w:space="0" w:color="auto"/>
            </w:tcBorders>
          </w:tcPr>
          <w:p w:rsidR="008F2DF8" w:rsidRPr="008F2DF8" w:rsidRDefault="008F2DF8" w:rsidP="00103CE4">
            <w:pPr>
              <w:rPr>
                <w:rFonts w:ascii="Arial" w:hAnsi="Arial" w:cs="Arial"/>
                <w:bCs/>
                <w:sz w:val="22"/>
                <w:szCs w:val="22"/>
              </w:rPr>
            </w:pPr>
            <w:r w:rsidRPr="008F2DF8">
              <w:rPr>
                <w:rFonts w:ascii="Arial" w:hAnsi="Arial" w:cs="Arial"/>
                <w:bCs/>
                <w:sz w:val="22"/>
                <w:szCs w:val="22"/>
              </w:rPr>
              <w:t>By 2019 individuals and groups in North East Lincolnshire are equal and active partners in managing their health and care</w:t>
            </w:r>
          </w:p>
        </w:tc>
        <w:tc>
          <w:tcPr>
            <w:tcW w:w="3522" w:type="dxa"/>
            <w:tcBorders>
              <w:bottom w:val="single" w:sz="4" w:space="0" w:color="auto"/>
            </w:tcBorders>
          </w:tcPr>
          <w:p w:rsidR="008F2DF8" w:rsidRPr="008F2DF8" w:rsidRDefault="008F2DF8" w:rsidP="00103CE4">
            <w:pPr>
              <w:rPr>
                <w:rFonts w:ascii="Arial" w:hAnsi="Arial" w:cs="Arial"/>
                <w:bCs/>
                <w:sz w:val="22"/>
                <w:szCs w:val="22"/>
              </w:rPr>
            </w:pPr>
            <w:r w:rsidRPr="008F2DF8">
              <w:rPr>
                <w:rFonts w:ascii="Arial" w:hAnsi="Arial" w:cs="Arial"/>
                <w:bCs/>
                <w:sz w:val="22"/>
                <w:szCs w:val="22"/>
              </w:rPr>
              <w:t xml:space="preserve">By 2019, people are managing their health and care effectively at home and the health inequalities between our most affluent and least affluent wards have narrowed </w:t>
            </w:r>
          </w:p>
        </w:tc>
        <w:tc>
          <w:tcPr>
            <w:tcW w:w="3297" w:type="dxa"/>
            <w:tcBorders>
              <w:bottom w:val="single" w:sz="4" w:space="0" w:color="auto"/>
            </w:tcBorders>
          </w:tcPr>
          <w:p w:rsidR="008F2DF8" w:rsidRPr="008F2DF8" w:rsidRDefault="008F2DF8" w:rsidP="00103CE4">
            <w:pPr>
              <w:rPr>
                <w:rFonts w:ascii="Arial" w:hAnsi="Arial" w:cs="Arial"/>
                <w:bCs/>
                <w:sz w:val="22"/>
                <w:szCs w:val="22"/>
              </w:rPr>
            </w:pPr>
            <w:r w:rsidRPr="008F2DF8">
              <w:rPr>
                <w:rFonts w:ascii="Arial" w:hAnsi="Arial" w:cs="Arial"/>
                <w:bCs/>
                <w:sz w:val="22"/>
                <w:szCs w:val="22"/>
              </w:rPr>
              <w:t>By 2019 the health and care economy is delivering care which is of consistently high quality and is financially sustainable in the long term</w:t>
            </w:r>
          </w:p>
        </w:tc>
      </w:tr>
    </w:tbl>
    <w:p w:rsidR="008F2DF8" w:rsidRDefault="008F2DF8" w:rsidP="00615ED7">
      <w:pPr>
        <w:rPr>
          <w:rFonts w:ascii="Arial" w:hAnsi="Arial" w:cs="Arial"/>
          <w:bCs/>
          <w:sz w:val="22"/>
          <w:szCs w:val="22"/>
        </w:rPr>
      </w:pPr>
    </w:p>
    <w:p w:rsidR="00CB3C50" w:rsidRDefault="00CB3C50" w:rsidP="00615ED7">
      <w:pPr>
        <w:rPr>
          <w:rFonts w:ascii="Arial" w:hAnsi="Arial" w:cs="Arial"/>
          <w:bCs/>
          <w:sz w:val="22"/>
          <w:szCs w:val="22"/>
        </w:rPr>
      </w:pPr>
      <w:r>
        <w:rPr>
          <w:rFonts w:ascii="Arial" w:hAnsi="Arial" w:cs="Arial"/>
          <w:bCs/>
          <w:sz w:val="22"/>
          <w:szCs w:val="22"/>
        </w:rPr>
        <w:t xml:space="preserve">Also described </w:t>
      </w:r>
      <w:r w:rsidR="008F2DF8">
        <w:rPr>
          <w:rFonts w:ascii="Arial" w:hAnsi="Arial" w:cs="Arial"/>
          <w:bCs/>
          <w:sz w:val="22"/>
          <w:szCs w:val="22"/>
        </w:rPr>
        <w:t xml:space="preserve">on the Plan on a Page </w:t>
      </w:r>
      <w:r>
        <w:rPr>
          <w:rFonts w:ascii="Arial" w:hAnsi="Arial" w:cs="Arial"/>
          <w:bCs/>
          <w:sz w:val="22"/>
          <w:szCs w:val="22"/>
        </w:rPr>
        <w:t>are the high level measures of success, the underpinning values and principles and the governance mechanisms that will allow the local system to measure and demonstrate successful delivery of the objectives.</w:t>
      </w:r>
    </w:p>
    <w:p w:rsidR="00035B54" w:rsidRDefault="00035B54" w:rsidP="00615ED7">
      <w:pPr>
        <w:rPr>
          <w:rFonts w:ascii="Arial" w:hAnsi="Arial" w:cs="Arial"/>
          <w:bCs/>
          <w:sz w:val="22"/>
          <w:szCs w:val="22"/>
        </w:rPr>
      </w:pPr>
    </w:p>
    <w:p w:rsidR="00035B54" w:rsidRDefault="00035B54" w:rsidP="00615ED7">
      <w:pPr>
        <w:rPr>
          <w:rFonts w:ascii="Arial" w:hAnsi="Arial" w:cs="Arial"/>
          <w:bCs/>
          <w:sz w:val="22"/>
          <w:szCs w:val="22"/>
        </w:rPr>
      </w:pPr>
      <w:r>
        <w:rPr>
          <w:rFonts w:ascii="Arial" w:hAnsi="Arial" w:cs="Arial"/>
          <w:bCs/>
          <w:sz w:val="22"/>
          <w:szCs w:val="22"/>
        </w:rPr>
        <w:t xml:space="preserve">This Plan on a Page aligns with the strategic direction of travel set out within Healthy Lives, Healthy Futures which describes the “shift to the left” in relation to moving the emphasis of health and care towards self-care and independent living </w:t>
      </w:r>
      <w:r w:rsidR="00CB3C50">
        <w:rPr>
          <w:rFonts w:ascii="Arial" w:hAnsi="Arial" w:cs="Arial"/>
          <w:bCs/>
          <w:sz w:val="22"/>
          <w:szCs w:val="22"/>
        </w:rPr>
        <w:t>and out-of-</w:t>
      </w:r>
      <w:r w:rsidR="00F45575">
        <w:rPr>
          <w:rFonts w:ascii="Arial" w:hAnsi="Arial" w:cs="Arial"/>
          <w:bCs/>
          <w:sz w:val="22"/>
          <w:szCs w:val="22"/>
        </w:rPr>
        <w:t>hospital care</w:t>
      </w:r>
      <w:r w:rsidR="00206758">
        <w:rPr>
          <w:rFonts w:ascii="Arial" w:hAnsi="Arial" w:cs="Arial"/>
          <w:bCs/>
          <w:sz w:val="22"/>
          <w:szCs w:val="22"/>
        </w:rPr>
        <w:t>. Whilst working closely with commissioners and providers across Northern Lincolnshire, the NELCCG Strategic Plan</w:t>
      </w:r>
      <w:r w:rsidR="00CB3C50">
        <w:rPr>
          <w:rFonts w:ascii="Arial" w:hAnsi="Arial" w:cs="Arial"/>
          <w:bCs/>
          <w:sz w:val="22"/>
          <w:szCs w:val="22"/>
        </w:rPr>
        <w:t xml:space="preserve"> is </w:t>
      </w:r>
      <w:r w:rsidR="003E2921">
        <w:rPr>
          <w:rFonts w:ascii="Arial" w:hAnsi="Arial" w:cs="Arial"/>
          <w:bCs/>
          <w:sz w:val="22"/>
          <w:szCs w:val="22"/>
        </w:rPr>
        <w:t>designed to</w:t>
      </w:r>
      <w:r w:rsidR="00CB3C50">
        <w:rPr>
          <w:rFonts w:ascii="Arial" w:hAnsi="Arial" w:cs="Arial"/>
          <w:bCs/>
          <w:sz w:val="22"/>
          <w:szCs w:val="22"/>
        </w:rPr>
        <w:t xml:space="preserve"> be responsive to localised health and social care needs.</w:t>
      </w:r>
    </w:p>
    <w:p w:rsidR="00CB3C50" w:rsidRDefault="00CB3C50" w:rsidP="00615ED7">
      <w:pPr>
        <w:rPr>
          <w:rFonts w:ascii="Arial" w:hAnsi="Arial" w:cs="Arial"/>
          <w:bCs/>
          <w:sz w:val="22"/>
          <w:szCs w:val="22"/>
        </w:rPr>
      </w:pPr>
    </w:p>
    <w:p w:rsidR="00CB3C50" w:rsidRDefault="00CB3C50" w:rsidP="00615ED7">
      <w:pPr>
        <w:rPr>
          <w:rFonts w:ascii="Arial" w:hAnsi="Arial" w:cs="Arial"/>
          <w:b/>
          <w:bCs/>
          <w:sz w:val="22"/>
          <w:szCs w:val="22"/>
        </w:rPr>
      </w:pPr>
      <w:r w:rsidRPr="00CB3C50">
        <w:rPr>
          <w:rFonts w:ascii="Arial" w:hAnsi="Arial" w:cs="Arial"/>
          <w:b/>
          <w:bCs/>
          <w:sz w:val="22"/>
          <w:szCs w:val="22"/>
        </w:rPr>
        <w:t>Key building blocks of the strategic plan</w:t>
      </w:r>
    </w:p>
    <w:p w:rsidR="00CB3C50" w:rsidRDefault="00CB3C50" w:rsidP="00615ED7">
      <w:pPr>
        <w:rPr>
          <w:rFonts w:ascii="Arial" w:hAnsi="Arial" w:cs="Arial"/>
          <w:b/>
          <w:bCs/>
          <w:sz w:val="22"/>
          <w:szCs w:val="22"/>
        </w:rPr>
      </w:pPr>
    </w:p>
    <w:p w:rsidR="00CB3C50" w:rsidRPr="00CB3C50" w:rsidRDefault="00CB3C50" w:rsidP="00615ED7">
      <w:pPr>
        <w:rPr>
          <w:rFonts w:ascii="Arial" w:hAnsi="Arial" w:cs="Arial"/>
          <w:bCs/>
          <w:sz w:val="22"/>
          <w:szCs w:val="22"/>
        </w:rPr>
      </w:pPr>
      <w:r>
        <w:rPr>
          <w:rFonts w:ascii="Arial" w:hAnsi="Arial" w:cs="Arial"/>
          <w:bCs/>
          <w:sz w:val="22"/>
          <w:szCs w:val="22"/>
        </w:rPr>
        <w:t>In order to deliver the outcomes identified and create the framework within which to redesign local health and care services, the following elements will feature prominently in our work</w:t>
      </w:r>
      <w:r w:rsidR="001C172B">
        <w:rPr>
          <w:rFonts w:ascii="Arial" w:hAnsi="Arial" w:cs="Arial"/>
          <w:bCs/>
          <w:sz w:val="22"/>
          <w:szCs w:val="22"/>
        </w:rPr>
        <w:t>.</w:t>
      </w:r>
    </w:p>
    <w:p w:rsidR="00CB3C50" w:rsidRDefault="00CB3C50" w:rsidP="00615ED7">
      <w:pPr>
        <w:rPr>
          <w:rFonts w:ascii="Arial" w:hAnsi="Arial" w:cs="Arial"/>
          <w:bCs/>
          <w:sz w:val="22"/>
          <w:szCs w:val="22"/>
        </w:rPr>
      </w:pPr>
    </w:p>
    <w:p w:rsidR="00853026" w:rsidRPr="00CB3C50" w:rsidRDefault="00925C0B" w:rsidP="00CB3C50">
      <w:pPr>
        <w:numPr>
          <w:ilvl w:val="0"/>
          <w:numId w:val="27"/>
        </w:numPr>
        <w:rPr>
          <w:rFonts w:ascii="Arial" w:hAnsi="Arial" w:cs="Arial"/>
          <w:bCs/>
          <w:sz w:val="22"/>
          <w:szCs w:val="22"/>
        </w:rPr>
      </w:pPr>
      <w:r w:rsidRPr="00CB3C50">
        <w:rPr>
          <w:rFonts w:ascii="Arial" w:hAnsi="Arial" w:cs="Arial"/>
          <w:bCs/>
          <w:sz w:val="22"/>
          <w:szCs w:val="22"/>
        </w:rPr>
        <w:t xml:space="preserve">Cultural shift towards </w:t>
      </w:r>
      <w:r w:rsidR="003E2921" w:rsidRPr="00CB3C50">
        <w:rPr>
          <w:rFonts w:ascii="Arial" w:hAnsi="Arial" w:cs="Arial"/>
          <w:bCs/>
          <w:sz w:val="22"/>
          <w:szCs w:val="22"/>
        </w:rPr>
        <w:t>self-care</w:t>
      </w:r>
      <w:r w:rsidRPr="00CB3C50">
        <w:rPr>
          <w:rFonts w:ascii="Arial" w:hAnsi="Arial" w:cs="Arial"/>
          <w:bCs/>
          <w:sz w:val="22"/>
          <w:szCs w:val="22"/>
        </w:rPr>
        <w:t xml:space="preserve"> and </w:t>
      </w:r>
      <w:r w:rsidR="003E2921" w:rsidRPr="00CB3C50">
        <w:rPr>
          <w:rFonts w:ascii="Arial" w:hAnsi="Arial" w:cs="Arial"/>
          <w:bCs/>
          <w:sz w:val="22"/>
          <w:szCs w:val="22"/>
        </w:rPr>
        <w:t>self-responsibility</w:t>
      </w:r>
    </w:p>
    <w:p w:rsidR="00853026" w:rsidRPr="00CB3C50" w:rsidRDefault="00925C0B" w:rsidP="00CB3C50">
      <w:pPr>
        <w:numPr>
          <w:ilvl w:val="0"/>
          <w:numId w:val="27"/>
        </w:numPr>
        <w:rPr>
          <w:rFonts w:ascii="Arial" w:hAnsi="Arial" w:cs="Arial"/>
          <w:bCs/>
          <w:sz w:val="22"/>
          <w:szCs w:val="22"/>
        </w:rPr>
      </w:pPr>
      <w:r w:rsidRPr="00CB3C50">
        <w:rPr>
          <w:rFonts w:ascii="Arial" w:hAnsi="Arial" w:cs="Arial"/>
          <w:bCs/>
          <w:sz w:val="22"/>
          <w:szCs w:val="22"/>
        </w:rPr>
        <w:t>Making best use of innovation and embracing opportunities to innovate</w:t>
      </w:r>
    </w:p>
    <w:p w:rsidR="00853026" w:rsidRPr="00CB3C50" w:rsidRDefault="00925C0B" w:rsidP="00CB3C50">
      <w:pPr>
        <w:numPr>
          <w:ilvl w:val="0"/>
          <w:numId w:val="27"/>
        </w:numPr>
        <w:rPr>
          <w:rFonts w:ascii="Arial" w:hAnsi="Arial" w:cs="Arial"/>
          <w:bCs/>
          <w:sz w:val="22"/>
          <w:szCs w:val="22"/>
        </w:rPr>
      </w:pPr>
      <w:r w:rsidRPr="00CB3C50">
        <w:rPr>
          <w:rFonts w:ascii="Arial" w:hAnsi="Arial" w:cs="Arial"/>
          <w:bCs/>
          <w:sz w:val="22"/>
          <w:szCs w:val="22"/>
        </w:rPr>
        <w:t>Utilising technology effectively</w:t>
      </w:r>
    </w:p>
    <w:p w:rsidR="00853026" w:rsidRPr="00CB3C50" w:rsidRDefault="00925C0B" w:rsidP="00CB3C50">
      <w:pPr>
        <w:numPr>
          <w:ilvl w:val="0"/>
          <w:numId w:val="27"/>
        </w:numPr>
        <w:rPr>
          <w:rFonts w:ascii="Arial" w:hAnsi="Arial" w:cs="Arial"/>
          <w:bCs/>
          <w:sz w:val="22"/>
          <w:szCs w:val="22"/>
        </w:rPr>
      </w:pPr>
      <w:r w:rsidRPr="00CB3C50">
        <w:rPr>
          <w:rFonts w:ascii="Arial" w:hAnsi="Arial" w:cs="Arial"/>
          <w:bCs/>
          <w:sz w:val="22"/>
          <w:szCs w:val="22"/>
        </w:rPr>
        <w:t>Recognising contextual factors – demographics, integrated care, geographical location, workforce issues, national economic drivers</w:t>
      </w:r>
    </w:p>
    <w:p w:rsidR="00853026" w:rsidRPr="00CB3C50" w:rsidRDefault="00925C0B" w:rsidP="00CB3C50">
      <w:pPr>
        <w:numPr>
          <w:ilvl w:val="0"/>
          <w:numId w:val="27"/>
        </w:numPr>
        <w:rPr>
          <w:rFonts w:ascii="Arial" w:hAnsi="Arial" w:cs="Arial"/>
          <w:bCs/>
          <w:sz w:val="22"/>
          <w:szCs w:val="22"/>
        </w:rPr>
      </w:pPr>
      <w:r w:rsidRPr="00CB3C50">
        <w:rPr>
          <w:rFonts w:ascii="Arial" w:hAnsi="Arial" w:cs="Arial"/>
          <w:bCs/>
          <w:sz w:val="22"/>
          <w:szCs w:val="22"/>
        </w:rPr>
        <w:t>Maintaining gains in delivery of urgent care and delivering sustainability through shifts in delivery of planned care</w:t>
      </w:r>
    </w:p>
    <w:p w:rsidR="00853026" w:rsidRPr="00CB3C50" w:rsidRDefault="00925C0B" w:rsidP="00CB3C50">
      <w:pPr>
        <w:numPr>
          <w:ilvl w:val="0"/>
          <w:numId w:val="27"/>
        </w:numPr>
        <w:rPr>
          <w:rFonts w:ascii="Arial" w:hAnsi="Arial" w:cs="Arial"/>
          <w:bCs/>
          <w:sz w:val="22"/>
          <w:szCs w:val="22"/>
        </w:rPr>
      </w:pPr>
      <w:r w:rsidRPr="00CB3C50">
        <w:rPr>
          <w:rFonts w:ascii="Arial" w:hAnsi="Arial" w:cs="Arial"/>
          <w:bCs/>
          <w:sz w:val="22"/>
          <w:szCs w:val="22"/>
        </w:rPr>
        <w:t>Influencing and responding to changes in direct commissioning – specialised, primary care, public health england</w:t>
      </w:r>
    </w:p>
    <w:p w:rsidR="00CB3C50" w:rsidRDefault="00CB3C50" w:rsidP="00615ED7">
      <w:pPr>
        <w:rPr>
          <w:rFonts w:ascii="Arial" w:hAnsi="Arial" w:cs="Arial"/>
          <w:bCs/>
          <w:sz w:val="22"/>
          <w:szCs w:val="22"/>
        </w:rPr>
      </w:pPr>
    </w:p>
    <w:p w:rsidR="00035B54" w:rsidRPr="00CB3C50" w:rsidRDefault="00D4522B" w:rsidP="00615ED7">
      <w:pPr>
        <w:rPr>
          <w:rFonts w:ascii="Arial" w:hAnsi="Arial" w:cs="Arial"/>
          <w:b/>
          <w:bCs/>
          <w:sz w:val="22"/>
          <w:szCs w:val="22"/>
        </w:rPr>
      </w:pPr>
      <w:r>
        <w:rPr>
          <w:rFonts w:ascii="Arial" w:hAnsi="Arial" w:cs="Arial"/>
          <w:b/>
          <w:bCs/>
          <w:sz w:val="22"/>
          <w:szCs w:val="22"/>
        </w:rPr>
        <w:t>Integrated</w:t>
      </w:r>
      <w:r w:rsidR="00CB3C50" w:rsidRPr="00CB3C50">
        <w:rPr>
          <w:rFonts w:ascii="Arial" w:hAnsi="Arial" w:cs="Arial"/>
          <w:b/>
          <w:bCs/>
          <w:sz w:val="22"/>
          <w:szCs w:val="22"/>
        </w:rPr>
        <w:t xml:space="preserve"> Care</w:t>
      </w:r>
      <w:r>
        <w:rPr>
          <w:rFonts w:ascii="Arial" w:hAnsi="Arial" w:cs="Arial"/>
          <w:b/>
          <w:bCs/>
          <w:sz w:val="22"/>
          <w:szCs w:val="22"/>
        </w:rPr>
        <w:t xml:space="preserve"> and the Better Care Fund</w:t>
      </w:r>
    </w:p>
    <w:p w:rsidR="00CB3C50" w:rsidRDefault="00CB3C50" w:rsidP="00615ED7">
      <w:pPr>
        <w:rPr>
          <w:rFonts w:ascii="Arial" w:hAnsi="Arial" w:cs="Arial"/>
          <w:bCs/>
          <w:sz w:val="22"/>
          <w:szCs w:val="22"/>
        </w:rPr>
      </w:pPr>
    </w:p>
    <w:p w:rsidR="00D4522B" w:rsidRDefault="00D4522B" w:rsidP="00615ED7">
      <w:pPr>
        <w:rPr>
          <w:rFonts w:ascii="Arial" w:hAnsi="Arial" w:cs="Arial"/>
          <w:bCs/>
          <w:sz w:val="22"/>
          <w:szCs w:val="22"/>
        </w:rPr>
      </w:pPr>
      <w:r>
        <w:rPr>
          <w:rFonts w:ascii="Arial" w:hAnsi="Arial" w:cs="Arial"/>
          <w:bCs/>
          <w:sz w:val="22"/>
          <w:szCs w:val="22"/>
        </w:rPr>
        <w:t>The CCG Strategic Plan r</w:t>
      </w:r>
      <w:r w:rsidR="00CB3C50">
        <w:rPr>
          <w:rFonts w:ascii="Arial" w:hAnsi="Arial" w:cs="Arial"/>
          <w:bCs/>
          <w:sz w:val="22"/>
          <w:szCs w:val="22"/>
        </w:rPr>
        <w:t>ecognis</w:t>
      </w:r>
      <w:r>
        <w:rPr>
          <w:rFonts w:ascii="Arial" w:hAnsi="Arial" w:cs="Arial"/>
          <w:bCs/>
          <w:sz w:val="22"/>
          <w:szCs w:val="22"/>
        </w:rPr>
        <w:t>es</w:t>
      </w:r>
      <w:r w:rsidR="00CB3C50">
        <w:rPr>
          <w:rFonts w:ascii="Arial" w:hAnsi="Arial" w:cs="Arial"/>
          <w:bCs/>
          <w:sz w:val="22"/>
          <w:szCs w:val="22"/>
        </w:rPr>
        <w:t xml:space="preserve"> the unique nature </w:t>
      </w:r>
      <w:r>
        <w:rPr>
          <w:rFonts w:ascii="Arial" w:hAnsi="Arial" w:cs="Arial"/>
          <w:bCs/>
          <w:sz w:val="22"/>
          <w:szCs w:val="22"/>
        </w:rPr>
        <w:t>of commissioning arrangements in North East Lincolnshire and the opportunities this affords in terms of delivering seamless care solutions between health and social care. A key part of this delivery will be the establishment of an integrated Single Point of Access which will be an enabler for more integrated care solutions into the future</w:t>
      </w:r>
    </w:p>
    <w:p w:rsidR="00D4522B" w:rsidRDefault="00D4522B" w:rsidP="00615ED7">
      <w:pPr>
        <w:rPr>
          <w:rFonts w:ascii="Arial" w:hAnsi="Arial" w:cs="Arial"/>
          <w:bCs/>
          <w:sz w:val="22"/>
          <w:szCs w:val="22"/>
        </w:rPr>
      </w:pPr>
    </w:p>
    <w:p w:rsidR="001C6271" w:rsidRDefault="00D4522B" w:rsidP="00CB3C50">
      <w:pPr>
        <w:rPr>
          <w:rFonts w:ascii="Arial" w:hAnsi="Arial" w:cs="Arial"/>
          <w:bCs/>
          <w:noProof/>
          <w:sz w:val="22"/>
          <w:szCs w:val="22"/>
        </w:rPr>
      </w:pPr>
      <w:r>
        <w:rPr>
          <w:rFonts w:ascii="Arial" w:hAnsi="Arial" w:cs="Arial"/>
          <w:bCs/>
          <w:sz w:val="22"/>
          <w:szCs w:val="22"/>
        </w:rPr>
        <w:t>The priorities framework</w:t>
      </w:r>
      <w:r w:rsidR="001C172B">
        <w:rPr>
          <w:rFonts w:ascii="Arial" w:hAnsi="Arial" w:cs="Arial"/>
          <w:bCs/>
          <w:sz w:val="22"/>
          <w:szCs w:val="22"/>
        </w:rPr>
        <w:t xml:space="preserve"> described in the CCG’s Adult Social Care strategy reflects</w:t>
      </w:r>
      <w:r>
        <w:rPr>
          <w:rFonts w:ascii="Arial" w:hAnsi="Arial" w:cs="Arial"/>
          <w:bCs/>
          <w:sz w:val="22"/>
          <w:szCs w:val="22"/>
        </w:rPr>
        <w:t xml:space="preserve"> the range of care solutions which will meet local need into the medium term and beyond</w:t>
      </w:r>
      <w:r>
        <w:rPr>
          <w:rFonts w:ascii="Arial" w:hAnsi="Arial" w:cs="Arial"/>
          <w:bCs/>
          <w:noProof/>
          <w:sz w:val="22"/>
          <w:szCs w:val="22"/>
        </w:rPr>
        <w:t>.</w:t>
      </w:r>
    </w:p>
    <w:p w:rsidR="001C6271" w:rsidRDefault="001C6271" w:rsidP="00CB3C50">
      <w:pPr>
        <w:rPr>
          <w:rFonts w:ascii="Arial" w:hAnsi="Arial" w:cs="Arial"/>
          <w:bCs/>
          <w:noProof/>
          <w:sz w:val="22"/>
          <w:szCs w:val="22"/>
        </w:rPr>
        <w:sectPr w:rsidR="001C6271" w:rsidSect="00DD7564">
          <w:footerReference w:type="default" r:id="rId12"/>
          <w:pgSz w:w="11906" w:h="16838"/>
          <w:pgMar w:top="902" w:right="902" w:bottom="902" w:left="1077" w:header="720" w:footer="720" w:gutter="0"/>
          <w:cols w:space="720"/>
          <w:docGrid w:linePitch="360"/>
        </w:sectPr>
      </w:pPr>
    </w:p>
    <w:p w:rsidR="001C6271" w:rsidRDefault="001C6271" w:rsidP="00CB3C50">
      <w:pPr>
        <w:rPr>
          <w:rFonts w:ascii="Arial" w:hAnsi="Arial" w:cs="Arial"/>
          <w:bCs/>
          <w:noProof/>
          <w:sz w:val="22"/>
          <w:szCs w:val="22"/>
        </w:rPr>
        <w:sectPr w:rsidR="001C6271" w:rsidSect="001C6271">
          <w:pgSz w:w="16838" w:h="11906" w:orient="landscape"/>
          <w:pgMar w:top="1077" w:right="902" w:bottom="902" w:left="902" w:header="720" w:footer="720" w:gutter="0"/>
          <w:cols w:space="720"/>
          <w:docGrid w:linePitch="360"/>
        </w:sectPr>
      </w:pPr>
      <w:r w:rsidRPr="008E09EE">
        <w:rPr>
          <w:noProof/>
        </w:rPr>
        <w:drawing>
          <wp:anchor distT="0" distB="0" distL="114300" distR="114300" simplePos="0" relativeHeight="251660800" behindDoc="1" locked="0" layoutInCell="1" allowOverlap="1" wp14:anchorId="51DDA38D" wp14:editId="3ED82A02">
            <wp:simplePos x="0" y="0"/>
            <wp:positionH relativeFrom="column">
              <wp:posOffset>151130</wp:posOffset>
            </wp:positionH>
            <wp:positionV relativeFrom="paragraph">
              <wp:posOffset>-426720</wp:posOffset>
            </wp:positionV>
            <wp:extent cx="9885038" cy="72009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5038" cy="720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271" w:rsidRDefault="001C6271" w:rsidP="00CB3C50">
      <w:pPr>
        <w:rPr>
          <w:rFonts w:ascii="Arial" w:hAnsi="Arial" w:cs="Arial"/>
          <w:bCs/>
          <w:noProof/>
          <w:sz w:val="22"/>
          <w:szCs w:val="22"/>
        </w:rPr>
      </w:pPr>
    </w:p>
    <w:p w:rsidR="00984EB3" w:rsidRDefault="001C6271" w:rsidP="00CB3C50">
      <w:pPr>
        <w:rPr>
          <w:rFonts w:ascii="Arial" w:hAnsi="Arial" w:cs="Arial"/>
          <w:bCs/>
          <w:sz w:val="22"/>
          <w:szCs w:val="22"/>
          <w:u w:val="single"/>
        </w:rPr>
      </w:pPr>
      <w:r w:rsidRPr="001C6271">
        <w:rPr>
          <w:rFonts w:ascii="Arial" w:hAnsi="Arial" w:cs="Arial"/>
          <w:bCs/>
          <w:sz w:val="22"/>
          <w:szCs w:val="22"/>
          <w:u w:val="single"/>
        </w:rPr>
        <w:t>Medium Term Financial Plan</w:t>
      </w:r>
    </w:p>
    <w:p w:rsidR="001C6271" w:rsidRDefault="001C6271" w:rsidP="00CB3C50">
      <w:pPr>
        <w:rPr>
          <w:rFonts w:ascii="Arial" w:hAnsi="Arial" w:cs="Arial"/>
          <w:bCs/>
          <w:sz w:val="22"/>
          <w:szCs w:val="22"/>
        </w:rPr>
      </w:pPr>
    </w:p>
    <w:p w:rsidR="001C6271" w:rsidRDefault="009A716D" w:rsidP="00CB3C50">
      <w:pPr>
        <w:rPr>
          <w:rFonts w:ascii="Arial" w:hAnsi="Arial" w:cs="Arial"/>
          <w:bCs/>
          <w:sz w:val="22"/>
          <w:szCs w:val="22"/>
        </w:rPr>
      </w:pPr>
      <w:r>
        <w:rPr>
          <w:rFonts w:ascii="Arial" w:hAnsi="Arial" w:cs="Arial"/>
          <w:bCs/>
          <w:sz w:val="22"/>
          <w:szCs w:val="22"/>
        </w:rPr>
        <w:t>Planned expenditure by allocation type over the next 5 years</w:t>
      </w:r>
    </w:p>
    <w:p w:rsidR="001C6271" w:rsidRDefault="001C6271" w:rsidP="00CB3C50">
      <w:pPr>
        <w:rPr>
          <w:rFonts w:ascii="Arial" w:hAnsi="Arial" w:cs="Arial"/>
          <w:bCs/>
          <w:sz w:val="22"/>
          <w:szCs w:val="22"/>
        </w:rPr>
      </w:pPr>
    </w:p>
    <w:p w:rsidR="001C6271" w:rsidRDefault="00984EB3" w:rsidP="00CB3C50">
      <w:pPr>
        <w:rPr>
          <w:rFonts w:ascii="Arial" w:hAnsi="Arial" w:cs="Arial"/>
          <w:bCs/>
          <w:sz w:val="22"/>
          <w:szCs w:val="22"/>
        </w:rPr>
      </w:pPr>
      <w:r>
        <w:rPr>
          <w:noProof/>
        </w:rPr>
        <w:drawing>
          <wp:inline distT="0" distB="0" distL="0" distR="0" wp14:anchorId="05D05F6E" wp14:editId="25E9A421">
            <wp:extent cx="5972175" cy="36671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4EB3" w:rsidRDefault="00984EB3" w:rsidP="00CB3C50">
      <w:pPr>
        <w:rPr>
          <w:rFonts w:ascii="Arial" w:hAnsi="Arial" w:cs="Arial"/>
          <w:bCs/>
          <w:sz w:val="22"/>
          <w:szCs w:val="22"/>
        </w:rPr>
      </w:pPr>
    </w:p>
    <w:p w:rsidR="00984EB3" w:rsidRDefault="009A716D" w:rsidP="00CB3C50">
      <w:pPr>
        <w:rPr>
          <w:rFonts w:ascii="Arial" w:hAnsi="Arial" w:cs="Arial"/>
          <w:bCs/>
          <w:sz w:val="22"/>
          <w:szCs w:val="22"/>
        </w:rPr>
      </w:pPr>
      <w:r>
        <w:rPr>
          <w:rFonts w:ascii="Arial" w:hAnsi="Arial" w:cs="Arial"/>
          <w:bCs/>
          <w:sz w:val="22"/>
          <w:szCs w:val="22"/>
        </w:rPr>
        <w:t>Planned programme cost expenditure over the next 5 years</w:t>
      </w:r>
    </w:p>
    <w:p w:rsidR="009A716D" w:rsidRDefault="009A716D" w:rsidP="00CB3C50">
      <w:pPr>
        <w:rPr>
          <w:rFonts w:ascii="Arial" w:hAnsi="Arial" w:cs="Arial"/>
          <w:bCs/>
          <w:sz w:val="22"/>
          <w:szCs w:val="22"/>
        </w:rPr>
      </w:pPr>
    </w:p>
    <w:p w:rsidR="00984EB3" w:rsidRPr="00CB3C50" w:rsidRDefault="00984EB3" w:rsidP="00CB3C50">
      <w:pPr>
        <w:rPr>
          <w:rFonts w:ascii="Arial" w:hAnsi="Arial" w:cs="Arial"/>
          <w:bCs/>
          <w:sz w:val="22"/>
          <w:szCs w:val="22"/>
        </w:rPr>
        <w:sectPr w:rsidR="00984EB3" w:rsidRPr="00CB3C50" w:rsidSect="00DD7564">
          <w:pgSz w:w="11906" w:h="16838"/>
          <w:pgMar w:top="902" w:right="902" w:bottom="902" w:left="1077" w:header="720" w:footer="720" w:gutter="0"/>
          <w:cols w:space="720"/>
          <w:docGrid w:linePitch="360"/>
        </w:sectPr>
      </w:pPr>
      <w:r>
        <w:rPr>
          <w:noProof/>
        </w:rPr>
        <w:drawing>
          <wp:inline distT="0" distB="0" distL="0" distR="0" wp14:anchorId="0F4A3D10" wp14:editId="2E1555B2">
            <wp:extent cx="5972175" cy="3609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5ED7" w:rsidRDefault="00615ED7" w:rsidP="0077428E">
      <w:pPr>
        <w:rPr>
          <w:rFonts w:ascii="Arial" w:hAnsi="Arial" w:cs="Arial"/>
          <w:b/>
          <w:bCs/>
          <w:sz w:val="22"/>
          <w:szCs w:val="22"/>
        </w:rPr>
      </w:pPr>
    </w:p>
    <w:p w:rsidR="00AB4FAA" w:rsidRDefault="00AB4FAA" w:rsidP="0077428E">
      <w:pPr>
        <w:rPr>
          <w:rFonts w:ascii="Arial" w:hAnsi="Arial" w:cs="Arial"/>
          <w:b/>
          <w:bCs/>
          <w:sz w:val="22"/>
          <w:szCs w:val="22"/>
        </w:rPr>
      </w:pPr>
    </w:p>
    <w:p w:rsidR="000C5778" w:rsidRPr="00D2670C" w:rsidRDefault="000C5778" w:rsidP="004124EB">
      <w:pPr>
        <w:spacing w:after="200" w:line="276" w:lineRule="auto"/>
        <w:rPr>
          <w:rFonts w:ascii="Arial" w:eastAsiaTheme="minorHAnsi" w:hAnsi="Arial" w:cs="Arial"/>
          <w:sz w:val="22"/>
          <w:szCs w:val="22"/>
          <w:u w:val="single"/>
          <w:lang w:eastAsia="en-US"/>
        </w:rPr>
      </w:pPr>
      <w:r w:rsidRPr="00D2670C">
        <w:rPr>
          <w:rFonts w:ascii="Arial" w:eastAsiaTheme="minorHAnsi" w:hAnsi="Arial" w:cs="Arial"/>
          <w:sz w:val="22"/>
          <w:szCs w:val="22"/>
          <w:u w:val="single"/>
          <w:lang w:eastAsia="en-US"/>
        </w:rPr>
        <w:t xml:space="preserve">Overview </w:t>
      </w:r>
    </w:p>
    <w:p w:rsidR="000C5778" w:rsidRPr="00D2670C" w:rsidRDefault="000C5778" w:rsidP="004124EB">
      <w:pPr>
        <w:spacing w:after="200" w:line="276" w:lineRule="auto"/>
        <w:jc w:val="both"/>
        <w:rPr>
          <w:rFonts w:ascii="Arial" w:eastAsiaTheme="minorHAnsi" w:hAnsi="Arial" w:cs="Arial"/>
          <w:sz w:val="22"/>
          <w:szCs w:val="22"/>
          <w:lang w:eastAsia="en-US"/>
        </w:rPr>
      </w:pPr>
      <w:r w:rsidRPr="00D2670C">
        <w:rPr>
          <w:rFonts w:ascii="Arial" w:eastAsiaTheme="minorHAnsi" w:hAnsi="Arial" w:cs="Arial"/>
          <w:sz w:val="22"/>
          <w:szCs w:val="22"/>
          <w:lang w:eastAsia="en-US"/>
        </w:rPr>
        <w:t>The CCG made a surplus of £6m (3%) in 2013/14. Over the next 3 years the CCG plans to reduce its in year surplus by £4m so that by 2016/17 the surplus will be £2m (1%). The surplus is then planned to be maintained at 1%.</w:t>
      </w:r>
    </w:p>
    <w:p w:rsidR="000C5778" w:rsidRPr="00D2670C" w:rsidRDefault="000C5778" w:rsidP="004124EB">
      <w:pPr>
        <w:spacing w:after="200" w:line="276" w:lineRule="auto"/>
        <w:rPr>
          <w:rFonts w:ascii="Arial" w:eastAsiaTheme="minorHAnsi" w:hAnsi="Arial" w:cs="Arial"/>
          <w:sz w:val="22"/>
          <w:szCs w:val="22"/>
          <w:lang w:eastAsia="en-US"/>
        </w:rPr>
      </w:pPr>
      <w:r w:rsidRPr="00D2670C">
        <w:rPr>
          <w:rFonts w:ascii="Arial" w:eastAsiaTheme="minorHAnsi" w:hAnsi="Arial" w:cs="Arial"/>
          <w:sz w:val="22"/>
          <w:szCs w:val="22"/>
          <w:lang w:eastAsia="en-US"/>
        </w:rPr>
        <w:t>The total of the reserves &amp; contingency in each of the years exceeds the level of assessed risk. Risk will be monitored closely in year and reported routinely to the Delivery Assurance Committee.</w:t>
      </w:r>
    </w:p>
    <w:p w:rsidR="000C5778" w:rsidRPr="00D2670C" w:rsidRDefault="000C5778" w:rsidP="000C5778">
      <w:pPr>
        <w:spacing w:after="200" w:line="276" w:lineRule="auto"/>
        <w:rPr>
          <w:rFonts w:ascii="Arial" w:eastAsiaTheme="minorHAnsi" w:hAnsi="Arial" w:cs="Arial"/>
          <w:sz w:val="22"/>
          <w:szCs w:val="22"/>
          <w:u w:val="single"/>
          <w:lang w:eastAsia="en-US"/>
        </w:rPr>
      </w:pPr>
      <w:r w:rsidRPr="00D2670C">
        <w:rPr>
          <w:rFonts w:ascii="Arial" w:eastAsiaTheme="minorHAnsi" w:hAnsi="Arial" w:cs="Arial"/>
          <w:sz w:val="22"/>
          <w:szCs w:val="22"/>
          <w:u w:val="single"/>
          <w:lang w:eastAsia="en-US"/>
        </w:rPr>
        <w:t>Overview on QIPP schem</w:t>
      </w:r>
      <w:r w:rsidR="004124EB" w:rsidRPr="00D2670C">
        <w:rPr>
          <w:rFonts w:ascii="Arial" w:eastAsiaTheme="minorHAnsi" w:hAnsi="Arial" w:cs="Arial"/>
          <w:sz w:val="22"/>
          <w:szCs w:val="22"/>
          <w:u w:val="single"/>
          <w:lang w:eastAsia="en-US"/>
        </w:rPr>
        <w:t xml:space="preserve">es and risk to delivery </w:t>
      </w:r>
    </w:p>
    <w:p w:rsidR="000C5778" w:rsidRPr="00D2670C" w:rsidRDefault="000C5778" w:rsidP="004124EB">
      <w:pPr>
        <w:spacing w:after="200" w:line="276" w:lineRule="auto"/>
        <w:jc w:val="both"/>
        <w:rPr>
          <w:rFonts w:ascii="Arial" w:eastAsiaTheme="minorHAnsi" w:hAnsi="Arial" w:cs="Arial"/>
          <w:sz w:val="22"/>
          <w:szCs w:val="22"/>
          <w:lang w:eastAsia="en-US"/>
        </w:rPr>
      </w:pPr>
      <w:r w:rsidRPr="00D2670C">
        <w:rPr>
          <w:rFonts w:ascii="Arial" w:eastAsiaTheme="minorHAnsi" w:hAnsi="Arial" w:cs="Arial"/>
          <w:sz w:val="22"/>
          <w:szCs w:val="22"/>
          <w:lang w:eastAsia="en-US"/>
        </w:rPr>
        <w:t>NHS QIPP requirement of £3.5m per annum</w:t>
      </w:r>
    </w:p>
    <w:p w:rsidR="004124EB" w:rsidRPr="00D2670C" w:rsidRDefault="004124EB" w:rsidP="004124EB">
      <w:pPr>
        <w:spacing w:after="200" w:line="276" w:lineRule="auto"/>
        <w:jc w:val="both"/>
        <w:rPr>
          <w:rFonts w:ascii="Arial" w:eastAsiaTheme="minorHAnsi" w:hAnsi="Arial" w:cs="Arial"/>
          <w:sz w:val="22"/>
          <w:szCs w:val="22"/>
          <w:lang w:eastAsia="en-US"/>
        </w:rPr>
      </w:pPr>
      <w:r w:rsidRPr="00D2670C">
        <w:rPr>
          <w:rFonts w:ascii="Arial" w:eastAsiaTheme="minorHAnsi" w:hAnsi="Arial" w:cs="Arial"/>
          <w:sz w:val="22"/>
          <w:szCs w:val="22"/>
          <w:lang w:eastAsia="en-US"/>
        </w:rPr>
        <w:t>NELC outcome review savings requirement (cash reduction) of £7m in total (£2m in 2014/15 &amp; £5m in 2015/16) Adult Social Care total savings requirement of £8.1m (£7m cash reduction plus £1.1m efficiencies to manage demand and other pressures)</w:t>
      </w:r>
    </w:p>
    <w:p w:rsidR="000C5778" w:rsidRPr="00D2670C" w:rsidRDefault="000C5778" w:rsidP="004124EB">
      <w:pPr>
        <w:spacing w:after="200" w:line="276" w:lineRule="auto"/>
        <w:jc w:val="both"/>
        <w:rPr>
          <w:rFonts w:ascii="Arial" w:eastAsiaTheme="minorHAnsi" w:hAnsi="Arial" w:cs="Arial"/>
          <w:sz w:val="22"/>
          <w:szCs w:val="22"/>
          <w:lang w:eastAsia="en-US"/>
        </w:rPr>
      </w:pPr>
      <w:r w:rsidRPr="00D2670C">
        <w:rPr>
          <w:rFonts w:ascii="Arial" w:eastAsiaTheme="minorHAnsi" w:hAnsi="Arial" w:cs="Arial"/>
          <w:sz w:val="22"/>
          <w:szCs w:val="22"/>
          <w:lang w:eastAsia="en-US"/>
        </w:rPr>
        <w:t xml:space="preserve">Plans are well developed for the first 2 years of the plan and schemes will be monitored routinely at the CCGs Delivery &amp; Assurance Committee. </w:t>
      </w:r>
    </w:p>
    <w:p w:rsidR="000C5778" w:rsidRPr="00D2670C" w:rsidRDefault="000C5778" w:rsidP="004124EB">
      <w:pPr>
        <w:spacing w:after="200" w:line="276" w:lineRule="auto"/>
        <w:rPr>
          <w:rFonts w:ascii="Arial" w:eastAsiaTheme="minorHAnsi" w:hAnsi="Arial" w:cs="Arial"/>
          <w:sz w:val="22"/>
          <w:szCs w:val="22"/>
          <w:lang w:eastAsia="en-US"/>
        </w:rPr>
      </w:pPr>
      <w:r w:rsidRPr="00D2670C">
        <w:rPr>
          <w:rFonts w:ascii="Arial" w:eastAsiaTheme="minorHAnsi" w:hAnsi="Arial" w:cs="Arial"/>
          <w:sz w:val="22"/>
          <w:szCs w:val="22"/>
          <w:lang w:eastAsia="en-US"/>
        </w:rPr>
        <w:t>Work is on-going to develop the detailed QIPP plans for 2016/17 – 2018/19 and this will be done alongside the Healthy Lives Healthy Futures Programme.</w:t>
      </w:r>
    </w:p>
    <w:p w:rsidR="000C5778" w:rsidRPr="00D2670C" w:rsidRDefault="000C5778" w:rsidP="000C5778">
      <w:pPr>
        <w:spacing w:after="200" w:line="276" w:lineRule="auto"/>
        <w:rPr>
          <w:rFonts w:ascii="Arial" w:eastAsiaTheme="minorHAnsi" w:hAnsi="Arial" w:cs="Arial"/>
          <w:sz w:val="22"/>
          <w:szCs w:val="22"/>
          <w:lang w:eastAsia="en-US"/>
        </w:rPr>
      </w:pPr>
      <w:r w:rsidRPr="00D2670C">
        <w:rPr>
          <w:rFonts w:ascii="Arial" w:eastAsiaTheme="minorHAnsi" w:hAnsi="Arial" w:cs="Arial"/>
          <w:sz w:val="22"/>
          <w:szCs w:val="22"/>
          <w:lang w:eastAsia="en-US"/>
        </w:rPr>
        <w:t>The main risks to delivery of QIPP schemes:-</w:t>
      </w:r>
    </w:p>
    <w:p w:rsidR="000C5778" w:rsidRPr="00D2670C" w:rsidRDefault="000C5778" w:rsidP="000C5778">
      <w:pPr>
        <w:spacing w:after="200" w:line="276" w:lineRule="auto"/>
        <w:ind w:left="1440" w:hanging="720"/>
        <w:jc w:val="both"/>
        <w:rPr>
          <w:rFonts w:ascii="Arial" w:eastAsiaTheme="minorHAnsi" w:hAnsi="Arial" w:cs="Arial"/>
          <w:sz w:val="22"/>
          <w:szCs w:val="22"/>
          <w:lang w:eastAsia="en-US"/>
        </w:rPr>
      </w:pPr>
      <w:r w:rsidRPr="00D2670C">
        <w:rPr>
          <w:rFonts w:ascii="Arial" w:eastAsiaTheme="minorHAnsi" w:hAnsi="Arial" w:cs="Arial"/>
          <w:sz w:val="22"/>
          <w:szCs w:val="22"/>
          <w:lang w:eastAsia="en-US"/>
        </w:rPr>
        <w:t>•</w:t>
      </w:r>
      <w:r w:rsidRPr="00D2670C">
        <w:rPr>
          <w:rFonts w:ascii="Arial" w:eastAsiaTheme="minorHAnsi" w:hAnsi="Arial" w:cs="Arial"/>
          <w:sz w:val="22"/>
          <w:szCs w:val="22"/>
          <w:lang w:eastAsia="en-US"/>
        </w:rPr>
        <w:tab/>
        <w:t>Inability to draw down 2014/15 surplus as planned, leading to delays in transformation programme</w:t>
      </w:r>
    </w:p>
    <w:p w:rsidR="000C5778" w:rsidRPr="00D2670C" w:rsidRDefault="000C5778" w:rsidP="000C5778">
      <w:pPr>
        <w:spacing w:after="200" w:line="276" w:lineRule="auto"/>
        <w:ind w:left="1440" w:hanging="720"/>
        <w:jc w:val="both"/>
        <w:rPr>
          <w:rFonts w:ascii="Arial" w:eastAsiaTheme="minorHAnsi" w:hAnsi="Arial" w:cs="Arial"/>
          <w:sz w:val="22"/>
          <w:szCs w:val="22"/>
          <w:lang w:eastAsia="en-US"/>
        </w:rPr>
      </w:pPr>
      <w:r w:rsidRPr="00D2670C">
        <w:rPr>
          <w:rFonts w:ascii="Arial" w:eastAsiaTheme="minorHAnsi" w:hAnsi="Arial" w:cs="Arial"/>
          <w:sz w:val="22"/>
          <w:szCs w:val="22"/>
          <w:lang w:eastAsia="en-US"/>
        </w:rPr>
        <w:t>•</w:t>
      </w:r>
      <w:r w:rsidRPr="00D2670C">
        <w:rPr>
          <w:rFonts w:ascii="Arial" w:eastAsiaTheme="minorHAnsi" w:hAnsi="Arial" w:cs="Arial"/>
          <w:sz w:val="22"/>
          <w:szCs w:val="22"/>
          <w:lang w:eastAsia="en-US"/>
        </w:rPr>
        <w:tab/>
        <w:t>Maintaining the financial stability of all providers during the transformation, which will involve significant change across the whole system and involve a number of providers</w:t>
      </w:r>
    </w:p>
    <w:p w:rsidR="000C5778" w:rsidRPr="00D2670C" w:rsidRDefault="000C5778" w:rsidP="000C5778">
      <w:pPr>
        <w:spacing w:after="200" w:line="276" w:lineRule="auto"/>
        <w:rPr>
          <w:rFonts w:ascii="Arial" w:eastAsiaTheme="minorHAnsi" w:hAnsi="Arial" w:cs="Arial"/>
          <w:sz w:val="22"/>
          <w:szCs w:val="22"/>
          <w:u w:val="single"/>
          <w:lang w:eastAsia="en-US"/>
        </w:rPr>
      </w:pPr>
      <w:r w:rsidRPr="00D2670C">
        <w:rPr>
          <w:rFonts w:ascii="Arial" w:eastAsiaTheme="minorHAnsi" w:hAnsi="Arial" w:cs="Arial"/>
          <w:sz w:val="22"/>
          <w:szCs w:val="22"/>
          <w:u w:val="single"/>
          <w:lang w:eastAsia="en-US"/>
        </w:rPr>
        <w:t>No</w:t>
      </w:r>
      <w:r w:rsidR="004124EB" w:rsidRPr="00D2670C">
        <w:rPr>
          <w:rFonts w:ascii="Arial" w:eastAsiaTheme="minorHAnsi" w:hAnsi="Arial" w:cs="Arial"/>
          <w:sz w:val="22"/>
          <w:szCs w:val="22"/>
          <w:u w:val="single"/>
          <w:lang w:eastAsia="en-US"/>
        </w:rPr>
        <w:t xml:space="preserve">n-recurrent expenditure </w:t>
      </w:r>
    </w:p>
    <w:p w:rsidR="000C5778" w:rsidRPr="00D2670C" w:rsidRDefault="000C5778" w:rsidP="000C5778">
      <w:pPr>
        <w:spacing w:after="200" w:line="276" w:lineRule="auto"/>
        <w:rPr>
          <w:rFonts w:ascii="Arial" w:eastAsiaTheme="minorHAnsi" w:hAnsi="Arial" w:cs="Arial"/>
          <w:sz w:val="22"/>
          <w:szCs w:val="22"/>
          <w:lang w:eastAsia="en-US"/>
        </w:rPr>
      </w:pPr>
      <w:r w:rsidRPr="00D2670C">
        <w:rPr>
          <w:rFonts w:ascii="Arial" w:eastAsiaTheme="minorHAnsi" w:hAnsi="Arial" w:cs="Arial"/>
          <w:sz w:val="22"/>
          <w:szCs w:val="22"/>
          <w:lang w:eastAsia="en-US"/>
        </w:rPr>
        <w:t xml:space="preserve">Non recurrent funding is to be used to support;- </w:t>
      </w:r>
    </w:p>
    <w:p w:rsidR="000C5778" w:rsidRPr="00D2670C" w:rsidRDefault="000C5778" w:rsidP="000C5778">
      <w:pPr>
        <w:spacing w:after="200" w:line="276" w:lineRule="auto"/>
        <w:ind w:left="1418" w:hanging="709"/>
        <w:jc w:val="both"/>
        <w:rPr>
          <w:rFonts w:ascii="Arial" w:eastAsiaTheme="minorHAnsi" w:hAnsi="Arial" w:cs="Arial"/>
          <w:sz w:val="22"/>
          <w:szCs w:val="22"/>
          <w:lang w:eastAsia="en-US"/>
        </w:rPr>
      </w:pPr>
      <w:r w:rsidRPr="00D2670C">
        <w:rPr>
          <w:rFonts w:ascii="Arial" w:eastAsiaTheme="minorHAnsi" w:hAnsi="Arial" w:cs="Arial"/>
          <w:sz w:val="22"/>
          <w:szCs w:val="22"/>
          <w:lang w:eastAsia="en-US"/>
        </w:rPr>
        <w:t>•</w:t>
      </w:r>
      <w:r w:rsidRPr="00D2670C">
        <w:rPr>
          <w:rFonts w:ascii="Arial" w:eastAsiaTheme="minorHAnsi" w:hAnsi="Arial" w:cs="Arial"/>
          <w:sz w:val="22"/>
          <w:szCs w:val="22"/>
          <w:lang w:eastAsia="en-US"/>
        </w:rPr>
        <w:tab/>
        <w:t>Provider sustainability; whilst the transformational changes are taking place</w:t>
      </w:r>
    </w:p>
    <w:p w:rsidR="000C5778" w:rsidRPr="00D2670C" w:rsidRDefault="000C5778" w:rsidP="000C5778">
      <w:pPr>
        <w:spacing w:after="200" w:line="276" w:lineRule="auto"/>
        <w:ind w:left="1418" w:hanging="709"/>
        <w:jc w:val="both"/>
        <w:rPr>
          <w:rFonts w:ascii="Arial" w:eastAsiaTheme="minorHAnsi" w:hAnsi="Arial" w:cs="Arial"/>
          <w:sz w:val="22"/>
          <w:szCs w:val="22"/>
          <w:lang w:eastAsia="en-US"/>
        </w:rPr>
      </w:pPr>
      <w:r w:rsidRPr="00D2670C">
        <w:rPr>
          <w:rFonts w:ascii="Arial" w:eastAsiaTheme="minorHAnsi" w:hAnsi="Arial" w:cs="Arial"/>
          <w:sz w:val="22"/>
          <w:szCs w:val="22"/>
          <w:lang w:eastAsia="en-US"/>
        </w:rPr>
        <w:t>•</w:t>
      </w:r>
      <w:r w:rsidRPr="00D2670C">
        <w:rPr>
          <w:rFonts w:ascii="Arial" w:eastAsiaTheme="minorHAnsi" w:hAnsi="Arial" w:cs="Arial"/>
          <w:sz w:val="22"/>
          <w:szCs w:val="22"/>
          <w:lang w:eastAsia="en-US"/>
        </w:rPr>
        <w:tab/>
        <w:t>Healthy Lives Healthy Futures Transformation Fund; double running costs whilst QIPP schemes being rolled out &amp;/or one off costs associated with implementation</w:t>
      </w:r>
    </w:p>
    <w:p w:rsidR="000C5778" w:rsidRPr="00D2670C" w:rsidRDefault="000C5778" w:rsidP="000C5778">
      <w:pPr>
        <w:spacing w:after="200" w:line="276" w:lineRule="auto"/>
        <w:ind w:left="1418" w:hanging="709"/>
        <w:jc w:val="both"/>
        <w:rPr>
          <w:rFonts w:ascii="Arial" w:eastAsiaTheme="minorHAnsi" w:hAnsi="Arial" w:cs="Arial"/>
          <w:sz w:val="22"/>
          <w:szCs w:val="22"/>
          <w:lang w:eastAsia="en-US"/>
        </w:rPr>
      </w:pPr>
      <w:r w:rsidRPr="00D2670C">
        <w:rPr>
          <w:rFonts w:ascii="Arial" w:eastAsiaTheme="minorHAnsi" w:hAnsi="Arial" w:cs="Arial"/>
          <w:sz w:val="22"/>
          <w:szCs w:val="22"/>
          <w:lang w:eastAsia="en-US"/>
        </w:rPr>
        <w:t>•</w:t>
      </w:r>
      <w:r w:rsidRPr="00D2670C">
        <w:rPr>
          <w:rFonts w:ascii="Arial" w:eastAsiaTheme="minorHAnsi" w:hAnsi="Arial" w:cs="Arial"/>
          <w:sz w:val="22"/>
          <w:szCs w:val="22"/>
          <w:lang w:eastAsia="en-US"/>
        </w:rPr>
        <w:tab/>
        <w:t>Pump priming of schemes to support ASC/integrated working ahead of 2015/16</w:t>
      </w:r>
    </w:p>
    <w:p w:rsidR="000C5778" w:rsidRPr="00D2670C" w:rsidRDefault="000C5778" w:rsidP="000C5778">
      <w:pPr>
        <w:spacing w:after="200" w:line="276" w:lineRule="auto"/>
        <w:ind w:left="1418" w:hanging="709"/>
        <w:jc w:val="both"/>
        <w:rPr>
          <w:rFonts w:ascii="Arial" w:eastAsiaTheme="minorHAnsi" w:hAnsi="Arial" w:cs="Arial"/>
          <w:sz w:val="22"/>
          <w:szCs w:val="22"/>
          <w:lang w:eastAsia="en-US"/>
        </w:rPr>
      </w:pPr>
      <w:r w:rsidRPr="00D2670C">
        <w:rPr>
          <w:rFonts w:ascii="Arial" w:eastAsiaTheme="minorHAnsi" w:hAnsi="Arial" w:cs="Arial"/>
          <w:sz w:val="22"/>
          <w:szCs w:val="22"/>
          <w:lang w:eastAsia="en-US"/>
        </w:rPr>
        <w:t>•</w:t>
      </w:r>
      <w:r w:rsidRPr="00D2670C">
        <w:rPr>
          <w:rFonts w:ascii="Arial" w:eastAsiaTheme="minorHAnsi" w:hAnsi="Arial" w:cs="Arial"/>
          <w:sz w:val="22"/>
          <w:szCs w:val="22"/>
          <w:lang w:eastAsia="en-US"/>
        </w:rPr>
        <w:tab/>
        <w:t>CHC Legacy risk share</w:t>
      </w:r>
    </w:p>
    <w:p w:rsidR="000C5778" w:rsidRPr="00D2670C" w:rsidRDefault="00EE46D6" w:rsidP="000C5778">
      <w:pPr>
        <w:spacing w:after="200" w:line="276" w:lineRule="auto"/>
        <w:ind w:left="709" w:hanging="709"/>
        <w:jc w:val="both"/>
        <w:rPr>
          <w:rFonts w:ascii="Arial" w:eastAsiaTheme="minorHAnsi" w:hAnsi="Arial" w:cs="Arial"/>
          <w:b/>
          <w:sz w:val="22"/>
          <w:szCs w:val="22"/>
          <w:lang w:eastAsia="en-US"/>
        </w:rPr>
      </w:pPr>
      <w:r w:rsidRPr="00D2670C">
        <w:rPr>
          <w:rFonts w:ascii="Arial" w:eastAsiaTheme="minorHAnsi" w:hAnsi="Arial" w:cs="Arial"/>
          <w:b/>
          <w:sz w:val="22"/>
          <w:szCs w:val="22"/>
          <w:lang w:eastAsia="en-US"/>
        </w:rPr>
        <w:t>Conclusion</w:t>
      </w:r>
    </w:p>
    <w:p w:rsidR="00C703B6" w:rsidRPr="00D2670C" w:rsidRDefault="00EE46D6" w:rsidP="00D2670C">
      <w:pPr>
        <w:jc w:val="both"/>
        <w:rPr>
          <w:rFonts w:ascii="Arial" w:hAnsi="Arial" w:cs="Arial"/>
          <w:bCs/>
          <w:sz w:val="22"/>
          <w:szCs w:val="22"/>
        </w:rPr>
      </w:pPr>
      <w:r w:rsidRPr="00D2670C">
        <w:rPr>
          <w:rFonts w:ascii="Arial" w:hAnsi="Arial" w:cs="Arial"/>
          <w:bCs/>
          <w:sz w:val="22"/>
          <w:szCs w:val="22"/>
        </w:rPr>
        <w:t xml:space="preserve">The five year strategic plan and the </w:t>
      </w:r>
      <w:r w:rsidR="00997425" w:rsidRPr="00D2670C">
        <w:rPr>
          <w:rFonts w:ascii="Arial" w:hAnsi="Arial" w:cs="Arial"/>
          <w:bCs/>
          <w:sz w:val="22"/>
          <w:szCs w:val="22"/>
        </w:rPr>
        <w:t>medium term financial plan reflect the overall shift to the left for health and care services in line with the Healthy Lives, Healthy Futures vision and the strategic aims for North East Lincolnshire CCG</w:t>
      </w:r>
    </w:p>
    <w:p w:rsidR="00997425" w:rsidRPr="00D2670C" w:rsidRDefault="00997425" w:rsidP="00D2670C">
      <w:pPr>
        <w:jc w:val="both"/>
        <w:rPr>
          <w:rFonts w:ascii="Arial" w:hAnsi="Arial" w:cs="Arial"/>
          <w:bCs/>
          <w:sz w:val="22"/>
          <w:szCs w:val="22"/>
        </w:rPr>
      </w:pPr>
      <w:r w:rsidRPr="00D2670C">
        <w:rPr>
          <w:rFonts w:ascii="Arial" w:hAnsi="Arial" w:cs="Arial"/>
          <w:bCs/>
          <w:sz w:val="22"/>
          <w:szCs w:val="22"/>
        </w:rPr>
        <w:t>The Partnership Board is asked to note and approve the direction of travel and agree the strategic approach to commissioning outlined here.</w:t>
      </w:r>
    </w:p>
    <w:sectPr w:rsidR="00997425" w:rsidRPr="00D2670C" w:rsidSect="004124EB">
      <w:pgSz w:w="11906" w:h="16838"/>
      <w:pgMar w:top="902" w:right="707" w:bottom="902" w:left="70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15" w:rsidRDefault="00EE6215">
      <w:r>
        <w:separator/>
      </w:r>
    </w:p>
  </w:endnote>
  <w:endnote w:type="continuationSeparator" w:id="0">
    <w:p w:rsidR="00EE6215" w:rsidRDefault="00EE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78" w:rsidRDefault="000C5778" w:rsidP="00DC3218">
    <w:pPr>
      <w:pStyle w:val="Footer"/>
      <w:jc w:val="right"/>
    </w:pPr>
    <w:r>
      <w:rPr>
        <w:noProof/>
      </w:rPr>
      <w:drawing>
        <wp:inline distT="0" distB="0" distL="0" distR="0" wp14:anchorId="49947B90" wp14:editId="605517AE">
          <wp:extent cx="2658110" cy="353695"/>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3B7A5C48" wp14:editId="6033097A">
          <wp:extent cx="1036320" cy="878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15" w:rsidRDefault="00EE6215">
      <w:r>
        <w:separator/>
      </w:r>
    </w:p>
  </w:footnote>
  <w:footnote w:type="continuationSeparator" w:id="0">
    <w:p w:rsidR="00EE6215" w:rsidRDefault="00EE6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F7C46C8"/>
    <w:multiLevelType w:val="hybridMultilevel"/>
    <w:tmpl w:val="6D3C1AC6"/>
    <w:lvl w:ilvl="0" w:tplc="84508B4E">
      <w:start w:val="1"/>
      <w:numFmt w:val="bullet"/>
      <w:lvlText w:val="•"/>
      <w:lvlJc w:val="left"/>
      <w:pPr>
        <w:tabs>
          <w:tab w:val="num" w:pos="720"/>
        </w:tabs>
        <w:ind w:left="720" w:hanging="360"/>
      </w:pPr>
      <w:rPr>
        <w:rFonts w:ascii="Arial" w:hAnsi="Arial" w:hint="default"/>
      </w:rPr>
    </w:lvl>
    <w:lvl w:ilvl="1" w:tplc="A56A858E" w:tentative="1">
      <w:start w:val="1"/>
      <w:numFmt w:val="bullet"/>
      <w:lvlText w:val="•"/>
      <w:lvlJc w:val="left"/>
      <w:pPr>
        <w:tabs>
          <w:tab w:val="num" w:pos="1440"/>
        </w:tabs>
        <w:ind w:left="1440" w:hanging="360"/>
      </w:pPr>
      <w:rPr>
        <w:rFonts w:ascii="Arial" w:hAnsi="Arial" w:hint="default"/>
      </w:rPr>
    </w:lvl>
    <w:lvl w:ilvl="2" w:tplc="F6E0AF06" w:tentative="1">
      <w:start w:val="1"/>
      <w:numFmt w:val="bullet"/>
      <w:lvlText w:val="•"/>
      <w:lvlJc w:val="left"/>
      <w:pPr>
        <w:tabs>
          <w:tab w:val="num" w:pos="2160"/>
        </w:tabs>
        <w:ind w:left="2160" w:hanging="360"/>
      </w:pPr>
      <w:rPr>
        <w:rFonts w:ascii="Arial" w:hAnsi="Arial" w:hint="default"/>
      </w:rPr>
    </w:lvl>
    <w:lvl w:ilvl="3" w:tplc="2BD8684E" w:tentative="1">
      <w:start w:val="1"/>
      <w:numFmt w:val="bullet"/>
      <w:lvlText w:val="•"/>
      <w:lvlJc w:val="left"/>
      <w:pPr>
        <w:tabs>
          <w:tab w:val="num" w:pos="2880"/>
        </w:tabs>
        <w:ind w:left="2880" w:hanging="360"/>
      </w:pPr>
      <w:rPr>
        <w:rFonts w:ascii="Arial" w:hAnsi="Arial" w:hint="default"/>
      </w:rPr>
    </w:lvl>
    <w:lvl w:ilvl="4" w:tplc="1A64D1C2" w:tentative="1">
      <w:start w:val="1"/>
      <w:numFmt w:val="bullet"/>
      <w:lvlText w:val="•"/>
      <w:lvlJc w:val="left"/>
      <w:pPr>
        <w:tabs>
          <w:tab w:val="num" w:pos="3600"/>
        </w:tabs>
        <w:ind w:left="3600" w:hanging="360"/>
      </w:pPr>
      <w:rPr>
        <w:rFonts w:ascii="Arial" w:hAnsi="Arial" w:hint="default"/>
      </w:rPr>
    </w:lvl>
    <w:lvl w:ilvl="5" w:tplc="BEE2611C" w:tentative="1">
      <w:start w:val="1"/>
      <w:numFmt w:val="bullet"/>
      <w:lvlText w:val="•"/>
      <w:lvlJc w:val="left"/>
      <w:pPr>
        <w:tabs>
          <w:tab w:val="num" w:pos="4320"/>
        </w:tabs>
        <w:ind w:left="4320" w:hanging="360"/>
      </w:pPr>
      <w:rPr>
        <w:rFonts w:ascii="Arial" w:hAnsi="Arial" w:hint="default"/>
      </w:rPr>
    </w:lvl>
    <w:lvl w:ilvl="6" w:tplc="C3F643C4" w:tentative="1">
      <w:start w:val="1"/>
      <w:numFmt w:val="bullet"/>
      <w:lvlText w:val="•"/>
      <w:lvlJc w:val="left"/>
      <w:pPr>
        <w:tabs>
          <w:tab w:val="num" w:pos="5040"/>
        </w:tabs>
        <w:ind w:left="5040" w:hanging="360"/>
      </w:pPr>
      <w:rPr>
        <w:rFonts w:ascii="Arial" w:hAnsi="Arial" w:hint="default"/>
      </w:rPr>
    </w:lvl>
    <w:lvl w:ilvl="7" w:tplc="0A90B3CE" w:tentative="1">
      <w:start w:val="1"/>
      <w:numFmt w:val="bullet"/>
      <w:lvlText w:val="•"/>
      <w:lvlJc w:val="left"/>
      <w:pPr>
        <w:tabs>
          <w:tab w:val="num" w:pos="5760"/>
        </w:tabs>
        <w:ind w:left="5760" w:hanging="360"/>
      </w:pPr>
      <w:rPr>
        <w:rFonts w:ascii="Arial" w:hAnsi="Arial" w:hint="default"/>
      </w:rPr>
    </w:lvl>
    <w:lvl w:ilvl="8" w:tplc="8D3EF684" w:tentative="1">
      <w:start w:val="1"/>
      <w:numFmt w:val="bullet"/>
      <w:lvlText w:val="•"/>
      <w:lvlJc w:val="left"/>
      <w:pPr>
        <w:tabs>
          <w:tab w:val="num" w:pos="6480"/>
        </w:tabs>
        <w:ind w:left="6480" w:hanging="360"/>
      </w:pPr>
      <w:rPr>
        <w:rFonts w:ascii="Arial" w:hAnsi="Arial"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4332B2"/>
    <w:multiLevelType w:val="hybridMultilevel"/>
    <w:tmpl w:val="13261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C242B"/>
    <w:multiLevelType w:val="hybridMultilevel"/>
    <w:tmpl w:val="861E8D30"/>
    <w:lvl w:ilvl="0" w:tplc="CEB8FAF0">
      <w:start w:val="1"/>
      <w:numFmt w:val="bullet"/>
      <w:lvlText w:val="•"/>
      <w:lvlJc w:val="left"/>
      <w:pPr>
        <w:tabs>
          <w:tab w:val="num" w:pos="720"/>
        </w:tabs>
        <w:ind w:left="720" w:hanging="360"/>
      </w:pPr>
      <w:rPr>
        <w:rFonts w:ascii="Arial" w:hAnsi="Arial" w:hint="default"/>
      </w:rPr>
    </w:lvl>
    <w:lvl w:ilvl="1" w:tplc="8A263B54" w:tentative="1">
      <w:start w:val="1"/>
      <w:numFmt w:val="bullet"/>
      <w:lvlText w:val="•"/>
      <w:lvlJc w:val="left"/>
      <w:pPr>
        <w:tabs>
          <w:tab w:val="num" w:pos="1440"/>
        </w:tabs>
        <w:ind w:left="1440" w:hanging="360"/>
      </w:pPr>
      <w:rPr>
        <w:rFonts w:ascii="Arial" w:hAnsi="Arial" w:hint="default"/>
      </w:rPr>
    </w:lvl>
    <w:lvl w:ilvl="2" w:tplc="8B0A68E2" w:tentative="1">
      <w:start w:val="1"/>
      <w:numFmt w:val="bullet"/>
      <w:lvlText w:val="•"/>
      <w:lvlJc w:val="left"/>
      <w:pPr>
        <w:tabs>
          <w:tab w:val="num" w:pos="2160"/>
        </w:tabs>
        <w:ind w:left="2160" w:hanging="360"/>
      </w:pPr>
      <w:rPr>
        <w:rFonts w:ascii="Arial" w:hAnsi="Arial" w:hint="default"/>
      </w:rPr>
    </w:lvl>
    <w:lvl w:ilvl="3" w:tplc="304E9F7A" w:tentative="1">
      <w:start w:val="1"/>
      <w:numFmt w:val="bullet"/>
      <w:lvlText w:val="•"/>
      <w:lvlJc w:val="left"/>
      <w:pPr>
        <w:tabs>
          <w:tab w:val="num" w:pos="2880"/>
        </w:tabs>
        <w:ind w:left="2880" w:hanging="360"/>
      </w:pPr>
      <w:rPr>
        <w:rFonts w:ascii="Arial" w:hAnsi="Arial" w:hint="default"/>
      </w:rPr>
    </w:lvl>
    <w:lvl w:ilvl="4" w:tplc="B4E2F97A" w:tentative="1">
      <w:start w:val="1"/>
      <w:numFmt w:val="bullet"/>
      <w:lvlText w:val="•"/>
      <w:lvlJc w:val="left"/>
      <w:pPr>
        <w:tabs>
          <w:tab w:val="num" w:pos="3600"/>
        </w:tabs>
        <w:ind w:left="3600" w:hanging="360"/>
      </w:pPr>
      <w:rPr>
        <w:rFonts w:ascii="Arial" w:hAnsi="Arial" w:hint="default"/>
      </w:rPr>
    </w:lvl>
    <w:lvl w:ilvl="5" w:tplc="80F49DC6" w:tentative="1">
      <w:start w:val="1"/>
      <w:numFmt w:val="bullet"/>
      <w:lvlText w:val="•"/>
      <w:lvlJc w:val="left"/>
      <w:pPr>
        <w:tabs>
          <w:tab w:val="num" w:pos="4320"/>
        </w:tabs>
        <w:ind w:left="4320" w:hanging="360"/>
      </w:pPr>
      <w:rPr>
        <w:rFonts w:ascii="Arial" w:hAnsi="Arial" w:hint="default"/>
      </w:rPr>
    </w:lvl>
    <w:lvl w:ilvl="6" w:tplc="2FFC575C" w:tentative="1">
      <w:start w:val="1"/>
      <w:numFmt w:val="bullet"/>
      <w:lvlText w:val="•"/>
      <w:lvlJc w:val="left"/>
      <w:pPr>
        <w:tabs>
          <w:tab w:val="num" w:pos="5040"/>
        </w:tabs>
        <w:ind w:left="5040" w:hanging="360"/>
      </w:pPr>
      <w:rPr>
        <w:rFonts w:ascii="Arial" w:hAnsi="Arial" w:hint="default"/>
      </w:rPr>
    </w:lvl>
    <w:lvl w:ilvl="7" w:tplc="BAEEE112" w:tentative="1">
      <w:start w:val="1"/>
      <w:numFmt w:val="bullet"/>
      <w:lvlText w:val="•"/>
      <w:lvlJc w:val="left"/>
      <w:pPr>
        <w:tabs>
          <w:tab w:val="num" w:pos="5760"/>
        </w:tabs>
        <w:ind w:left="5760" w:hanging="360"/>
      </w:pPr>
      <w:rPr>
        <w:rFonts w:ascii="Arial" w:hAnsi="Arial" w:hint="default"/>
      </w:rPr>
    </w:lvl>
    <w:lvl w:ilvl="8" w:tplc="1E563494" w:tentative="1">
      <w:start w:val="1"/>
      <w:numFmt w:val="bullet"/>
      <w:lvlText w:val="•"/>
      <w:lvlJc w:val="left"/>
      <w:pPr>
        <w:tabs>
          <w:tab w:val="num" w:pos="6480"/>
        </w:tabs>
        <w:ind w:left="6480" w:hanging="360"/>
      </w:pPr>
      <w:rPr>
        <w:rFonts w:ascii="Arial" w:hAnsi="Arial" w:hint="default"/>
      </w:rPr>
    </w:lvl>
  </w:abstractNum>
  <w:abstractNum w:abstractNumId="13">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8">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1">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CC68EA"/>
    <w:multiLevelType w:val="hybridMultilevel"/>
    <w:tmpl w:val="2F6A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AF45B4"/>
    <w:multiLevelType w:val="hybridMultilevel"/>
    <w:tmpl w:val="7DC6BA94"/>
    <w:lvl w:ilvl="0" w:tplc="DBCE0B00">
      <w:start w:val="1"/>
      <w:numFmt w:val="bullet"/>
      <w:lvlText w:val="•"/>
      <w:lvlJc w:val="left"/>
      <w:pPr>
        <w:tabs>
          <w:tab w:val="num" w:pos="720"/>
        </w:tabs>
        <w:ind w:left="720" w:hanging="360"/>
      </w:pPr>
      <w:rPr>
        <w:rFonts w:ascii="Arial" w:hAnsi="Arial" w:hint="default"/>
      </w:rPr>
    </w:lvl>
    <w:lvl w:ilvl="1" w:tplc="8166B796" w:tentative="1">
      <w:start w:val="1"/>
      <w:numFmt w:val="bullet"/>
      <w:lvlText w:val="•"/>
      <w:lvlJc w:val="left"/>
      <w:pPr>
        <w:tabs>
          <w:tab w:val="num" w:pos="1440"/>
        </w:tabs>
        <w:ind w:left="1440" w:hanging="360"/>
      </w:pPr>
      <w:rPr>
        <w:rFonts w:ascii="Arial" w:hAnsi="Arial" w:hint="default"/>
      </w:rPr>
    </w:lvl>
    <w:lvl w:ilvl="2" w:tplc="77380C2C" w:tentative="1">
      <w:start w:val="1"/>
      <w:numFmt w:val="bullet"/>
      <w:lvlText w:val="•"/>
      <w:lvlJc w:val="left"/>
      <w:pPr>
        <w:tabs>
          <w:tab w:val="num" w:pos="2160"/>
        </w:tabs>
        <w:ind w:left="2160" w:hanging="360"/>
      </w:pPr>
      <w:rPr>
        <w:rFonts w:ascii="Arial" w:hAnsi="Arial" w:hint="default"/>
      </w:rPr>
    </w:lvl>
    <w:lvl w:ilvl="3" w:tplc="76924EE6" w:tentative="1">
      <w:start w:val="1"/>
      <w:numFmt w:val="bullet"/>
      <w:lvlText w:val="•"/>
      <w:lvlJc w:val="left"/>
      <w:pPr>
        <w:tabs>
          <w:tab w:val="num" w:pos="2880"/>
        </w:tabs>
        <w:ind w:left="2880" w:hanging="360"/>
      </w:pPr>
      <w:rPr>
        <w:rFonts w:ascii="Arial" w:hAnsi="Arial" w:hint="default"/>
      </w:rPr>
    </w:lvl>
    <w:lvl w:ilvl="4" w:tplc="580297FC" w:tentative="1">
      <w:start w:val="1"/>
      <w:numFmt w:val="bullet"/>
      <w:lvlText w:val="•"/>
      <w:lvlJc w:val="left"/>
      <w:pPr>
        <w:tabs>
          <w:tab w:val="num" w:pos="3600"/>
        </w:tabs>
        <w:ind w:left="3600" w:hanging="360"/>
      </w:pPr>
      <w:rPr>
        <w:rFonts w:ascii="Arial" w:hAnsi="Arial" w:hint="default"/>
      </w:rPr>
    </w:lvl>
    <w:lvl w:ilvl="5" w:tplc="2BC216AA" w:tentative="1">
      <w:start w:val="1"/>
      <w:numFmt w:val="bullet"/>
      <w:lvlText w:val="•"/>
      <w:lvlJc w:val="left"/>
      <w:pPr>
        <w:tabs>
          <w:tab w:val="num" w:pos="4320"/>
        </w:tabs>
        <w:ind w:left="4320" w:hanging="360"/>
      </w:pPr>
      <w:rPr>
        <w:rFonts w:ascii="Arial" w:hAnsi="Arial" w:hint="default"/>
      </w:rPr>
    </w:lvl>
    <w:lvl w:ilvl="6" w:tplc="BDA6FD74" w:tentative="1">
      <w:start w:val="1"/>
      <w:numFmt w:val="bullet"/>
      <w:lvlText w:val="•"/>
      <w:lvlJc w:val="left"/>
      <w:pPr>
        <w:tabs>
          <w:tab w:val="num" w:pos="5040"/>
        </w:tabs>
        <w:ind w:left="5040" w:hanging="360"/>
      </w:pPr>
      <w:rPr>
        <w:rFonts w:ascii="Arial" w:hAnsi="Arial" w:hint="default"/>
      </w:rPr>
    </w:lvl>
    <w:lvl w:ilvl="7" w:tplc="DFA2F3C2" w:tentative="1">
      <w:start w:val="1"/>
      <w:numFmt w:val="bullet"/>
      <w:lvlText w:val="•"/>
      <w:lvlJc w:val="left"/>
      <w:pPr>
        <w:tabs>
          <w:tab w:val="num" w:pos="5760"/>
        </w:tabs>
        <w:ind w:left="5760" w:hanging="360"/>
      </w:pPr>
      <w:rPr>
        <w:rFonts w:ascii="Arial" w:hAnsi="Arial" w:hint="default"/>
      </w:rPr>
    </w:lvl>
    <w:lvl w:ilvl="8" w:tplc="052808AC" w:tentative="1">
      <w:start w:val="1"/>
      <w:numFmt w:val="bullet"/>
      <w:lvlText w:val="•"/>
      <w:lvlJc w:val="left"/>
      <w:pPr>
        <w:tabs>
          <w:tab w:val="num" w:pos="6480"/>
        </w:tabs>
        <w:ind w:left="6480" w:hanging="360"/>
      </w:pPr>
      <w:rPr>
        <w:rFonts w:ascii="Arial" w:hAnsi="Arial" w:hint="default"/>
      </w:rPr>
    </w:lvl>
  </w:abstractNum>
  <w:abstractNum w:abstractNumId="27">
    <w:nsid w:val="683A53B9"/>
    <w:multiLevelType w:val="hybridMultilevel"/>
    <w:tmpl w:val="FC26E57C"/>
    <w:lvl w:ilvl="0" w:tplc="DBCE0B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E5397"/>
    <w:multiLevelType w:val="hybridMultilevel"/>
    <w:tmpl w:val="11C2873C"/>
    <w:lvl w:ilvl="0" w:tplc="A3CAE9A0">
      <w:start w:val="1"/>
      <w:numFmt w:val="decimal"/>
      <w:lvlText w:val="%1."/>
      <w:lvlJc w:val="left"/>
      <w:pPr>
        <w:tabs>
          <w:tab w:val="num" w:pos="720"/>
        </w:tabs>
        <w:ind w:left="720" w:hanging="360"/>
      </w:pPr>
    </w:lvl>
    <w:lvl w:ilvl="1" w:tplc="2B105FE2" w:tentative="1">
      <w:start w:val="1"/>
      <w:numFmt w:val="decimal"/>
      <w:lvlText w:val="%2."/>
      <w:lvlJc w:val="left"/>
      <w:pPr>
        <w:tabs>
          <w:tab w:val="num" w:pos="1440"/>
        </w:tabs>
        <w:ind w:left="1440" w:hanging="360"/>
      </w:pPr>
    </w:lvl>
    <w:lvl w:ilvl="2" w:tplc="F8B26E98" w:tentative="1">
      <w:start w:val="1"/>
      <w:numFmt w:val="decimal"/>
      <w:lvlText w:val="%3."/>
      <w:lvlJc w:val="left"/>
      <w:pPr>
        <w:tabs>
          <w:tab w:val="num" w:pos="2160"/>
        </w:tabs>
        <w:ind w:left="2160" w:hanging="360"/>
      </w:pPr>
    </w:lvl>
    <w:lvl w:ilvl="3" w:tplc="14D218FA" w:tentative="1">
      <w:start w:val="1"/>
      <w:numFmt w:val="decimal"/>
      <w:lvlText w:val="%4."/>
      <w:lvlJc w:val="left"/>
      <w:pPr>
        <w:tabs>
          <w:tab w:val="num" w:pos="2880"/>
        </w:tabs>
        <w:ind w:left="2880" w:hanging="360"/>
      </w:pPr>
    </w:lvl>
    <w:lvl w:ilvl="4" w:tplc="85AC7890" w:tentative="1">
      <w:start w:val="1"/>
      <w:numFmt w:val="decimal"/>
      <w:lvlText w:val="%5."/>
      <w:lvlJc w:val="left"/>
      <w:pPr>
        <w:tabs>
          <w:tab w:val="num" w:pos="3600"/>
        </w:tabs>
        <w:ind w:left="3600" w:hanging="360"/>
      </w:pPr>
    </w:lvl>
    <w:lvl w:ilvl="5" w:tplc="9DC4D430" w:tentative="1">
      <w:start w:val="1"/>
      <w:numFmt w:val="decimal"/>
      <w:lvlText w:val="%6."/>
      <w:lvlJc w:val="left"/>
      <w:pPr>
        <w:tabs>
          <w:tab w:val="num" w:pos="4320"/>
        </w:tabs>
        <w:ind w:left="4320" w:hanging="360"/>
      </w:pPr>
    </w:lvl>
    <w:lvl w:ilvl="6" w:tplc="CC86BC6C" w:tentative="1">
      <w:start w:val="1"/>
      <w:numFmt w:val="decimal"/>
      <w:lvlText w:val="%7."/>
      <w:lvlJc w:val="left"/>
      <w:pPr>
        <w:tabs>
          <w:tab w:val="num" w:pos="5040"/>
        </w:tabs>
        <w:ind w:left="5040" w:hanging="360"/>
      </w:pPr>
    </w:lvl>
    <w:lvl w:ilvl="7" w:tplc="0BE4A060" w:tentative="1">
      <w:start w:val="1"/>
      <w:numFmt w:val="decimal"/>
      <w:lvlText w:val="%8."/>
      <w:lvlJc w:val="left"/>
      <w:pPr>
        <w:tabs>
          <w:tab w:val="num" w:pos="5760"/>
        </w:tabs>
        <w:ind w:left="5760" w:hanging="360"/>
      </w:pPr>
    </w:lvl>
    <w:lvl w:ilvl="8" w:tplc="FE1E7D30" w:tentative="1">
      <w:start w:val="1"/>
      <w:numFmt w:val="decimal"/>
      <w:lvlText w:val="%9."/>
      <w:lvlJc w:val="left"/>
      <w:pPr>
        <w:tabs>
          <w:tab w:val="num" w:pos="6480"/>
        </w:tabs>
        <w:ind w:left="6480" w:hanging="360"/>
      </w:pPr>
    </w:lvl>
  </w:abstractNum>
  <w:abstractNum w:abstractNumId="2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0"/>
  </w:num>
  <w:num w:numId="4">
    <w:abstractNumId w:val="29"/>
  </w:num>
  <w:num w:numId="5">
    <w:abstractNumId w:val="18"/>
  </w:num>
  <w:num w:numId="6">
    <w:abstractNumId w:val="24"/>
  </w:num>
  <w:num w:numId="7">
    <w:abstractNumId w:val="3"/>
  </w:num>
  <w:num w:numId="8">
    <w:abstractNumId w:val="17"/>
  </w:num>
  <w:num w:numId="9">
    <w:abstractNumId w:val="20"/>
  </w:num>
  <w:num w:numId="10">
    <w:abstractNumId w:val="5"/>
  </w:num>
  <w:num w:numId="11">
    <w:abstractNumId w:val="10"/>
  </w:num>
  <w:num w:numId="12">
    <w:abstractNumId w:val="23"/>
  </w:num>
  <w:num w:numId="13">
    <w:abstractNumId w:val="14"/>
  </w:num>
  <w:num w:numId="14">
    <w:abstractNumId w:val="1"/>
  </w:num>
  <w:num w:numId="15">
    <w:abstractNumId w:val="16"/>
  </w:num>
  <w:num w:numId="16">
    <w:abstractNumId w:val="11"/>
  </w:num>
  <w:num w:numId="17">
    <w:abstractNumId w:val="19"/>
  </w:num>
  <w:num w:numId="18">
    <w:abstractNumId w:val="15"/>
  </w:num>
  <w:num w:numId="19">
    <w:abstractNumId w:val="25"/>
  </w:num>
  <w:num w:numId="20">
    <w:abstractNumId w:val="9"/>
  </w:num>
  <w:num w:numId="21">
    <w:abstractNumId w:val="7"/>
  </w:num>
  <w:num w:numId="22">
    <w:abstractNumId w:val="13"/>
  </w:num>
  <w:num w:numId="23">
    <w:abstractNumId w:val="4"/>
  </w:num>
  <w:num w:numId="24">
    <w:abstractNumId w:val="6"/>
  </w:num>
  <w:num w:numId="25">
    <w:abstractNumId w:val="28"/>
  </w:num>
  <w:num w:numId="26">
    <w:abstractNumId w:val="26"/>
  </w:num>
  <w:num w:numId="27">
    <w:abstractNumId w:val="12"/>
  </w:num>
  <w:num w:numId="28">
    <w:abstractNumId w:val="27"/>
  </w:num>
  <w:num w:numId="29">
    <w:abstractNumId w:val="8"/>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35B54"/>
    <w:rsid w:val="00050A68"/>
    <w:rsid w:val="00053013"/>
    <w:rsid w:val="000553ED"/>
    <w:rsid w:val="00060BE3"/>
    <w:rsid w:val="00062ABA"/>
    <w:rsid w:val="00067D66"/>
    <w:rsid w:val="000804F5"/>
    <w:rsid w:val="00084E2D"/>
    <w:rsid w:val="00086901"/>
    <w:rsid w:val="00091E11"/>
    <w:rsid w:val="000920DD"/>
    <w:rsid w:val="00095E6B"/>
    <w:rsid w:val="000A7A83"/>
    <w:rsid w:val="000B1D82"/>
    <w:rsid w:val="000B1EEB"/>
    <w:rsid w:val="000B4521"/>
    <w:rsid w:val="000C440F"/>
    <w:rsid w:val="000C5778"/>
    <w:rsid w:val="000E4269"/>
    <w:rsid w:val="00101E52"/>
    <w:rsid w:val="00103CE4"/>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C172B"/>
    <w:rsid w:val="001C6271"/>
    <w:rsid w:val="001D6104"/>
    <w:rsid w:val="001D78A2"/>
    <w:rsid w:val="001E773A"/>
    <w:rsid w:val="001F21BE"/>
    <w:rsid w:val="001F59F0"/>
    <w:rsid w:val="001F6597"/>
    <w:rsid w:val="00200CED"/>
    <w:rsid w:val="00206758"/>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1FC3"/>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4797C"/>
    <w:rsid w:val="00363C1F"/>
    <w:rsid w:val="0036628F"/>
    <w:rsid w:val="00366F7D"/>
    <w:rsid w:val="00380FCF"/>
    <w:rsid w:val="00384979"/>
    <w:rsid w:val="00394F30"/>
    <w:rsid w:val="003A03CB"/>
    <w:rsid w:val="003B0A06"/>
    <w:rsid w:val="003B626C"/>
    <w:rsid w:val="003C6569"/>
    <w:rsid w:val="003D2887"/>
    <w:rsid w:val="003D489F"/>
    <w:rsid w:val="003E2921"/>
    <w:rsid w:val="003E4361"/>
    <w:rsid w:val="003F6D7A"/>
    <w:rsid w:val="003F6DF9"/>
    <w:rsid w:val="00406064"/>
    <w:rsid w:val="004124EB"/>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E5C19"/>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15ED7"/>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8398D"/>
    <w:rsid w:val="007927F8"/>
    <w:rsid w:val="007943EA"/>
    <w:rsid w:val="007A1CE6"/>
    <w:rsid w:val="007A356A"/>
    <w:rsid w:val="007A7384"/>
    <w:rsid w:val="007B20A8"/>
    <w:rsid w:val="007B2FB2"/>
    <w:rsid w:val="007C1372"/>
    <w:rsid w:val="007C7176"/>
    <w:rsid w:val="007D373C"/>
    <w:rsid w:val="007D696B"/>
    <w:rsid w:val="007D7A16"/>
    <w:rsid w:val="007E2B49"/>
    <w:rsid w:val="007E6A63"/>
    <w:rsid w:val="007F26DD"/>
    <w:rsid w:val="007F5413"/>
    <w:rsid w:val="00803AA5"/>
    <w:rsid w:val="00807543"/>
    <w:rsid w:val="0082041F"/>
    <w:rsid w:val="008254CA"/>
    <w:rsid w:val="00831338"/>
    <w:rsid w:val="00840F53"/>
    <w:rsid w:val="00841F6F"/>
    <w:rsid w:val="00845E6F"/>
    <w:rsid w:val="00846C25"/>
    <w:rsid w:val="00852744"/>
    <w:rsid w:val="00852BCF"/>
    <w:rsid w:val="00853026"/>
    <w:rsid w:val="00866065"/>
    <w:rsid w:val="00866EFA"/>
    <w:rsid w:val="00866FF8"/>
    <w:rsid w:val="00876BA5"/>
    <w:rsid w:val="00882C25"/>
    <w:rsid w:val="00891846"/>
    <w:rsid w:val="00891EDC"/>
    <w:rsid w:val="0089366A"/>
    <w:rsid w:val="008A57B4"/>
    <w:rsid w:val="008C70FB"/>
    <w:rsid w:val="008D12EA"/>
    <w:rsid w:val="008D6A39"/>
    <w:rsid w:val="008E09EE"/>
    <w:rsid w:val="008E206C"/>
    <w:rsid w:val="008F140F"/>
    <w:rsid w:val="008F2DF8"/>
    <w:rsid w:val="008F677B"/>
    <w:rsid w:val="00905151"/>
    <w:rsid w:val="00907378"/>
    <w:rsid w:val="009119AD"/>
    <w:rsid w:val="0091688E"/>
    <w:rsid w:val="0091714D"/>
    <w:rsid w:val="00920543"/>
    <w:rsid w:val="00923556"/>
    <w:rsid w:val="00925C0B"/>
    <w:rsid w:val="009269E7"/>
    <w:rsid w:val="009306C6"/>
    <w:rsid w:val="00936BC2"/>
    <w:rsid w:val="0094097A"/>
    <w:rsid w:val="00946B7B"/>
    <w:rsid w:val="00960460"/>
    <w:rsid w:val="00961032"/>
    <w:rsid w:val="009615DA"/>
    <w:rsid w:val="009646FA"/>
    <w:rsid w:val="00975B74"/>
    <w:rsid w:val="009846C1"/>
    <w:rsid w:val="00984EB3"/>
    <w:rsid w:val="00995D16"/>
    <w:rsid w:val="00997425"/>
    <w:rsid w:val="009A0C1E"/>
    <w:rsid w:val="009A716D"/>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B4FAA"/>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3C50"/>
    <w:rsid w:val="00CB4EE8"/>
    <w:rsid w:val="00CD079D"/>
    <w:rsid w:val="00CD319C"/>
    <w:rsid w:val="00CD4F1D"/>
    <w:rsid w:val="00CE07E5"/>
    <w:rsid w:val="00CE160D"/>
    <w:rsid w:val="00CF258F"/>
    <w:rsid w:val="00CF5F75"/>
    <w:rsid w:val="00D00EFA"/>
    <w:rsid w:val="00D25017"/>
    <w:rsid w:val="00D2670C"/>
    <w:rsid w:val="00D3494B"/>
    <w:rsid w:val="00D35D4A"/>
    <w:rsid w:val="00D41C63"/>
    <w:rsid w:val="00D450C3"/>
    <w:rsid w:val="00D4522B"/>
    <w:rsid w:val="00D4597C"/>
    <w:rsid w:val="00D52206"/>
    <w:rsid w:val="00D55335"/>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00FCA"/>
    <w:rsid w:val="00E24870"/>
    <w:rsid w:val="00E2557D"/>
    <w:rsid w:val="00E320A8"/>
    <w:rsid w:val="00E32B79"/>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E46D6"/>
    <w:rsid w:val="00EE6215"/>
    <w:rsid w:val="00EF1A15"/>
    <w:rsid w:val="00EF3C43"/>
    <w:rsid w:val="00EF524B"/>
    <w:rsid w:val="00F008CD"/>
    <w:rsid w:val="00F05335"/>
    <w:rsid w:val="00F12864"/>
    <w:rsid w:val="00F3113F"/>
    <w:rsid w:val="00F32730"/>
    <w:rsid w:val="00F3308A"/>
    <w:rsid w:val="00F3716D"/>
    <w:rsid w:val="00F37D18"/>
    <w:rsid w:val="00F40B1F"/>
    <w:rsid w:val="00F45575"/>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984E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984E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3535">
      <w:bodyDiv w:val="1"/>
      <w:marLeft w:val="0"/>
      <w:marRight w:val="0"/>
      <w:marTop w:val="0"/>
      <w:marBottom w:val="0"/>
      <w:divBdr>
        <w:top w:val="none" w:sz="0" w:space="0" w:color="auto"/>
        <w:left w:val="none" w:sz="0" w:space="0" w:color="auto"/>
        <w:bottom w:val="none" w:sz="0" w:space="0" w:color="auto"/>
        <w:right w:val="none" w:sz="0" w:space="0" w:color="auto"/>
      </w:divBdr>
      <w:divsChild>
        <w:div w:id="1208908134">
          <w:marLeft w:val="547"/>
          <w:marRight w:val="0"/>
          <w:marTop w:val="134"/>
          <w:marBottom w:val="0"/>
          <w:divBdr>
            <w:top w:val="none" w:sz="0" w:space="0" w:color="auto"/>
            <w:left w:val="none" w:sz="0" w:space="0" w:color="auto"/>
            <w:bottom w:val="none" w:sz="0" w:space="0" w:color="auto"/>
            <w:right w:val="none" w:sz="0" w:space="0" w:color="auto"/>
          </w:divBdr>
        </w:div>
        <w:div w:id="1421949246">
          <w:marLeft w:val="547"/>
          <w:marRight w:val="0"/>
          <w:marTop w:val="134"/>
          <w:marBottom w:val="0"/>
          <w:divBdr>
            <w:top w:val="none" w:sz="0" w:space="0" w:color="auto"/>
            <w:left w:val="none" w:sz="0" w:space="0" w:color="auto"/>
            <w:bottom w:val="none" w:sz="0" w:space="0" w:color="auto"/>
            <w:right w:val="none" w:sz="0" w:space="0" w:color="auto"/>
          </w:divBdr>
        </w:div>
        <w:div w:id="910773214">
          <w:marLeft w:val="547"/>
          <w:marRight w:val="0"/>
          <w:marTop w:val="134"/>
          <w:marBottom w:val="0"/>
          <w:divBdr>
            <w:top w:val="none" w:sz="0" w:space="0" w:color="auto"/>
            <w:left w:val="none" w:sz="0" w:space="0" w:color="auto"/>
            <w:bottom w:val="none" w:sz="0" w:space="0" w:color="auto"/>
            <w:right w:val="none" w:sz="0" w:space="0" w:color="auto"/>
          </w:divBdr>
        </w:div>
        <w:div w:id="2139568782">
          <w:marLeft w:val="547"/>
          <w:marRight w:val="0"/>
          <w:marTop w:val="134"/>
          <w:marBottom w:val="0"/>
          <w:divBdr>
            <w:top w:val="none" w:sz="0" w:space="0" w:color="auto"/>
            <w:left w:val="none" w:sz="0" w:space="0" w:color="auto"/>
            <w:bottom w:val="none" w:sz="0" w:space="0" w:color="auto"/>
            <w:right w:val="none" w:sz="0" w:space="0" w:color="auto"/>
          </w:divBdr>
        </w:div>
        <w:div w:id="1745764196">
          <w:marLeft w:val="547"/>
          <w:marRight w:val="0"/>
          <w:marTop w:val="134"/>
          <w:marBottom w:val="0"/>
          <w:divBdr>
            <w:top w:val="none" w:sz="0" w:space="0" w:color="auto"/>
            <w:left w:val="none" w:sz="0" w:space="0" w:color="auto"/>
            <w:bottom w:val="none" w:sz="0" w:space="0" w:color="auto"/>
            <w:right w:val="none" w:sz="0" w:space="0" w:color="auto"/>
          </w:divBdr>
        </w:div>
      </w:divsChild>
    </w:div>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23531383">
      <w:bodyDiv w:val="1"/>
      <w:marLeft w:val="0"/>
      <w:marRight w:val="0"/>
      <w:marTop w:val="0"/>
      <w:marBottom w:val="0"/>
      <w:divBdr>
        <w:top w:val="none" w:sz="0" w:space="0" w:color="auto"/>
        <w:left w:val="none" w:sz="0" w:space="0" w:color="auto"/>
        <w:bottom w:val="none" w:sz="0" w:space="0" w:color="auto"/>
        <w:right w:val="none" w:sz="0" w:space="0" w:color="auto"/>
      </w:divBdr>
      <w:divsChild>
        <w:div w:id="1973172496">
          <w:marLeft w:val="547"/>
          <w:marRight w:val="0"/>
          <w:marTop w:val="134"/>
          <w:marBottom w:val="0"/>
          <w:divBdr>
            <w:top w:val="none" w:sz="0" w:space="0" w:color="auto"/>
            <w:left w:val="none" w:sz="0" w:space="0" w:color="auto"/>
            <w:bottom w:val="none" w:sz="0" w:space="0" w:color="auto"/>
            <w:right w:val="none" w:sz="0" w:space="0" w:color="auto"/>
          </w:divBdr>
        </w:div>
      </w:divsChild>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62413023">
      <w:bodyDiv w:val="1"/>
      <w:marLeft w:val="0"/>
      <w:marRight w:val="0"/>
      <w:marTop w:val="0"/>
      <w:marBottom w:val="0"/>
      <w:divBdr>
        <w:top w:val="none" w:sz="0" w:space="0" w:color="auto"/>
        <w:left w:val="none" w:sz="0" w:space="0" w:color="auto"/>
        <w:bottom w:val="none" w:sz="0" w:space="0" w:color="auto"/>
        <w:right w:val="none" w:sz="0" w:space="0" w:color="auto"/>
      </w:divBdr>
      <w:divsChild>
        <w:div w:id="223610371">
          <w:marLeft w:val="547"/>
          <w:marRight w:val="0"/>
          <w:marTop w:val="115"/>
          <w:marBottom w:val="0"/>
          <w:divBdr>
            <w:top w:val="none" w:sz="0" w:space="0" w:color="auto"/>
            <w:left w:val="none" w:sz="0" w:space="0" w:color="auto"/>
            <w:bottom w:val="none" w:sz="0" w:space="0" w:color="auto"/>
            <w:right w:val="none" w:sz="0" w:space="0" w:color="auto"/>
          </w:divBdr>
        </w:div>
        <w:div w:id="960038600">
          <w:marLeft w:val="547"/>
          <w:marRight w:val="0"/>
          <w:marTop w:val="115"/>
          <w:marBottom w:val="0"/>
          <w:divBdr>
            <w:top w:val="none" w:sz="0" w:space="0" w:color="auto"/>
            <w:left w:val="none" w:sz="0" w:space="0" w:color="auto"/>
            <w:bottom w:val="none" w:sz="0" w:space="0" w:color="auto"/>
            <w:right w:val="none" w:sz="0" w:space="0" w:color="auto"/>
          </w:divBdr>
        </w:div>
        <w:div w:id="34430792">
          <w:marLeft w:val="547"/>
          <w:marRight w:val="0"/>
          <w:marTop w:val="115"/>
          <w:marBottom w:val="0"/>
          <w:divBdr>
            <w:top w:val="none" w:sz="0" w:space="0" w:color="auto"/>
            <w:left w:val="none" w:sz="0" w:space="0" w:color="auto"/>
            <w:bottom w:val="none" w:sz="0" w:space="0" w:color="auto"/>
            <w:right w:val="none" w:sz="0" w:space="0" w:color="auto"/>
          </w:divBdr>
        </w:div>
        <w:div w:id="43912008">
          <w:marLeft w:val="547"/>
          <w:marRight w:val="0"/>
          <w:marTop w:val="115"/>
          <w:marBottom w:val="0"/>
          <w:divBdr>
            <w:top w:val="none" w:sz="0" w:space="0" w:color="auto"/>
            <w:left w:val="none" w:sz="0" w:space="0" w:color="auto"/>
            <w:bottom w:val="none" w:sz="0" w:space="0" w:color="auto"/>
            <w:right w:val="none" w:sz="0" w:space="0" w:color="auto"/>
          </w:divBdr>
        </w:div>
        <w:div w:id="1472289581">
          <w:marLeft w:val="547"/>
          <w:marRight w:val="0"/>
          <w:marTop w:val="115"/>
          <w:marBottom w:val="0"/>
          <w:divBdr>
            <w:top w:val="none" w:sz="0" w:space="0" w:color="auto"/>
            <w:left w:val="none" w:sz="0" w:space="0" w:color="auto"/>
            <w:bottom w:val="none" w:sz="0" w:space="0" w:color="auto"/>
            <w:right w:val="none" w:sz="0" w:space="0" w:color="auto"/>
          </w:divBdr>
        </w:div>
        <w:div w:id="33232950">
          <w:marLeft w:val="547"/>
          <w:marRight w:val="0"/>
          <w:marTop w:val="115"/>
          <w:marBottom w:val="0"/>
          <w:divBdr>
            <w:top w:val="none" w:sz="0" w:space="0" w:color="auto"/>
            <w:left w:val="none" w:sz="0" w:space="0" w:color="auto"/>
            <w:bottom w:val="none" w:sz="0" w:space="0" w:color="auto"/>
            <w:right w:val="none" w:sz="0" w:space="0" w:color="auto"/>
          </w:divBdr>
        </w:div>
      </w:divsChild>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91453919">
      <w:bodyDiv w:val="1"/>
      <w:marLeft w:val="0"/>
      <w:marRight w:val="0"/>
      <w:marTop w:val="0"/>
      <w:marBottom w:val="0"/>
      <w:divBdr>
        <w:top w:val="none" w:sz="0" w:space="0" w:color="auto"/>
        <w:left w:val="none" w:sz="0" w:space="0" w:color="auto"/>
        <w:bottom w:val="none" w:sz="0" w:space="0" w:color="auto"/>
        <w:right w:val="none" w:sz="0" w:space="0" w:color="auto"/>
      </w:divBdr>
      <w:divsChild>
        <w:div w:id="121778430">
          <w:marLeft w:val="720"/>
          <w:marRight w:val="0"/>
          <w:marTop w:val="120"/>
          <w:marBottom w:val="0"/>
          <w:divBdr>
            <w:top w:val="none" w:sz="0" w:space="0" w:color="auto"/>
            <w:left w:val="none" w:sz="0" w:space="0" w:color="auto"/>
            <w:bottom w:val="none" w:sz="0" w:space="0" w:color="auto"/>
            <w:right w:val="none" w:sz="0" w:space="0" w:color="auto"/>
          </w:divBdr>
        </w:div>
        <w:div w:id="1050105427">
          <w:marLeft w:val="720"/>
          <w:marRight w:val="0"/>
          <w:marTop w:val="120"/>
          <w:marBottom w:val="0"/>
          <w:divBdr>
            <w:top w:val="none" w:sz="0" w:space="0" w:color="auto"/>
            <w:left w:val="none" w:sz="0" w:space="0" w:color="auto"/>
            <w:bottom w:val="none" w:sz="0" w:space="0" w:color="auto"/>
            <w:right w:val="none" w:sz="0" w:space="0" w:color="auto"/>
          </w:divBdr>
        </w:div>
        <w:div w:id="1397583591">
          <w:marLeft w:val="720"/>
          <w:marRight w:val="0"/>
          <w:marTop w:val="120"/>
          <w:marBottom w:val="0"/>
          <w:divBdr>
            <w:top w:val="none" w:sz="0" w:space="0" w:color="auto"/>
            <w:left w:val="none" w:sz="0" w:space="0" w:color="auto"/>
            <w:bottom w:val="none" w:sz="0" w:space="0" w:color="auto"/>
            <w:right w:val="none" w:sz="0" w:space="0" w:color="auto"/>
          </w:divBdr>
        </w:div>
        <w:div w:id="1971400302">
          <w:marLeft w:val="720"/>
          <w:marRight w:val="0"/>
          <w:marTop w:val="120"/>
          <w:marBottom w:val="0"/>
          <w:divBdr>
            <w:top w:val="none" w:sz="0" w:space="0" w:color="auto"/>
            <w:left w:val="none" w:sz="0" w:space="0" w:color="auto"/>
            <w:bottom w:val="none" w:sz="0" w:space="0" w:color="auto"/>
            <w:right w:val="none" w:sz="0" w:space="0" w:color="auto"/>
          </w:divBdr>
        </w:div>
        <w:div w:id="1956136450">
          <w:marLeft w:val="720"/>
          <w:marRight w:val="0"/>
          <w:marTop w:val="120"/>
          <w:marBottom w:val="0"/>
          <w:divBdr>
            <w:top w:val="none" w:sz="0" w:space="0" w:color="auto"/>
            <w:left w:val="none" w:sz="0" w:space="0" w:color="auto"/>
            <w:bottom w:val="none" w:sz="0" w:space="0" w:color="auto"/>
            <w:right w:val="none" w:sz="0" w:space="0" w:color="auto"/>
          </w:divBdr>
        </w:div>
        <w:div w:id="814250956">
          <w:marLeft w:val="720"/>
          <w:marRight w:val="0"/>
          <w:marTop w:val="120"/>
          <w:marBottom w:val="0"/>
          <w:divBdr>
            <w:top w:val="none" w:sz="0" w:space="0" w:color="auto"/>
            <w:left w:val="none" w:sz="0" w:space="0" w:color="auto"/>
            <w:bottom w:val="none" w:sz="0" w:space="0" w:color="auto"/>
            <w:right w:val="none" w:sz="0" w:space="0" w:color="auto"/>
          </w:divBdr>
        </w:div>
      </w:divsChild>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NYH.org.uk\Data\NELCCG\Finance\Corporate%20Finance\CCG%20Corporate%20&amp;%20Performance\2014-15\plan\PB%20report\w.paper.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TOTAL!$B$1</c:f>
              <c:strCache>
                <c:ptCount val="1"/>
                <c:pt idx="0">
                  <c:v>2014/15</c:v>
                </c:pt>
              </c:strCache>
            </c:strRef>
          </c:tx>
          <c:invertIfNegative val="0"/>
          <c:cat>
            <c:strRef>
              <c:f>TOTAL!$A$2:$A$4</c:f>
              <c:strCache>
                <c:ptCount val="3"/>
                <c:pt idx="0">
                  <c:v>Programme Costs</c:v>
                </c:pt>
                <c:pt idx="1">
                  <c:v>Adult Social Care</c:v>
                </c:pt>
                <c:pt idx="2">
                  <c:v>Running Costs </c:v>
                </c:pt>
              </c:strCache>
            </c:strRef>
          </c:cat>
          <c:val>
            <c:numRef>
              <c:f>TOTAL!$B$2:$B$4</c:f>
              <c:numCache>
                <c:formatCode>#,##0</c:formatCode>
                <c:ptCount val="3"/>
                <c:pt idx="0" formatCode="#,##0_);\(#,##0\)">
                  <c:v>210980</c:v>
                </c:pt>
                <c:pt idx="1">
                  <c:v>46775</c:v>
                </c:pt>
                <c:pt idx="2">
                  <c:v>4067</c:v>
                </c:pt>
              </c:numCache>
            </c:numRef>
          </c:val>
        </c:ser>
        <c:ser>
          <c:idx val="1"/>
          <c:order val="1"/>
          <c:tx>
            <c:strRef>
              <c:f>TOTAL!$C$1</c:f>
              <c:strCache>
                <c:ptCount val="1"/>
                <c:pt idx="0">
                  <c:v>2015/16</c:v>
                </c:pt>
              </c:strCache>
            </c:strRef>
          </c:tx>
          <c:invertIfNegative val="0"/>
          <c:cat>
            <c:strRef>
              <c:f>TOTAL!$A$2:$A$4</c:f>
              <c:strCache>
                <c:ptCount val="3"/>
                <c:pt idx="0">
                  <c:v>Programme Costs</c:v>
                </c:pt>
                <c:pt idx="1">
                  <c:v>Adult Social Care</c:v>
                </c:pt>
                <c:pt idx="2">
                  <c:v>Running Costs </c:v>
                </c:pt>
              </c:strCache>
            </c:strRef>
          </c:cat>
          <c:val>
            <c:numRef>
              <c:f>TOTAL!$C$2:$C$4</c:f>
              <c:numCache>
                <c:formatCode>#,##0</c:formatCode>
                <c:ptCount val="3"/>
                <c:pt idx="0" formatCode="#,##0_);\(#,##0\)">
                  <c:v>219132</c:v>
                </c:pt>
                <c:pt idx="1">
                  <c:v>42229</c:v>
                </c:pt>
                <c:pt idx="2">
                  <c:v>3635</c:v>
                </c:pt>
              </c:numCache>
            </c:numRef>
          </c:val>
        </c:ser>
        <c:ser>
          <c:idx val="2"/>
          <c:order val="2"/>
          <c:tx>
            <c:strRef>
              <c:f>TOTAL!$D$1</c:f>
              <c:strCache>
                <c:ptCount val="1"/>
                <c:pt idx="0">
                  <c:v>2016/17</c:v>
                </c:pt>
              </c:strCache>
            </c:strRef>
          </c:tx>
          <c:invertIfNegative val="0"/>
          <c:cat>
            <c:strRef>
              <c:f>TOTAL!$A$2:$A$4</c:f>
              <c:strCache>
                <c:ptCount val="3"/>
                <c:pt idx="0">
                  <c:v>Programme Costs</c:v>
                </c:pt>
                <c:pt idx="1">
                  <c:v>Adult Social Care</c:v>
                </c:pt>
                <c:pt idx="2">
                  <c:v>Running Costs </c:v>
                </c:pt>
              </c:strCache>
            </c:strRef>
          </c:cat>
          <c:val>
            <c:numRef>
              <c:f>TOTAL!$D$2:$D$4</c:f>
              <c:numCache>
                <c:formatCode>#,##0</c:formatCode>
                <c:ptCount val="3"/>
                <c:pt idx="0" formatCode="#,##0_);\(#,##0\)">
                  <c:v>221686</c:v>
                </c:pt>
                <c:pt idx="1">
                  <c:v>42229</c:v>
                </c:pt>
                <c:pt idx="2">
                  <c:v>3610</c:v>
                </c:pt>
              </c:numCache>
            </c:numRef>
          </c:val>
        </c:ser>
        <c:ser>
          <c:idx val="3"/>
          <c:order val="3"/>
          <c:tx>
            <c:strRef>
              <c:f>TOTAL!$E$1</c:f>
              <c:strCache>
                <c:ptCount val="1"/>
                <c:pt idx="0">
                  <c:v>2017/18</c:v>
                </c:pt>
              </c:strCache>
            </c:strRef>
          </c:tx>
          <c:invertIfNegative val="0"/>
          <c:cat>
            <c:strRef>
              <c:f>TOTAL!$A$2:$A$4</c:f>
              <c:strCache>
                <c:ptCount val="3"/>
                <c:pt idx="0">
                  <c:v>Programme Costs</c:v>
                </c:pt>
                <c:pt idx="1">
                  <c:v>Adult Social Care</c:v>
                </c:pt>
                <c:pt idx="2">
                  <c:v>Running Costs </c:v>
                </c:pt>
              </c:strCache>
            </c:strRef>
          </c:cat>
          <c:val>
            <c:numRef>
              <c:f>TOTAL!$E$2:$E$4</c:f>
              <c:numCache>
                <c:formatCode>#,##0</c:formatCode>
                <c:ptCount val="3"/>
                <c:pt idx="0" formatCode="#,##0_);\(#,##0\)">
                  <c:v>224702</c:v>
                </c:pt>
                <c:pt idx="1">
                  <c:v>42229</c:v>
                </c:pt>
                <c:pt idx="2">
                  <c:v>3588</c:v>
                </c:pt>
              </c:numCache>
            </c:numRef>
          </c:val>
        </c:ser>
        <c:ser>
          <c:idx val="4"/>
          <c:order val="4"/>
          <c:tx>
            <c:strRef>
              <c:f>TOTAL!$F$1</c:f>
              <c:strCache>
                <c:ptCount val="1"/>
                <c:pt idx="0">
                  <c:v>2018/19</c:v>
                </c:pt>
              </c:strCache>
            </c:strRef>
          </c:tx>
          <c:invertIfNegative val="0"/>
          <c:cat>
            <c:strRef>
              <c:f>TOTAL!$A$2:$A$4</c:f>
              <c:strCache>
                <c:ptCount val="3"/>
                <c:pt idx="0">
                  <c:v>Programme Costs</c:v>
                </c:pt>
                <c:pt idx="1">
                  <c:v>Adult Social Care</c:v>
                </c:pt>
                <c:pt idx="2">
                  <c:v>Running Costs </c:v>
                </c:pt>
              </c:strCache>
            </c:strRef>
          </c:cat>
          <c:val>
            <c:numRef>
              <c:f>TOTAL!$F$2:$F$4</c:f>
              <c:numCache>
                <c:formatCode>#,##0</c:formatCode>
                <c:ptCount val="3"/>
                <c:pt idx="0" formatCode="#,##0_);\(#,##0\)">
                  <c:v>228521</c:v>
                </c:pt>
                <c:pt idx="1">
                  <c:v>42229</c:v>
                </c:pt>
                <c:pt idx="2">
                  <c:v>3565</c:v>
                </c:pt>
              </c:numCache>
            </c:numRef>
          </c:val>
        </c:ser>
        <c:dLbls>
          <c:showLegendKey val="0"/>
          <c:showVal val="0"/>
          <c:showCatName val="0"/>
          <c:showSerName val="0"/>
          <c:showPercent val="0"/>
          <c:showBubbleSize val="0"/>
        </c:dLbls>
        <c:gapWidth val="150"/>
        <c:axId val="102761216"/>
        <c:axId val="102762752"/>
      </c:barChart>
      <c:catAx>
        <c:axId val="102761216"/>
        <c:scaling>
          <c:orientation val="minMax"/>
        </c:scaling>
        <c:delete val="0"/>
        <c:axPos val="b"/>
        <c:majorTickMark val="out"/>
        <c:minorTickMark val="none"/>
        <c:tickLblPos val="nextTo"/>
        <c:crossAx val="102762752"/>
        <c:crosses val="autoZero"/>
        <c:auto val="1"/>
        <c:lblAlgn val="ctr"/>
        <c:lblOffset val="100"/>
        <c:noMultiLvlLbl val="0"/>
      </c:catAx>
      <c:valAx>
        <c:axId val="102762752"/>
        <c:scaling>
          <c:orientation val="minMax"/>
        </c:scaling>
        <c:delete val="0"/>
        <c:axPos val="l"/>
        <c:majorGridlines/>
        <c:numFmt formatCode="#,##0_);\(#,##0\)" sourceLinked="1"/>
        <c:majorTickMark val="out"/>
        <c:minorTickMark val="none"/>
        <c:tickLblPos val="nextTo"/>
        <c:crossAx val="1027612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PROGRAMME!$B$1</c:f>
              <c:strCache>
                <c:ptCount val="1"/>
                <c:pt idx="0">
                  <c:v>2014/15</c:v>
                </c:pt>
              </c:strCache>
            </c:strRef>
          </c:tx>
          <c:invertIfNegative val="0"/>
          <c:cat>
            <c:strRef>
              <c:f>PROGRAMME!$A$2:$A$7</c:f>
              <c:strCache>
                <c:ptCount val="6"/>
                <c:pt idx="0">
                  <c:v>Acute</c:v>
                </c:pt>
                <c:pt idx="1">
                  <c:v>Mental Health</c:v>
                </c:pt>
                <c:pt idx="2">
                  <c:v>Community</c:v>
                </c:pt>
                <c:pt idx="3">
                  <c:v>Continuing Care</c:v>
                </c:pt>
                <c:pt idx="4">
                  <c:v>Primary Care</c:v>
                </c:pt>
                <c:pt idx="5">
                  <c:v>Other Programme</c:v>
                </c:pt>
              </c:strCache>
            </c:strRef>
          </c:cat>
          <c:val>
            <c:numRef>
              <c:f>PROGRAMME!$B$2:$B$7</c:f>
              <c:numCache>
                <c:formatCode>#,##0_);\(#,##0\)</c:formatCode>
                <c:ptCount val="6"/>
                <c:pt idx="0">
                  <c:v>123866</c:v>
                </c:pt>
                <c:pt idx="1">
                  <c:v>18456</c:v>
                </c:pt>
                <c:pt idx="2">
                  <c:v>21370</c:v>
                </c:pt>
                <c:pt idx="3">
                  <c:v>7963</c:v>
                </c:pt>
                <c:pt idx="4">
                  <c:v>29596</c:v>
                </c:pt>
                <c:pt idx="5">
                  <c:v>8628</c:v>
                </c:pt>
              </c:numCache>
            </c:numRef>
          </c:val>
        </c:ser>
        <c:ser>
          <c:idx val="1"/>
          <c:order val="1"/>
          <c:tx>
            <c:strRef>
              <c:f>PROGRAMME!$C$1</c:f>
              <c:strCache>
                <c:ptCount val="1"/>
                <c:pt idx="0">
                  <c:v>2015/16</c:v>
                </c:pt>
              </c:strCache>
            </c:strRef>
          </c:tx>
          <c:invertIfNegative val="0"/>
          <c:cat>
            <c:strRef>
              <c:f>PROGRAMME!$A$2:$A$7</c:f>
              <c:strCache>
                <c:ptCount val="6"/>
                <c:pt idx="0">
                  <c:v>Acute</c:v>
                </c:pt>
                <c:pt idx="1">
                  <c:v>Mental Health</c:v>
                </c:pt>
                <c:pt idx="2">
                  <c:v>Community</c:v>
                </c:pt>
                <c:pt idx="3">
                  <c:v>Continuing Care</c:v>
                </c:pt>
                <c:pt idx="4">
                  <c:v>Primary Care</c:v>
                </c:pt>
                <c:pt idx="5">
                  <c:v>Other Programme</c:v>
                </c:pt>
              </c:strCache>
            </c:strRef>
          </c:cat>
          <c:val>
            <c:numRef>
              <c:f>PROGRAMME!$C$2:$C$7</c:f>
              <c:numCache>
                <c:formatCode>#,##0_);\(#,##0\)</c:formatCode>
                <c:ptCount val="6"/>
                <c:pt idx="0">
                  <c:v>122672</c:v>
                </c:pt>
                <c:pt idx="1">
                  <c:v>18308</c:v>
                </c:pt>
                <c:pt idx="2">
                  <c:v>28918</c:v>
                </c:pt>
                <c:pt idx="3">
                  <c:v>8317</c:v>
                </c:pt>
                <c:pt idx="4">
                  <c:v>30094</c:v>
                </c:pt>
                <c:pt idx="5">
                  <c:v>9694</c:v>
                </c:pt>
              </c:numCache>
            </c:numRef>
          </c:val>
        </c:ser>
        <c:ser>
          <c:idx val="2"/>
          <c:order val="2"/>
          <c:tx>
            <c:strRef>
              <c:f>PROGRAMME!$D$1</c:f>
              <c:strCache>
                <c:ptCount val="1"/>
                <c:pt idx="0">
                  <c:v>2016/17</c:v>
                </c:pt>
              </c:strCache>
            </c:strRef>
          </c:tx>
          <c:invertIfNegative val="0"/>
          <c:cat>
            <c:strRef>
              <c:f>PROGRAMME!$A$2:$A$7</c:f>
              <c:strCache>
                <c:ptCount val="6"/>
                <c:pt idx="0">
                  <c:v>Acute</c:v>
                </c:pt>
                <c:pt idx="1">
                  <c:v>Mental Health</c:v>
                </c:pt>
                <c:pt idx="2">
                  <c:v>Community</c:v>
                </c:pt>
                <c:pt idx="3">
                  <c:v>Continuing Care</c:v>
                </c:pt>
                <c:pt idx="4">
                  <c:v>Primary Care</c:v>
                </c:pt>
                <c:pt idx="5">
                  <c:v>Other Programme</c:v>
                </c:pt>
              </c:strCache>
            </c:strRef>
          </c:cat>
          <c:val>
            <c:numRef>
              <c:f>PROGRAMME!$D$2:$D$7</c:f>
              <c:numCache>
                <c:formatCode>#,##0_);\(#,##0\)</c:formatCode>
                <c:ptCount val="6"/>
                <c:pt idx="0">
                  <c:v>120271</c:v>
                </c:pt>
                <c:pt idx="1">
                  <c:v>18808</c:v>
                </c:pt>
                <c:pt idx="2">
                  <c:v>29169</c:v>
                </c:pt>
                <c:pt idx="3">
                  <c:v>8650</c:v>
                </c:pt>
                <c:pt idx="4">
                  <c:v>30075</c:v>
                </c:pt>
                <c:pt idx="5">
                  <c:v>13573</c:v>
                </c:pt>
              </c:numCache>
            </c:numRef>
          </c:val>
        </c:ser>
        <c:ser>
          <c:idx val="3"/>
          <c:order val="3"/>
          <c:tx>
            <c:strRef>
              <c:f>PROGRAMME!$E$1</c:f>
              <c:strCache>
                <c:ptCount val="1"/>
                <c:pt idx="0">
                  <c:v>2017/18</c:v>
                </c:pt>
              </c:strCache>
            </c:strRef>
          </c:tx>
          <c:invertIfNegative val="0"/>
          <c:cat>
            <c:strRef>
              <c:f>PROGRAMME!$A$2:$A$7</c:f>
              <c:strCache>
                <c:ptCount val="6"/>
                <c:pt idx="0">
                  <c:v>Acute</c:v>
                </c:pt>
                <c:pt idx="1">
                  <c:v>Mental Health</c:v>
                </c:pt>
                <c:pt idx="2">
                  <c:v>Community</c:v>
                </c:pt>
                <c:pt idx="3">
                  <c:v>Continuing Care</c:v>
                </c:pt>
                <c:pt idx="4">
                  <c:v>Primary Care</c:v>
                </c:pt>
                <c:pt idx="5">
                  <c:v>Other Programme</c:v>
                </c:pt>
              </c:strCache>
            </c:strRef>
          </c:cat>
          <c:val>
            <c:numRef>
              <c:f>PROGRAMME!$E$2:$E$7</c:f>
              <c:numCache>
                <c:formatCode>#,##0_);\(#,##0\)</c:formatCode>
                <c:ptCount val="6"/>
                <c:pt idx="0">
                  <c:v>122104</c:v>
                </c:pt>
                <c:pt idx="1">
                  <c:v>19383</c:v>
                </c:pt>
                <c:pt idx="2">
                  <c:v>31006</c:v>
                </c:pt>
                <c:pt idx="3">
                  <c:v>8987</c:v>
                </c:pt>
                <c:pt idx="4">
                  <c:v>30061</c:v>
                </c:pt>
                <c:pt idx="5">
                  <c:v>11995</c:v>
                </c:pt>
              </c:numCache>
            </c:numRef>
          </c:val>
        </c:ser>
        <c:ser>
          <c:idx val="4"/>
          <c:order val="4"/>
          <c:tx>
            <c:strRef>
              <c:f>PROGRAMME!$F$1</c:f>
              <c:strCache>
                <c:ptCount val="1"/>
                <c:pt idx="0">
                  <c:v>2018/19</c:v>
                </c:pt>
              </c:strCache>
            </c:strRef>
          </c:tx>
          <c:invertIfNegative val="0"/>
          <c:cat>
            <c:strRef>
              <c:f>PROGRAMME!$A$2:$A$7</c:f>
              <c:strCache>
                <c:ptCount val="6"/>
                <c:pt idx="0">
                  <c:v>Acute</c:v>
                </c:pt>
                <c:pt idx="1">
                  <c:v>Mental Health</c:v>
                </c:pt>
                <c:pt idx="2">
                  <c:v>Community</c:v>
                </c:pt>
                <c:pt idx="3">
                  <c:v>Continuing Care</c:v>
                </c:pt>
                <c:pt idx="4">
                  <c:v>Primary Care</c:v>
                </c:pt>
                <c:pt idx="5">
                  <c:v>Other Programme</c:v>
                </c:pt>
              </c:strCache>
            </c:strRef>
          </c:cat>
          <c:val>
            <c:numRef>
              <c:f>PROGRAMME!$F$2:$F$7</c:f>
              <c:numCache>
                <c:formatCode>#,##0_);\(#,##0\)</c:formatCode>
                <c:ptCount val="6"/>
                <c:pt idx="0">
                  <c:v>123443</c:v>
                </c:pt>
                <c:pt idx="1">
                  <c:v>19827</c:v>
                </c:pt>
                <c:pt idx="2">
                  <c:v>33103</c:v>
                </c:pt>
                <c:pt idx="3">
                  <c:v>9077</c:v>
                </c:pt>
                <c:pt idx="4">
                  <c:v>29962</c:v>
                </c:pt>
                <c:pt idx="5">
                  <c:v>11899</c:v>
                </c:pt>
              </c:numCache>
            </c:numRef>
          </c:val>
        </c:ser>
        <c:dLbls>
          <c:showLegendKey val="0"/>
          <c:showVal val="0"/>
          <c:showCatName val="0"/>
          <c:showSerName val="0"/>
          <c:showPercent val="0"/>
          <c:showBubbleSize val="0"/>
        </c:dLbls>
        <c:gapWidth val="150"/>
        <c:axId val="144168064"/>
        <c:axId val="144169600"/>
      </c:barChart>
      <c:catAx>
        <c:axId val="144168064"/>
        <c:scaling>
          <c:orientation val="minMax"/>
        </c:scaling>
        <c:delete val="0"/>
        <c:axPos val="b"/>
        <c:majorTickMark val="out"/>
        <c:minorTickMark val="none"/>
        <c:tickLblPos val="nextTo"/>
        <c:crossAx val="144169600"/>
        <c:crosses val="autoZero"/>
        <c:auto val="1"/>
        <c:lblAlgn val="ctr"/>
        <c:lblOffset val="100"/>
        <c:noMultiLvlLbl val="0"/>
      </c:catAx>
      <c:valAx>
        <c:axId val="144169600"/>
        <c:scaling>
          <c:orientation val="minMax"/>
        </c:scaling>
        <c:delete val="0"/>
        <c:axPos val="l"/>
        <c:majorGridlines/>
        <c:numFmt formatCode="#,##0_);\(#,##0\)" sourceLinked="1"/>
        <c:majorTickMark val="out"/>
        <c:minorTickMark val="none"/>
        <c:tickLblPos val="nextTo"/>
        <c:crossAx val="14416806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18</TotalTime>
  <Pages>7</Pages>
  <Words>1262</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8473</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6</cp:revision>
  <cp:lastPrinted>2011-06-01T15:50:00Z</cp:lastPrinted>
  <dcterms:created xsi:type="dcterms:W3CDTF">2014-05-02T09:29:00Z</dcterms:created>
  <dcterms:modified xsi:type="dcterms:W3CDTF">2014-05-02T09:59:00Z</dcterms:modified>
</cp:coreProperties>
</file>