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F5AFA">
                              <w:rPr>
                                <w:rFonts w:ascii="Arial" w:hAnsi="Arial" w:cs="Arial"/>
                                <w:sz w:val="32"/>
                                <w:szCs w:val="32"/>
                              </w:rPr>
                              <w:t>10</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F5AFA">
                        <w:rPr>
                          <w:rFonts w:ascii="Arial" w:hAnsi="Arial" w:cs="Arial"/>
                          <w:sz w:val="32"/>
                          <w:szCs w:val="32"/>
                        </w:rPr>
                        <w:t>10</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bookmarkStart w:id="0" w:name="_GoBack"/>
            <w:bookmarkEnd w:id="0"/>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A06289" w:rsidP="00D43881">
            <w:pPr>
              <w:rPr>
                <w:rFonts w:ascii="Arial" w:hAnsi="Arial" w:cs="Arial"/>
                <w:bCs/>
                <w:sz w:val="22"/>
                <w:szCs w:val="22"/>
              </w:rPr>
            </w:pPr>
            <w:r>
              <w:rPr>
                <w:rFonts w:ascii="Arial" w:hAnsi="Arial" w:cs="Arial"/>
                <w:bCs/>
                <w:sz w:val="22"/>
                <w:szCs w:val="22"/>
              </w:rPr>
              <w:t>10</w:t>
            </w:r>
            <w:r w:rsidRPr="00A06289">
              <w:rPr>
                <w:rFonts w:ascii="Arial" w:hAnsi="Arial" w:cs="Arial"/>
                <w:bCs/>
                <w:sz w:val="22"/>
                <w:szCs w:val="22"/>
                <w:vertAlign w:val="superscript"/>
              </w:rPr>
              <w:t>th</w:t>
            </w:r>
            <w:r>
              <w:rPr>
                <w:rFonts w:ascii="Arial" w:hAnsi="Arial" w:cs="Arial"/>
                <w:bCs/>
                <w:sz w:val="22"/>
                <w:szCs w:val="22"/>
              </w:rPr>
              <w:t xml:space="preserve"> September</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AF5AFA"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8742B5">
        <w:rPr>
          <w:rFonts w:ascii="Arial" w:hAnsi="Arial" w:cs="Arial"/>
          <w:b/>
          <w:bCs/>
          <w:sz w:val="22"/>
          <w:szCs w:val="22"/>
        </w:rPr>
        <w:t xml:space="preserve">June </w:t>
      </w:r>
      <w:r w:rsidR="00AC0416">
        <w:rPr>
          <w:rFonts w:ascii="Arial" w:hAnsi="Arial" w:cs="Arial"/>
          <w:b/>
          <w:bCs/>
          <w:sz w:val="22"/>
          <w:szCs w:val="22"/>
        </w:rPr>
        <w:t>2015</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
    <w:p w:rsidR="00F35EA9" w:rsidRPr="005C585A" w:rsidRDefault="00F35EA9" w:rsidP="005C585A">
      <w:pPr>
        <w:ind w:firstLine="360"/>
        <w:rPr>
          <w:rFonts w:ascii="Arial" w:hAnsi="Arial" w:cs="Arial"/>
          <w:bCs/>
        </w:rPr>
      </w:pPr>
      <w:r w:rsidRPr="005C585A">
        <w:rPr>
          <w:rFonts w:ascii="Arial" w:hAnsi="Arial" w:cs="Arial"/>
          <w:b/>
          <w:bCs/>
        </w:rPr>
        <w:t>Procurement Update</w:t>
      </w:r>
      <w:r w:rsidRPr="005C585A">
        <w:rPr>
          <w:rFonts w:ascii="Arial" w:hAnsi="Arial" w:cs="Arial"/>
          <w:bCs/>
        </w:rPr>
        <w:t>:</w:t>
      </w:r>
    </w:p>
    <w:p w:rsidR="00A06289" w:rsidRDefault="00A06289" w:rsidP="00A06289">
      <w:pPr>
        <w:rPr>
          <w:rFonts w:ascii="Arial" w:hAnsi="Arial" w:cs="Arial"/>
          <w:bCs/>
        </w:rPr>
      </w:pPr>
    </w:p>
    <w:p w:rsidR="002554C4" w:rsidRPr="005C585A" w:rsidRDefault="005C585A" w:rsidP="005C585A">
      <w:pPr>
        <w:ind w:firstLine="360"/>
        <w:rPr>
          <w:rFonts w:ascii="Arial" w:hAnsi="Arial" w:cs="Arial"/>
          <w:bCs/>
          <w:u w:val="single"/>
        </w:rPr>
      </w:pPr>
      <w:r w:rsidRPr="005C585A">
        <w:rPr>
          <w:rFonts w:ascii="Arial" w:hAnsi="Arial" w:cs="Arial"/>
          <w:bCs/>
          <w:u w:val="single"/>
        </w:rPr>
        <w:t xml:space="preserve">Independent </w:t>
      </w:r>
      <w:r w:rsidR="00A06289" w:rsidRPr="005C585A">
        <w:rPr>
          <w:rFonts w:ascii="Arial" w:hAnsi="Arial" w:cs="Arial"/>
          <w:bCs/>
          <w:u w:val="single"/>
        </w:rPr>
        <w:t>Advocacy</w:t>
      </w:r>
      <w:r w:rsidRPr="005C585A">
        <w:rPr>
          <w:rFonts w:ascii="Arial" w:hAnsi="Arial" w:cs="Arial"/>
          <w:bCs/>
          <w:u w:val="single"/>
        </w:rPr>
        <w:t xml:space="preserve"> Service</w:t>
      </w:r>
    </w:p>
    <w:p w:rsidR="002554C4" w:rsidRDefault="00A06289" w:rsidP="002554C4">
      <w:pPr>
        <w:pStyle w:val="ListParagraph"/>
        <w:ind w:left="1440"/>
        <w:rPr>
          <w:rFonts w:ascii="Arial" w:hAnsi="Arial" w:cs="Arial"/>
          <w:bCs/>
        </w:rPr>
      </w:pPr>
      <w:r w:rsidRPr="00A06289">
        <w:rPr>
          <w:rFonts w:ascii="Arial" w:hAnsi="Arial" w:cs="Arial"/>
          <w:bCs/>
        </w:rPr>
        <w:tab/>
      </w:r>
    </w:p>
    <w:p w:rsidR="005C585A" w:rsidRDefault="005C585A" w:rsidP="002554C4">
      <w:pPr>
        <w:ind w:left="426"/>
        <w:rPr>
          <w:rFonts w:ascii="Arial" w:hAnsi="Arial" w:cs="Arial"/>
          <w:bCs/>
        </w:rPr>
      </w:pPr>
      <w:r>
        <w:rPr>
          <w:rFonts w:ascii="Arial" w:hAnsi="Arial" w:cs="Arial"/>
          <w:bCs/>
        </w:rPr>
        <w:t xml:space="preserve">The CCG has completed an open procurement process for the re-provision of the Independent Advocacy service.  2 bids were received as part of this process and following assessment the contract has been awarded to </w:t>
      </w:r>
      <w:r w:rsidR="006D0DE2" w:rsidRPr="002554C4">
        <w:rPr>
          <w:rFonts w:ascii="Arial" w:hAnsi="Arial" w:cs="Arial"/>
          <w:bCs/>
        </w:rPr>
        <w:t>Cloverleaf Advocacy</w:t>
      </w:r>
      <w:r w:rsidR="00976B36">
        <w:rPr>
          <w:rFonts w:ascii="Arial" w:hAnsi="Arial" w:cs="Arial"/>
          <w:bCs/>
        </w:rPr>
        <w:t>, one of the existing independent advocacy providers.</w:t>
      </w:r>
    </w:p>
    <w:p w:rsidR="00976B36" w:rsidRDefault="00976B36" w:rsidP="002554C4">
      <w:pPr>
        <w:ind w:left="426"/>
        <w:rPr>
          <w:rFonts w:ascii="Arial" w:hAnsi="Arial" w:cs="Arial"/>
          <w:bCs/>
        </w:rPr>
      </w:pPr>
    </w:p>
    <w:p w:rsidR="00976B36" w:rsidRDefault="00976B36" w:rsidP="002554C4">
      <w:pPr>
        <w:ind w:left="426"/>
      </w:pPr>
      <w:r>
        <w:rPr>
          <w:rFonts w:ascii="Arial" w:hAnsi="Arial" w:cs="Arial"/>
          <w:bCs/>
        </w:rPr>
        <w:t>Community representatives were involved in the process and determined the subject of the presentation and were instrumental to the decision making process.</w:t>
      </w:r>
    </w:p>
    <w:p w:rsidR="00976B36" w:rsidRDefault="00976B36" w:rsidP="002554C4">
      <w:pPr>
        <w:ind w:left="426"/>
      </w:pPr>
    </w:p>
    <w:p w:rsidR="00976B36" w:rsidRPr="00976B36" w:rsidRDefault="00976B36" w:rsidP="002554C4">
      <w:pPr>
        <w:ind w:left="426"/>
        <w:rPr>
          <w:rFonts w:ascii="Arial" w:hAnsi="Arial" w:cs="Arial"/>
          <w:u w:val="single"/>
        </w:rPr>
      </w:pPr>
      <w:r>
        <w:rPr>
          <w:rFonts w:ascii="Arial" w:hAnsi="Arial" w:cs="Arial"/>
          <w:u w:val="single"/>
        </w:rPr>
        <w:t>Supported L</w:t>
      </w:r>
      <w:r w:rsidRPr="00976B36">
        <w:rPr>
          <w:rFonts w:ascii="Arial" w:hAnsi="Arial" w:cs="Arial"/>
          <w:u w:val="single"/>
        </w:rPr>
        <w:t>iving</w:t>
      </w:r>
    </w:p>
    <w:p w:rsidR="00976B36" w:rsidRDefault="00976B36" w:rsidP="00976B36"/>
    <w:p w:rsidR="00DE5C45" w:rsidRPr="00B52E01" w:rsidRDefault="00DE5C45" w:rsidP="00DE5C45">
      <w:pPr>
        <w:ind w:left="426" w:hanging="66"/>
        <w:rPr>
          <w:rFonts w:ascii="Arial" w:hAnsi="Arial" w:cs="Arial"/>
          <w:b/>
          <w:bCs/>
          <w:sz w:val="22"/>
          <w:szCs w:val="22"/>
        </w:rPr>
      </w:pPr>
      <w:r w:rsidRPr="00B52E01">
        <w:rPr>
          <w:rFonts w:ascii="Arial" w:hAnsi="Arial" w:cs="Arial"/>
        </w:rPr>
        <w:t>Supported living is a concept that was developed as an alternative to institutional care for people with disabilities.  The main principles of supported living are that people with disabilities own or rent their home and have control over the support they get, who they live with (if anyone) and how they live their lives. Supported living assumes that all people with disabilities, regardless of the level or type of disability, are able to make choices about how to live their lives even if the person does not make choices in conventional ways.</w:t>
      </w:r>
      <w:r w:rsidRPr="00B52E01">
        <w:rPr>
          <w:rFonts w:ascii="Arial" w:hAnsi="Arial" w:cs="Arial"/>
          <w:b/>
          <w:bCs/>
          <w:sz w:val="22"/>
          <w:szCs w:val="22"/>
        </w:rPr>
        <w:t xml:space="preserve"> </w:t>
      </w:r>
    </w:p>
    <w:p w:rsidR="00DE5C45" w:rsidRDefault="00DE5C45" w:rsidP="00DE5C45">
      <w:pPr>
        <w:ind w:left="426" w:hanging="66"/>
        <w:rPr>
          <w:rFonts w:ascii="Arial" w:hAnsi="Arial" w:cs="Arial"/>
        </w:rPr>
      </w:pPr>
    </w:p>
    <w:p w:rsidR="006D0DE2" w:rsidRDefault="00DE5C45" w:rsidP="00DE5C45">
      <w:pPr>
        <w:ind w:left="426" w:hanging="66"/>
        <w:rPr>
          <w:rFonts w:ascii="Arial" w:hAnsi="Arial" w:cs="Arial"/>
        </w:rPr>
      </w:pPr>
      <w:r w:rsidRPr="00DE5C45">
        <w:rPr>
          <w:rFonts w:ascii="Arial" w:hAnsi="Arial" w:cs="Arial"/>
        </w:rPr>
        <w:t xml:space="preserve">Supported Living in NEL is </w:t>
      </w:r>
      <w:r>
        <w:rPr>
          <w:rFonts w:ascii="Arial" w:hAnsi="Arial" w:cs="Arial"/>
        </w:rPr>
        <w:t xml:space="preserve">currently </w:t>
      </w:r>
      <w:r w:rsidRPr="00DE5C45">
        <w:rPr>
          <w:rFonts w:ascii="Arial" w:hAnsi="Arial" w:cs="Arial"/>
        </w:rPr>
        <w:t>delivered by 9 separate providers.  Many of the providers are on different hourly rates and working to different quality standards and service delivery outcomes</w:t>
      </w:r>
      <w:r>
        <w:rPr>
          <w:rFonts w:ascii="Arial" w:hAnsi="Arial" w:cs="Arial"/>
        </w:rPr>
        <w:t>.</w:t>
      </w:r>
    </w:p>
    <w:p w:rsidR="00BE5B77" w:rsidRDefault="00BE5B77" w:rsidP="00DE5C45">
      <w:pPr>
        <w:ind w:left="426" w:hanging="66"/>
        <w:rPr>
          <w:rFonts w:ascii="Arial" w:hAnsi="Arial" w:cs="Arial"/>
        </w:rPr>
      </w:pPr>
    </w:p>
    <w:p w:rsidR="00DE5C45" w:rsidRDefault="00BE5B77" w:rsidP="00DE5C45">
      <w:pPr>
        <w:ind w:left="426" w:hanging="66"/>
        <w:rPr>
          <w:rFonts w:ascii="Arial" w:hAnsi="Arial" w:cs="Arial"/>
        </w:rPr>
      </w:pPr>
      <w:r>
        <w:rPr>
          <w:rFonts w:ascii="Arial" w:hAnsi="Arial" w:cs="Arial"/>
        </w:rPr>
        <w:t>CCC has agreed that a re-commissioning process be undertaken to move all services to a standard outcome based service specification, with a standard hourly rate paid for the service.</w:t>
      </w:r>
      <w:r w:rsidR="00B52E01">
        <w:rPr>
          <w:rFonts w:ascii="Arial" w:hAnsi="Arial" w:cs="Arial"/>
        </w:rPr>
        <w:t xml:space="preserve">  This will be completed by the end of the financial year</w:t>
      </w:r>
    </w:p>
    <w:p w:rsidR="00BE5B77" w:rsidRDefault="00BE5B77" w:rsidP="00DE5C45">
      <w:pPr>
        <w:ind w:left="426" w:hanging="66"/>
        <w:rPr>
          <w:rFonts w:ascii="Arial" w:hAnsi="Arial" w:cs="Arial"/>
        </w:rPr>
      </w:pPr>
    </w:p>
    <w:p w:rsidR="00BE5B77" w:rsidRPr="006D0DE2" w:rsidRDefault="00BE5B77" w:rsidP="00DE5C45">
      <w:pPr>
        <w:ind w:left="426" w:hanging="66"/>
        <w:rPr>
          <w:rFonts w:ascii="Arial" w:hAnsi="Arial" w:cs="Arial"/>
          <w:bCs/>
        </w:rPr>
      </w:pPr>
    </w:p>
    <w:p w:rsidR="00A06289" w:rsidRDefault="00D253CF" w:rsidP="005C585A">
      <w:pPr>
        <w:ind w:left="360"/>
        <w:rPr>
          <w:rFonts w:ascii="Arial" w:hAnsi="Arial" w:cs="Arial"/>
          <w:bCs/>
        </w:rPr>
      </w:pPr>
      <w:r w:rsidRPr="00D253CF">
        <w:rPr>
          <w:rFonts w:ascii="Arial" w:hAnsi="Arial" w:cs="Arial"/>
          <w:b/>
          <w:bCs/>
        </w:rPr>
        <w:t>Contracts:</w:t>
      </w:r>
    </w:p>
    <w:p w:rsidR="00D253CF" w:rsidRPr="00A06289" w:rsidRDefault="00D253CF" w:rsidP="00A06289">
      <w:pPr>
        <w:ind w:left="360"/>
        <w:rPr>
          <w:rFonts w:ascii="Arial" w:hAnsi="Arial" w:cs="Arial"/>
          <w:bCs/>
        </w:rPr>
      </w:pPr>
    </w:p>
    <w:p w:rsidR="00A06289" w:rsidRPr="00976B36" w:rsidRDefault="00BE5B77" w:rsidP="00976B36">
      <w:pPr>
        <w:ind w:firstLine="360"/>
        <w:rPr>
          <w:rFonts w:ascii="Arial" w:hAnsi="Arial" w:cs="Arial"/>
          <w:bCs/>
          <w:u w:val="single"/>
        </w:rPr>
      </w:pPr>
      <w:r>
        <w:rPr>
          <w:rFonts w:ascii="Arial" w:hAnsi="Arial" w:cs="Arial"/>
          <w:bCs/>
          <w:u w:val="single"/>
        </w:rPr>
        <w:t>Care Home Quality Framework</w:t>
      </w:r>
      <w:r w:rsidR="00D253CF" w:rsidRPr="00976B36">
        <w:rPr>
          <w:rFonts w:ascii="Arial" w:hAnsi="Arial" w:cs="Arial"/>
          <w:bCs/>
          <w:u w:val="single"/>
        </w:rPr>
        <w:t xml:space="preserve"> Outcomes</w:t>
      </w:r>
    </w:p>
    <w:p w:rsidR="00D253CF" w:rsidRDefault="00D253CF" w:rsidP="00A06289">
      <w:pPr>
        <w:ind w:left="360"/>
        <w:rPr>
          <w:rFonts w:ascii="Arial" w:hAnsi="Arial" w:cs="Arial"/>
          <w:bCs/>
        </w:rPr>
      </w:pPr>
    </w:p>
    <w:p w:rsidR="00B52E01" w:rsidRPr="00B52E01" w:rsidRDefault="00B52E01" w:rsidP="00A06289">
      <w:pPr>
        <w:ind w:left="360"/>
        <w:rPr>
          <w:rFonts w:ascii="Arial" w:hAnsi="Arial" w:cs="Arial"/>
          <w:bCs/>
        </w:rPr>
      </w:pPr>
      <w:r w:rsidRPr="00B52E01">
        <w:rPr>
          <w:rFonts w:ascii="Arial" w:hAnsi="Arial" w:cs="Arial"/>
          <w:bCs/>
        </w:rPr>
        <w:t xml:space="preserve">The Quality Framework (QF) was first implemented in 2013-14 when an initial benchmarking exercise took place to understand the current level of quality within the market. Going forward, the QF </w:t>
      </w:r>
      <w:r>
        <w:rPr>
          <w:rFonts w:ascii="Arial" w:hAnsi="Arial" w:cs="Arial"/>
          <w:bCs/>
        </w:rPr>
        <w:t xml:space="preserve">is being used as </w:t>
      </w:r>
      <w:r w:rsidRPr="00B52E01">
        <w:rPr>
          <w:rFonts w:ascii="Arial" w:hAnsi="Arial" w:cs="Arial"/>
          <w:bCs/>
        </w:rPr>
        <w:t>a driver for continuous improvement in the sector and to understand any gaps or priority areas in the current service provision</w:t>
      </w:r>
    </w:p>
    <w:p w:rsidR="00B52E01" w:rsidRDefault="00B52E01" w:rsidP="00A06289">
      <w:pPr>
        <w:ind w:left="360"/>
        <w:rPr>
          <w:rFonts w:ascii="Arial" w:hAnsi="Arial" w:cs="Arial"/>
          <w:bCs/>
        </w:rPr>
      </w:pPr>
    </w:p>
    <w:p w:rsidR="00BE5B77" w:rsidRDefault="00BE5B77" w:rsidP="00A06289">
      <w:pPr>
        <w:ind w:left="360"/>
        <w:rPr>
          <w:rFonts w:ascii="Arial" w:hAnsi="Arial" w:cs="Arial"/>
          <w:bCs/>
        </w:rPr>
      </w:pPr>
      <w:r>
        <w:rPr>
          <w:rFonts w:ascii="Arial" w:hAnsi="Arial" w:cs="Arial"/>
          <w:bCs/>
        </w:rPr>
        <w:t>The second year’s assessment of car homes against the Care Homes Quality Framework (QF) Outcomes has been completed.</w:t>
      </w:r>
    </w:p>
    <w:p w:rsidR="00BE5B77" w:rsidRDefault="00BE5B77" w:rsidP="00A06289">
      <w:pPr>
        <w:ind w:left="360"/>
        <w:rPr>
          <w:rFonts w:ascii="Arial" w:hAnsi="Arial" w:cs="Arial"/>
          <w:bCs/>
        </w:rPr>
      </w:pPr>
    </w:p>
    <w:p w:rsidR="00BE5B77" w:rsidRDefault="00BE5B77" w:rsidP="00A06289">
      <w:pPr>
        <w:ind w:left="360"/>
        <w:rPr>
          <w:rFonts w:ascii="Arial" w:hAnsi="Arial" w:cs="Arial"/>
          <w:bCs/>
        </w:rPr>
      </w:pPr>
      <w:r>
        <w:rPr>
          <w:rFonts w:ascii="Arial" w:hAnsi="Arial" w:cs="Arial"/>
          <w:bCs/>
        </w:rPr>
        <w:t>The QF assesses individual homes against the following 14 standards:</w:t>
      </w:r>
    </w:p>
    <w:p w:rsidR="00BE5B77" w:rsidRDefault="00BE5B77" w:rsidP="00BE5B77">
      <w:pPr>
        <w:rPr>
          <w:rFonts w:ascii="Arial" w:hAnsi="Arial" w:cs="Arial"/>
          <w:b/>
          <w:sz w:val="20"/>
          <w:szCs w:val="20"/>
        </w:rPr>
      </w:pPr>
    </w:p>
    <w:p w:rsidR="00BE5B77" w:rsidRPr="00BE5B77" w:rsidRDefault="00BE5B77" w:rsidP="00BE5B77">
      <w:pPr>
        <w:ind w:left="426"/>
        <w:rPr>
          <w:rFonts w:ascii="Arial" w:hAnsi="Arial" w:cs="Arial"/>
        </w:rPr>
      </w:pPr>
      <w:r w:rsidRPr="00BE5B77">
        <w:rPr>
          <w:rFonts w:ascii="Arial" w:hAnsi="Arial" w:cs="Arial"/>
          <w:b/>
        </w:rPr>
        <w:lastRenderedPageBreak/>
        <w:t>Standard 1</w:t>
      </w:r>
      <w:r w:rsidRPr="00BE5B77">
        <w:rPr>
          <w:rFonts w:ascii="Arial" w:hAnsi="Arial" w:cs="Arial"/>
        </w:rPr>
        <w:tab/>
        <w:t>Being informed and involved</w:t>
      </w:r>
    </w:p>
    <w:p w:rsidR="00BE5B77" w:rsidRPr="00BE5B77" w:rsidRDefault="00BE5B77" w:rsidP="00BE5B77">
      <w:pPr>
        <w:ind w:left="426"/>
        <w:rPr>
          <w:rFonts w:ascii="Arial" w:hAnsi="Arial" w:cs="Arial"/>
        </w:rPr>
      </w:pPr>
      <w:r w:rsidRPr="00BE5B77">
        <w:rPr>
          <w:rFonts w:ascii="Arial" w:hAnsi="Arial" w:cs="Arial"/>
          <w:b/>
        </w:rPr>
        <w:t>Standard 2</w:t>
      </w:r>
      <w:r w:rsidRPr="00BE5B77">
        <w:rPr>
          <w:rFonts w:ascii="Arial" w:hAnsi="Arial" w:cs="Arial"/>
        </w:rPr>
        <w:tab/>
        <w:t>Promoting Dignity in Care</w:t>
      </w:r>
    </w:p>
    <w:p w:rsidR="00BE5B77" w:rsidRPr="00BE5B77" w:rsidRDefault="00BE5B77" w:rsidP="00BE5B77">
      <w:pPr>
        <w:ind w:left="426"/>
        <w:rPr>
          <w:rFonts w:ascii="Arial" w:hAnsi="Arial" w:cs="Arial"/>
        </w:rPr>
      </w:pPr>
      <w:r w:rsidRPr="00BE5B77">
        <w:rPr>
          <w:rFonts w:ascii="Arial" w:hAnsi="Arial" w:cs="Arial"/>
          <w:b/>
        </w:rPr>
        <w:t>Standard 3</w:t>
      </w:r>
      <w:r w:rsidRPr="00BE5B77">
        <w:rPr>
          <w:rFonts w:ascii="Arial" w:hAnsi="Arial" w:cs="Arial"/>
        </w:rPr>
        <w:tab/>
        <w:t>Maintaining a safe care environment</w:t>
      </w:r>
    </w:p>
    <w:p w:rsidR="00BE5B77" w:rsidRPr="00BE5B77" w:rsidRDefault="00BE5B77" w:rsidP="00BE5B77">
      <w:pPr>
        <w:ind w:left="426"/>
        <w:rPr>
          <w:rFonts w:ascii="Arial" w:hAnsi="Arial" w:cs="Arial"/>
        </w:rPr>
      </w:pPr>
      <w:r w:rsidRPr="00BE5B77">
        <w:rPr>
          <w:rFonts w:ascii="Arial" w:hAnsi="Arial" w:cs="Arial"/>
          <w:b/>
        </w:rPr>
        <w:t>Standard 4</w:t>
      </w:r>
      <w:r w:rsidRPr="00BE5B77">
        <w:rPr>
          <w:rFonts w:ascii="Arial" w:hAnsi="Arial" w:cs="Arial"/>
        </w:rPr>
        <w:tab/>
        <w:t>The service is person-centred</w:t>
      </w:r>
    </w:p>
    <w:p w:rsidR="00BE5B77" w:rsidRPr="00BE5B77" w:rsidRDefault="00BE5B77" w:rsidP="00BE5B77">
      <w:pPr>
        <w:ind w:left="426"/>
        <w:rPr>
          <w:rFonts w:ascii="Arial" w:hAnsi="Arial" w:cs="Arial"/>
        </w:rPr>
      </w:pPr>
      <w:r w:rsidRPr="00BE5B77">
        <w:rPr>
          <w:rFonts w:ascii="Arial" w:hAnsi="Arial" w:cs="Arial"/>
          <w:b/>
        </w:rPr>
        <w:t>Standard 5</w:t>
      </w:r>
      <w:r w:rsidRPr="00BE5B77">
        <w:rPr>
          <w:rFonts w:ascii="Arial" w:hAnsi="Arial" w:cs="Arial"/>
        </w:rPr>
        <w:tab/>
        <w:t>The home encourages people to be engaged in meaningful activity</w:t>
      </w:r>
    </w:p>
    <w:p w:rsidR="00BE5B77" w:rsidRPr="00BE5B77" w:rsidRDefault="00BE5B77" w:rsidP="00BE5B77">
      <w:pPr>
        <w:ind w:left="426"/>
        <w:rPr>
          <w:rFonts w:ascii="Arial" w:hAnsi="Arial" w:cs="Arial"/>
        </w:rPr>
      </w:pPr>
      <w:r w:rsidRPr="00BE5B77">
        <w:rPr>
          <w:rFonts w:ascii="Arial" w:hAnsi="Arial" w:cs="Arial"/>
          <w:b/>
        </w:rPr>
        <w:t>Standard 6</w:t>
      </w:r>
      <w:r w:rsidRPr="00BE5B77">
        <w:rPr>
          <w:rFonts w:ascii="Arial" w:hAnsi="Arial" w:cs="Arial"/>
        </w:rPr>
        <w:tab/>
        <w:t>Maintaining good nutrition/hydration and dining experience</w:t>
      </w:r>
    </w:p>
    <w:p w:rsidR="00BE5B77" w:rsidRPr="00BE5B77" w:rsidRDefault="00BE5B77" w:rsidP="00BE5B77">
      <w:pPr>
        <w:ind w:left="426"/>
        <w:rPr>
          <w:rFonts w:ascii="Arial" w:hAnsi="Arial" w:cs="Arial"/>
        </w:rPr>
      </w:pPr>
      <w:r w:rsidRPr="00BE5B77">
        <w:rPr>
          <w:rFonts w:ascii="Arial" w:hAnsi="Arial" w:cs="Arial"/>
          <w:b/>
        </w:rPr>
        <w:t>Standard 7</w:t>
      </w:r>
      <w:r w:rsidRPr="00BE5B77">
        <w:rPr>
          <w:rFonts w:ascii="Arial" w:hAnsi="Arial" w:cs="Arial"/>
        </w:rPr>
        <w:tab/>
        <w:t>Proactive steps are taken to reduce ill health</w:t>
      </w:r>
    </w:p>
    <w:p w:rsidR="00BE5B77" w:rsidRPr="00BE5B77" w:rsidRDefault="00BE5B77" w:rsidP="00BE5B77">
      <w:pPr>
        <w:ind w:left="426"/>
        <w:rPr>
          <w:rFonts w:ascii="Arial" w:hAnsi="Arial" w:cs="Arial"/>
        </w:rPr>
      </w:pPr>
      <w:r w:rsidRPr="00BE5B77">
        <w:rPr>
          <w:rFonts w:ascii="Arial" w:hAnsi="Arial" w:cs="Arial"/>
          <w:b/>
        </w:rPr>
        <w:t>Standard 8</w:t>
      </w:r>
      <w:r w:rsidRPr="00BE5B77">
        <w:rPr>
          <w:rFonts w:ascii="Arial" w:hAnsi="Arial" w:cs="Arial"/>
        </w:rPr>
        <w:tab/>
        <w:t>Effective infection control standards</w:t>
      </w:r>
    </w:p>
    <w:p w:rsidR="00BE5B77" w:rsidRPr="00BE5B77" w:rsidRDefault="00BE5B77" w:rsidP="00BE5B77">
      <w:pPr>
        <w:ind w:left="426"/>
        <w:rPr>
          <w:rFonts w:ascii="Arial" w:hAnsi="Arial" w:cs="Arial"/>
        </w:rPr>
      </w:pPr>
      <w:r w:rsidRPr="00BE5B77">
        <w:rPr>
          <w:rFonts w:ascii="Arial" w:hAnsi="Arial" w:cs="Arial"/>
          <w:b/>
        </w:rPr>
        <w:t>Standard 9</w:t>
      </w:r>
      <w:r w:rsidRPr="00BE5B77">
        <w:rPr>
          <w:rFonts w:ascii="Arial" w:hAnsi="Arial" w:cs="Arial"/>
        </w:rPr>
        <w:tab/>
        <w:t>Safe handling of medication</w:t>
      </w:r>
    </w:p>
    <w:p w:rsidR="00BE5B77" w:rsidRPr="00BE5B77" w:rsidRDefault="00BE5B77" w:rsidP="00B52E01">
      <w:pPr>
        <w:ind w:left="2160" w:hanging="1734"/>
        <w:rPr>
          <w:rFonts w:ascii="Arial" w:hAnsi="Arial" w:cs="Arial"/>
        </w:rPr>
      </w:pPr>
      <w:r w:rsidRPr="00BE5B77">
        <w:rPr>
          <w:rFonts w:ascii="Arial" w:hAnsi="Arial" w:cs="Arial"/>
          <w:b/>
        </w:rPr>
        <w:t>Standard 10</w:t>
      </w:r>
      <w:r w:rsidRPr="00BE5B77">
        <w:rPr>
          <w:rFonts w:ascii="Arial" w:hAnsi="Arial" w:cs="Arial"/>
        </w:rPr>
        <w:tab/>
        <w:t>The home enables people to control their care as they reach the end of their life</w:t>
      </w:r>
    </w:p>
    <w:p w:rsidR="00BE5B77" w:rsidRPr="00BE5B77" w:rsidRDefault="00BE5B77" w:rsidP="00BE5B77">
      <w:pPr>
        <w:ind w:left="426"/>
        <w:rPr>
          <w:rFonts w:ascii="Arial" w:hAnsi="Arial" w:cs="Arial"/>
        </w:rPr>
      </w:pPr>
      <w:r w:rsidRPr="00BE5B77">
        <w:rPr>
          <w:rFonts w:ascii="Arial" w:hAnsi="Arial" w:cs="Arial"/>
          <w:b/>
        </w:rPr>
        <w:t>Standard 11</w:t>
      </w:r>
      <w:r w:rsidRPr="00BE5B77">
        <w:rPr>
          <w:rFonts w:ascii="Arial" w:hAnsi="Arial" w:cs="Arial"/>
        </w:rPr>
        <w:tab/>
        <w:t>Good and appropriate environment</w:t>
      </w:r>
    </w:p>
    <w:p w:rsidR="00BE5B77" w:rsidRPr="00BE5B77" w:rsidRDefault="00BE5B77" w:rsidP="00BE5B77">
      <w:pPr>
        <w:ind w:left="426"/>
        <w:rPr>
          <w:rFonts w:ascii="Arial" w:hAnsi="Arial" w:cs="Arial"/>
        </w:rPr>
      </w:pPr>
      <w:r w:rsidRPr="00BE5B77">
        <w:rPr>
          <w:rFonts w:ascii="Arial" w:hAnsi="Arial" w:cs="Arial"/>
          <w:b/>
        </w:rPr>
        <w:t>Standard 12</w:t>
      </w:r>
      <w:r w:rsidRPr="00BE5B77">
        <w:rPr>
          <w:rFonts w:ascii="Arial" w:hAnsi="Arial" w:cs="Arial"/>
        </w:rPr>
        <w:tab/>
        <w:t>People are cared for by a competent workforce</w:t>
      </w:r>
    </w:p>
    <w:p w:rsidR="00BE5B77" w:rsidRPr="00BE5B77" w:rsidRDefault="00BE5B77" w:rsidP="00BE5B77">
      <w:pPr>
        <w:ind w:left="426"/>
        <w:rPr>
          <w:rFonts w:ascii="Arial" w:hAnsi="Arial" w:cs="Arial"/>
        </w:rPr>
      </w:pPr>
      <w:r w:rsidRPr="00BE5B77">
        <w:rPr>
          <w:rFonts w:ascii="Arial" w:hAnsi="Arial" w:cs="Arial"/>
          <w:b/>
        </w:rPr>
        <w:t>Standard 13</w:t>
      </w:r>
      <w:r w:rsidRPr="00BE5B77">
        <w:rPr>
          <w:rFonts w:ascii="Arial" w:hAnsi="Arial" w:cs="Arial"/>
        </w:rPr>
        <w:tab/>
        <w:t>The home values feedback and uses information to improve the service</w:t>
      </w:r>
    </w:p>
    <w:p w:rsidR="00BE5B77" w:rsidRPr="00BE5B77" w:rsidRDefault="00BE5B77" w:rsidP="00BE5B77">
      <w:pPr>
        <w:ind w:left="426"/>
        <w:rPr>
          <w:rFonts w:ascii="Arial" w:hAnsi="Arial" w:cs="Arial"/>
        </w:rPr>
      </w:pPr>
      <w:r w:rsidRPr="00BE5B77">
        <w:rPr>
          <w:rFonts w:ascii="Arial" w:hAnsi="Arial" w:cs="Arial"/>
          <w:b/>
        </w:rPr>
        <w:t>Standard 14</w:t>
      </w:r>
      <w:r w:rsidRPr="00BE5B77">
        <w:rPr>
          <w:rFonts w:ascii="Arial" w:hAnsi="Arial" w:cs="Arial"/>
        </w:rPr>
        <w:tab/>
        <w:t xml:space="preserve">The home has an effective quality assurance system </w:t>
      </w:r>
    </w:p>
    <w:p w:rsidR="00BE5B77" w:rsidRDefault="00BE5B77" w:rsidP="00A06289">
      <w:pPr>
        <w:ind w:left="360"/>
        <w:rPr>
          <w:rFonts w:ascii="Arial" w:hAnsi="Arial" w:cs="Arial"/>
          <w:bCs/>
        </w:rPr>
      </w:pPr>
    </w:p>
    <w:p w:rsidR="00A06289" w:rsidRDefault="00B52E01" w:rsidP="00A06289">
      <w:pPr>
        <w:ind w:left="360"/>
        <w:rPr>
          <w:rFonts w:ascii="Arial" w:hAnsi="Arial" w:cs="Arial"/>
          <w:bCs/>
        </w:rPr>
      </w:pPr>
      <w:r>
        <w:rPr>
          <w:rFonts w:ascii="Arial" w:hAnsi="Arial" w:cs="Arial"/>
          <w:bCs/>
        </w:rPr>
        <w:t xml:space="preserve">The </w:t>
      </w:r>
      <w:r w:rsidR="00A06289" w:rsidRPr="00A06289">
        <w:rPr>
          <w:rFonts w:ascii="Arial" w:hAnsi="Arial" w:cs="Arial"/>
          <w:bCs/>
        </w:rPr>
        <w:t xml:space="preserve">Homes have been evaluated through the annual announced visit where evidence and observations are undertaken. </w:t>
      </w:r>
    </w:p>
    <w:p w:rsidR="00B52E01" w:rsidRDefault="00B52E01" w:rsidP="00A06289">
      <w:pPr>
        <w:ind w:left="360"/>
        <w:rPr>
          <w:rFonts w:ascii="Arial" w:hAnsi="Arial" w:cs="Arial"/>
          <w:bCs/>
        </w:rPr>
      </w:pPr>
    </w:p>
    <w:p w:rsidR="00B52E01" w:rsidRDefault="00B52E01" w:rsidP="00B52E01">
      <w:pPr>
        <w:jc w:val="both"/>
        <w:rPr>
          <w:rFonts w:ascii="Arial" w:hAnsi="Arial" w:cs="Arial"/>
          <w:bCs/>
          <w:sz w:val="20"/>
          <w:szCs w:val="20"/>
        </w:rPr>
      </w:pPr>
      <w:r>
        <w:rPr>
          <w:noProof/>
        </w:rPr>
        <w:drawing>
          <wp:inline distT="0" distB="0" distL="0" distR="0">
            <wp:extent cx="6178550" cy="2806700"/>
            <wp:effectExtent l="0" t="0" r="12700" b="127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E01" w:rsidRPr="00A06289" w:rsidRDefault="00B52E01" w:rsidP="00A06289">
      <w:pPr>
        <w:ind w:left="360"/>
        <w:rPr>
          <w:rFonts w:ascii="Arial" w:hAnsi="Arial" w:cs="Arial"/>
          <w:bCs/>
        </w:rPr>
      </w:pPr>
    </w:p>
    <w:p w:rsidR="00B52E01" w:rsidRDefault="00B52E01" w:rsidP="00A06289">
      <w:pPr>
        <w:ind w:left="360"/>
        <w:rPr>
          <w:rFonts w:ascii="Arial" w:hAnsi="Arial" w:cs="Arial"/>
          <w:bCs/>
        </w:rPr>
      </w:pPr>
    </w:p>
    <w:p w:rsidR="00BB37ED" w:rsidRDefault="00BB37ED" w:rsidP="00BB37ED">
      <w:pPr>
        <w:ind w:left="360"/>
        <w:rPr>
          <w:rFonts w:ascii="Arial" w:hAnsi="Arial" w:cs="Arial"/>
          <w:bCs/>
        </w:rPr>
      </w:pPr>
      <w:r>
        <w:rPr>
          <w:rFonts w:ascii="Arial" w:hAnsi="Arial" w:cs="Arial"/>
          <w:bCs/>
        </w:rPr>
        <w:t xml:space="preserve">It has been noted in this </w:t>
      </w:r>
      <w:proofErr w:type="spellStart"/>
      <w:proofErr w:type="gramStart"/>
      <w:r>
        <w:rPr>
          <w:rFonts w:ascii="Arial" w:hAnsi="Arial" w:cs="Arial"/>
          <w:bCs/>
        </w:rPr>
        <w:t>years</w:t>
      </w:r>
      <w:proofErr w:type="spellEnd"/>
      <w:proofErr w:type="gramEnd"/>
      <w:r>
        <w:rPr>
          <w:rFonts w:ascii="Arial" w:hAnsi="Arial" w:cs="Arial"/>
          <w:bCs/>
        </w:rPr>
        <w:t xml:space="preserve"> assessment that 3 of the homes where there was a significant change (</w:t>
      </w:r>
      <w:proofErr w:type="spellStart"/>
      <w:r>
        <w:rPr>
          <w:rFonts w:ascii="Arial" w:hAnsi="Arial" w:cs="Arial"/>
          <w:bCs/>
        </w:rPr>
        <w:t>deterioriation</w:t>
      </w:r>
      <w:proofErr w:type="spellEnd"/>
      <w:r>
        <w:rPr>
          <w:rFonts w:ascii="Arial" w:hAnsi="Arial" w:cs="Arial"/>
          <w:bCs/>
        </w:rPr>
        <w:t>) in t</w:t>
      </w:r>
      <w:r w:rsidR="007D2587">
        <w:rPr>
          <w:rFonts w:ascii="Arial" w:hAnsi="Arial" w:cs="Arial"/>
          <w:bCs/>
        </w:rPr>
        <w:t xml:space="preserve">he previous </w:t>
      </w:r>
      <w:proofErr w:type="spellStart"/>
      <w:r w:rsidR="007D2587">
        <w:rPr>
          <w:rFonts w:ascii="Arial" w:hAnsi="Arial" w:cs="Arial"/>
          <w:bCs/>
        </w:rPr>
        <w:t>years</w:t>
      </w:r>
      <w:proofErr w:type="spellEnd"/>
      <w:r w:rsidR="007D2587">
        <w:rPr>
          <w:rFonts w:ascii="Arial" w:hAnsi="Arial" w:cs="Arial"/>
          <w:bCs/>
        </w:rPr>
        <w:t xml:space="preserve"> outcome rating</w:t>
      </w:r>
      <w:r>
        <w:rPr>
          <w:rFonts w:ascii="Arial" w:hAnsi="Arial" w:cs="Arial"/>
          <w:bCs/>
        </w:rPr>
        <w:t xml:space="preserve"> have had a change in ownership / manager.  It has therefore been noted that going forward where there is a change of manger/owner additional support will be offered to aid understanding of the scheme. </w:t>
      </w:r>
    </w:p>
    <w:p w:rsidR="00BB37ED" w:rsidRDefault="00BB37ED" w:rsidP="00BB37ED">
      <w:pPr>
        <w:ind w:left="360"/>
        <w:rPr>
          <w:rFonts w:ascii="Arial" w:hAnsi="Arial" w:cs="Arial"/>
          <w:bCs/>
        </w:rPr>
      </w:pPr>
    </w:p>
    <w:p w:rsidR="00BB37ED" w:rsidRDefault="007D2587" w:rsidP="00BB37ED">
      <w:pPr>
        <w:ind w:left="360"/>
        <w:rPr>
          <w:rFonts w:ascii="Arial" w:hAnsi="Arial" w:cs="Arial"/>
          <w:bCs/>
        </w:rPr>
      </w:pPr>
      <w:r>
        <w:rPr>
          <w:rFonts w:ascii="Arial" w:hAnsi="Arial" w:cs="Arial"/>
          <w:bCs/>
        </w:rPr>
        <w:t>Last year</w:t>
      </w:r>
      <w:r w:rsidR="00BB37ED">
        <w:rPr>
          <w:rFonts w:ascii="Arial" w:hAnsi="Arial" w:cs="Arial"/>
          <w:bCs/>
        </w:rPr>
        <w:t xml:space="preserve"> none of the </w:t>
      </w:r>
      <w:r>
        <w:rPr>
          <w:rFonts w:ascii="Arial" w:hAnsi="Arial" w:cs="Arial"/>
          <w:bCs/>
        </w:rPr>
        <w:t xml:space="preserve">7 </w:t>
      </w:r>
      <w:r w:rsidR="00BB37ED">
        <w:rPr>
          <w:rFonts w:ascii="Arial" w:hAnsi="Arial" w:cs="Arial"/>
          <w:bCs/>
        </w:rPr>
        <w:t>nursing homes</w:t>
      </w:r>
      <w:r>
        <w:rPr>
          <w:rFonts w:ascii="Arial" w:hAnsi="Arial" w:cs="Arial"/>
          <w:bCs/>
        </w:rPr>
        <w:t xml:space="preserve"> in the area achieved </w:t>
      </w:r>
      <w:proofErr w:type="gramStart"/>
      <w:r>
        <w:rPr>
          <w:rFonts w:ascii="Arial" w:hAnsi="Arial" w:cs="Arial"/>
          <w:bCs/>
        </w:rPr>
        <w:t xml:space="preserve">above </w:t>
      </w:r>
      <w:r w:rsidR="00BB37ED">
        <w:rPr>
          <w:rFonts w:ascii="Arial" w:hAnsi="Arial" w:cs="Arial"/>
          <w:bCs/>
        </w:rPr>
        <w:t xml:space="preserve"> bronze</w:t>
      </w:r>
      <w:proofErr w:type="gramEnd"/>
      <w:r w:rsidR="00BB37ED">
        <w:rPr>
          <w:rFonts w:ascii="Arial" w:hAnsi="Arial" w:cs="Arial"/>
          <w:bCs/>
        </w:rPr>
        <w:t xml:space="preserve"> standard.  This year 3 of the homes have achieved a silver rating, and one has deregistered as a nursing home and is now providing only residential care.  </w:t>
      </w:r>
    </w:p>
    <w:p w:rsidR="00A06289" w:rsidRDefault="00A06289" w:rsidP="00D253CF">
      <w:pPr>
        <w:ind w:left="360"/>
        <w:rPr>
          <w:rFonts w:ascii="Arial" w:hAnsi="Arial" w:cs="Arial"/>
          <w:bCs/>
        </w:rPr>
      </w:pPr>
      <w:r w:rsidRPr="00A06289">
        <w:rPr>
          <w:rFonts w:ascii="Arial" w:hAnsi="Arial" w:cs="Arial"/>
          <w:bCs/>
        </w:rPr>
        <w:t xml:space="preserve">   </w:t>
      </w:r>
    </w:p>
    <w:p w:rsidR="007D2587" w:rsidRDefault="007D2587" w:rsidP="00D253CF">
      <w:pPr>
        <w:ind w:left="360"/>
        <w:rPr>
          <w:rFonts w:ascii="Arial" w:hAnsi="Arial" w:cs="Arial"/>
          <w:bCs/>
        </w:rPr>
      </w:pPr>
    </w:p>
    <w:p w:rsidR="007D2587" w:rsidRPr="00A06289" w:rsidRDefault="007D2587" w:rsidP="00D253CF">
      <w:pPr>
        <w:ind w:left="360"/>
        <w:rPr>
          <w:rFonts w:ascii="Arial" w:hAnsi="Arial" w:cs="Arial"/>
          <w:bCs/>
        </w:rPr>
      </w:pPr>
    </w:p>
    <w:p w:rsidR="00A06289" w:rsidRPr="00A06289" w:rsidRDefault="00A06289" w:rsidP="002554C4">
      <w:pPr>
        <w:rPr>
          <w:rFonts w:ascii="Arial" w:hAnsi="Arial" w:cs="Arial"/>
          <w:bCs/>
        </w:rPr>
      </w:pPr>
    </w:p>
    <w:p w:rsidR="00A06289" w:rsidRPr="00976B36" w:rsidRDefault="00A06289" w:rsidP="00976B36">
      <w:pPr>
        <w:ind w:firstLine="360"/>
        <w:rPr>
          <w:rFonts w:ascii="Arial" w:hAnsi="Arial" w:cs="Arial"/>
          <w:bCs/>
          <w:u w:val="single"/>
        </w:rPr>
      </w:pPr>
      <w:proofErr w:type="spellStart"/>
      <w:r w:rsidRPr="00976B36">
        <w:rPr>
          <w:rFonts w:ascii="Arial" w:hAnsi="Arial" w:cs="Arial"/>
          <w:bCs/>
          <w:u w:val="single"/>
        </w:rPr>
        <w:lastRenderedPageBreak/>
        <w:t>Farringford</w:t>
      </w:r>
      <w:proofErr w:type="spellEnd"/>
      <w:r w:rsidRPr="00976B36">
        <w:rPr>
          <w:rFonts w:ascii="Arial" w:hAnsi="Arial" w:cs="Arial"/>
          <w:bCs/>
          <w:u w:val="single"/>
        </w:rPr>
        <w:t xml:space="preserve"> Home Care Agency</w:t>
      </w:r>
    </w:p>
    <w:p w:rsidR="002554C4" w:rsidRDefault="002554C4" w:rsidP="00A06289">
      <w:pPr>
        <w:ind w:left="360"/>
        <w:rPr>
          <w:rFonts w:ascii="Arial" w:hAnsi="Arial" w:cs="Arial"/>
          <w:bCs/>
        </w:rPr>
      </w:pPr>
    </w:p>
    <w:p w:rsidR="00A06289" w:rsidRPr="00A06289" w:rsidRDefault="00A06289" w:rsidP="00A06289">
      <w:pPr>
        <w:ind w:left="360"/>
        <w:rPr>
          <w:rFonts w:ascii="Arial" w:hAnsi="Arial" w:cs="Arial"/>
          <w:bCs/>
        </w:rPr>
      </w:pPr>
      <w:proofErr w:type="spellStart"/>
      <w:r w:rsidRPr="00A06289">
        <w:rPr>
          <w:rFonts w:ascii="Arial" w:hAnsi="Arial" w:cs="Arial"/>
          <w:bCs/>
        </w:rPr>
        <w:t>Farringford</w:t>
      </w:r>
      <w:proofErr w:type="spellEnd"/>
      <w:r w:rsidRPr="00A06289">
        <w:rPr>
          <w:rFonts w:ascii="Arial" w:hAnsi="Arial" w:cs="Arial"/>
          <w:bCs/>
        </w:rPr>
        <w:t xml:space="preserve"> Home Care Agency had contacted Single Point of Access (SPA) on 29 May advising that they were unable to cover a large number of their calls that weekend due to staff shortages. SPA </w:t>
      </w:r>
      <w:proofErr w:type="gramStart"/>
      <w:r w:rsidRPr="00A06289">
        <w:rPr>
          <w:rFonts w:ascii="Arial" w:hAnsi="Arial" w:cs="Arial"/>
          <w:bCs/>
        </w:rPr>
        <w:t>staff were</w:t>
      </w:r>
      <w:proofErr w:type="gramEnd"/>
      <w:r w:rsidRPr="00A06289">
        <w:rPr>
          <w:rFonts w:ascii="Arial" w:hAnsi="Arial" w:cs="Arial"/>
          <w:bCs/>
        </w:rPr>
        <w:t xml:space="preserve"> successfully able to cover the hours without any serious incident. </w:t>
      </w:r>
    </w:p>
    <w:p w:rsidR="00A06289" w:rsidRPr="00A06289" w:rsidRDefault="00A06289" w:rsidP="002554C4">
      <w:pPr>
        <w:rPr>
          <w:rFonts w:ascii="Arial" w:hAnsi="Arial" w:cs="Arial"/>
          <w:bCs/>
        </w:rPr>
      </w:pPr>
      <w:r w:rsidRPr="00A06289">
        <w:rPr>
          <w:rFonts w:ascii="Arial" w:hAnsi="Arial" w:cs="Arial"/>
          <w:bCs/>
        </w:rPr>
        <w:t xml:space="preserve"> </w:t>
      </w:r>
    </w:p>
    <w:p w:rsidR="00A06289" w:rsidRDefault="00A06289" w:rsidP="002554C4">
      <w:pPr>
        <w:ind w:left="360"/>
        <w:rPr>
          <w:rFonts w:ascii="Arial" w:hAnsi="Arial" w:cs="Arial"/>
          <w:bCs/>
        </w:rPr>
      </w:pPr>
      <w:proofErr w:type="spellStart"/>
      <w:r w:rsidRPr="00A06289">
        <w:rPr>
          <w:rFonts w:ascii="Arial" w:hAnsi="Arial" w:cs="Arial"/>
          <w:bCs/>
        </w:rPr>
        <w:t>Farringford</w:t>
      </w:r>
      <w:proofErr w:type="spellEnd"/>
      <w:r w:rsidRPr="00A06289">
        <w:rPr>
          <w:rFonts w:ascii="Arial" w:hAnsi="Arial" w:cs="Arial"/>
          <w:bCs/>
        </w:rPr>
        <w:t xml:space="preserve"> were unsuccessful in the recent </w:t>
      </w:r>
      <w:proofErr w:type="spellStart"/>
      <w:r w:rsidR="002554C4">
        <w:rPr>
          <w:rFonts w:ascii="Arial" w:hAnsi="Arial" w:cs="Arial"/>
          <w:bCs/>
        </w:rPr>
        <w:t>domicillary</w:t>
      </w:r>
      <w:proofErr w:type="spellEnd"/>
      <w:r w:rsidR="002554C4">
        <w:rPr>
          <w:rFonts w:ascii="Arial" w:hAnsi="Arial" w:cs="Arial"/>
          <w:bCs/>
        </w:rPr>
        <w:t xml:space="preserve"> care </w:t>
      </w:r>
      <w:r w:rsidRPr="00A06289">
        <w:rPr>
          <w:rFonts w:ascii="Arial" w:hAnsi="Arial" w:cs="Arial"/>
          <w:bCs/>
        </w:rPr>
        <w:t xml:space="preserve">tender and will only retain ‘Lead Provider’ status until their contract expires in November 2015. </w:t>
      </w:r>
    </w:p>
    <w:p w:rsidR="007D2587" w:rsidRPr="00A06289" w:rsidRDefault="007D2587" w:rsidP="002554C4">
      <w:pPr>
        <w:ind w:left="360"/>
        <w:rPr>
          <w:rFonts w:ascii="Arial" w:hAnsi="Arial" w:cs="Arial"/>
          <w:bCs/>
        </w:rPr>
      </w:pPr>
    </w:p>
    <w:p w:rsidR="007D2587" w:rsidRDefault="00A06289" w:rsidP="00A06289">
      <w:pPr>
        <w:ind w:left="360"/>
        <w:rPr>
          <w:rFonts w:ascii="Arial" w:hAnsi="Arial" w:cs="Arial"/>
          <w:bCs/>
        </w:rPr>
      </w:pPr>
      <w:r w:rsidRPr="00A06289">
        <w:rPr>
          <w:rFonts w:ascii="Arial" w:hAnsi="Arial" w:cs="Arial"/>
          <w:bCs/>
        </w:rPr>
        <w:t>The CCG is</w:t>
      </w:r>
      <w:r w:rsidR="007D2587">
        <w:rPr>
          <w:rFonts w:ascii="Arial" w:hAnsi="Arial" w:cs="Arial"/>
          <w:bCs/>
        </w:rPr>
        <w:t xml:space="preserve"> closely monitoring the situation&amp; has plans in place to ensure that individuals continue to receive the care that they need during this contract transition period. </w:t>
      </w:r>
      <w:r w:rsidRPr="00A06289">
        <w:rPr>
          <w:rFonts w:ascii="Arial" w:hAnsi="Arial" w:cs="Arial"/>
          <w:bCs/>
        </w:rPr>
        <w:t xml:space="preserve"> </w:t>
      </w:r>
    </w:p>
    <w:p w:rsidR="00641CBC" w:rsidRDefault="00641CBC" w:rsidP="00A06289">
      <w:pPr>
        <w:ind w:left="360"/>
        <w:rPr>
          <w:rFonts w:ascii="Arial" w:hAnsi="Arial" w:cs="Arial"/>
          <w:bCs/>
        </w:rPr>
      </w:pPr>
    </w:p>
    <w:p w:rsidR="00641CBC" w:rsidRPr="00EF4750" w:rsidRDefault="00641CBC" w:rsidP="00641CBC">
      <w:pPr>
        <w:ind w:left="426"/>
        <w:rPr>
          <w:rFonts w:ascii="Arial" w:hAnsi="Arial" w:cs="Arial"/>
          <w:bCs/>
        </w:rPr>
      </w:pPr>
      <w:r w:rsidRPr="00EF4750">
        <w:rPr>
          <w:rFonts w:ascii="Arial" w:hAnsi="Arial" w:cs="Arial"/>
          <w:bCs/>
          <w:u w:val="single"/>
        </w:rPr>
        <w:t>Yorkshire &amp; Humber C</w:t>
      </w:r>
      <w:r>
        <w:rPr>
          <w:rFonts w:ascii="Arial" w:hAnsi="Arial" w:cs="Arial"/>
          <w:bCs/>
          <w:u w:val="single"/>
        </w:rPr>
        <w:t xml:space="preserve">ommissioning </w:t>
      </w:r>
      <w:r w:rsidRPr="00EF4750">
        <w:rPr>
          <w:rFonts w:ascii="Arial" w:hAnsi="Arial" w:cs="Arial"/>
          <w:bCs/>
          <w:u w:val="single"/>
        </w:rPr>
        <w:t>S</w:t>
      </w:r>
      <w:r>
        <w:rPr>
          <w:rFonts w:ascii="Arial" w:hAnsi="Arial" w:cs="Arial"/>
          <w:bCs/>
          <w:u w:val="single"/>
        </w:rPr>
        <w:t>upport</w:t>
      </w:r>
      <w:r w:rsidRPr="00EF4750">
        <w:rPr>
          <w:rFonts w:ascii="Arial" w:hAnsi="Arial" w:cs="Arial"/>
          <w:bCs/>
        </w:rPr>
        <w:t xml:space="preserve"> </w:t>
      </w:r>
      <w:r>
        <w:rPr>
          <w:rFonts w:ascii="Arial" w:hAnsi="Arial" w:cs="Arial"/>
          <w:bCs/>
        </w:rPr>
        <w:t>(YHCS)</w:t>
      </w:r>
    </w:p>
    <w:p w:rsidR="00641CBC" w:rsidRPr="00EF4750" w:rsidRDefault="00641CBC" w:rsidP="00641CBC">
      <w:pPr>
        <w:ind w:left="426"/>
        <w:rPr>
          <w:rFonts w:ascii="Arial" w:hAnsi="Arial" w:cs="Arial"/>
          <w:bCs/>
        </w:rPr>
      </w:pPr>
    </w:p>
    <w:p w:rsidR="00641CBC" w:rsidRDefault="00641CBC" w:rsidP="00641CBC">
      <w:pPr>
        <w:pStyle w:val="ListParagraph"/>
        <w:ind w:left="426"/>
        <w:rPr>
          <w:rFonts w:ascii="Arial" w:hAnsi="Arial" w:cs="Arial"/>
          <w:bCs/>
          <w:sz w:val="22"/>
          <w:szCs w:val="22"/>
        </w:rPr>
      </w:pPr>
      <w:r>
        <w:rPr>
          <w:rFonts w:ascii="Arial" w:hAnsi="Arial" w:cs="Arial"/>
          <w:bCs/>
          <w:sz w:val="22"/>
          <w:szCs w:val="22"/>
        </w:rPr>
        <w:t xml:space="preserve">YHCS learnt in early 2015 that they had been unsuccessful in their bid to gain a place on the national lead provider framework and will therefore cease to exist as a stand-alone organisation after March 2016. The CCG currently buys £1.6m worth of services from YHCS, including GP IT, HR, business intelligence, communications and engagement.  </w:t>
      </w:r>
    </w:p>
    <w:p w:rsidR="00641CBC" w:rsidRDefault="00641CBC" w:rsidP="00641CBC">
      <w:pPr>
        <w:rPr>
          <w:rFonts w:ascii="Arial" w:hAnsi="Arial" w:cs="Arial"/>
          <w:bCs/>
          <w:sz w:val="22"/>
          <w:szCs w:val="22"/>
        </w:rPr>
      </w:pPr>
    </w:p>
    <w:p w:rsidR="00641CBC" w:rsidRPr="00EF4750" w:rsidRDefault="00641CBC" w:rsidP="00641CBC">
      <w:pPr>
        <w:ind w:left="426"/>
        <w:rPr>
          <w:rFonts w:ascii="Arial" w:hAnsi="Arial" w:cs="Arial"/>
          <w:bCs/>
        </w:rPr>
      </w:pPr>
      <w:r>
        <w:rPr>
          <w:rFonts w:ascii="Arial" w:hAnsi="Arial" w:cs="Arial"/>
          <w:bCs/>
          <w:sz w:val="22"/>
          <w:szCs w:val="22"/>
        </w:rPr>
        <w:t>The CCG has reviewed all the services it currently buys from YHCS to assess whether to bring the services in-house (Do), to Share the services with other CCGs (staff would be employed by one CCG and shared with another), or to continue to Buy them in either via the Lead Provider framework or the wider market following a procurement.</w:t>
      </w:r>
      <w:r w:rsidRPr="00EF4750">
        <w:rPr>
          <w:rFonts w:ascii="Arial" w:hAnsi="Arial" w:cs="Arial"/>
          <w:bCs/>
        </w:rPr>
        <w:t xml:space="preserve"> </w:t>
      </w:r>
    </w:p>
    <w:p w:rsidR="00641CBC" w:rsidRDefault="00641CBC" w:rsidP="00641CBC">
      <w:pPr>
        <w:ind w:left="426"/>
        <w:rPr>
          <w:rFonts w:ascii="Arial" w:hAnsi="Arial" w:cs="Arial"/>
          <w:bCs/>
        </w:rPr>
      </w:pPr>
    </w:p>
    <w:p w:rsidR="00641CBC" w:rsidRDefault="00641CBC" w:rsidP="00641CBC">
      <w:pPr>
        <w:ind w:left="426"/>
        <w:rPr>
          <w:rFonts w:ascii="Arial" w:hAnsi="Arial" w:cs="Arial"/>
          <w:bCs/>
        </w:rPr>
      </w:pPr>
      <w:r>
        <w:rPr>
          <w:rFonts w:ascii="Arial" w:hAnsi="Arial" w:cs="Arial"/>
          <w:bCs/>
        </w:rPr>
        <w:t>As part of this process the CCG submitted business cases to either take back in house or share with other CCGs, most notably North Lincolnshire CCG the following services:</w:t>
      </w:r>
    </w:p>
    <w:p w:rsidR="00641CBC" w:rsidRPr="00641CBC" w:rsidRDefault="00641CBC" w:rsidP="00641CBC">
      <w:pPr>
        <w:pStyle w:val="ListParagraph"/>
        <w:numPr>
          <w:ilvl w:val="0"/>
          <w:numId w:val="46"/>
        </w:numPr>
        <w:rPr>
          <w:rFonts w:ascii="Arial" w:hAnsi="Arial" w:cs="Arial"/>
          <w:bCs/>
        </w:rPr>
      </w:pPr>
      <w:r w:rsidRPr="00641CBC">
        <w:rPr>
          <w:rFonts w:ascii="Arial" w:hAnsi="Arial" w:cs="Arial"/>
          <w:bCs/>
        </w:rPr>
        <w:t>Provider management</w:t>
      </w:r>
    </w:p>
    <w:p w:rsidR="00641CBC" w:rsidRPr="00641CBC" w:rsidRDefault="00641CBC" w:rsidP="00641CBC">
      <w:pPr>
        <w:pStyle w:val="ListParagraph"/>
        <w:numPr>
          <w:ilvl w:val="0"/>
          <w:numId w:val="46"/>
        </w:numPr>
        <w:rPr>
          <w:rFonts w:ascii="Arial" w:hAnsi="Arial" w:cs="Arial"/>
          <w:bCs/>
        </w:rPr>
      </w:pPr>
      <w:r w:rsidRPr="00641CBC">
        <w:rPr>
          <w:rFonts w:ascii="Arial" w:hAnsi="Arial" w:cs="Arial"/>
          <w:bCs/>
        </w:rPr>
        <w:t>Comm</w:t>
      </w:r>
      <w:r>
        <w:rPr>
          <w:rFonts w:ascii="Arial" w:hAnsi="Arial" w:cs="Arial"/>
          <w:bCs/>
        </w:rPr>
        <w:t>unication</w:t>
      </w:r>
      <w:r w:rsidRPr="00641CBC">
        <w:rPr>
          <w:rFonts w:ascii="Arial" w:hAnsi="Arial" w:cs="Arial"/>
          <w:bCs/>
        </w:rPr>
        <w:t>s and engagement</w:t>
      </w:r>
    </w:p>
    <w:p w:rsidR="00641CBC" w:rsidRPr="00641CBC" w:rsidRDefault="00641CBC" w:rsidP="00641CBC">
      <w:pPr>
        <w:pStyle w:val="ListParagraph"/>
        <w:numPr>
          <w:ilvl w:val="0"/>
          <w:numId w:val="46"/>
        </w:numPr>
        <w:rPr>
          <w:rFonts w:ascii="Arial" w:hAnsi="Arial" w:cs="Arial"/>
          <w:bCs/>
        </w:rPr>
      </w:pPr>
      <w:r w:rsidRPr="00641CBC">
        <w:rPr>
          <w:rFonts w:ascii="Arial" w:hAnsi="Arial" w:cs="Arial"/>
          <w:bCs/>
        </w:rPr>
        <w:t>P</w:t>
      </w:r>
      <w:r>
        <w:rPr>
          <w:rFonts w:ascii="Arial" w:hAnsi="Arial" w:cs="Arial"/>
          <w:bCs/>
        </w:rPr>
        <w:t>rogramme Management Office (P</w:t>
      </w:r>
      <w:r w:rsidRPr="00641CBC">
        <w:rPr>
          <w:rFonts w:ascii="Arial" w:hAnsi="Arial" w:cs="Arial"/>
          <w:bCs/>
        </w:rPr>
        <w:t>MO</w:t>
      </w:r>
      <w:r>
        <w:rPr>
          <w:rFonts w:ascii="Arial" w:hAnsi="Arial" w:cs="Arial"/>
          <w:bCs/>
        </w:rPr>
        <w:t>) – transformation support</w:t>
      </w:r>
    </w:p>
    <w:p w:rsidR="00641CBC" w:rsidRPr="00641CBC" w:rsidRDefault="00641CBC" w:rsidP="00641CBC">
      <w:pPr>
        <w:pStyle w:val="ListParagraph"/>
        <w:numPr>
          <w:ilvl w:val="0"/>
          <w:numId w:val="46"/>
        </w:numPr>
        <w:rPr>
          <w:rFonts w:ascii="Arial" w:hAnsi="Arial" w:cs="Arial"/>
          <w:bCs/>
        </w:rPr>
      </w:pPr>
      <w:r w:rsidRPr="00641CBC">
        <w:rPr>
          <w:rFonts w:ascii="Arial" w:hAnsi="Arial" w:cs="Arial"/>
          <w:bCs/>
        </w:rPr>
        <w:t>Quality</w:t>
      </w:r>
      <w:r>
        <w:rPr>
          <w:rFonts w:ascii="Arial" w:hAnsi="Arial" w:cs="Arial"/>
          <w:bCs/>
        </w:rPr>
        <w:t>,</w:t>
      </w:r>
      <w:r w:rsidRPr="00641CBC">
        <w:rPr>
          <w:rFonts w:ascii="Arial" w:hAnsi="Arial" w:cs="Arial"/>
          <w:bCs/>
        </w:rPr>
        <w:t xml:space="preserve"> Risk management </w:t>
      </w:r>
      <w:r>
        <w:rPr>
          <w:rFonts w:ascii="Arial" w:hAnsi="Arial" w:cs="Arial"/>
          <w:bCs/>
        </w:rPr>
        <w:t>and serious incident management</w:t>
      </w:r>
    </w:p>
    <w:p w:rsidR="00641CBC" w:rsidRPr="00641CBC" w:rsidRDefault="00641CBC" w:rsidP="00641CBC">
      <w:pPr>
        <w:pStyle w:val="ListParagraph"/>
        <w:numPr>
          <w:ilvl w:val="0"/>
          <w:numId w:val="46"/>
        </w:numPr>
        <w:rPr>
          <w:rFonts w:ascii="Arial" w:hAnsi="Arial" w:cs="Arial"/>
          <w:bCs/>
        </w:rPr>
      </w:pPr>
      <w:r w:rsidRPr="00641CBC">
        <w:rPr>
          <w:rFonts w:ascii="Arial" w:hAnsi="Arial" w:cs="Arial"/>
          <w:bCs/>
        </w:rPr>
        <w:t>F</w:t>
      </w:r>
      <w:r>
        <w:rPr>
          <w:rFonts w:ascii="Arial" w:hAnsi="Arial" w:cs="Arial"/>
          <w:bCs/>
        </w:rPr>
        <w:t>reedom of Information (F</w:t>
      </w:r>
      <w:r w:rsidRPr="00641CBC">
        <w:rPr>
          <w:rFonts w:ascii="Arial" w:hAnsi="Arial" w:cs="Arial"/>
          <w:bCs/>
        </w:rPr>
        <w:t>OI</w:t>
      </w:r>
      <w:r>
        <w:rPr>
          <w:rFonts w:ascii="Arial" w:hAnsi="Arial" w:cs="Arial"/>
          <w:bCs/>
        </w:rPr>
        <w:t>)</w:t>
      </w:r>
      <w:r w:rsidRPr="00641CBC">
        <w:rPr>
          <w:rFonts w:ascii="Arial" w:hAnsi="Arial" w:cs="Arial"/>
          <w:bCs/>
        </w:rPr>
        <w:t xml:space="preserve"> team </w:t>
      </w:r>
    </w:p>
    <w:p w:rsidR="00641CBC" w:rsidRPr="00EF4750" w:rsidRDefault="00641CBC" w:rsidP="00641CBC">
      <w:pPr>
        <w:ind w:left="426"/>
        <w:rPr>
          <w:rFonts w:ascii="Arial" w:hAnsi="Arial" w:cs="Arial"/>
          <w:bCs/>
        </w:rPr>
      </w:pPr>
    </w:p>
    <w:p w:rsidR="00641CBC" w:rsidRPr="00EF4750" w:rsidRDefault="00DA22D7" w:rsidP="00641CBC">
      <w:pPr>
        <w:ind w:left="426"/>
        <w:rPr>
          <w:rFonts w:ascii="Arial" w:hAnsi="Arial" w:cs="Arial"/>
          <w:bCs/>
        </w:rPr>
      </w:pPr>
      <w:r>
        <w:rPr>
          <w:rFonts w:ascii="Arial" w:hAnsi="Arial" w:cs="Arial"/>
          <w:bCs/>
        </w:rPr>
        <w:t xml:space="preserve">Approval for all of the business cases has now been received and a phased approach to the transfer of services will now commence. </w:t>
      </w:r>
    </w:p>
    <w:p w:rsidR="00641CBC" w:rsidRDefault="00641CBC" w:rsidP="00641CBC">
      <w:pPr>
        <w:ind w:left="426"/>
        <w:rPr>
          <w:rFonts w:ascii="Arial" w:hAnsi="Arial" w:cs="Arial"/>
          <w:bCs/>
        </w:rPr>
      </w:pPr>
    </w:p>
    <w:p w:rsidR="00DA22D7" w:rsidRDefault="00DA22D7" w:rsidP="00641CBC">
      <w:pPr>
        <w:ind w:left="426"/>
        <w:rPr>
          <w:rFonts w:ascii="Arial" w:hAnsi="Arial" w:cs="Arial"/>
          <w:bCs/>
        </w:rPr>
      </w:pPr>
      <w:r>
        <w:rPr>
          <w:rFonts w:ascii="Arial" w:hAnsi="Arial" w:cs="Arial"/>
          <w:bCs/>
        </w:rPr>
        <w:t>For those services being procured by the Lead provider network the following timeline is being followed:</w:t>
      </w:r>
    </w:p>
    <w:p w:rsidR="00641CBC" w:rsidRPr="00DA22D7" w:rsidRDefault="00641CBC" w:rsidP="00DA22D7">
      <w:pPr>
        <w:pStyle w:val="ListParagraph"/>
        <w:numPr>
          <w:ilvl w:val="0"/>
          <w:numId w:val="47"/>
        </w:numPr>
        <w:rPr>
          <w:rFonts w:ascii="Arial" w:hAnsi="Arial" w:cs="Arial"/>
          <w:bCs/>
        </w:rPr>
      </w:pPr>
      <w:r w:rsidRPr="00DA22D7">
        <w:rPr>
          <w:rFonts w:ascii="Arial" w:hAnsi="Arial" w:cs="Arial"/>
          <w:bCs/>
        </w:rPr>
        <w:t>Bidder submission date 21</w:t>
      </w:r>
      <w:r w:rsidRPr="00DA22D7">
        <w:rPr>
          <w:rFonts w:ascii="Arial" w:hAnsi="Arial" w:cs="Arial"/>
          <w:bCs/>
          <w:vertAlign w:val="superscript"/>
        </w:rPr>
        <w:t>st</w:t>
      </w:r>
      <w:r w:rsidRPr="00DA22D7">
        <w:rPr>
          <w:rFonts w:ascii="Arial" w:hAnsi="Arial" w:cs="Arial"/>
          <w:bCs/>
        </w:rPr>
        <w:t xml:space="preserve"> September</w:t>
      </w:r>
    </w:p>
    <w:p w:rsidR="00641CBC" w:rsidRPr="00DA22D7" w:rsidRDefault="00641CBC" w:rsidP="00DA22D7">
      <w:pPr>
        <w:pStyle w:val="ListParagraph"/>
        <w:numPr>
          <w:ilvl w:val="0"/>
          <w:numId w:val="47"/>
        </w:numPr>
        <w:rPr>
          <w:rFonts w:ascii="Arial" w:hAnsi="Arial" w:cs="Arial"/>
          <w:bCs/>
        </w:rPr>
      </w:pPr>
      <w:r w:rsidRPr="00DA22D7">
        <w:rPr>
          <w:rFonts w:ascii="Arial" w:hAnsi="Arial" w:cs="Arial"/>
          <w:bCs/>
        </w:rPr>
        <w:t>Eva</w:t>
      </w:r>
      <w:r w:rsidR="00DA22D7">
        <w:rPr>
          <w:rFonts w:ascii="Arial" w:hAnsi="Arial" w:cs="Arial"/>
          <w:bCs/>
        </w:rPr>
        <w:t>l</w:t>
      </w:r>
      <w:r w:rsidRPr="00DA22D7">
        <w:rPr>
          <w:rFonts w:ascii="Arial" w:hAnsi="Arial" w:cs="Arial"/>
          <w:bCs/>
        </w:rPr>
        <w:t>uation commencement date 28</w:t>
      </w:r>
      <w:r w:rsidRPr="00DA22D7">
        <w:rPr>
          <w:rFonts w:ascii="Arial" w:hAnsi="Arial" w:cs="Arial"/>
          <w:bCs/>
          <w:vertAlign w:val="superscript"/>
        </w:rPr>
        <w:t>th</w:t>
      </w:r>
      <w:r w:rsidRPr="00DA22D7">
        <w:rPr>
          <w:rFonts w:ascii="Arial" w:hAnsi="Arial" w:cs="Arial"/>
          <w:bCs/>
        </w:rPr>
        <w:t xml:space="preserve"> September</w:t>
      </w:r>
    </w:p>
    <w:p w:rsidR="00641CBC" w:rsidRPr="00DA22D7" w:rsidRDefault="00641CBC" w:rsidP="00DA22D7">
      <w:pPr>
        <w:pStyle w:val="ListParagraph"/>
        <w:numPr>
          <w:ilvl w:val="0"/>
          <w:numId w:val="47"/>
        </w:numPr>
        <w:rPr>
          <w:rFonts w:ascii="Arial" w:hAnsi="Arial" w:cs="Arial"/>
          <w:bCs/>
        </w:rPr>
      </w:pPr>
      <w:r w:rsidRPr="00DA22D7">
        <w:rPr>
          <w:rFonts w:ascii="Arial" w:hAnsi="Arial" w:cs="Arial"/>
          <w:bCs/>
        </w:rPr>
        <w:t>Eval</w:t>
      </w:r>
      <w:r w:rsidR="00DA22D7">
        <w:rPr>
          <w:rFonts w:ascii="Arial" w:hAnsi="Arial" w:cs="Arial"/>
          <w:bCs/>
        </w:rPr>
        <w:t>uation</w:t>
      </w:r>
      <w:r w:rsidRPr="00DA22D7">
        <w:rPr>
          <w:rFonts w:ascii="Arial" w:hAnsi="Arial" w:cs="Arial"/>
          <w:bCs/>
        </w:rPr>
        <w:t xml:space="preserve"> completed 19</w:t>
      </w:r>
      <w:r w:rsidRPr="00DA22D7">
        <w:rPr>
          <w:rFonts w:ascii="Arial" w:hAnsi="Arial" w:cs="Arial"/>
          <w:bCs/>
          <w:vertAlign w:val="superscript"/>
        </w:rPr>
        <w:t>th</w:t>
      </w:r>
      <w:r w:rsidRPr="00DA22D7">
        <w:rPr>
          <w:rFonts w:ascii="Arial" w:hAnsi="Arial" w:cs="Arial"/>
          <w:bCs/>
        </w:rPr>
        <w:t xml:space="preserve"> Oct</w:t>
      </w:r>
      <w:r w:rsidR="00DA22D7">
        <w:rPr>
          <w:rFonts w:ascii="Arial" w:hAnsi="Arial" w:cs="Arial"/>
          <w:bCs/>
        </w:rPr>
        <w:t>ober</w:t>
      </w:r>
    </w:p>
    <w:p w:rsidR="00641CBC" w:rsidRPr="00DA22D7" w:rsidRDefault="00641CBC" w:rsidP="00DA22D7">
      <w:pPr>
        <w:pStyle w:val="ListParagraph"/>
        <w:numPr>
          <w:ilvl w:val="0"/>
          <w:numId w:val="47"/>
        </w:numPr>
        <w:rPr>
          <w:rFonts w:ascii="Arial" w:hAnsi="Arial" w:cs="Arial"/>
          <w:bCs/>
        </w:rPr>
      </w:pPr>
      <w:r w:rsidRPr="00DA22D7">
        <w:rPr>
          <w:rFonts w:ascii="Arial" w:hAnsi="Arial" w:cs="Arial"/>
          <w:bCs/>
        </w:rPr>
        <w:t>Bidders informed 26</w:t>
      </w:r>
      <w:r w:rsidRPr="00DA22D7">
        <w:rPr>
          <w:rFonts w:ascii="Arial" w:hAnsi="Arial" w:cs="Arial"/>
          <w:bCs/>
          <w:vertAlign w:val="superscript"/>
        </w:rPr>
        <w:t>th</w:t>
      </w:r>
      <w:r w:rsidR="00DA22D7">
        <w:rPr>
          <w:rFonts w:ascii="Arial" w:hAnsi="Arial" w:cs="Arial"/>
          <w:bCs/>
        </w:rPr>
        <w:t xml:space="preserve"> October</w:t>
      </w:r>
    </w:p>
    <w:p w:rsidR="00641CBC" w:rsidRPr="00DA22D7" w:rsidRDefault="00641CBC" w:rsidP="00DA22D7">
      <w:pPr>
        <w:pStyle w:val="ListParagraph"/>
        <w:numPr>
          <w:ilvl w:val="0"/>
          <w:numId w:val="47"/>
        </w:numPr>
        <w:rPr>
          <w:rFonts w:ascii="Arial" w:hAnsi="Arial" w:cs="Arial"/>
          <w:bCs/>
        </w:rPr>
      </w:pPr>
      <w:r w:rsidRPr="00DA22D7">
        <w:rPr>
          <w:rFonts w:ascii="Arial" w:hAnsi="Arial" w:cs="Arial"/>
          <w:bCs/>
        </w:rPr>
        <w:t>Contract award 6</w:t>
      </w:r>
      <w:r w:rsidRPr="00DA22D7">
        <w:rPr>
          <w:rFonts w:ascii="Arial" w:hAnsi="Arial" w:cs="Arial"/>
          <w:bCs/>
          <w:vertAlign w:val="superscript"/>
        </w:rPr>
        <w:t>th</w:t>
      </w:r>
      <w:r w:rsidRPr="00DA22D7">
        <w:rPr>
          <w:rFonts w:ascii="Arial" w:hAnsi="Arial" w:cs="Arial"/>
          <w:bCs/>
        </w:rPr>
        <w:t xml:space="preserve"> November</w:t>
      </w:r>
    </w:p>
    <w:p w:rsidR="00641CBC" w:rsidRDefault="00641CBC" w:rsidP="00641CBC">
      <w:pPr>
        <w:rPr>
          <w:rFonts w:ascii="Arial" w:hAnsi="Arial" w:cs="Arial"/>
          <w:bCs/>
        </w:rPr>
      </w:pPr>
    </w:p>
    <w:p w:rsidR="00641CBC" w:rsidRDefault="00641CBC" w:rsidP="00DA22D7">
      <w:pPr>
        <w:ind w:left="426"/>
        <w:rPr>
          <w:rFonts w:ascii="Arial" w:hAnsi="Arial" w:cs="Arial"/>
          <w:bCs/>
        </w:rPr>
      </w:pPr>
      <w:r>
        <w:rPr>
          <w:rFonts w:ascii="Arial" w:hAnsi="Arial" w:cs="Arial"/>
          <w:bCs/>
        </w:rPr>
        <w:t>This will me</w:t>
      </w:r>
      <w:r w:rsidR="00DA22D7">
        <w:rPr>
          <w:rFonts w:ascii="Arial" w:hAnsi="Arial" w:cs="Arial"/>
          <w:bCs/>
        </w:rPr>
        <w:t>a</w:t>
      </w:r>
      <w:r>
        <w:rPr>
          <w:rFonts w:ascii="Arial" w:hAnsi="Arial" w:cs="Arial"/>
          <w:bCs/>
        </w:rPr>
        <w:t>n that contract mobilisation will commence in De</w:t>
      </w:r>
      <w:r w:rsidR="00DA22D7">
        <w:rPr>
          <w:rFonts w:ascii="Arial" w:hAnsi="Arial" w:cs="Arial"/>
          <w:bCs/>
        </w:rPr>
        <w:t>cember with the new service provider commencing</w:t>
      </w:r>
      <w:r>
        <w:rPr>
          <w:rFonts w:ascii="Arial" w:hAnsi="Arial" w:cs="Arial"/>
          <w:bCs/>
        </w:rPr>
        <w:t xml:space="preserve"> </w:t>
      </w:r>
      <w:r w:rsidR="00DA22D7">
        <w:rPr>
          <w:rFonts w:ascii="Arial" w:hAnsi="Arial" w:cs="Arial"/>
          <w:bCs/>
        </w:rPr>
        <w:t>delivery in M</w:t>
      </w:r>
      <w:r>
        <w:rPr>
          <w:rFonts w:ascii="Arial" w:hAnsi="Arial" w:cs="Arial"/>
          <w:bCs/>
        </w:rPr>
        <w:t>arch 2016</w:t>
      </w:r>
      <w:r w:rsidR="00DA22D7">
        <w:rPr>
          <w:rFonts w:ascii="Arial" w:hAnsi="Arial" w:cs="Arial"/>
          <w:bCs/>
        </w:rPr>
        <w:t>.</w:t>
      </w:r>
    </w:p>
    <w:p w:rsidR="00DA22D7" w:rsidRDefault="00DA22D7" w:rsidP="00DA22D7">
      <w:pPr>
        <w:ind w:left="426"/>
        <w:rPr>
          <w:rFonts w:ascii="Arial" w:hAnsi="Arial" w:cs="Arial"/>
          <w:bCs/>
        </w:rPr>
      </w:pPr>
    </w:p>
    <w:p w:rsidR="00DA22D7" w:rsidRDefault="00DA22D7" w:rsidP="00DA22D7">
      <w:pPr>
        <w:ind w:left="426"/>
        <w:rPr>
          <w:rFonts w:ascii="Arial" w:hAnsi="Arial" w:cs="Arial"/>
          <w:bCs/>
        </w:rPr>
      </w:pPr>
      <w:r>
        <w:rPr>
          <w:rFonts w:ascii="Arial" w:hAnsi="Arial" w:cs="Arial"/>
          <w:bCs/>
        </w:rPr>
        <w:t>A more detailed update report will be presented at the Care Contracting Committee later this month.</w:t>
      </w:r>
    </w:p>
    <w:p w:rsidR="00641CBC" w:rsidRDefault="00641CBC" w:rsidP="00641CBC">
      <w:pPr>
        <w:rPr>
          <w:rFonts w:ascii="Arial" w:hAnsi="Arial" w:cs="Arial"/>
          <w:bCs/>
        </w:rPr>
      </w:pPr>
    </w:p>
    <w:p w:rsidR="007D2587" w:rsidRDefault="007D2587" w:rsidP="00A06289">
      <w:pPr>
        <w:ind w:left="360"/>
        <w:rPr>
          <w:rFonts w:ascii="Arial" w:hAnsi="Arial" w:cs="Arial"/>
          <w:bCs/>
        </w:rPr>
      </w:pPr>
    </w:p>
    <w:p w:rsidR="00894997" w:rsidRDefault="00894997" w:rsidP="00976B36">
      <w:pPr>
        <w:ind w:firstLine="360"/>
        <w:rPr>
          <w:rFonts w:ascii="Arial" w:hAnsi="Arial" w:cs="Arial"/>
          <w:b/>
          <w:bCs/>
        </w:rPr>
      </w:pPr>
      <w:r>
        <w:rPr>
          <w:rFonts w:ascii="Arial" w:hAnsi="Arial" w:cs="Arial"/>
          <w:b/>
          <w:bCs/>
        </w:rPr>
        <w:t>Commissioning update</w:t>
      </w:r>
    </w:p>
    <w:p w:rsidR="007D2587" w:rsidRDefault="007D2587" w:rsidP="00976B36">
      <w:pPr>
        <w:ind w:firstLine="360"/>
        <w:rPr>
          <w:rFonts w:ascii="Arial" w:hAnsi="Arial" w:cs="Arial"/>
          <w:bCs/>
          <w:u w:val="single"/>
        </w:rPr>
      </w:pPr>
    </w:p>
    <w:p w:rsidR="00894997" w:rsidRPr="00894997" w:rsidRDefault="00894997" w:rsidP="00976B36">
      <w:pPr>
        <w:ind w:firstLine="360"/>
        <w:rPr>
          <w:rFonts w:ascii="Arial" w:hAnsi="Arial" w:cs="Arial"/>
          <w:bCs/>
          <w:u w:val="single"/>
        </w:rPr>
      </w:pPr>
      <w:r w:rsidRPr="00894997">
        <w:rPr>
          <w:rFonts w:ascii="Arial" w:hAnsi="Arial" w:cs="Arial"/>
          <w:bCs/>
          <w:u w:val="single"/>
        </w:rPr>
        <w:t>Strategic Commissioning Intentions</w:t>
      </w:r>
    </w:p>
    <w:p w:rsidR="00894997" w:rsidRDefault="00894997" w:rsidP="00976B36">
      <w:pPr>
        <w:ind w:firstLine="360"/>
        <w:rPr>
          <w:rFonts w:ascii="Arial" w:hAnsi="Arial" w:cs="Arial"/>
          <w:bCs/>
        </w:rPr>
      </w:pPr>
    </w:p>
    <w:p w:rsidR="007D2587" w:rsidRPr="007D2587" w:rsidRDefault="007D2587" w:rsidP="007D2587">
      <w:pPr>
        <w:pStyle w:val="ListParagraph"/>
        <w:ind w:left="426"/>
        <w:rPr>
          <w:rFonts w:ascii="Arial" w:hAnsi="Arial" w:cs="Arial"/>
        </w:rPr>
      </w:pPr>
      <w:r w:rsidRPr="007D2587">
        <w:rPr>
          <w:rFonts w:ascii="Arial" w:hAnsi="Arial" w:cs="Arial"/>
        </w:rPr>
        <w:t xml:space="preserve">The CCG is currently developing a set of high level commissioning intentions, to help shape and inform the strategic direction of services within North East Lincolnshire, as well as the proposals that are developed as part of the Healthy Lives Healthy Futures work. </w:t>
      </w:r>
    </w:p>
    <w:p w:rsidR="007D2587" w:rsidRDefault="007D2587" w:rsidP="007D2587">
      <w:pPr>
        <w:pStyle w:val="ListParagraph"/>
        <w:ind w:left="0"/>
        <w:rPr>
          <w:rFonts w:ascii="Arial" w:hAnsi="Arial" w:cs="Arial"/>
          <w:sz w:val="22"/>
          <w:szCs w:val="22"/>
        </w:rPr>
      </w:pPr>
    </w:p>
    <w:p w:rsidR="007D2587" w:rsidRPr="00EF4750" w:rsidRDefault="007D2587" w:rsidP="00EF4750">
      <w:pPr>
        <w:autoSpaceDE w:val="0"/>
        <w:autoSpaceDN w:val="0"/>
        <w:ind w:left="426"/>
        <w:rPr>
          <w:rFonts w:ascii="Arial" w:hAnsi="Arial" w:cs="Arial"/>
        </w:rPr>
      </w:pPr>
      <w:r w:rsidRPr="00EF4750">
        <w:rPr>
          <w:rFonts w:ascii="Arial" w:hAnsi="Arial" w:cs="Arial"/>
        </w:rPr>
        <w:t>The Strategic commissioning intentions will be developed in line with the existing vision for North East Lincolnshire – ‘To deliver to the people of North East Lincolnshire the best possible independent healthy living through joined up solutions’ – and will build upon the work already started as part of the Commissioner Requested Services, as presented previously to the Partnership Board.</w:t>
      </w:r>
    </w:p>
    <w:p w:rsidR="007D2587" w:rsidRPr="00EF4750" w:rsidRDefault="007D2587" w:rsidP="00EF4750">
      <w:pPr>
        <w:pStyle w:val="ListParagraph"/>
        <w:ind w:left="426"/>
        <w:rPr>
          <w:rFonts w:ascii="Arial" w:hAnsi="Arial" w:cs="Arial"/>
        </w:rPr>
      </w:pPr>
    </w:p>
    <w:p w:rsidR="007D2587" w:rsidRDefault="007D2587" w:rsidP="00EF4750">
      <w:pPr>
        <w:ind w:left="426"/>
        <w:rPr>
          <w:rFonts w:ascii="Arial" w:hAnsi="Arial" w:cs="Arial"/>
        </w:rPr>
      </w:pPr>
      <w:r w:rsidRPr="00EF4750">
        <w:rPr>
          <w:rFonts w:ascii="Arial" w:hAnsi="Arial" w:cs="Arial"/>
        </w:rPr>
        <w:t>The strategic commissioning intentions are statements regarding what services the CCG wishes to commission for the local population, and are not provider focused.  In support of the development of this work the CCG’s team have undertaken a review of the following:</w:t>
      </w:r>
    </w:p>
    <w:p w:rsidR="007D2587" w:rsidRPr="00EF4750" w:rsidRDefault="007D2587" w:rsidP="00EF4750">
      <w:pPr>
        <w:pStyle w:val="ListParagraph"/>
        <w:numPr>
          <w:ilvl w:val="0"/>
          <w:numId w:val="44"/>
        </w:numPr>
        <w:rPr>
          <w:rFonts w:ascii="Arial" w:hAnsi="Arial" w:cs="Arial"/>
        </w:rPr>
      </w:pPr>
      <w:r w:rsidRPr="00EF4750">
        <w:rPr>
          <w:rFonts w:ascii="Arial" w:hAnsi="Arial" w:cs="Arial"/>
        </w:rPr>
        <w:t xml:space="preserve">Current performance against NHS Outcomes Framework and other indicators </w:t>
      </w:r>
    </w:p>
    <w:p w:rsidR="007D2587" w:rsidRPr="00EF4750" w:rsidRDefault="007D2587" w:rsidP="00EF4750">
      <w:pPr>
        <w:pStyle w:val="ListParagraph"/>
        <w:numPr>
          <w:ilvl w:val="0"/>
          <w:numId w:val="44"/>
        </w:numPr>
        <w:rPr>
          <w:rFonts w:ascii="Arial" w:hAnsi="Arial" w:cs="Arial"/>
        </w:rPr>
      </w:pPr>
      <w:r w:rsidRPr="00EF4750">
        <w:rPr>
          <w:rFonts w:ascii="Arial" w:hAnsi="Arial" w:cs="Arial"/>
        </w:rPr>
        <w:t>Review of qualitative information gathered through the Customer Service team</w:t>
      </w:r>
    </w:p>
    <w:p w:rsidR="007D2587" w:rsidRPr="00EF4750" w:rsidRDefault="007D2587" w:rsidP="00EF4750">
      <w:pPr>
        <w:pStyle w:val="ListParagraph"/>
        <w:numPr>
          <w:ilvl w:val="0"/>
          <w:numId w:val="44"/>
        </w:numPr>
        <w:rPr>
          <w:rFonts w:ascii="Arial" w:hAnsi="Arial" w:cs="Arial"/>
        </w:rPr>
      </w:pPr>
      <w:r w:rsidRPr="00EF4750">
        <w:rPr>
          <w:rFonts w:ascii="Arial" w:hAnsi="Arial" w:cs="Arial"/>
        </w:rPr>
        <w:t>Current performance and information regarding quality measures</w:t>
      </w:r>
    </w:p>
    <w:p w:rsidR="007D2587" w:rsidRPr="00EF4750" w:rsidRDefault="007D2587" w:rsidP="00EF4750">
      <w:pPr>
        <w:pStyle w:val="ListParagraph"/>
        <w:numPr>
          <w:ilvl w:val="0"/>
          <w:numId w:val="44"/>
        </w:numPr>
        <w:rPr>
          <w:rFonts w:ascii="Arial" w:hAnsi="Arial" w:cs="Arial"/>
        </w:rPr>
      </w:pPr>
      <w:r w:rsidRPr="00EF4750">
        <w:rPr>
          <w:rFonts w:ascii="Arial" w:hAnsi="Arial" w:cs="Arial"/>
        </w:rPr>
        <w:t>Best practice guidance and relevant standards for service delivery, e.g. Royal College guidelines regarding minimum patient volumes in order to maintain competency</w:t>
      </w:r>
    </w:p>
    <w:p w:rsidR="007D2587" w:rsidRPr="00EF4750" w:rsidRDefault="007D2587" w:rsidP="00EF4750">
      <w:pPr>
        <w:pStyle w:val="ListParagraph"/>
        <w:numPr>
          <w:ilvl w:val="0"/>
          <w:numId w:val="44"/>
        </w:numPr>
        <w:rPr>
          <w:rFonts w:ascii="Arial" w:hAnsi="Arial" w:cs="Arial"/>
        </w:rPr>
      </w:pPr>
      <w:r w:rsidRPr="00EF4750">
        <w:rPr>
          <w:rFonts w:ascii="Arial" w:hAnsi="Arial" w:cs="Arial"/>
        </w:rPr>
        <w:t xml:space="preserve">National imperatives, e.g. 7 day working </w:t>
      </w:r>
    </w:p>
    <w:p w:rsidR="007D2587" w:rsidRPr="00EF4750" w:rsidRDefault="007D2587" w:rsidP="00EF4750">
      <w:pPr>
        <w:ind w:left="426"/>
        <w:rPr>
          <w:rFonts w:ascii="Arial" w:hAnsi="Arial" w:cs="Arial"/>
        </w:rPr>
      </w:pPr>
    </w:p>
    <w:p w:rsidR="007D2587" w:rsidRDefault="007D2587" w:rsidP="00EF4750">
      <w:pPr>
        <w:ind w:left="426"/>
        <w:rPr>
          <w:rFonts w:ascii="Arial" w:hAnsi="Arial" w:cs="Arial"/>
        </w:rPr>
      </w:pPr>
      <w:r w:rsidRPr="00EF4750">
        <w:rPr>
          <w:rFonts w:ascii="Arial" w:hAnsi="Arial" w:cs="Arial"/>
        </w:rPr>
        <w:t>Once the strategic commissioning intentions have been developed, we will be better able to understand any impact on the locations within which services are delivered and whether it expects those services to be delivered:</w:t>
      </w:r>
    </w:p>
    <w:p w:rsidR="007D2587" w:rsidRPr="00EF4750" w:rsidRDefault="007D2587" w:rsidP="00EF4750">
      <w:pPr>
        <w:pStyle w:val="ListParagraph"/>
        <w:numPr>
          <w:ilvl w:val="0"/>
          <w:numId w:val="45"/>
        </w:numPr>
        <w:ind w:left="851" w:hanging="425"/>
        <w:rPr>
          <w:rFonts w:ascii="Arial" w:hAnsi="Arial" w:cs="Arial"/>
        </w:rPr>
      </w:pPr>
      <w:r w:rsidRPr="00EF4750">
        <w:rPr>
          <w:rFonts w:ascii="Arial" w:hAnsi="Arial" w:cs="Arial"/>
        </w:rPr>
        <w:t xml:space="preserve">in an out of hospital setting, whether that be in an individual’s own home, a GP practice or another community setting </w:t>
      </w:r>
    </w:p>
    <w:p w:rsidR="007D2587" w:rsidRPr="00EF4750" w:rsidRDefault="007D2587" w:rsidP="00EF4750">
      <w:pPr>
        <w:pStyle w:val="ListParagraph"/>
        <w:numPr>
          <w:ilvl w:val="0"/>
          <w:numId w:val="45"/>
        </w:numPr>
        <w:ind w:left="851" w:hanging="425"/>
        <w:rPr>
          <w:rFonts w:ascii="Arial" w:hAnsi="Arial" w:cs="Arial"/>
        </w:rPr>
      </w:pPr>
      <w:r w:rsidRPr="00EF4750">
        <w:rPr>
          <w:rFonts w:ascii="Arial" w:hAnsi="Arial" w:cs="Arial"/>
        </w:rPr>
        <w:t xml:space="preserve">from our local hospital building, </w:t>
      </w:r>
    </w:p>
    <w:p w:rsidR="007D2587" w:rsidRPr="00EF4750" w:rsidRDefault="007D2587" w:rsidP="00EF4750">
      <w:pPr>
        <w:pStyle w:val="ListParagraph"/>
        <w:numPr>
          <w:ilvl w:val="0"/>
          <w:numId w:val="45"/>
        </w:numPr>
        <w:ind w:left="851" w:hanging="425"/>
        <w:rPr>
          <w:rFonts w:ascii="Arial" w:hAnsi="Arial" w:cs="Arial"/>
        </w:rPr>
      </w:pPr>
      <w:r w:rsidRPr="00EF4750">
        <w:rPr>
          <w:rFonts w:ascii="Arial" w:hAnsi="Arial" w:cs="Arial"/>
        </w:rPr>
        <w:t xml:space="preserve">from a location accessible within an hour </w:t>
      </w:r>
    </w:p>
    <w:p w:rsidR="007D2587" w:rsidRPr="00EF4750" w:rsidRDefault="007D2587" w:rsidP="00EF4750">
      <w:pPr>
        <w:pStyle w:val="ListParagraph"/>
        <w:numPr>
          <w:ilvl w:val="0"/>
          <w:numId w:val="45"/>
        </w:numPr>
        <w:ind w:left="851" w:hanging="425"/>
        <w:rPr>
          <w:rFonts w:ascii="Arial" w:hAnsi="Arial" w:cs="Arial"/>
        </w:rPr>
      </w:pPr>
      <w:r w:rsidRPr="00EF4750">
        <w:rPr>
          <w:rFonts w:ascii="Arial" w:hAnsi="Arial" w:cs="Arial"/>
        </w:rPr>
        <w:t>from a location which will take more than an hour to get to</w:t>
      </w:r>
      <w:r w:rsidR="00EF4750">
        <w:rPr>
          <w:rFonts w:ascii="Arial" w:hAnsi="Arial" w:cs="Arial"/>
        </w:rPr>
        <w:t xml:space="preserve"> (as is already the case for some services)</w:t>
      </w:r>
    </w:p>
    <w:p w:rsidR="007D2587" w:rsidRPr="00EF4750" w:rsidRDefault="007D2587" w:rsidP="00EF4750">
      <w:pPr>
        <w:ind w:left="426"/>
        <w:rPr>
          <w:rFonts w:ascii="Arial" w:hAnsi="Arial" w:cs="Arial"/>
        </w:rPr>
      </w:pPr>
    </w:p>
    <w:p w:rsidR="007D2587" w:rsidRPr="00EF4750" w:rsidRDefault="007D2587" w:rsidP="00EF4750">
      <w:pPr>
        <w:ind w:left="426"/>
        <w:rPr>
          <w:rFonts w:ascii="Arial" w:hAnsi="Arial" w:cs="Arial"/>
        </w:rPr>
      </w:pPr>
    </w:p>
    <w:p w:rsidR="00EF4750" w:rsidRDefault="00EF4750" w:rsidP="00EF4750">
      <w:pPr>
        <w:ind w:left="426"/>
        <w:rPr>
          <w:rFonts w:ascii="Arial" w:hAnsi="Arial" w:cs="Arial"/>
        </w:rPr>
      </w:pPr>
      <w:r>
        <w:rPr>
          <w:rFonts w:ascii="Arial" w:hAnsi="Arial" w:cs="Arial"/>
        </w:rPr>
        <w:t>Service leads have been pulling together the information on current standards performance and national imperatives to support the next stage of development by the clinical leads at a single item time out on the 5</w:t>
      </w:r>
      <w:r w:rsidRPr="00EF4750">
        <w:rPr>
          <w:rFonts w:ascii="Arial" w:hAnsi="Arial" w:cs="Arial"/>
          <w:vertAlign w:val="superscript"/>
        </w:rPr>
        <w:t>th</w:t>
      </w:r>
      <w:r>
        <w:rPr>
          <w:rFonts w:ascii="Arial" w:hAnsi="Arial" w:cs="Arial"/>
        </w:rPr>
        <w:t xml:space="preserve"> September.  </w:t>
      </w:r>
    </w:p>
    <w:p w:rsidR="00EF4750" w:rsidRDefault="00EF4750" w:rsidP="00EF4750">
      <w:pPr>
        <w:ind w:left="426"/>
        <w:rPr>
          <w:rFonts w:ascii="Arial" w:hAnsi="Arial" w:cs="Arial"/>
        </w:rPr>
      </w:pPr>
    </w:p>
    <w:p w:rsidR="007D2587" w:rsidRDefault="00EF4750" w:rsidP="00EF4750">
      <w:pPr>
        <w:ind w:left="426"/>
        <w:rPr>
          <w:rFonts w:ascii="Arial" w:hAnsi="Arial" w:cs="Arial"/>
        </w:rPr>
      </w:pPr>
      <w:r>
        <w:rPr>
          <w:rFonts w:ascii="Arial" w:hAnsi="Arial" w:cs="Arial"/>
        </w:rPr>
        <w:t xml:space="preserve">The output from this session will then be </w:t>
      </w:r>
      <w:r w:rsidR="007D2587" w:rsidRPr="00EF4750">
        <w:rPr>
          <w:rFonts w:ascii="Arial" w:hAnsi="Arial" w:cs="Arial"/>
        </w:rPr>
        <w:t xml:space="preserve">shared </w:t>
      </w:r>
      <w:r>
        <w:rPr>
          <w:rFonts w:ascii="Arial" w:hAnsi="Arial" w:cs="Arial"/>
        </w:rPr>
        <w:t xml:space="preserve">and further developed with our </w:t>
      </w:r>
      <w:r w:rsidR="007D2587" w:rsidRPr="00EF4750">
        <w:rPr>
          <w:rFonts w:ascii="Arial" w:hAnsi="Arial" w:cs="Arial"/>
        </w:rPr>
        <w:t>clinical members, community members, and the local community</w:t>
      </w:r>
      <w:r>
        <w:rPr>
          <w:rFonts w:ascii="Arial" w:hAnsi="Arial" w:cs="Arial"/>
        </w:rPr>
        <w:t xml:space="preserve"> prior to final agreement.  This</w:t>
      </w:r>
      <w:r w:rsidR="007D2587" w:rsidRPr="00EF4750">
        <w:rPr>
          <w:rFonts w:ascii="Arial" w:hAnsi="Arial" w:cs="Arial"/>
        </w:rPr>
        <w:t xml:space="preserve"> work will inform the 2016/17 planning process and</w:t>
      </w:r>
      <w:r>
        <w:rPr>
          <w:rFonts w:ascii="Arial" w:hAnsi="Arial" w:cs="Arial"/>
        </w:rPr>
        <w:t xml:space="preserve"> as such it will need to be signed off by </w:t>
      </w:r>
      <w:r w:rsidR="007D2587" w:rsidRPr="00EF4750">
        <w:rPr>
          <w:rFonts w:ascii="Arial" w:hAnsi="Arial" w:cs="Arial"/>
        </w:rPr>
        <w:t xml:space="preserve">Council of Members </w:t>
      </w:r>
      <w:r w:rsidR="00FA7EC7">
        <w:rPr>
          <w:rFonts w:ascii="Arial" w:hAnsi="Arial" w:cs="Arial"/>
        </w:rPr>
        <w:t>prior to Christmas</w:t>
      </w:r>
      <w:r w:rsidR="007D2587" w:rsidRPr="00EF4750">
        <w:rPr>
          <w:rFonts w:ascii="Arial" w:hAnsi="Arial" w:cs="Arial"/>
        </w:rPr>
        <w:t>.</w:t>
      </w:r>
    </w:p>
    <w:p w:rsidR="00FA7EC7" w:rsidRDefault="00FA7EC7" w:rsidP="00EF4750">
      <w:pPr>
        <w:ind w:left="426"/>
        <w:rPr>
          <w:rFonts w:ascii="Arial" w:hAnsi="Arial" w:cs="Arial"/>
        </w:rPr>
      </w:pPr>
    </w:p>
    <w:p w:rsidR="00DA22D7" w:rsidRDefault="00DA22D7" w:rsidP="00EF4750">
      <w:pPr>
        <w:ind w:left="426"/>
        <w:rPr>
          <w:rFonts w:ascii="Arial" w:hAnsi="Arial" w:cs="Arial"/>
        </w:rPr>
      </w:pPr>
    </w:p>
    <w:p w:rsidR="00DA22D7" w:rsidRDefault="00DA22D7" w:rsidP="00EF4750">
      <w:pPr>
        <w:ind w:left="426"/>
        <w:rPr>
          <w:rFonts w:ascii="Arial" w:hAnsi="Arial" w:cs="Arial"/>
        </w:rPr>
      </w:pPr>
    </w:p>
    <w:p w:rsidR="00FA7EC7" w:rsidRDefault="00FA7EC7" w:rsidP="00EF4750">
      <w:pPr>
        <w:ind w:left="426"/>
        <w:rPr>
          <w:rFonts w:ascii="Arial" w:hAnsi="Arial" w:cs="Arial"/>
        </w:rPr>
      </w:pPr>
      <w:r>
        <w:rPr>
          <w:rFonts w:ascii="Arial" w:hAnsi="Arial" w:cs="Arial"/>
        </w:rPr>
        <w:lastRenderedPageBreak/>
        <w:t>Illustration of the format of the output from this process:</w:t>
      </w:r>
    </w:p>
    <w:p w:rsidR="00FA7EC7" w:rsidRDefault="00FA7EC7" w:rsidP="00FA7EC7">
      <w:pPr>
        <w:rPr>
          <w:rFonts w:ascii="Arial" w:hAnsi="Arial" w:cs="Arial"/>
        </w:rPr>
      </w:pPr>
    </w:p>
    <w:p w:rsidR="00FA7EC7" w:rsidRDefault="00FA7EC7" w:rsidP="00FA7EC7">
      <w:pPr>
        <w:ind w:left="142"/>
        <w:rPr>
          <w:rFonts w:ascii="Arial" w:hAnsi="Arial" w:cs="Arial"/>
        </w:rPr>
      </w:pPr>
      <w:r>
        <w:rPr>
          <w:rFonts w:ascii="Arial" w:hAnsi="Arial" w:cs="Arial"/>
          <w:noProof/>
        </w:rPr>
        <w:drawing>
          <wp:inline distT="0" distB="0" distL="0" distR="0" wp14:anchorId="05D1183E">
            <wp:extent cx="6553199" cy="4800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673" cy="4807540"/>
                    </a:xfrm>
                    <a:prstGeom prst="rect">
                      <a:avLst/>
                    </a:prstGeom>
                    <a:noFill/>
                  </pic:spPr>
                </pic:pic>
              </a:graphicData>
            </a:graphic>
          </wp:inline>
        </w:drawing>
      </w:r>
    </w:p>
    <w:p w:rsidR="00FA7EC7" w:rsidRDefault="00FA7EC7" w:rsidP="00EF4750">
      <w:pPr>
        <w:ind w:left="426"/>
        <w:rPr>
          <w:rFonts w:ascii="Arial" w:hAnsi="Arial" w:cs="Arial"/>
        </w:rPr>
      </w:pPr>
    </w:p>
    <w:p w:rsidR="008C64A8" w:rsidRPr="00EF4750" w:rsidRDefault="00DA22D7" w:rsidP="00641CBC">
      <w:pPr>
        <w:rPr>
          <w:rFonts w:ascii="Arial" w:hAnsi="Arial" w:cs="Arial"/>
          <w:bCs/>
        </w:rPr>
      </w:pPr>
      <w:r>
        <w:rPr>
          <w:rFonts w:ascii="Arial" w:hAnsi="Arial" w:cs="Arial"/>
          <w:bCs/>
        </w:rPr>
        <w:t>Services detailed are for illustration only</w:t>
      </w:r>
    </w:p>
    <w:p w:rsidR="00334F23" w:rsidRPr="00EF4750" w:rsidRDefault="00334F23" w:rsidP="00EF4750">
      <w:pPr>
        <w:pStyle w:val="ListParagraph"/>
        <w:ind w:left="426"/>
        <w:rPr>
          <w:rFonts w:ascii="Arial" w:hAnsi="Arial" w:cs="Arial"/>
          <w:bCs/>
        </w:rPr>
      </w:pPr>
    </w:p>
    <w:p w:rsidR="008A6FAD" w:rsidRPr="00DE0846" w:rsidRDefault="008A6FAD" w:rsidP="00092A27">
      <w:pPr>
        <w:rPr>
          <w:rFonts w:ascii="Arial" w:hAnsi="Arial" w:cs="Arial"/>
          <w:bCs/>
        </w:rPr>
      </w:pPr>
    </w:p>
    <w:p w:rsidR="00805F65" w:rsidRPr="00F34767" w:rsidRDefault="00805F65" w:rsidP="00F27279">
      <w:pPr>
        <w:rPr>
          <w:rFonts w:ascii="Arial" w:hAnsi="Arial" w:cs="Arial"/>
          <w:bCs/>
          <w:sz w:val="20"/>
          <w:szCs w:val="20"/>
        </w:rPr>
      </w:pPr>
    </w:p>
    <w:sectPr w:rsidR="00805F65" w:rsidRPr="00F34767"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86" w:rsidRDefault="00C46D86">
      <w:r>
        <w:separator/>
      </w:r>
    </w:p>
  </w:endnote>
  <w:endnote w:type="continuationSeparator" w:id="0">
    <w:p w:rsidR="00C46D86" w:rsidRDefault="00C4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86" w:rsidRDefault="00C46D86">
      <w:r>
        <w:separator/>
      </w:r>
    </w:p>
  </w:footnote>
  <w:footnote w:type="continuationSeparator" w:id="0">
    <w:p w:rsidR="00C46D86" w:rsidRDefault="00C4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738DB"/>
    <w:multiLevelType w:val="hybridMultilevel"/>
    <w:tmpl w:val="ABC2D9F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8">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4919AD"/>
    <w:multiLevelType w:val="hybridMultilevel"/>
    <w:tmpl w:val="4A0ABB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5">
    <w:nsid w:val="21737E50"/>
    <w:multiLevelType w:val="hybridMultilevel"/>
    <w:tmpl w:val="511E5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C276D4"/>
    <w:multiLevelType w:val="hybridMultilevel"/>
    <w:tmpl w:val="E28C8F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1">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F8639C"/>
    <w:multiLevelType w:val="hybridMultilevel"/>
    <w:tmpl w:val="1B04A9F0"/>
    <w:lvl w:ilvl="0" w:tplc="F7E228A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E4FD5"/>
    <w:multiLevelType w:val="hybridMultilevel"/>
    <w:tmpl w:val="CD3ACCD8"/>
    <w:lvl w:ilvl="0" w:tplc="035AD0A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95948FD"/>
    <w:multiLevelType w:val="hybridMultilevel"/>
    <w:tmpl w:val="C742A884"/>
    <w:lvl w:ilvl="0" w:tplc="08090001">
      <w:start w:val="1"/>
      <w:numFmt w:val="bullet"/>
      <w:lvlText w:val=""/>
      <w:lvlJc w:val="left"/>
      <w:pPr>
        <w:ind w:left="1408" w:hanging="360"/>
      </w:pPr>
      <w:rPr>
        <w:rFonts w:ascii="Symbol" w:hAnsi="Symbol" w:hint="default"/>
      </w:rPr>
    </w:lvl>
    <w:lvl w:ilvl="1" w:tplc="08090003">
      <w:start w:val="1"/>
      <w:numFmt w:val="bullet"/>
      <w:lvlText w:val="o"/>
      <w:lvlJc w:val="left"/>
      <w:pPr>
        <w:ind w:left="2128" w:hanging="360"/>
      </w:pPr>
      <w:rPr>
        <w:rFonts w:ascii="Courier New" w:hAnsi="Courier New" w:cs="Courier New" w:hint="default"/>
      </w:rPr>
    </w:lvl>
    <w:lvl w:ilvl="2" w:tplc="08090005">
      <w:start w:val="1"/>
      <w:numFmt w:val="bullet"/>
      <w:lvlText w:val=""/>
      <w:lvlJc w:val="left"/>
      <w:pPr>
        <w:ind w:left="2848" w:hanging="360"/>
      </w:pPr>
      <w:rPr>
        <w:rFonts w:ascii="Wingdings" w:hAnsi="Wingdings" w:hint="default"/>
      </w:rPr>
    </w:lvl>
    <w:lvl w:ilvl="3" w:tplc="08090001">
      <w:start w:val="1"/>
      <w:numFmt w:val="bullet"/>
      <w:lvlText w:val=""/>
      <w:lvlJc w:val="left"/>
      <w:pPr>
        <w:ind w:left="3568" w:hanging="360"/>
      </w:pPr>
      <w:rPr>
        <w:rFonts w:ascii="Symbol" w:hAnsi="Symbol" w:hint="default"/>
      </w:rPr>
    </w:lvl>
    <w:lvl w:ilvl="4" w:tplc="08090003">
      <w:start w:val="1"/>
      <w:numFmt w:val="bullet"/>
      <w:lvlText w:val="o"/>
      <w:lvlJc w:val="left"/>
      <w:pPr>
        <w:ind w:left="4288" w:hanging="360"/>
      </w:pPr>
      <w:rPr>
        <w:rFonts w:ascii="Courier New" w:hAnsi="Courier New" w:cs="Courier New" w:hint="default"/>
      </w:rPr>
    </w:lvl>
    <w:lvl w:ilvl="5" w:tplc="08090005">
      <w:start w:val="1"/>
      <w:numFmt w:val="bullet"/>
      <w:lvlText w:val=""/>
      <w:lvlJc w:val="left"/>
      <w:pPr>
        <w:ind w:left="5008" w:hanging="360"/>
      </w:pPr>
      <w:rPr>
        <w:rFonts w:ascii="Wingdings" w:hAnsi="Wingdings" w:hint="default"/>
      </w:rPr>
    </w:lvl>
    <w:lvl w:ilvl="6" w:tplc="08090001">
      <w:start w:val="1"/>
      <w:numFmt w:val="bullet"/>
      <w:lvlText w:val=""/>
      <w:lvlJc w:val="left"/>
      <w:pPr>
        <w:ind w:left="5728" w:hanging="360"/>
      </w:pPr>
      <w:rPr>
        <w:rFonts w:ascii="Symbol" w:hAnsi="Symbol" w:hint="default"/>
      </w:rPr>
    </w:lvl>
    <w:lvl w:ilvl="7" w:tplc="08090003">
      <w:start w:val="1"/>
      <w:numFmt w:val="bullet"/>
      <w:lvlText w:val="o"/>
      <w:lvlJc w:val="left"/>
      <w:pPr>
        <w:ind w:left="6448" w:hanging="360"/>
      </w:pPr>
      <w:rPr>
        <w:rFonts w:ascii="Courier New" w:hAnsi="Courier New" w:cs="Courier New" w:hint="default"/>
      </w:rPr>
    </w:lvl>
    <w:lvl w:ilvl="8" w:tplc="08090005">
      <w:start w:val="1"/>
      <w:numFmt w:val="bullet"/>
      <w:lvlText w:val=""/>
      <w:lvlJc w:val="left"/>
      <w:pPr>
        <w:ind w:left="7168" w:hanging="360"/>
      </w:pPr>
      <w:rPr>
        <w:rFonts w:ascii="Wingdings" w:hAnsi="Wingdings" w:hint="default"/>
      </w:rPr>
    </w:lvl>
  </w:abstractNum>
  <w:abstractNum w:abstractNumId="42">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6A6117"/>
    <w:multiLevelType w:val="hybridMultilevel"/>
    <w:tmpl w:val="FD8A49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855FB2"/>
    <w:multiLevelType w:val="hybridMultilevel"/>
    <w:tmpl w:val="DA4E6E2C"/>
    <w:lvl w:ilvl="0" w:tplc="08090001">
      <w:start w:val="1"/>
      <w:numFmt w:val="bullet"/>
      <w:lvlText w:val=""/>
      <w:lvlJc w:val="left"/>
      <w:pPr>
        <w:ind w:left="2094" w:hanging="36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start w:val="1"/>
      <w:numFmt w:val="bullet"/>
      <w:lvlText w:val=""/>
      <w:lvlJc w:val="left"/>
      <w:pPr>
        <w:ind w:left="3534" w:hanging="360"/>
      </w:pPr>
      <w:rPr>
        <w:rFonts w:ascii="Wingdings" w:hAnsi="Wingdings" w:hint="default"/>
      </w:rPr>
    </w:lvl>
    <w:lvl w:ilvl="3" w:tplc="08090001">
      <w:start w:val="1"/>
      <w:numFmt w:val="bullet"/>
      <w:lvlText w:val=""/>
      <w:lvlJc w:val="left"/>
      <w:pPr>
        <w:ind w:left="4254" w:hanging="360"/>
      </w:pPr>
      <w:rPr>
        <w:rFonts w:ascii="Symbol" w:hAnsi="Symbol" w:hint="default"/>
      </w:rPr>
    </w:lvl>
    <w:lvl w:ilvl="4" w:tplc="08090003">
      <w:start w:val="1"/>
      <w:numFmt w:val="bullet"/>
      <w:lvlText w:val="o"/>
      <w:lvlJc w:val="left"/>
      <w:pPr>
        <w:ind w:left="4974" w:hanging="360"/>
      </w:pPr>
      <w:rPr>
        <w:rFonts w:ascii="Courier New" w:hAnsi="Courier New" w:cs="Courier New" w:hint="default"/>
      </w:rPr>
    </w:lvl>
    <w:lvl w:ilvl="5" w:tplc="08090005">
      <w:start w:val="1"/>
      <w:numFmt w:val="bullet"/>
      <w:lvlText w:val=""/>
      <w:lvlJc w:val="left"/>
      <w:pPr>
        <w:ind w:left="5694" w:hanging="360"/>
      </w:pPr>
      <w:rPr>
        <w:rFonts w:ascii="Wingdings" w:hAnsi="Wingdings" w:hint="default"/>
      </w:rPr>
    </w:lvl>
    <w:lvl w:ilvl="6" w:tplc="08090001">
      <w:start w:val="1"/>
      <w:numFmt w:val="bullet"/>
      <w:lvlText w:val=""/>
      <w:lvlJc w:val="left"/>
      <w:pPr>
        <w:ind w:left="6414" w:hanging="360"/>
      </w:pPr>
      <w:rPr>
        <w:rFonts w:ascii="Symbol" w:hAnsi="Symbol" w:hint="default"/>
      </w:rPr>
    </w:lvl>
    <w:lvl w:ilvl="7" w:tplc="08090003">
      <w:start w:val="1"/>
      <w:numFmt w:val="bullet"/>
      <w:lvlText w:val="o"/>
      <w:lvlJc w:val="left"/>
      <w:pPr>
        <w:ind w:left="7134" w:hanging="360"/>
      </w:pPr>
      <w:rPr>
        <w:rFonts w:ascii="Courier New" w:hAnsi="Courier New" w:cs="Courier New" w:hint="default"/>
      </w:rPr>
    </w:lvl>
    <w:lvl w:ilvl="8" w:tplc="08090005">
      <w:start w:val="1"/>
      <w:numFmt w:val="bullet"/>
      <w:lvlText w:val=""/>
      <w:lvlJc w:val="left"/>
      <w:pPr>
        <w:ind w:left="7854" w:hanging="360"/>
      </w:pPr>
      <w:rPr>
        <w:rFonts w:ascii="Wingdings" w:hAnsi="Wingdings" w:hint="default"/>
      </w:rPr>
    </w:lvl>
  </w:abstractNum>
  <w:abstractNum w:abstractNumId="46">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0"/>
  </w:num>
  <w:num w:numId="4">
    <w:abstractNumId w:val="43"/>
  </w:num>
  <w:num w:numId="5">
    <w:abstractNumId w:val="28"/>
  </w:num>
  <w:num w:numId="6">
    <w:abstractNumId w:val="35"/>
  </w:num>
  <w:num w:numId="7">
    <w:abstractNumId w:val="5"/>
  </w:num>
  <w:num w:numId="8">
    <w:abstractNumId w:val="27"/>
  </w:num>
  <w:num w:numId="9">
    <w:abstractNumId w:val="30"/>
  </w:num>
  <w:num w:numId="10">
    <w:abstractNumId w:val="8"/>
  </w:num>
  <w:num w:numId="11">
    <w:abstractNumId w:val="17"/>
  </w:num>
  <w:num w:numId="12">
    <w:abstractNumId w:val="33"/>
  </w:num>
  <w:num w:numId="13">
    <w:abstractNumId w:val="24"/>
  </w:num>
  <w:num w:numId="14">
    <w:abstractNumId w:val="2"/>
  </w:num>
  <w:num w:numId="15">
    <w:abstractNumId w:val="26"/>
  </w:num>
  <w:num w:numId="16">
    <w:abstractNumId w:val="18"/>
  </w:num>
  <w:num w:numId="17">
    <w:abstractNumId w:val="29"/>
  </w:num>
  <w:num w:numId="18">
    <w:abstractNumId w:val="25"/>
  </w:num>
  <w:num w:numId="19">
    <w:abstractNumId w:val="37"/>
  </w:num>
  <w:num w:numId="20">
    <w:abstractNumId w:val="14"/>
  </w:num>
  <w:num w:numId="21">
    <w:abstractNumId w:val="11"/>
  </w:num>
  <w:num w:numId="22">
    <w:abstractNumId w:val="21"/>
  </w:num>
  <w:num w:numId="23">
    <w:abstractNumId w:val="6"/>
  </w:num>
  <w:num w:numId="24">
    <w:abstractNumId w:val="1"/>
  </w:num>
  <w:num w:numId="25">
    <w:abstractNumId w:val="34"/>
  </w:num>
  <w:num w:numId="26">
    <w:abstractNumId w:val="12"/>
  </w:num>
  <w:num w:numId="27">
    <w:abstractNumId w:val="16"/>
  </w:num>
  <w:num w:numId="28">
    <w:abstractNumId w:val="31"/>
  </w:num>
  <w:num w:numId="29">
    <w:abstractNumId w:val="38"/>
  </w:num>
  <w:num w:numId="30">
    <w:abstractNumId w:val="13"/>
  </w:num>
  <w:num w:numId="31">
    <w:abstractNumId w:val="46"/>
  </w:num>
  <w:num w:numId="32">
    <w:abstractNumId w:val="9"/>
  </w:num>
  <w:num w:numId="33">
    <w:abstractNumId w:val="39"/>
  </w:num>
  <w:num w:numId="34">
    <w:abstractNumId w:val="23"/>
  </w:num>
  <w:num w:numId="35">
    <w:abstractNumId w:val="20"/>
  </w:num>
  <w:num w:numId="36">
    <w:abstractNumId w:val="3"/>
  </w:num>
  <w:num w:numId="37">
    <w:abstractNumId w:val="42"/>
  </w:num>
  <w:num w:numId="38">
    <w:abstractNumId w:val="22"/>
  </w:num>
  <w:num w:numId="39">
    <w:abstractNumId w:val="44"/>
  </w:num>
  <w:num w:numId="40">
    <w:abstractNumId w:val="40"/>
  </w:num>
  <w:num w:numId="41">
    <w:abstractNumId w:val="36"/>
  </w:num>
  <w:num w:numId="42">
    <w:abstractNumId w:val="45"/>
  </w:num>
  <w:num w:numId="43">
    <w:abstractNumId w:val="41"/>
  </w:num>
  <w:num w:numId="44">
    <w:abstractNumId w:val="10"/>
  </w:num>
  <w:num w:numId="45">
    <w:abstractNumId w:val="7"/>
  </w:num>
  <w:num w:numId="46">
    <w:abstractNumId w:val="19"/>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22D"/>
    <w:rsid w:val="00091E11"/>
    <w:rsid w:val="000920DD"/>
    <w:rsid w:val="00092A27"/>
    <w:rsid w:val="00095E6B"/>
    <w:rsid w:val="000B1D82"/>
    <w:rsid w:val="000B1EEB"/>
    <w:rsid w:val="000B3544"/>
    <w:rsid w:val="000B4521"/>
    <w:rsid w:val="000C13F4"/>
    <w:rsid w:val="000C440F"/>
    <w:rsid w:val="000D783B"/>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26B9"/>
    <w:rsid w:val="002E7820"/>
    <w:rsid w:val="002F445D"/>
    <w:rsid w:val="002F47B6"/>
    <w:rsid w:val="00301655"/>
    <w:rsid w:val="00303B76"/>
    <w:rsid w:val="00312796"/>
    <w:rsid w:val="00316D7E"/>
    <w:rsid w:val="003225BA"/>
    <w:rsid w:val="00326AB8"/>
    <w:rsid w:val="00334F23"/>
    <w:rsid w:val="0034307E"/>
    <w:rsid w:val="00363C1F"/>
    <w:rsid w:val="0036628F"/>
    <w:rsid w:val="00366F7D"/>
    <w:rsid w:val="00380FCF"/>
    <w:rsid w:val="00384979"/>
    <w:rsid w:val="00394F30"/>
    <w:rsid w:val="003A03CB"/>
    <w:rsid w:val="003B0A06"/>
    <w:rsid w:val="003B299C"/>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4DFB"/>
    <w:rsid w:val="00447394"/>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4F7E52"/>
    <w:rsid w:val="005109BE"/>
    <w:rsid w:val="00517C3A"/>
    <w:rsid w:val="00522E5B"/>
    <w:rsid w:val="0052360E"/>
    <w:rsid w:val="00532C2C"/>
    <w:rsid w:val="00541F74"/>
    <w:rsid w:val="005460DB"/>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C585A"/>
    <w:rsid w:val="005E01FA"/>
    <w:rsid w:val="005F0C84"/>
    <w:rsid w:val="005F11AA"/>
    <w:rsid w:val="005F195A"/>
    <w:rsid w:val="0060216B"/>
    <w:rsid w:val="00604967"/>
    <w:rsid w:val="00607C7F"/>
    <w:rsid w:val="006203A2"/>
    <w:rsid w:val="00625124"/>
    <w:rsid w:val="00633EDD"/>
    <w:rsid w:val="00641CBC"/>
    <w:rsid w:val="006468ED"/>
    <w:rsid w:val="006569A3"/>
    <w:rsid w:val="00657CC2"/>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2587"/>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94997"/>
    <w:rsid w:val="008A57B4"/>
    <w:rsid w:val="008A6FAD"/>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6BC2"/>
    <w:rsid w:val="0094002E"/>
    <w:rsid w:val="0094097A"/>
    <w:rsid w:val="00946B7B"/>
    <w:rsid w:val="00960460"/>
    <w:rsid w:val="00961032"/>
    <w:rsid w:val="009615DA"/>
    <w:rsid w:val="009646FA"/>
    <w:rsid w:val="00975B74"/>
    <w:rsid w:val="00976B36"/>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6289"/>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AFA"/>
    <w:rsid w:val="00AF5DDB"/>
    <w:rsid w:val="00B02EF5"/>
    <w:rsid w:val="00B11802"/>
    <w:rsid w:val="00B21F5F"/>
    <w:rsid w:val="00B31017"/>
    <w:rsid w:val="00B327AD"/>
    <w:rsid w:val="00B349FF"/>
    <w:rsid w:val="00B363A4"/>
    <w:rsid w:val="00B37265"/>
    <w:rsid w:val="00B40742"/>
    <w:rsid w:val="00B41D76"/>
    <w:rsid w:val="00B52E01"/>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37ED"/>
    <w:rsid w:val="00BB4739"/>
    <w:rsid w:val="00BB5C36"/>
    <w:rsid w:val="00BB7DF9"/>
    <w:rsid w:val="00BC24D2"/>
    <w:rsid w:val="00BC27AF"/>
    <w:rsid w:val="00BC4508"/>
    <w:rsid w:val="00BC5CEC"/>
    <w:rsid w:val="00BC6D92"/>
    <w:rsid w:val="00BE2812"/>
    <w:rsid w:val="00BE3439"/>
    <w:rsid w:val="00BE5B77"/>
    <w:rsid w:val="00BE6E0D"/>
    <w:rsid w:val="00BE7009"/>
    <w:rsid w:val="00BF4C1F"/>
    <w:rsid w:val="00BF64D8"/>
    <w:rsid w:val="00C053D3"/>
    <w:rsid w:val="00C0569D"/>
    <w:rsid w:val="00C07D8B"/>
    <w:rsid w:val="00C20949"/>
    <w:rsid w:val="00C46D86"/>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17D1"/>
    <w:rsid w:val="00CF258F"/>
    <w:rsid w:val="00CF5F75"/>
    <w:rsid w:val="00D00EFA"/>
    <w:rsid w:val="00D15A2C"/>
    <w:rsid w:val="00D25017"/>
    <w:rsid w:val="00D253CF"/>
    <w:rsid w:val="00D3494B"/>
    <w:rsid w:val="00D35D4A"/>
    <w:rsid w:val="00D41C63"/>
    <w:rsid w:val="00D43881"/>
    <w:rsid w:val="00D450C3"/>
    <w:rsid w:val="00D4597C"/>
    <w:rsid w:val="00D52206"/>
    <w:rsid w:val="00D655CC"/>
    <w:rsid w:val="00D6660C"/>
    <w:rsid w:val="00D76A89"/>
    <w:rsid w:val="00D803BA"/>
    <w:rsid w:val="00D91037"/>
    <w:rsid w:val="00D921A3"/>
    <w:rsid w:val="00DA22D7"/>
    <w:rsid w:val="00DA584B"/>
    <w:rsid w:val="00DA6818"/>
    <w:rsid w:val="00DA75DE"/>
    <w:rsid w:val="00DC2203"/>
    <w:rsid w:val="00DC3218"/>
    <w:rsid w:val="00DC46DB"/>
    <w:rsid w:val="00DD1E33"/>
    <w:rsid w:val="00DD27F1"/>
    <w:rsid w:val="00DD3E42"/>
    <w:rsid w:val="00DD689C"/>
    <w:rsid w:val="00DD7564"/>
    <w:rsid w:val="00DE0846"/>
    <w:rsid w:val="00DE5C45"/>
    <w:rsid w:val="00DE6E0E"/>
    <w:rsid w:val="00DF00F8"/>
    <w:rsid w:val="00DF3185"/>
    <w:rsid w:val="00DF3E42"/>
    <w:rsid w:val="00E01CE4"/>
    <w:rsid w:val="00E135D3"/>
    <w:rsid w:val="00E24870"/>
    <w:rsid w:val="00E2557D"/>
    <w:rsid w:val="00E320A8"/>
    <w:rsid w:val="00E43FD9"/>
    <w:rsid w:val="00E46EFA"/>
    <w:rsid w:val="00E47C0B"/>
    <w:rsid w:val="00E5159C"/>
    <w:rsid w:val="00E538AF"/>
    <w:rsid w:val="00E5472C"/>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C46DF"/>
    <w:rsid w:val="00EC6A3B"/>
    <w:rsid w:val="00ED0665"/>
    <w:rsid w:val="00ED2BBB"/>
    <w:rsid w:val="00ED44C9"/>
    <w:rsid w:val="00ED6017"/>
    <w:rsid w:val="00EF1A15"/>
    <w:rsid w:val="00EF3C43"/>
    <w:rsid w:val="00EF4750"/>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71CA"/>
    <w:rsid w:val="00F979D8"/>
    <w:rsid w:val="00FA3BC7"/>
    <w:rsid w:val="00FA6C46"/>
    <w:rsid w:val="00FA7EC7"/>
    <w:rsid w:val="00FB10F2"/>
    <w:rsid w:val="00FB193C"/>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74508960">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83641929">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NYH.org.uk\Data\NELCCG\Contracts\ADULT%20SOCIAL%20CARE%20CONTRACTS\Care%20Homes%20Quality%20Framework\2014%20onwards\Review%20and%20Analysis\PANEL%20AND%20SCORING%2014-15\CONFIDENTIAL%20-%20QF%2014-15%20Scoring%20Overvi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sz="1400"/>
              <a:t>Care</a:t>
            </a:r>
            <a:r>
              <a:rPr lang="en-GB" sz="1400" baseline="0"/>
              <a:t> Home Compliance across all QF Standards 2015-16</a:t>
            </a:r>
            <a:endParaRPr lang="en-GB" sz="1400"/>
          </a:p>
        </c:rich>
      </c:tx>
      <c:overlay val="0"/>
    </c:title>
    <c:autoTitleDeleted val="0"/>
    <c:plotArea>
      <c:layout/>
      <c:barChart>
        <c:barDir val="col"/>
        <c:grouping val="stacked"/>
        <c:varyColors val="0"/>
        <c:ser>
          <c:idx val="0"/>
          <c:order val="0"/>
          <c:tx>
            <c:strRef>
              <c:f>'Standard Rank Order'!$A$46</c:f>
              <c:strCache>
                <c:ptCount val="1"/>
                <c:pt idx="0">
                  <c:v>Not adequate</c:v>
                </c:pt>
              </c:strCache>
            </c:strRef>
          </c:tx>
          <c:invertIfNegative val="0"/>
          <c:cat>
            <c:strRef>
              <c:f>'Standard Rank Order'!$B$3:$AC$3</c:f>
              <c:strCache>
                <c:ptCount val="27"/>
                <c:pt idx="0">
                  <c:v>Standard 1</c:v>
                </c:pt>
                <c:pt idx="2">
                  <c:v>Standard 2</c:v>
                </c:pt>
                <c:pt idx="4">
                  <c:v>Standard 3</c:v>
                </c:pt>
                <c:pt idx="6">
                  <c:v>Standard 4</c:v>
                </c:pt>
                <c:pt idx="8">
                  <c:v>Standard 5</c:v>
                </c:pt>
                <c:pt idx="10">
                  <c:v>Standard 6</c:v>
                </c:pt>
                <c:pt idx="12">
                  <c:v>Standard 7</c:v>
                </c:pt>
                <c:pt idx="14">
                  <c:v>Standard 8</c:v>
                </c:pt>
                <c:pt idx="16">
                  <c:v>Standard 9</c:v>
                </c:pt>
                <c:pt idx="18">
                  <c:v>Standard 10</c:v>
                </c:pt>
                <c:pt idx="20">
                  <c:v>Standard 11</c:v>
                </c:pt>
                <c:pt idx="22">
                  <c:v>Standard 12</c:v>
                </c:pt>
                <c:pt idx="24">
                  <c:v>Standard 13</c:v>
                </c:pt>
                <c:pt idx="26">
                  <c:v>Standard 14</c:v>
                </c:pt>
              </c:strCache>
            </c:strRef>
          </c:cat>
          <c:val>
            <c:numRef>
              <c:f>'Standard Rank Order'!$B$46:$AC$46</c:f>
              <c:numCache>
                <c:formatCode>General</c:formatCode>
                <c:ptCount val="28"/>
                <c:pt idx="0" formatCode="0">
                  <c:v>3</c:v>
                </c:pt>
                <c:pt idx="2" formatCode="0">
                  <c:v>6</c:v>
                </c:pt>
                <c:pt idx="4" formatCode="0">
                  <c:v>14</c:v>
                </c:pt>
                <c:pt idx="6" formatCode="0">
                  <c:v>6</c:v>
                </c:pt>
                <c:pt idx="8" formatCode="0">
                  <c:v>6</c:v>
                </c:pt>
                <c:pt idx="10" formatCode="0">
                  <c:v>3</c:v>
                </c:pt>
                <c:pt idx="12" formatCode="0">
                  <c:v>12</c:v>
                </c:pt>
                <c:pt idx="14" formatCode="0">
                  <c:v>15</c:v>
                </c:pt>
                <c:pt idx="16" formatCode="0">
                  <c:v>7</c:v>
                </c:pt>
                <c:pt idx="18" formatCode="0">
                  <c:v>6</c:v>
                </c:pt>
                <c:pt idx="20" formatCode="0">
                  <c:v>1</c:v>
                </c:pt>
                <c:pt idx="22" formatCode="0">
                  <c:v>6</c:v>
                </c:pt>
                <c:pt idx="24" formatCode="0">
                  <c:v>5</c:v>
                </c:pt>
                <c:pt idx="26" formatCode="0">
                  <c:v>10</c:v>
                </c:pt>
              </c:numCache>
            </c:numRef>
          </c:val>
        </c:ser>
        <c:ser>
          <c:idx val="1"/>
          <c:order val="1"/>
          <c:tx>
            <c:strRef>
              <c:f>'Standard Rank Order'!$A$47</c:f>
              <c:strCache>
                <c:ptCount val="1"/>
                <c:pt idx="0">
                  <c:v>Adequate</c:v>
                </c:pt>
              </c:strCache>
            </c:strRef>
          </c:tx>
          <c:invertIfNegative val="0"/>
          <c:cat>
            <c:strRef>
              <c:f>'Standard Rank Order'!$B$3:$AC$3</c:f>
              <c:strCache>
                <c:ptCount val="27"/>
                <c:pt idx="0">
                  <c:v>Standard 1</c:v>
                </c:pt>
                <c:pt idx="2">
                  <c:v>Standard 2</c:v>
                </c:pt>
                <c:pt idx="4">
                  <c:v>Standard 3</c:v>
                </c:pt>
                <c:pt idx="6">
                  <c:v>Standard 4</c:v>
                </c:pt>
                <c:pt idx="8">
                  <c:v>Standard 5</c:v>
                </c:pt>
                <c:pt idx="10">
                  <c:v>Standard 6</c:v>
                </c:pt>
                <c:pt idx="12">
                  <c:v>Standard 7</c:v>
                </c:pt>
                <c:pt idx="14">
                  <c:v>Standard 8</c:v>
                </c:pt>
                <c:pt idx="16">
                  <c:v>Standard 9</c:v>
                </c:pt>
                <c:pt idx="18">
                  <c:v>Standard 10</c:v>
                </c:pt>
                <c:pt idx="20">
                  <c:v>Standard 11</c:v>
                </c:pt>
                <c:pt idx="22">
                  <c:v>Standard 12</c:v>
                </c:pt>
                <c:pt idx="24">
                  <c:v>Standard 13</c:v>
                </c:pt>
                <c:pt idx="26">
                  <c:v>Standard 14</c:v>
                </c:pt>
              </c:strCache>
            </c:strRef>
          </c:cat>
          <c:val>
            <c:numRef>
              <c:f>'Standard Rank Order'!$B$47:$AC$47</c:f>
              <c:numCache>
                <c:formatCode>General</c:formatCode>
                <c:ptCount val="28"/>
                <c:pt idx="0" formatCode="0">
                  <c:v>9</c:v>
                </c:pt>
                <c:pt idx="2" formatCode="0">
                  <c:v>14</c:v>
                </c:pt>
                <c:pt idx="4" formatCode="0">
                  <c:v>14</c:v>
                </c:pt>
                <c:pt idx="6" formatCode="0">
                  <c:v>21</c:v>
                </c:pt>
                <c:pt idx="8" formatCode="0">
                  <c:v>14</c:v>
                </c:pt>
                <c:pt idx="10" formatCode="0">
                  <c:v>22</c:v>
                </c:pt>
                <c:pt idx="12" formatCode="0">
                  <c:v>18</c:v>
                </c:pt>
                <c:pt idx="14" formatCode="0">
                  <c:v>17</c:v>
                </c:pt>
                <c:pt idx="16" formatCode="0">
                  <c:v>10</c:v>
                </c:pt>
                <c:pt idx="18" formatCode="0">
                  <c:v>21</c:v>
                </c:pt>
                <c:pt idx="20" formatCode="0">
                  <c:v>16</c:v>
                </c:pt>
                <c:pt idx="22" formatCode="0">
                  <c:v>21</c:v>
                </c:pt>
                <c:pt idx="24" formatCode="0">
                  <c:v>17</c:v>
                </c:pt>
                <c:pt idx="26" formatCode="0">
                  <c:v>17</c:v>
                </c:pt>
              </c:numCache>
            </c:numRef>
          </c:val>
        </c:ser>
        <c:ser>
          <c:idx val="2"/>
          <c:order val="2"/>
          <c:tx>
            <c:strRef>
              <c:f>'Standard Rank Order'!$A$48</c:f>
              <c:strCache>
                <c:ptCount val="1"/>
                <c:pt idx="0">
                  <c:v>Good </c:v>
                </c:pt>
              </c:strCache>
            </c:strRef>
          </c:tx>
          <c:invertIfNegative val="0"/>
          <c:cat>
            <c:strRef>
              <c:f>'Standard Rank Order'!$B$3:$AC$3</c:f>
              <c:strCache>
                <c:ptCount val="27"/>
                <c:pt idx="0">
                  <c:v>Standard 1</c:v>
                </c:pt>
                <c:pt idx="2">
                  <c:v>Standard 2</c:v>
                </c:pt>
                <c:pt idx="4">
                  <c:v>Standard 3</c:v>
                </c:pt>
                <c:pt idx="6">
                  <c:v>Standard 4</c:v>
                </c:pt>
                <c:pt idx="8">
                  <c:v>Standard 5</c:v>
                </c:pt>
                <c:pt idx="10">
                  <c:v>Standard 6</c:v>
                </c:pt>
                <c:pt idx="12">
                  <c:v>Standard 7</c:v>
                </c:pt>
                <c:pt idx="14">
                  <c:v>Standard 8</c:v>
                </c:pt>
                <c:pt idx="16">
                  <c:v>Standard 9</c:v>
                </c:pt>
                <c:pt idx="18">
                  <c:v>Standard 10</c:v>
                </c:pt>
                <c:pt idx="20">
                  <c:v>Standard 11</c:v>
                </c:pt>
                <c:pt idx="22">
                  <c:v>Standard 12</c:v>
                </c:pt>
                <c:pt idx="24">
                  <c:v>Standard 13</c:v>
                </c:pt>
                <c:pt idx="26">
                  <c:v>Standard 14</c:v>
                </c:pt>
              </c:strCache>
            </c:strRef>
          </c:cat>
          <c:val>
            <c:numRef>
              <c:f>'Standard Rank Order'!$B$48:$AC$48</c:f>
              <c:numCache>
                <c:formatCode>General</c:formatCode>
                <c:ptCount val="28"/>
                <c:pt idx="0" formatCode="0">
                  <c:v>16</c:v>
                </c:pt>
                <c:pt idx="2" formatCode="0">
                  <c:v>14</c:v>
                </c:pt>
                <c:pt idx="4" formatCode="0">
                  <c:v>9</c:v>
                </c:pt>
                <c:pt idx="6" formatCode="0">
                  <c:v>7</c:v>
                </c:pt>
                <c:pt idx="8" formatCode="0">
                  <c:v>9</c:v>
                </c:pt>
                <c:pt idx="10" formatCode="0">
                  <c:v>13</c:v>
                </c:pt>
                <c:pt idx="12" formatCode="0">
                  <c:v>8</c:v>
                </c:pt>
                <c:pt idx="14" formatCode="0">
                  <c:v>7</c:v>
                </c:pt>
                <c:pt idx="16" formatCode="0">
                  <c:v>17</c:v>
                </c:pt>
                <c:pt idx="18" formatCode="0">
                  <c:v>10</c:v>
                </c:pt>
                <c:pt idx="20" formatCode="0">
                  <c:v>18</c:v>
                </c:pt>
                <c:pt idx="22" formatCode="0">
                  <c:v>12</c:v>
                </c:pt>
                <c:pt idx="24" formatCode="0">
                  <c:v>14</c:v>
                </c:pt>
                <c:pt idx="26" formatCode="0">
                  <c:v>11</c:v>
                </c:pt>
              </c:numCache>
            </c:numRef>
          </c:val>
        </c:ser>
        <c:ser>
          <c:idx val="3"/>
          <c:order val="3"/>
          <c:tx>
            <c:strRef>
              <c:f>'Standard Rank Order'!$A$49</c:f>
              <c:strCache>
                <c:ptCount val="1"/>
                <c:pt idx="0">
                  <c:v>Excellent</c:v>
                </c:pt>
              </c:strCache>
            </c:strRef>
          </c:tx>
          <c:invertIfNegative val="0"/>
          <c:cat>
            <c:strRef>
              <c:f>'Standard Rank Order'!$B$3:$AC$3</c:f>
              <c:strCache>
                <c:ptCount val="27"/>
                <c:pt idx="0">
                  <c:v>Standard 1</c:v>
                </c:pt>
                <c:pt idx="2">
                  <c:v>Standard 2</c:v>
                </c:pt>
                <c:pt idx="4">
                  <c:v>Standard 3</c:v>
                </c:pt>
                <c:pt idx="6">
                  <c:v>Standard 4</c:v>
                </c:pt>
                <c:pt idx="8">
                  <c:v>Standard 5</c:v>
                </c:pt>
                <c:pt idx="10">
                  <c:v>Standard 6</c:v>
                </c:pt>
                <c:pt idx="12">
                  <c:v>Standard 7</c:v>
                </c:pt>
                <c:pt idx="14">
                  <c:v>Standard 8</c:v>
                </c:pt>
                <c:pt idx="16">
                  <c:v>Standard 9</c:v>
                </c:pt>
                <c:pt idx="18">
                  <c:v>Standard 10</c:v>
                </c:pt>
                <c:pt idx="20">
                  <c:v>Standard 11</c:v>
                </c:pt>
                <c:pt idx="22">
                  <c:v>Standard 12</c:v>
                </c:pt>
                <c:pt idx="24">
                  <c:v>Standard 13</c:v>
                </c:pt>
                <c:pt idx="26">
                  <c:v>Standard 14</c:v>
                </c:pt>
              </c:strCache>
            </c:strRef>
          </c:cat>
          <c:val>
            <c:numRef>
              <c:f>'Standard Rank Order'!$B$49:$AC$49</c:f>
              <c:numCache>
                <c:formatCode>General</c:formatCode>
                <c:ptCount val="28"/>
                <c:pt idx="0" formatCode="0">
                  <c:v>11</c:v>
                </c:pt>
                <c:pt idx="2" formatCode="0">
                  <c:v>5</c:v>
                </c:pt>
                <c:pt idx="4" formatCode="0">
                  <c:v>2</c:v>
                </c:pt>
                <c:pt idx="6" formatCode="0">
                  <c:v>5</c:v>
                </c:pt>
                <c:pt idx="8" formatCode="0">
                  <c:v>10</c:v>
                </c:pt>
                <c:pt idx="10" formatCode="0">
                  <c:v>1</c:v>
                </c:pt>
                <c:pt idx="12" formatCode="0">
                  <c:v>1</c:v>
                </c:pt>
                <c:pt idx="14" formatCode="0">
                  <c:v>0</c:v>
                </c:pt>
                <c:pt idx="16" formatCode="0">
                  <c:v>5</c:v>
                </c:pt>
                <c:pt idx="18" formatCode="0">
                  <c:v>2</c:v>
                </c:pt>
                <c:pt idx="20" formatCode="0">
                  <c:v>4</c:v>
                </c:pt>
                <c:pt idx="22" formatCode="0">
                  <c:v>0</c:v>
                </c:pt>
                <c:pt idx="24" formatCode="0">
                  <c:v>3</c:v>
                </c:pt>
                <c:pt idx="26" formatCode="0">
                  <c:v>1</c:v>
                </c:pt>
              </c:numCache>
            </c:numRef>
          </c:val>
        </c:ser>
        <c:dLbls>
          <c:showLegendKey val="0"/>
          <c:showVal val="0"/>
          <c:showCatName val="0"/>
          <c:showSerName val="0"/>
          <c:showPercent val="0"/>
          <c:showBubbleSize val="0"/>
        </c:dLbls>
        <c:gapWidth val="20"/>
        <c:overlap val="100"/>
        <c:axId val="67884928"/>
        <c:axId val="68162688"/>
      </c:barChart>
      <c:catAx>
        <c:axId val="67884928"/>
        <c:scaling>
          <c:orientation val="minMax"/>
        </c:scaling>
        <c:delete val="0"/>
        <c:axPos val="b"/>
        <c:majorTickMark val="out"/>
        <c:minorTickMark val="none"/>
        <c:tickLblPos val="nextTo"/>
        <c:crossAx val="68162688"/>
        <c:crosses val="autoZero"/>
        <c:auto val="1"/>
        <c:lblAlgn val="ctr"/>
        <c:lblOffset val="100"/>
        <c:noMultiLvlLbl val="0"/>
      </c:catAx>
      <c:valAx>
        <c:axId val="68162688"/>
        <c:scaling>
          <c:orientation val="minMax"/>
          <c:max val="40"/>
        </c:scaling>
        <c:delete val="0"/>
        <c:axPos val="l"/>
        <c:majorGridlines/>
        <c:title>
          <c:tx>
            <c:rich>
              <a:bodyPr rot="-5400000" vert="horz"/>
              <a:lstStyle/>
              <a:p>
                <a:pPr>
                  <a:defRPr/>
                </a:pPr>
                <a:r>
                  <a:rPr lang="en-GB"/>
                  <a:t>Number</a:t>
                </a:r>
                <a:r>
                  <a:rPr lang="en-GB" baseline="0"/>
                  <a:t> of Care Homes</a:t>
                </a:r>
                <a:endParaRPr lang="en-GB"/>
              </a:p>
            </c:rich>
          </c:tx>
          <c:overlay val="0"/>
        </c:title>
        <c:numFmt formatCode="0" sourceLinked="1"/>
        <c:majorTickMark val="out"/>
        <c:minorTickMark val="none"/>
        <c:tickLblPos val="nextTo"/>
        <c:crossAx val="678849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3D0D-1E9A-46A6-8BDF-761E920E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8668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10182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2015-09-03T16:33:00Z</cp:lastPrinted>
  <dcterms:created xsi:type="dcterms:W3CDTF">2015-09-04T12:06:00Z</dcterms:created>
  <dcterms:modified xsi:type="dcterms:W3CDTF">2015-09-04T12:06:00Z</dcterms:modified>
</cp:coreProperties>
</file>