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E62" w:rsidRPr="00DD7564" w:rsidRDefault="00A63E62" w:rsidP="00DD689C">
                            <w:pPr>
                              <w:rPr>
                                <w:rFonts w:ascii="Arial" w:hAnsi="Arial" w:cs="Arial"/>
                                <w:sz w:val="32"/>
                                <w:szCs w:val="32"/>
                              </w:rPr>
                            </w:pPr>
                            <w:r>
                              <w:rPr>
                                <w:rFonts w:ascii="Arial" w:hAnsi="Arial" w:cs="Arial"/>
                                <w:sz w:val="32"/>
                                <w:szCs w:val="32"/>
                              </w:rPr>
                              <w:t xml:space="preserve">Attachment </w:t>
                            </w:r>
                            <w:r w:rsidR="000064B1">
                              <w:rPr>
                                <w:rFonts w:ascii="Arial" w:hAnsi="Arial" w:cs="Arial"/>
                                <w:sz w:val="32"/>
                                <w:szCs w:val="32"/>
                              </w:rPr>
                              <w:t>11</w:t>
                            </w:r>
                          </w:p>
                          <w:p w:rsidR="00A63E62" w:rsidRDefault="00A63E62"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A63E62" w:rsidRPr="00DD7564" w:rsidRDefault="00A63E62" w:rsidP="00DD689C">
                      <w:pPr>
                        <w:rPr>
                          <w:rFonts w:ascii="Arial" w:hAnsi="Arial" w:cs="Arial"/>
                          <w:sz w:val="32"/>
                          <w:szCs w:val="32"/>
                        </w:rPr>
                      </w:pPr>
                      <w:r>
                        <w:rPr>
                          <w:rFonts w:ascii="Arial" w:hAnsi="Arial" w:cs="Arial"/>
                          <w:sz w:val="32"/>
                          <w:szCs w:val="32"/>
                        </w:rPr>
                        <w:t xml:space="preserve">Attachment </w:t>
                      </w:r>
                      <w:r w:rsidR="000064B1">
                        <w:rPr>
                          <w:rFonts w:ascii="Arial" w:hAnsi="Arial" w:cs="Arial"/>
                          <w:sz w:val="32"/>
                          <w:szCs w:val="32"/>
                        </w:rPr>
                        <w:t>11</w:t>
                      </w:r>
                    </w:p>
                    <w:p w:rsidR="00A63E62" w:rsidRDefault="00A63E62"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D3E84" w:rsidP="000D3E84">
            <w:pPr>
              <w:rPr>
                <w:rFonts w:ascii="Arial" w:hAnsi="Arial" w:cs="Arial"/>
                <w:bCs/>
                <w:sz w:val="22"/>
                <w:szCs w:val="22"/>
              </w:rPr>
            </w:pPr>
            <w:r>
              <w:rPr>
                <w:rFonts w:ascii="Arial" w:hAnsi="Arial" w:cs="Arial"/>
                <w:bCs/>
                <w:sz w:val="22"/>
                <w:szCs w:val="22"/>
              </w:rPr>
              <w:t>Dr Peter Melton, Clinical Chair</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D3E84" w:rsidP="004868C8">
            <w:pPr>
              <w:rPr>
                <w:rFonts w:ascii="Arial" w:hAnsi="Arial" w:cs="Arial"/>
                <w:bCs/>
                <w:sz w:val="22"/>
                <w:szCs w:val="22"/>
              </w:rPr>
            </w:pPr>
            <w:r>
              <w:rPr>
                <w:rFonts w:ascii="Arial" w:hAnsi="Arial" w:cs="Arial"/>
                <w:bCs/>
                <w:sz w:val="22"/>
                <w:szCs w:val="22"/>
              </w:rPr>
              <w:t>10</w:t>
            </w:r>
            <w:r w:rsidRPr="000D3E84">
              <w:rPr>
                <w:rFonts w:ascii="Arial" w:hAnsi="Arial" w:cs="Arial"/>
                <w:bCs/>
                <w:sz w:val="22"/>
                <w:szCs w:val="22"/>
                <w:vertAlign w:val="superscript"/>
              </w:rPr>
              <w:t>th</w:t>
            </w:r>
            <w:r>
              <w:rPr>
                <w:rFonts w:ascii="Arial" w:hAnsi="Arial" w:cs="Arial"/>
                <w:bCs/>
                <w:sz w:val="22"/>
                <w:szCs w:val="22"/>
              </w:rPr>
              <w:t xml:space="preserve"> September</w:t>
            </w:r>
            <w:r w:rsidR="004868C8">
              <w:rPr>
                <w:rFonts w:ascii="Arial" w:hAnsi="Arial" w:cs="Arial"/>
                <w:bCs/>
                <w:sz w:val="22"/>
                <w:szCs w:val="22"/>
              </w:rPr>
              <w:t xml:space="preserve">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21115" w:rsidP="009306C6">
            <w:pPr>
              <w:rPr>
                <w:rFonts w:ascii="Arial" w:hAnsi="Arial" w:cs="Arial"/>
                <w:bCs/>
                <w:sz w:val="22"/>
                <w:szCs w:val="22"/>
              </w:rPr>
            </w:pPr>
            <w:r>
              <w:rPr>
                <w:rFonts w:ascii="Arial" w:hAnsi="Arial" w:cs="Arial"/>
                <w:bCs/>
                <w:sz w:val="22"/>
                <w:szCs w:val="22"/>
              </w:rPr>
              <w:t>Healthy Lives Healthy Futures Programme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Default="008C62B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p w:rsidR="008C62B4" w:rsidRPr="00752FD6" w:rsidRDefault="008C62B4" w:rsidP="008C62B4">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Default="00821115" w:rsidP="00B41D76">
            <w:pPr>
              <w:rPr>
                <w:rFonts w:ascii="Arial" w:hAnsi="Arial" w:cs="Arial"/>
                <w:bCs/>
                <w:sz w:val="22"/>
                <w:szCs w:val="22"/>
              </w:rPr>
            </w:pPr>
            <w:r>
              <w:rPr>
                <w:rFonts w:ascii="Arial" w:hAnsi="Arial" w:cs="Arial"/>
                <w:bCs/>
                <w:sz w:val="22"/>
                <w:szCs w:val="22"/>
              </w:rPr>
              <w:t>To provide the Partnership Board with an overview of the current progress within the Healthy Lives Healthy Futures Programme and to remind the Board about the next stage</w:t>
            </w:r>
            <w:r w:rsidR="00A63E62">
              <w:rPr>
                <w:rFonts w:ascii="Arial" w:hAnsi="Arial" w:cs="Arial"/>
                <w:bCs/>
                <w:sz w:val="22"/>
                <w:szCs w:val="22"/>
              </w:rPr>
              <w:t xml:space="preserve"> of the programme</w:t>
            </w:r>
            <w:r>
              <w:rPr>
                <w:rFonts w:ascii="Arial" w:hAnsi="Arial" w:cs="Arial"/>
                <w:bCs/>
                <w:sz w:val="22"/>
                <w:szCs w:val="22"/>
              </w:rPr>
              <w:t>.</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862701" w:rsidRDefault="00821115" w:rsidP="00B41D76">
            <w:pPr>
              <w:rPr>
                <w:rFonts w:ascii="Arial" w:hAnsi="Arial" w:cs="Arial"/>
                <w:bCs/>
                <w:sz w:val="22"/>
                <w:szCs w:val="22"/>
              </w:rPr>
            </w:pPr>
            <w:r>
              <w:rPr>
                <w:rFonts w:ascii="Arial" w:hAnsi="Arial" w:cs="Arial"/>
                <w:bCs/>
                <w:sz w:val="22"/>
                <w:szCs w:val="22"/>
              </w:rPr>
              <w:t xml:space="preserve">Healthy Lives Healthy Futures is a programme that provides a </w:t>
            </w:r>
            <w:r w:rsidRPr="00821115">
              <w:rPr>
                <w:rFonts w:ascii="Arial" w:hAnsi="Arial" w:cs="Arial"/>
                <w:bCs/>
                <w:sz w:val="22"/>
                <w:szCs w:val="22"/>
              </w:rPr>
              <w:t>framework for all health and adult social care organisations (commissioners and providers; primary, community and secondary) across the combined areas of North Lincolnshire and North East Lincolnshire in working together to improve qu</w:t>
            </w:r>
            <w:r>
              <w:rPr>
                <w:rFonts w:ascii="Arial" w:hAnsi="Arial" w:cs="Arial"/>
                <w:bCs/>
                <w:sz w:val="22"/>
                <w:szCs w:val="22"/>
              </w:rPr>
              <w:t xml:space="preserve">ality and outcomes for people. </w:t>
            </w:r>
          </w:p>
          <w:p w:rsidR="00862701" w:rsidRDefault="00862701" w:rsidP="00B41D76">
            <w:pPr>
              <w:rPr>
                <w:rFonts w:ascii="Arial" w:hAnsi="Arial" w:cs="Arial"/>
                <w:bCs/>
                <w:sz w:val="22"/>
                <w:szCs w:val="22"/>
              </w:rPr>
            </w:pPr>
          </w:p>
          <w:p w:rsidR="006A74AF" w:rsidRDefault="00BE16C0" w:rsidP="00B41D76">
            <w:pPr>
              <w:rPr>
                <w:rFonts w:ascii="Arial" w:hAnsi="Arial" w:cs="Arial"/>
                <w:bCs/>
                <w:sz w:val="22"/>
                <w:szCs w:val="22"/>
              </w:rPr>
            </w:pPr>
            <w:r>
              <w:rPr>
                <w:rFonts w:ascii="Arial" w:hAnsi="Arial" w:cs="Arial"/>
                <w:bCs/>
                <w:sz w:val="22"/>
                <w:szCs w:val="22"/>
              </w:rPr>
              <w:t xml:space="preserve">It supports the delivery of the vision for health and care services within North East Lincolnshire (‘shift to the left’ – increased focused on care at home and within community settings), </w:t>
            </w:r>
            <w:r w:rsidR="00821115" w:rsidRPr="00821115">
              <w:rPr>
                <w:rFonts w:ascii="Arial" w:hAnsi="Arial" w:cs="Arial"/>
                <w:bCs/>
                <w:sz w:val="22"/>
                <w:szCs w:val="22"/>
              </w:rPr>
              <w:t xml:space="preserve">combining collective efforts </w:t>
            </w:r>
            <w:r>
              <w:rPr>
                <w:rFonts w:ascii="Arial" w:hAnsi="Arial" w:cs="Arial"/>
                <w:bCs/>
                <w:sz w:val="22"/>
                <w:szCs w:val="22"/>
              </w:rPr>
              <w:t xml:space="preserve">within those areas </w:t>
            </w:r>
            <w:r w:rsidR="00821115" w:rsidRPr="00821115">
              <w:rPr>
                <w:rFonts w:ascii="Arial" w:hAnsi="Arial" w:cs="Arial"/>
                <w:bCs/>
                <w:sz w:val="22"/>
                <w:szCs w:val="22"/>
              </w:rPr>
              <w:t>where it is necessary to consolidate services for greatest effect</w:t>
            </w:r>
            <w:r>
              <w:rPr>
                <w:rFonts w:ascii="Arial" w:hAnsi="Arial" w:cs="Arial"/>
                <w:bCs/>
                <w:sz w:val="22"/>
                <w:szCs w:val="22"/>
              </w:rPr>
              <w:t>.</w:t>
            </w:r>
          </w:p>
          <w:p w:rsidR="006A74AF" w:rsidRDefault="006A74AF"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47C7A" w:rsidRDefault="00862701" w:rsidP="00585083">
            <w:pPr>
              <w:jc w:val="both"/>
              <w:rPr>
                <w:rFonts w:ascii="Arial" w:hAnsi="Arial" w:cs="Arial"/>
                <w:bCs/>
                <w:sz w:val="22"/>
                <w:szCs w:val="22"/>
              </w:rPr>
            </w:pPr>
            <w:r>
              <w:rPr>
                <w:rFonts w:ascii="Arial" w:hAnsi="Arial" w:cs="Arial"/>
                <w:bCs/>
                <w:sz w:val="22"/>
                <w:szCs w:val="22"/>
              </w:rPr>
              <w:t xml:space="preserve">As the Board </w:t>
            </w:r>
            <w:r w:rsidR="000D3E84">
              <w:rPr>
                <w:rFonts w:ascii="Arial" w:hAnsi="Arial" w:cs="Arial"/>
                <w:bCs/>
                <w:sz w:val="22"/>
                <w:szCs w:val="22"/>
              </w:rPr>
              <w:t xml:space="preserve">members </w:t>
            </w:r>
            <w:r>
              <w:rPr>
                <w:rFonts w:ascii="Arial" w:hAnsi="Arial" w:cs="Arial"/>
                <w:bCs/>
                <w:sz w:val="22"/>
                <w:szCs w:val="22"/>
              </w:rPr>
              <w:t>have been made aware within previous presentations, we are now moving into the next phase of the HLHF programme</w:t>
            </w:r>
            <w:r w:rsidR="00647C7A">
              <w:rPr>
                <w:rFonts w:ascii="Arial" w:hAnsi="Arial" w:cs="Arial"/>
                <w:bCs/>
                <w:sz w:val="22"/>
                <w:szCs w:val="22"/>
              </w:rPr>
              <w:t>. The</w:t>
            </w:r>
            <w:r w:rsidR="008F4AA8">
              <w:rPr>
                <w:rFonts w:ascii="Arial" w:hAnsi="Arial" w:cs="Arial"/>
                <w:bCs/>
                <w:sz w:val="22"/>
                <w:szCs w:val="22"/>
              </w:rPr>
              <w:t xml:space="preserve"> CCG</w:t>
            </w:r>
            <w:r w:rsidR="00647C7A">
              <w:rPr>
                <w:rFonts w:ascii="Arial" w:hAnsi="Arial" w:cs="Arial"/>
                <w:bCs/>
                <w:sz w:val="22"/>
                <w:szCs w:val="22"/>
              </w:rPr>
              <w:t xml:space="preserve"> is</w:t>
            </w:r>
            <w:r w:rsidR="000D3E84">
              <w:rPr>
                <w:rFonts w:ascii="Arial" w:hAnsi="Arial" w:cs="Arial"/>
                <w:bCs/>
                <w:sz w:val="22"/>
                <w:szCs w:val="22"/>
              </w:rPr>
              <w:t xml:space="preserve"> currently in the process of</w:t>
            </w:r>
            <w:r w:rsidR="00647C7A">
              <w:rPr>
                <w:rFonts w:ascii="Arial" w:hAnsi="Arial" w:cs="Arial"/>
                <w:bCs/>
                <w:sz w:val="22"/>
                <w:szCs w:val="22"/>
              </w:rPr>
              <w:t xml:space="preserve"> firming up </w:t>
            </w:r>
            <w:r w:rsidR="00773E08">
              <w:rPr>
                <w:rFonts w:ascii="Arial" w:hAnsi="Arial" w:cs="Arial"/>
                <w:bCs/>
                <w:sz w:val="22"/>
                <w:szCs w:val="22"/>
              </w:rPr>
              <w:t>its</w:t>
            </w:r>
            <w:r w:rsidR="008F4AA8">
              <w:rPr>
                <w:rFonts w:ascii="Arial" w:hAnsi="Arial" w:cs="Arial"/>
                <w:bCs/>
                <w:sz w:val="22"/>
                <w:szCs w:val="22"/>
              </w:rPr>
              <w:t xml:space="preserve"> strategic commissioning intentions</w:t>
            </w:r>
            <w:r w:rsidR="000D3E84">
              <w:rPr>
                <w:rFonts w:ascii="Arial" w:hAnsi="Arial" w:cs="Arial"/>
                <w:bCs/>
                <w:sz w:val="22"/>
                <w:szCs w:val="22"/>
              </w:rPr>
              <w:t xml:space="preserve">, as outlined within the </w:t>
            </w:r>
            <w:r w:rsidR="002665E2">
              <w:rPr>
                <w:rFonts w:ascii="Arial" w:hAnsi="Arial" w:cs="Arial"/>
                <w:bCs/>
                <w:sz w:val="22"/>
                <w:szCs w:val="22"/>
              </w:rPr>
              <w:t xml:space="preserve">separate </w:t>
            </w:r>
            <w:r w:rsidR="000D3E84">
              <w:rPr>
                <w:rFonts w:ascii="Arial" w:hAnsi="Arial" w:cs="Arial"/>
                <w:bCs/>
                <w:sz w:val="22"/>
                <w:szCs w:val="22"/>
              </w:rPr>
              <w:t xml:space="preserve">Commissioning Update </w:t>
            </w:r>
            <w:r w:rsidR="002665E2">
              <w:rPr>
                <w:rFonts w:ascii="Arial" w:hAnsi="Arial" w:cs="Arial"/>
                <w:bCs/>
                <w:sz w:val="22"/>
                <w:szCs w:val="22"/>
              </w:rPr>
              <w:t xml:space="preserve">report </w:t>
            </w:r>
            <w:r w:rsidR="000D3E84">
              <w:rPr>
                <w:rFonts w:ascii="Arial" w:hAnsi="Arial" w:cs="Arial"/>
                <w:bCs/>
                <w:sz w:val="22"/>
                <w:szCs w:val="22"/>
              </w:rPr>
              <w:t xml:space="preserve">to the Board, and these will help to shape our understanding of how services might need to be delivered differently in order to deliver the level of quality required, meet demand and manage within the resources that we have available. </w:t>
            </w:r>
          </w:p>
          <w:p w:rsidR="000D3E84" w:rsidRDefault="000D3E84" w:rsidP="00585083">
            <w:pPr>
              <w:jc w:val="both"/>
              <w:rPr>
                <w:rFonts w:ascii="Arial" w:hAnsi="Arial" w:cs="Arial"/>
                <w:bCs/>
                <w:sz w:val="22"/>
                <w:szCs w:val="22"/>
              </w:rPr>
            </w:pPr>
          </w:p>
          <w:p w:rsidR="00647C7A" w:rsidRDefault="00A63E62" w:rsidP="00647C7A">
            <w:pPr>
              <w:jc w:val="both"/>
              <w:rPr>
                <w:rFonts w:ascii="Arial" w:hAnsi="Arial" w:cs="Arial"/>
                <w:bCs/>
                <w:sz w:val="22"/>
                <w:szCs w:val="22"/>
              </w:rPr>
            </w:pPr>
            <w:r>
              <w:rPr>
                <w:rFonts w:ascii="Arial" w:hAnsi="Arial" w:cs="Arial"/>
                <w:bCs/>
                <w:sz w:val="22"/>
                <w:szCs w:val="22"/>
              </w:rPr>
              <w:t>A workshop was held on 3</w:t>
            </w:r>
            <w:r w:rsidRPr="00A63E62">
              <w:rPr>
                <w:rFonts w:ascii="Arial" w:hAnsi="Arial" w:cs="Arial"/>
                <w:bCs/>
                <w:sz w:val="22"/>
                <w:szCs w:val="22"/>
                <w:vertAlign w:val="superscript"/>
              </w:rPr>
              <w:t>rd</w:t>
            </w:r>
            <w:r>
              <w:rPr>
                <w:rFonts w:ascii="Arial" w:hAnsi="Arial" w:cs="Arial"/>
                <w:bCs/>
                <w:sz w:val="22"/>
                <w:szCs w:val="22"/>
              </w:rPr>
              <w:t xml:space="preserve"> September 2015 to collectively review the current position in respect of work that is taking place within the </w:t>
            </w:r>
            <w:r w:rsidR="002665E2">
              <w:rPr>
                <w:rFonts w:ascii="Arial" w:hAnsi="Arial" w:cs="Arial"/>
                <w:bCs/>
                <w:sz w:val="22"/>
                <w:szCs w:val="22"/>
              </w:rPr>
              <w:t>CCG localities</w:t>
            </w:r>
            <w:r>
              <w:rPr>
                <w:rFonts w:ascii="Arial" w:hAnsi="Arial" w:cs="Arial"/>
                <w:bCs/>
                <w:sz w:val="22"/>
                <w:szCs w:val="22"/>
              </w:rPr>
              <w:t xml:space="preserve"> on developing out of hospital </w:t>
            </w:r>
            <w:r w:rsidR="002665E2">
              <w:rPr>
                <w:rFonts w:ascii="Arial" w:hAnsi="Arial" w:cs="Arial"/>
                <w:bCs/>
                <w:sz w:val="22"/>
                <w:szCs w:val="22"/>
              </w:rPr>
              <w:t xml:space="preserve">care models as well as </w:t>
            </w:r>
            <w:r>
              <w:rPr>
                <w:rFonts w:ascii="Arial" w:hAnsi="Arial" w:cs="Arial"/>
                <w:bCs/>
                <w:sz w:val="22"/>
                <w:szCs w:val="22"/>
              </w:rPr>
              <w:t xml:space="preserve">some early ideas from the hospital trust regarding ways in which their services could be delivered </w:t>
            </w:r>
            <w:r>
              <w:rPr>
                <w:rFonts w:ascii="Arial" w:hAnsi="Arial" w:cs="Arial"/>
                <w:bCs/>
                <w:sz w:val="22"/>
                <w:szCs w:val="22"/>
              </w:rPr>
              <w:lastRenderedPageBreak/>
              <w:t xml:space="preserve">to best meet the safety and quality requirements, within the resources available. Following that workshop the programme will now begin to focus on how these various elements, including the strategic commissioning intentions, fit together and start to shape the future of services for our population. </w:t>
            </w:r>
          </w:p>
          <w:p w:rsidR="00A63E62" w:rsidRDefault="00A63E62" w:rsidP="00647C7A">
            <w:pPr>
              <w:jc w:val="both"/>
              <w:rPr>
                <w:rFonts w:ascii="Arial" w:hAnsi="Arial" w:cs="Arial"/>
                <w:bCs/>
                <w:sz w:val="22"/>
                <w:szCs w:val="22"/>
              </w:rPr>
            </w:pPr>
          </w:p>
          <w:p w:rsidR="00A63E62" w:rsidRDefault="00A63E62" w:rsidP="00647C7A">
            <w:pPr>
              <w:jc w:val="both"/>
              <w:rPr>
                <w:rFonts w:ascii="Arial" w:hAnsi="Arial" w:cs="Arial"/>
                <w:bCs/>
                <w:sz w:val="22"/>
                <w:szCs w:val="22"/>
              </w:rPr>
            </w:pPr>
            <w:r>
              <w:rPr>
                <w:rFonts w:ascii="Arial" w:hAnsi="Arial" w:cs="Arial"/>
                <w:bCs/>
                <w:sz w:val="22"/>
                <w:szCs w:val="22"/>
              </w:rPr>
              <w:t>A</w:t>
            </w:r>
            <w:r w:rsidR="00C76186">
              <w:rPr>
                <w:rFonts w:ascii="Arial" w:hAnsi="Arial" w:cs="Arial"/>
                <w:bCs/>
                <w:sz w:val="22"/>
                <w:szCs w:val="22"/>
              </w:rPr>
              <w:t>s neighbouring areas are also moving forward with service configuration plans, a</w:t>
            </w:r>
            <w:r>
              <w:rPr>
                <w:rFonts w:ascii="Arial" w:hAnsi="Arial" w:cs="Arial"/>
                <w:bCs/>
                <w:sz w:val="22"/>
                <w:szCs w:val="22"/>
              </w:rPr>
              <w:t xml:space="preserve"> series of meetings with neighbouring CCGs in the Lincolnshire and Hull and East Yorkshire areas will be arranged to ensure that we understand </w:t>
            </w:r>
            <w:r w:rsidR="00DD5A6F">
              <w:rPr>
                <w:rFonts w:ascii="Arial" w:hAnsi="Arial" w:cs="Arial"/>
                <w:bCs/>
                <w:sz w:val="22"/>
                <w:szCs w:val="22"/>
              </w:rPr>
              <w:t xml:space="preserve">how those </w:t>
            </w:r>
            <w:r>
              <w:rPr>
                <w:rFonts w:ascii="Arial" w:hAnsi="Arial" w:cs="Arial"/>
                <w:bCs/>
                <w:sz w:val="22"/>
                <w:szCs w:val="22"/>
              </w:rPr>
              <w:t xml:space="preserve">respective plans for the future shape of services </w:t>
            </w:r>
            <w:r w:rsidR="00DD5A6F">
              <w:rPr>
                <w:rFonts w:ascii="Arial" w:hAnsi="Arial" w:cs="Arial"/>
                <w:bCs/>
                <w:sz w:val="22"/>
                <w:szCs w:val="22"/>
              </w:rPr>
              <w:t xml:space="preserve">align </w:t>
            </w:r>
            <w:r>
              <w:rPr>
                <w:rFonts w:ascii="Arial" w:hAnsi="Arial" w:cs="Arial"/>
                <w:bCs/>
                <w:sz w:val="22"/>
                <w:szCs w:val="22"/>
              </w:rPr>
              <w:t xml:space="preserve">and </w:t>
            </w:r>
            <w:r w:rsidR="00C53C25">
              <w:rPr>
                <w:rFonts w:ascii="Arial" w:hAnsi="Arial" w:cs="Arial"/>
                <w:bCs/>
                <w:sz w:val="22"/>
                <w:szCs w:val="22"/>
              </w:rPr>
              <w:t>how we might</w:t>
            </w:r>
            <w:r w:rsidR="00DD5A6F">
              <w:rPr>
                <w:rFonts w:ascii="Arial" w:hAnsi="Arial" w:cs="Arial"/>
                <w:bCs/>
                <w:sz w:val="22"/>
                <w:szCs w:val="22"/>
              </w:rPr>
              <w:t xml:space="preserve"> work together to </w:t>
            </w:r>
            <w:r w:rsidR="00C76186">
              <w:rPr>
                <w:rFonts w:ascii="Arial" w:hAnsi="Arial" w:cs="Arial"/>
                <w:bCs/>
                <w:sz w:val="22"/>
                <w:szCs w:val="22"/>
              </w:rPr>
              <w:t xml:space="preserve">mitigate any </w:t>
            </w:r>
            <w:r>
              <w:rPr>
                <w:rFonts w:ascii="Arial" w:hAnsi="Arial" w:cs="Arial"/>
                <w:bCs/>
                <w:sz w:val="22"/>
                <w:szCs w:val="22"/>
              </w:rPr>
              <w:t xml:space="preserve">unintended </w:t>
            </w:r>
            <w:r w:rsidR="00C76186">
              <w:rPr>
                <w:rFonts w:ascii="Arial" w:hAnsi="Arial" w:cs="Arial"/>
                <w:bCs/>
                <w:sz w:val="22"/>
                <w:szCs w:val="22"/>
              </w:rPr>
              <w:t>consequences of local changes on neighbouring communities.</w:t>
            </w:r>
          </w:p>
          <w:p w:rsidR="00647C7A" w:rsidRDefault="00647C7A" w:rsidP="00585083">
            <w:pPr>
              <w:jc w:val="both"/>
              <w:rPr>
                <w:rFonts w:ascii="Arial" w:hAnsi="Arial" w:cs="Arial"/>
                <w:bCs/>
                <w:sz w:val="22"/>
                <w:szCs w:val="22"/>
              </w:rPr>
            </w:pPr>
          </w:p>
          <w:p w:rsidR="00773E08" w:rsidRDefault="00A63E62" w:rsidP="00585083">
            <w:pPr>
              <w:jc w:val="both"/>
              <w:rPr>
                <w:rFonts w:ascii="Arial" w:hAnsi="Arial" w:cs="Arial"/>
                <w:bCs/>
                <w:sz w:val="22"/>
                <w:szCs w:val="22"/>
              </w:rPr>
            </w:pPr>
            <w:r>
              <w:rPr>
                <w:rFonts w:ascii="Arial" w:hAnsi="Arial" w:cs="Arial"/>
                <w:bCs/>
                <w:sz w:val="22"/>
                <w:szCs w:val="22"/>
              </w:rPr>
              <w:t>A period of public engagement on c</w:t>
            </w:r>
            <w:r w:rsidR="00773E08">
              <w:rPr>
                <w:rFonts w:ascii="Arial" w:hAnsi="Arial" w:cs="Arial"/>
                <w:bCs/>
                <w:sz w:val="22"/>
                <w:szCs w:val="22"/>
              </w:rPr>
              <w:t xml:space="preserve">urrent progress, </w:t>
            </w:r>
            <w:r w:rsidR="008C62B4">
              <w:rPr>
                <w:rFonts w:ascii="Arial" w:hAnsi="Arial" w:cs="Arial"/>
                <w:bCs/>
                <w:sz w:val="22"/>
                <w:szCs w:val="22"/>
              </w:rPr>
              <w:t xml:space="preserve">as well as </w:t>
            </w:r>
            <w:r w:rsidR="00773E08">
              <w:rPr>
                <w:rFonts w:ascii="Arial" w:hAnsi="Arial" w:cs="Arial"/>
                <w:bCs/>
                <w:sz w:val="22"/>
                <w:szCs w:val="22"/>
              </w:rPr>
              <w:t xml:space="preserve">the work that is beginning to happen to define more clearly the future shape of services, will be carried out </w:t>
            </w:r>
            <w:r>
              <w:rPr>
                <w:rFonts w:ascii="Arial" w:hAnsi="Arial" w:cs="Arial"/>
                <w:bCs/>
                <w:sz w:val="22"/>
                <w:szCs w:val="22"/>
              </w:rPr>
              <w:t>during the Autumn</w:t>
            </w:r>
            <w:r w:rsidR="00773E08">
              <w:rPr>
                <w:rFonts w:ascii="Arial" w:hAnsi="Arial" w:cs="Arial"/>
                <w:bCs/>
                <w:sz w:val="22"/>
                <w:szCs w:val="22"/>
              </w:rPr>
              <w:t xml:space="preserve">. </w:t>
            </w:r>
            <w:r>
              <w:rPr>
                <w:rFonts w:ascii="Arial" w:hAnsi="Arial" w:cs="Arial"/>
                <w:bCs/>
                <w:sz w:val="22"/>
                <w:szCs w:val="22"/>
              </w:rPr>
              <w:t xml:space="preserve">Formal public consultation on any proposed alternative service configuration options would occur in early </w:t>
            </w:r>
            <w:r w:rsidR="008C62B4">
              <w:rPr>
                <w:rFonts w:ascii="Arial" w:hAnsi="Arial" w:cs="Arial"/>
                <w:bCs/>
                <w:sz w:val="22"/>
                <w:szCs w:val="22"/>
              </w:rPr>
              <w:t>2016.</w:t>
            </w: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p w:rsidR="00821115" w:rsidRDefault="00821115" w:rsidP="006A74AF">
            <w:pPr>
              <w:rPr>
                <w:rFonts w:ascii="Arial" w:hAnsi="Arial" w:cs="Arial"/>
                <w:b/>
                <w:bCs/>
                <w:sz w:val="22"/>
                <w:szCs w:val="22"/>
              </w:rPr>
            </w:pPr>
          </w:p>
          <w:p w:rsidR="00821115" w:rsidRPr="00752FD6" w:rsidRDefault="00821115" w:rsidP="00A955AA">
            <w:pPr>
              <w:rPr>
                <w:rFonts w:ascii="Arial" w:hAnsi="Arial" w:cs="Arial"/>
                <w:b/>
                <w:bCs/>
                <w:sz w:val="22"/>
                <w:szCs w:val="22"/>
              </w:rPr>
            </w:pPr>
            <w:r>
              <w:rPr>
                <w:rFonts w:ascii="Arial" w:hAnsi="Arial" w:cs="Arial"/>
                <w:b/>
                <w:bCs/>
                <w:sz w:val="22"/>
                <w:szCs w:val="22"/>
              </w:rPr>
              <w:t xml:space="preserve">(R) </w:t>
            </w:r>
            <w:r w:rsidRPr="00821115">
              <w:rPr>
                <w:rFonts w:ascii="Arial" w:hAnsi="Arial" w:cs="Arial"/>
                <w:bCs/>
                <w:sz w:val="22"/>
                <w:szCs w:val="22"/>
              </w:rPr>
              <w:t xml:space="preserve">The Partnership Board is asked to note the </w:t>
            </w:r>
            <w:r>
              <w:rPr>
                <w:rFonts w:ascii="Arial" w:hAnsi="Arial" w:cs="Arial"/>
                <w:bCs/>
                <w:sz w:val="22"/>
                <w:szCs w:val="22"/>
              </w:rPr>
              <w:t xml:space="preserve">current position within the Healthy Lives Healthy Futures Programme and the </w:t>
            </w:r>
            <w:r w:rsidR="00A955AA">
              <w:rPr>
                <w:rFonts w:ascii="Arial" w:hAnsi="Arial" w:cs="Arial"/>
                <w:bCs/>
                <w:sz w:val="22"/>
                <w:szCs w:val="22"/>
              </w:rPr>
              <w:t xml:space="preserve">next </w:t>
            </w:r>
            <w:r w:rsidR="00114738">
              <w:rPr>
                <w:rFonts w:ascii="Arial" w:hAnsi="Arial" w:cs="Arial"/>
                <w:bCs/>
                <w:sz w:val="22"/>
                <w:szCs w:val="22"/>
              </w:rPr>
              <w:t xml:space="preserve">phase </w:t>
            </w:r>
            <w:r w:rsidR="00A955AA">
              <w:rPr>
                <w:rFonts w:ascii="Arial" w:hAnsi="Arial" w:cs="Arial"/>
                <w:bCs/>
                <w:sz w:val="22"/>
                <w:szCs w:val="22"/>
              </w:rPr>
              <w:t xml:space="preserve">of work that </w:t>
            </w:r>
            <w:r w:rsidR="00114738">
              <w:rPr>
                <w:rFonts w:ascii="Arial" w:hAnsi="Arial" w:cs="Arial"/>
                <w:bCs/>
                <w:sz w:val="22"/>
                <w:szCs w:val="22"/>
              </w:rPr>
              <w:t xml:space="preserve">the programme </w:t>
            </w:r>
            <w:r w:rsidR="00A955AA">
              <w:rPr>
                <w:rFonts w:ascii="Arial" w:hAnsi="Arial" w:cs="Arial"/>
                <w:bCs/>
                <w:sz w:val="22"/>
                <w:szCs w:val="22"/>
              </w:rPr>
              <w:t xml:space="preserve">will take forward </w:t>
            </w:r>
            <w:r w:rsidR="00114738">
              <w:rPr>
                <w:rFonts w:ascii="Arial" w:hAnsi="Arial" w:cs="Arial"/>
                <w:bCs/>
                <w:sz w:val="22"/>
                <w:szCs w:val="22"/>
              </w:rPr>
              <w:t>in terms of potential service configuration options</w:t>
            </w:r>
            <w:r>
              <w:rPr>
                <w:rFonts w:ascii="Arial" w:hAnsi="Arial" w:cs="Arial"/>
                <w:bCs/>
                <w:sz w:val="22"/>
                <w:szCs w:val="22"/>
              </w:rPr>
              <w:t>.</w:t>
            </w:r>
          </w:p>
        </w:tc>
      </w:tr>
      <w:tr w:rsidR="006A74AF" w:rsidRPr="00752FD6" w:rsidTr="00D7033C">
        <w:trPr>
          <w:trHeight w:val="370"/>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C76186" w:rsidRPr="00752FD6" w:rsidRDefault="00C76186"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8C62B4"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8C62B4" w:rsidP="00D7033C">
            <w:pPr>
              <w:spacing w:before="80" w:after="80"/>
              <w:rPr>
                <w:rFonts w:ascii="Arial" w:hAnsi="Arial" w:cs="Arial"/>
                <w:sz w:val="22"/>
                <w:szCs w:val="22"/>
              </w:rPr>
            </w:pPr>
            <w:r>
              <w:rPr>
                <w:rFonts w:ascii="Arial" w:hAnsi="Arial" w:cs="Arial"/>
                <w:sz w:val="22"/>
                <w:szCs w:val="22"/>
              </w:rPr>
              <w:t>Will be considered during engagement/consultation and development of service options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8C62B4"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8C62B4" w:rsidP="00D7033C">
            <w:pPr>
              <w:spacing w:before="80" w:after="80"/>
              <w:rPr>
                <w:rFonts w:ascii="Arial" w:hAnsi="Arial" w:cs="Arial"/>
                <w:sz w:val="22"/>
                <w:szCs w:val="22"/>
              </w:rPr>
            </w:pPr>
            <w:r>
              <w:rPr>
                <w:rFonts w:ascii="Arial" w:hAnsi="Arial" w:cs="Arial"/>
                <w:sz w:val="22"/>
                <w:szCs w:val="22"/>
              </w:rPr>
              <w:t>Will be considered during engagement/consultation and development of service options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8C62B4"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8C62B4" w:rsidP="00D7033C">
            <w:pPr>
              <w:spacing w:before="80" w:after="80"/>
              <w:rPr>
                <w:rFonts w:ascii="Arial" w:hAnsi="Arial" w:cs="Arial"/>
                <w:sz w:val="22"/>
                <w:szCs w:val="22"/>
              </w:rPr>
            </w:pPr>
            <w:r>
              <w:rPr>
                <w:rFonts w:ascii="Arial" w:hAnsi="Arial" w:cs="Arial"/>
                <w:sz w:val="22"/>
                <w:szCs w:val="22"/>
              </w:rPr>
              <w:t>Will be considered during engagement/consultation and development of service options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821115"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82111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0064B1"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82111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62" w:rsidRDefault="00A63E62">
      <w:r>
        <w:separator/>
      </w:r>
    </w:p>
  </w:endnote>
  <w:endnote w:type="continuationSeparator" w:id="0">
    <w:p w:rsidR="00A63E62" w:rsidRDefault="00A6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2" w:rsidRDefault="00A63E62"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62" w:rsidRDefault="00A63E62">
      <w:r>
        <w:separator/>
      </w:r>
    </w:p>
  </w:footnote>
  <w:footnote w:type="continuationSeparator" w:id="0">
    <w:p w:rsidR="00A63E62" w:rsidRDefault="00A63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064B1"/>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D3E84"/>
    <w:rsid w:val="000E4269"/>
    <w:rsid w:val="000E460A"/>
    <w:rsid w:val="00101E52"/>
    <w:rsid w:val="00105599"/>
    <w:rsid w:val="00105BD8"/>
    <w:rsid w:val="00112B21"/>
    <w:rsid w:val="00114738"/>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5E2"/>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868C8"/>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47C7A"/>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3E08"/>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1115"/>
    <w:rsid w:val="008254CA"/>
    <w:rsid w:val="00831338"/>
    <w:rsid w:val="00840F53"/>
    <w:rsid w:val="00841F6F"/>
    <w:rsid w:val="00845E6F"/>
    <w:rsid w:val="00846C25"/>
    <w:rsid w:val="00852744"/>
    <w:rsid w:val="00852BCF"/>
    <w:rsid w:val="00862701"/>
    <w:rsid w:val="00866065"/>
    <w:rsid w:val="00866EFA"/>
    <w:rsid w:val="00866FF8"/>
    <w:rsid w:val="00876BA5"/>
    <w:rsid w:val="00882C25"/>
    <w:rsid w:val="00891846"/>
    <w:rsid w:val="00891EDC"/>
    <w:rsid w:val="0089366A"/>
    <w:rsid w:val="008A57B4"/>
    <w:rsid w:val="008C62B4"/>
    <w:rsid w:val="008C70FB"/>
    <w:rsid w:val="008D12EA"/>
    <w:rsid w:val="008D6A39"/>
    <w:rsid w:val="008E206C"/>
    <w:rsid w:val="008F140F"/>
    <w:rsid w:val="008F4AA8"/>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D7078"/>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3E62"/>
    <w:rsid w:val="00A646B0"/>
    <w:rsid w:val="00A66F25"/>
    <w:rsid w:val="00A74848"/>
    <w:rsid w:val="00A773EC"/>
    <w:rsid w:val="00A77DA9"/>
    <w:rsid w:val="00A83BD9"/>
    <w:rsid w:val="00A860CA"/>
    <w:rsid w:val="00A862EF"/>
    <w:rsid w:val="00A873BF"/>
    <w:rsid w:val="00A87ACE"/>
    <w:rsid w:val="00A955AA"/>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16C0"/>
    <w:rsid w:val="00BE2812"/>
    <w:rsid w:val="00BE6E0D"/>
    <w:rsid w:val="00BE7009"/>
    <w:rsid w:val="00BF4C1F"/>
    <w:rsid w:val="00BF64D8"/>
    <w:rsid w:val="00C053D3"/>
    <w:rsid w:val="00C0569D"/>
    <w:rsid w:val="00C07D8B"/>
    <w:rsid w:val="00C20949"/>
    <w:rsid w:val="00C523B4"/>
    <w:rsid w:val="00C52D50"/>
    <w:rsid w:val="00C53C25"/>
    <w:rsid w:val="00C628C9"/>
    <w:rsid w:val="00C703B6"/>
    <w:rsid w:val="00C74EC1"/>
    <w:rsid w:val="00C7588E"/>
    <w:rsid w:val="00C76186"/>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5A6F"/>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4173</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2015-09-04T10:26:00Z</dcterms:created>
  <dcterms:modified xsi:type="dcterms:W3CDTF">2015-09-04T10:26:00Z</dcterms:modified>
</cp:coreProperties>
</file>