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Pr="00830CC4" w:rsidRDefault="001D78A2" w:rsidP="00BA763E">
      <w:pPr>
        <w:pStyle w:val="Header"/>
        <w:jc w:val="right"/>
        <w:rPr>
          <w:noProof/>
        </w:rPr>
      </w:pPr>
      <w:r w:rsidRPr="00830CC4">
        <w:rPr>
          <w:noProof/>
        </w:rPr>
        <w:drawing>
          <wp:inline distT="0" distB="0" distL="0" distR="0" wp14:anchorId="5BDBEEC2" wp14:editId="1F635E6C">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Pr="00830CC4" w:rsidRDefault="00BA763E" w:rsidP="00DA5437">
      <w:pPr>
        <w:pStyle w:val="Heading1"/>
        <w:ind w:left="5760"/>
      </w:pPr>
      <w:r w:rsidRPr="00830CC4">
        <w:t>North East Lincolnshire CCG</w:t>
      </w:r>
    </w:p>
    <w:p w:rsidR="005F11AA" w:rsidRPr="00830CC4" w:rsidRDefault="00DC3218" w:rsidP="00DA5437">
      <w:pPr>
        <w:pStyle w:val="Header"/>
        <w:spacing w:line="276" w:lineRule="auto"/>
        <w:jc w:val="right"/>
        <w:rPr>
          <w:b/>
          <w:color w:val="365F91"/>
        </w:rPr>
      </w:pPr>
      <w:r w:rsidRPr="00830CC4">
        <w:rPr>
          <w:rFonts w:ascii="Arial" w:hAnsi="Arial" w:cs="Arial"/>
          <w:b/>
          <w:noProof/>
          <w:sz w:val="52"/>
          <w:szCs w:val="52"/>
        </w:rPr>
        <mc:AlternateContent>
          <mc:Choice Requires="wps">
            <w:drawing>
              <wp:anchor distT="0" distB="0" distL="114300" distR="114300" simplePos="0" relativeHeight="251657728" behindDoc="0" locked="0" layoutInCell="1" allowOverlap="1" wp14:anchorId="422A15D3" wp14:editId="63940928">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D4C" w:rsidRDefault="006248E1" w:rsidP="00DD689C">
                            <w:pPr>
                              <w:rPr>
                                <w:sz w:val="36"/>
                              </w:rPr>
                            </w:pPr>
                            <w:r>
                              <w:rPr>
                                <w:sz w:val="36"/>
                              </w:rPr>
                              <w:t xml:space="preserve">Attachment </w:t>
                            </w:r>
                            <w:r w:rsidR="0045487B">
                              <w:rPr>
                                <w:sz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7F3D4C" w:rsidRDefault="006248E1" w:rsidP="00DD689C">
                      <w:pPr>
                        <w:rPr>
                          <w:sz w:val="36"/>
                        </w:rPr>
                      </w:pPr>
                      <w:r>
                        <w:rPr>
                          <w:sz w:val="36"/>
                        </w:rPr>
                        <w:t xml:space="preserve">Attachment </w:t>
                      </w:r>
                      <w:r w:rsidR="0045487B">
                        <w:rPr>
                          <w:sz w:val="36"/>
                        </w:rPr>
                        <w:t>7</w:t>
                      </w:r>
                    </w:p>
                  </w:txbxContent>
                </v:textbox>
              </v:shape>
            </w:pict>
          </mc:Fallback>
        </mc:AlternateContent>
      </w:r>
    </w:p>
    <w:p w:rsidR="00DD689C" w:rsidRPr="00830CC4" w:rsidRDefault="00DD689C" w:rsidP="00DA5437">
      <w:pPr>
        <w:spacing w:line="276" w:lineRule="auto"/>
        <w:jc w:val="right"/>
        <w:rPr>
          <w:rFonts w:ascii="Arial" w:hAnsi="Arial" w:cs="Arial"/>
          <w:b/>
          <w:sz w:val="28"/>
          <w:szCs w:val="28"/>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DD689C" w:rsidP="00DA5437">
            <w:pPr>
              <w:spacing w:line="276" w:lineRule="auto"/>
              <w:jc w:val="both"/>
              <w:rPr>
                <w:rFonts w:ascii="Arial" w:hAnsi="Arial" w:cs="Arial"/>
                <w:b/>
                <w:bCs/>
                <w:sz w:val="22"/>
                <w:szCs w:val="22"/>
              </w:rPr>
            </w:pP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Report to:</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7E6A63" w:rsidP="00DA5437">
            <w:pPr>
              <w:spacing w:line="276" w:lineRule="auto"/>
              <w:jc w:val="both"/>
              <w:rPr>
                <w:rFonts w:ascii="Arial" w:hAnsi="Arial" w:cs="Arial"/>
                <w:bCs/>
                <w:sz w:val="22"/>
                <w:szCs w:val="22"/>
              </w:rPr>
            </w:pPr>
            <w:r w:rsidRPr="00830CC4">
              <w:rPr>
                <w:rFonts w:ascii="Arial" w:hAnsi="Arial" w:cs="Arial"/>
                <w:bCs/>
                <w:sz w:val="22"/>
                <w:szCs w:val="22"/>
              </w:rPr>
              <w:t xml:space="preserve">NEL </w:t>
            </w:r>
            <w:r w:rsidR="007927F8" w:rsidRPr="00830CC4">
              <w:rPr>
                <w:rFonts w:ascii="Arial" w:hAnsi="Arial" w:cs="Arial"/>
                <w:bCs/>
                <w:sz w:val="22"/>
                <w:szCs w:val="22"/>
              </w:rPr>
              <w:t xml:space="preserve">CCG </w:t>
            </w:r>
            <w:r w:rsidR="00A531CD" w:rsidRPr="00830CC4">
              <w:rPr>
                <w:rFonts w:ascii="Arial" w:hAnsi="Arial" w:cs="Arial"/>
                <w:bCs/>
                <w:sz w:val="22"/>
                <w:szCs w:val="22"/>
              </w:rPr>
              <w:t>Partnership Board</w:t>
            </w: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Presented by:</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CF242E" w:rsidRPr="00830CC4" w:rsidRDefault="001C0128" w:rsidP="001C0128">
            <w:pPr>
              <w:spacing w:line="276" w:lineRule="auto"/>
              <w:jc w:val="both"/>
              <w:rPr>
                <w:rFonts w:ascii="Arial" w:hAnsi="Arial" w:cs="Arial"/>
                <w:bCs/>
                <w:sz w:val="22"/>
                <w:szCs w:val="22"/>
              </w:rPr>
            </w:pPr>
            <w:r>
              <w:rPr>
                <w:rFonts w:ascii="Arial" w:hAnsi="Arial" w:cs="Arial"/>
                <w:bCs/>
                <w:sz w:val="22"/>
                <w:szCs w:val="22"/>
              </w:rPr>
              <w:t>Jan Haxby, Director of Quality &amp; Nursing</w:t>
            </w: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Date of Meeting:</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1C0128" w:rsidP="001C0128">
            <w:pPr>
              <w:spacing w:line="276" w:lineRule="auto"/>
              <w:jc w:val="both"/>
              <w:rPr>
                <w:rFonts w:ascii="Arial" w:hAnsi="Arial" w:cs="Arial"/>
                <w:bCs/>
                <w:sz w:val="22"/>
                <w:szCs w:val="22"/>
              </w:rPr>
            </w:pPr>
            <w:r>
              <w:rPr>
                <w:rFonts w:ascii="Arial" w:hAnsi="Arial" w:cs="Arial"/>
                <w:bCs/>
                <w:sz w:val="22"/>
                <w:szCs w:val="22"/>
              </w:rPr>
              <w:t xml:space="preserve">10 Sept 2015. </w:t>
            </w:r>
          </w:p>
        </w:tc>
      </w:tr>
      <w:tr w:rsidR="00DD689C" w:rsidRPr="00830CC4" w:rsidTr="00DD7564">
        <w:trPr>
          <w:trHeight w:val="438"/>
        </w:trPr>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Subject:</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2F30C8" w:rsidP="00CF242E">
            <w:pPr>
              <w:spacing w:line="276" w:lineRule="auto"/>
              <w:jc w:val="both"/>
              <w:rPr>
                <w:rFonts w:ascii="Arial" w:hAnsi="Arial" w:cs="Arial"/>
                <w:bCs/>
                <w:sz w:val="22"/>
                <w:szCs w:val="22"/>
              </w:rPr>
            </w:pPr>
            <w:r w:rsidRPr="00830CC4">
              <w:rPr>
                <w:rFonts w:ascii="Arial" w:hAnsi="Arial" w:cs="Arial"/>
                <w:bCs/>
                <w:sz w:val="22"/>
                <w:szCs w:val="22"/>
              </w:rPr>
              <w:t xml:space="preserve">Quality Report </w:t>
            </w:r>
            <w:r w:rsidR="00CF242E">
              <w:rPr>
                <w:rFonts w:ascii="Arial" w:hAnsi="Arial" w:cs="Arial"/>
                <w:bCs/>
                <w:sz w:val="22"/>
                <w:szCs w:val="22"/>
              </w:rPr>
              <w:t>from</w:t>
            </w:r>
            <w:r w:rsidRPr="00830CC4">
              <w:rPr>
                <w:rFonts w:ascii="Arial" w:hAnsi="Arial" w:cs="Arial"/>
                <w:bCs/>
                <w:sz w:val="22"/>
                <w:szCs w:val="22"/>
              </w:rPr>
              <w:t xml:space="preserve"> </w:t>
            </w:r>
            <w:r w:rsidR="00C11E56" w:rsidRPr="00830CC4">
              <w:rPr>
                <w:rFonts w:ascii="Arial" w:hAnsi="Arial" w:cs="Arial"/>
                <w:bCs/>
                <w:sz w:val="22"/>
                <w:szCs w:val="22"/>
              </w:rPr>
              <w:t>Clinical Quality Committee</w:t>
            </w: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Status:</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6227EF" w:rsidP="006227EF">
            <w:pPr>
              <w:spacing w:before="60" w:line="276" w:lineRule="auto"/>
              <w:jc w:val="both"/>
              <w:rPr>
                <w:rFonts w:ascii="Arial" w:hAnsi="Arial" w:cs="Arial"/>
                <w:sz w:val="22"/>
                <w:szCs w:val="22"/>
              </w:rPr>
            </w:pP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00DD689C" w:rsidRPr="00830CC4">
              <w:rPr>
                <w:rFonts w:ascii="Arial" w:hAnsi="Arial" w:cs="Arial"/>
                <w:sz w:val="22"/>
                <w:szCs w:val="22"/>
              </w:rPr>
              <w:t xml:space="preserve"> OPEN</w:t>
            </w:r>
            <w:r w:rsidR="00DD689C" w:rsidRPr="00830CC4">
              <w:rPr>
                <w:rFonts w:ascii="Arial" w:hAnsi="Arial" w:cs="Arial"/>
                <w:sz w:val="22"/>
                <w:szCs w:val="22"/>
              </w:rPr>
              <w:tab/>
              <w:t xml:space="preserve">           </w:t>
            </w:r>
            <w:r w:rsidR="00DD689C" w:rsidRPr="00830CC4">
              <w:rPr>
                <w:rFonts w:ascii="Arial" w:hAnsi="Arial" w:cs="Arial"/>
                <w:sz w:val="22"/>
                <w:szCs w:val="22"/>
              </w:rPr>
              <w:fldChar w:fldCharType="begin">
                <w:ffData>
                  <w:name w:val="Check8"/>
                  <w:enabled/>
                  <w:calcOnExit w:val="0"/>
                  <w:checkBox>
                    <w:sizeAuto/>
                    <w:default w:val="0"/>
                  </w:checkBox>
                </w:ffData>
              </w:fldChar>
            </w:r>
            <w:bookmarkStart w:id="0" w:name="Check8"/>
            <w:r w:rsidR="00DD689C" w:rsidRPr="00830CC4">
              <w:rPr>
                <w:rFonts w:ascii="Arial" w:hAnsi="Arial" w:cs="Arial"/>
                <w:sz w:val="22"/>
                <w:szCs w:val="22"/>
              </w:rPr>
              <w:instrText xml:space="preserve"> FORMCHECKBOX </w:instrText>
            </w:r>
            <w:r w:rsidR="00DD689C" w:rsidRPr="00830CC4">
              <w:rPr>
                <w:rFonts w:ascii="Arial" w:hAnsi="Arial" w:cs="Arial"/>
                <w:sz w:val="22"/>
                <w:szCs w:val="22"/>
              </w:rPr>
            </w:r>
            <w:r w:rsidR="00DD689C" w:rsidRPr="00830CC4">
              <w:rPr>
                <w:rFonts w:ascii="Arial" w:hAnsi="Arial" w:cs="Arial"/>
                <w:sz w:val="22"/>
                <w:szCs w:val="22"/>
              </w:rPr>
              <w:fldChar w:fldCharType="end"/>
            </w:r>
            <w:bookmarkEnd w:id="0"/>
            <w:r w:rsidR="00DD689C" w:rsidRPr="00830CC4">
              <w:rPr>
                <w:rFonts w:ascii="Arial" w:hAnsi="Arial" w:cs="Arial"/>
                <w:sz w:val="22"/>
                <w:szCs w:val="22"/>
              </w:rPr>
              <w:t xml:space="preserve"> CLOSED</w:t>
            </w: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Agenda Section:</w:t>
            </w:r>
          </w:p>
        </w:tc>
        <w:bookmarkStart w:id="1" w:name="Check4"/>
        <w:tc>
          <w:tcPr>
            <w:tcW w:w="7861" w:type="dxa"/>
            <w:shd w:val="clear" w:color="auto" w:fill="auto"/>
          </w:tcPr>
          <w:p w:rsidR="00DD689C" w:rsidRPr="00830CC4" w:rsidRDefault="006227EF" w:rsidP="006227EF">
            <w:pPr>
              <w:spacing w:before="60" w:line="276" w:lineRule="auto"/>
              <w:jc w:val="both"/>
              <w:rPr>
                <w:rFonts w:ascii="Arial" w:hAnsi="Arial" w:cs="Arial"/>
                <w:sz w:val="22"/>
                <w:szCs w:val="22"/>
              </w:rPr>
            </w:pPr>
            <w:r w:rsidRPr="00830CC4">
              <w:rPr>
                <w:rFonts w:ascii="Arial" w:hAnsi="Arial" w:cs="Arial"/>
                <w:sz w:val="22"/>
                <w:szCs w:val="22"/>
              </w:rPr>
              <w:fldChar w:fldCharType="begin">
                <w:ffData>
                  <w:name w:val="Check4"/>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bookmarkEnd w:id="1"/>
            <w:r w:rsidR="00DD689C" w:rsidRPr="00830CC4">
              <w:rPr>
                <w:rFonts w:ascii="Arial" w:hAnsi="Arial" w:cs="Arial"/>
                <w:sz w:val="22"/>
                <w:szCs w:val="22"/>
              </w:rPr>
              <w:t xml:space="preserve"> STRATEGY</w:t>
            </w:r>
            <w:r w:rsidR="00DD7564" w:rsidRPr="00830CC4">
              <w:rPr>
                <w:rFonts w:ascii="Arial" w:hAnsi="Arial" w:cs="Arial"/>
                <w:sz w:val="22"/>
                <w:szCs w:val="22"/>
              </w:rPr>
              <w:tab/>
            </w: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00DD689C" w:rsidRPr="00830CC4">
              <w:rPr>
                <w:rFonts w:ascii="Arial" w:hAnsi="Arial" w:cs="Arial"/>
                <w:sz w:val="22"/>
                <w:szCs w:val="22"/>
              </w:rPr>
              <w:t xml:space="preserve"> COMMISSIONING</w:t>
            </w:r>
            <w:r w:rsidR="00DD7564" w:rsidRPr="00830CC4">
              <w:rPr>
                <w:rFonts w:ascii="Arial" w:hAnsi="Arial" w:cs="Arial"/>
                <w:sz w:val="22"/>
                <w:szCs w:val="22"/>
              </w:rPr>
              <w:t xml:space="preserve">    </w:t>
            </w: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Pr="00830CC4">
              <w:rPr>
                <w:rFonts w:ascii="Arial" w:hAnsi="Arial" w:cs="Arial"/>
                <w:sz w:val="22"/>
                <w:szCs w:val="22"/>
              </w:rPr>
              <w:t xml:space="preserve"> </w:t>
            </w:r>
            <w:r w:rsidR="00DD689C" w:rsidRPr="00830CC4">
              <w:rPr>
                <w:rFonts w:ascii="Arial" w:hAnsi="Arial" w:cs="Arial"/>
                <w:sz w:val="22"/>
                <w:szCs w:val="22"/>
              </w:rPr>
              <w:t>OPERATIONAL ISSUES</w:t>
            </w:r>
          </w:p>
        </w:tc>
      </w:tr>
    </w:tbl>
    <w:p w:rsidR="00DD689C" w:rsidRPr="00830CC4" w:rsidRDefault="00DD689C" w:rsidP="00DA5437">
      <w:pPr>
        <w:spacing w:line="276" w:lineRule="auto"/>
        <w:jc w:val="both"/>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B57A3" w:rsidTr="00DD7564">
        <w:tc>
          <w:tcPr>
            <w:tcW w:w="2868" w:type="dxa"/>
            <w:shd w:val="clear" w:color="auto" w:fill="auto"/>
          </w:tcPr>
          <w:p w:rsidR="00DD689C" w:rsidRPr="007B57A3" w:rsidRDefault="00DD689C" w:rsidP="00DA5437">
            <w:pPr>
              <w:spacing w:line="276" w:lineRule="auto"/>
              <w:jc w:val="both"/>
              <w:rPr>
                <w:rFonts w:ascii="Arial" w:hAnsi="Arial" w:cs="Arial"/>
                <w:b/>
                <w:bCs/>
                <w:sz w:val="22"/>
                <w:szCs w:val="22"/>
              </w:rPr>
            </w:pPr>
          </w:p>
          <w:p w:rsidR="00DD689C" w:rsidRPr="007B57A3" w:rsidRDefault="00DD689C" w:rsidP="00DA5437">
            <w:pPr>
              <w:spacing w:line="276" w:lineRule="auto"/>
              <w:jc w:val="both"/>
              <w:rPr>
                <w:rFonts w:ascii="Arial" w:hAnsi="Arial" w:cs="Arial"/>
                <w:b/>
                <w:bCs/>
                <w:sz w:val="22"/>
                <w:szCs w:val="22"/>
              </w:rPr>
            </w:pPr>
            <w:r w:rsidRPr="007B57A3">
              <w:rPr>
                <w:rFonts w:ascii="Arial" w:hAnsi="Arial" w:cs="Arial"/>
                <w:b/>
                <w:bCs/>
                <w:sz w:val="22"/>
                <w:szCs w:val="22"/>
              </w:rPr>
              <w:t>OBJECT OF REPORT</w:t>
            </w:r>
          </w:p>
        </w:tc>
        <w:tc>
          <w:tcPr>
            <w:tcW w:w="7021" w:type="dxa"/>
            <w:shd w:val="clear" w:color="auto" w:fill="auto"/>
          </w:tcPr>
          <w:p w:rsidR="00B170EF" w:rsidRPr="007B57A3" w:rsidRDefault="00B170EF" w:rsidP="00DA5437">
            <w:pPr>
              <w:spacing w:line="276" w:lineRule="auto"/>
              <w:jc w:val="both"/>
              <w:rPr>
                <w:rFonts w:ascii="Arial" w:hAnsi="Arial" w:cs="Arial"/>
                <w:b/>
                <w:bCs/>
                <w:sz w:val="22"/>
                <w:szCs w:val="22"/>
              </w:rPr>
            </w:pPr>
          </w:p>
          <w:p w:rsidR="00B170EF" w:rsidRPr="007B57A3" w:rsidRDefault="00B170EF" w:rsidP="00DA5437">
            <w:pPr>
              <w:spacing w:line="276" w:lineRule="auto"/>
              <w:jc w:val="both"/>
              <w:rPr>
                <w:rFonts w:ascii="Arial" w:hAnsi="Arial" w:cs="Arial"/>
                <w:b/>
                <w:bCs/>
                <w:sz w:val="22"/>
                <w:szCs w:val="22"/>
              </w:rPr>
            </w:pPr>
          </w:p>
          <w:p w:rsidR="00DD689C" w:rsidRPr="007B57A3" w:rsidRDefault="00DD689C" w:rsidP="00DA5437">
            <w:pPr>
              <w:spacing w:line="276" w:lineRule="auto"/>
              <w:jc w:val="both"/>
              <w:rPr>
                <w:rFonts w:ascii="Arial" w:hAnsi="Arial" w:cs="Arial"/>
                <w:sz w:val="22"/>
                <w:szCs w:val="22"/>
              </w:rPr>
            </w:pPr>
          </w:p>
        </w:tc>
      </w:tr>
      <w:tr w:rsidR="00DD689C" w:rsidRPr="007B57A3" w:rsidTr="00DD7564">
        <w:trPr>
          <w:trHeight w:val="856"/>
        </w:trPr>
        <w:tc>
          <w:tcPr>
            <w:tcW w:w="9889" w:type="dxa"/>
            <w:gridSpan w:val="2"/>
            <w:shd w:val="clear" w:color="auto" w:fill="auto"/>
          </w:tcPr>
          <w:p w:rsidR="00DA5437" w:rsidRPr="007B57A3" w:rsidRDefault="00DA5437" w:rsidP="00DA5437">
            <w:pPr>
              <w:autoSpaceDE w:val="0"/>
              <w:autoSpaceDN w:val="0"/>
              <w:adjustRightInd w:val="0"/>
              <w:jc w:val="both"/>
              <w:rPr>
                <w:rFonts w:ascii="Arial" w:eastAsiaTheme="minorHAnsi" w:hAnsi="Arial" w:cs="Arial"/>
                <w:color w:val="000000"/>
                <w:sz w:val="22"/>
                <w:szCs w:val="22"/>
                <w:lang w:eastAsia="en-US"/>
              </w:rPr>
            </w:pPr>
            <w:r w:rsidRPr="007B57A3">
              <w:rPr>
                <w:rFonts w:ascii="Arial" w:eastAsiaTheme="minorHAnsi" w:hAnsi="Arial" w:cs="Arial"/>
                <w:color w:val="000000"/>
                <w:sz w:val="22"/>
                <w:szCs w:val="22"/>
                <w:lang w:eastAsia="en-US"/>
              </w:rPr>
              <w:t xml:space="preserve">The report informs </w:t>
            </w:r>
            <w:r w:rsidR="00CF242E" w:rsidRPr="007B57A3">
              <w:rPr>
                <w:rFonts w:ascii="Arial" w:eastAsiaTheme="minorHAnsi" w:hAnsi="Arial" w:cs="Arial"/>
                <w:color w:val="000000"/>
                <w:sz w:val="22"/>
                <w:szCs w:val="22"/>
                <w:lang w:eastAsia="en-US"/>
              </w:rPr>
              <w:t xml:space="preserve">the Partnership Board of key metrics for </w:t>
            </w:r>
            <w:r w:rsidRPr="007B57A3">
              <w:rPr>
                <w:rFonts w:ascii="Arial" w:eastAsiaTheme="minorHAnsi" w:hAnsi="Arial" w:cs="Arial"/>
                <w:color w:val="000000"/>
                <w:sz w:val="22"/>
                <w:szCs w:val="22"/>
                <w:lang w:eastAsia="en-US"/>
              </w:rPr>
              <w:t>quality and safety of the services it commissions and in doing so provides assurance that North East Lincolnshire CCG is fulfilling its responsibility and commitment to commission safe and effective services</w:t>
            </w:r>
            <w:r w:rsidR="002F5936" w:rsidRPr="007B57A3">
              <w:rPr>
                <w:rFonts w:ascii="Arial" w:eastAsiaTheme="minorHAnsi" w:hAnsi="Arial" w:cs="Arial"/>
                <w:color w:val="000000"/>
                <w:sz w:val="22"/>
                <w:szCs w:val="22"/>
                <w:lang w:eastAsia="en-US"/>
              </w:rPr>
              <w:t xml:space="preserve"> that meet</w:t>
            </w:r>
            <w:r w:rsidRPr="007B57A3">
              <w:rPr>
                <w:rFonts w:ascii="Arial" w:eastAsiaTheme="minorHAnsi" w:hAnsi="Arial" w:cs="Arial"/>
                <w:color w:val="000000"/>
                <w:sz w:val="22"/>
                <w:szCs w:val="22"/>
                <w:lang w:eastAsia="en-US"/>
              </w:rPr>
              <w:t xml:space="preserve"> the needs of the population of North East Lincolnshire. </w:t>
            </w:r>
          </w:p>
          <w:p w:rsidR="00DD7564" w:rsidRPr="007B57A3" w:rsidRDefault="00DD7564" w:rsidP="00DA5437">
            <w:pPr>
              <w:spacing w:line="276" w:lineRule="auto"/>
              <w:jc w:val="both"/>
              <w:rPr>
                <w:rFonts w:ascii="Arial" w:hAnsi="Arial" w:cs="Arial"/>
              </w:rPr>
            </w:pPr>
          </w:p>
        </w:tc>
      </w:tr>
    </w:tbl>
    <w:p w:rsidR="00DD689C" w:rsidRPr="007B57A3" w:rsidRDefault="00DD689C"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B57A3" w:rsidTr="00DD7564">
        <w:tc>
          <w:tcPr>
            <w:tcW w:w="2868" w:type="dxa"/>
            <w:shd w:val="clear" w:color="auto" w:fill="auto"/>
          </w:tcPr>
          <w:p w:rsidR="00DD689C" w:rsidRPr="007B57A3" w:rsidRDefault="00DD689C" w:rsidP="00DA5437">
            <w:pPr>
              <w:spacing w:line="276" w:lineRule="auto"/>
              <w:jc w:val="both"/>
              <w:rPr>
                <w:rFonts w:ascii="Arial" w:hAnsi="Arial" w:cs="Arial"/>
                <w:b/>
                <w:bCs/>
                <w:sz w:val="22"/>
                <w:szCs w:val="22"/>
              </w:rPr>
            </w:pPr>
          </w:p>
          <w:p w:rsidR="00DD689C" w:rsidRPr="007B57A3" w:rsidRDefault="00DD689C" w:rsidP="00DA5437">
            <w:pPr>
              <w:spacing w:line="276" w:lineRule="auto"/>
              <w:jc w:val="both"/>
              <w:rPr>
                <w:rFonts w:ascii="Arial" w:hAnsi="Arial" w:cs="Arial"/>
                <w:b/>
                <w:bCs/>
                <w:sz w:val="22"/>
                <w:szCs w:val="22"/>
              </w:rPr>
            </w:pPr>
            <w:r w:rsidRPr="007B57A3">
              <w:rPr>
                <w:rFonts w:ascii="Arial" w:hAnsi="Arial" w:cs="Arial"/>
                <w:b/>
                <w:bCs/>
                <w:sz w:val="22"/>
                <w:szCs w:val="22"/>
              </w:rPr>
              <w:t>STRATEGY</w:t>
            </w:r>
            <w:r w:rsidR="00C11E56" w:rsidRPr="007B57A3">
              <w:rPr>
                <w:rFonts w:ascii="Arial" w:hAnsi="Arial" w:cs="Arial"/>
                <w:b/>
                <w:bCs/>
                <w:sz w:val="22"/>
                <w:szCs w:val="22"/>
              </w:rPr>
              <w:t xml:space="preserve">                          </w:t>
            </w:r>
          </w:p>
        </w:tc>
        <w:tc>
          <w:tcPr>
            <w:tcW w:w="7021" w:type="dxa"/>
            <w:shd w:val="clear" w:color="auto" w:fill="auto"/>
          </w:tcPr>
          <w:p w:rsidR="00DD689C" w:rsidRPr="007B57A3" w:rsidRDefault="00DD689C" w:rsidP="00DA5437">
            <w:pPr>
              <w:spacing w:line="276" w:lineRule="auto"/>
              <w:jc w:val="both"/>
              <w:rPr>
                <w:rFonts w:ascii="Arial" w:hAnsi="Arial" w:cs="Arial"/>
                <w:b/>
                <w:bCs/>
                <w:sz w:val="22"/>
                <w:szCs w:val="22"/>
              </w:rPr>
            </w:pPr>
          </w:p>
          <w:p w:rsidR="00DD689C" w:rsidRPr="007B57A3" w:rsidRDefault="00DD689C" w:rsidP="00DA5437">
            <w:pPr>
              <w:spacing w:line="276" w:lineRule="auto"/>
              <w:jc w:val="both"/>
              <w:rPr>
                <w:rFonts w:ascii="Arial" w:hAnsi="Arial" w:cs="Arial"/>
                <w:sz w:val="22"/>
                <w:szCs w:val="22"/>
              </w:rPr>
            </w:pPr>
          </w:p>
        </w:tc>
      </w:tr>
      <w:tr w:rsidR="00DD689C" w:rsidRPr="007B57A3" w:rsidTr="00DD7564">
        <w:trPr>
          <w:trHeight w:val="637"/>
        </w:trPr>
        <w:tc>
          <w:tcPr>
            <w:tcW w:w="9889" w:type="dxa"/>
            <w:gridSpan w:val="2"/>
            <w:shd w:val="clear" w:color="auto" w:fill="auto"/>
          </w:tcPr>
          <w:p w:rsidR="00B170EF" w:rsidRPr="007B57A3" w:rsidRDefault="00DA5437" w:rsidP="00DA5437">
            <w:pPr>
              <w:spacing w:line="276" w:lineRule="auto"/>
              <w:jc w:val="both"/>
              <w:rPr>
                <w:rFonts w:ascii="Arial" w:hAnsi="Arial" w:cs="Arial"/>
                <w:sz w:val="22"/>
                <w:szCs w:val="22"/>
              </w:rPr>
            </w:pPr>
            <w:r w:rsidRPr="007B57A3">
              <w:rPr>
                <w:rFonts w:ascii="Arial" w:hAnsi="Arial" w:cs="Arial"/>
                <w:sz w:val="22"/>
                <w:szCs w:val="22"/>
              </w:rPr>
              <w:t xml:space="preserve">      </w:t>
            </w:r>
            <w:r w:rsidR="00446F94" w:rsidRPr="007B57A3">
              <w:rPr>
                <w:rFonts w:ascii="Arial" w:hAnsi="Arial" w:cs="Arial"/>
                <w:sz w:val="22"/>
                <w:szCs w:val="22"/>
              </w:rPr>
              <w:t xml:space="preserve">                             </w:t>
            </w:r>
          </w:p>
          <w:p w:rsidR="00301655" w:rsidRPr="007B57A3" w:rsidRDefault="00446F94" w:rsidP="00DA5437">
            <w:pPr>
              <w:spacing w:line="276" w:lineRule="auto"/>
              <w:jc w:val="both"/>
              <w:rPr>
                <w:rFonts w:ascii="Arial" w:hAnsi="Arial" w:cs="Arial"/>
                <w:bCs/>
                <w:sz w:val="22"/>
                <w:szCs w:val="22"/>
              </w:rPr>
            </w:pPr>
            <w:r w:rsidRPr="007B57A3">
              <w:rPr>
                <w:rFonts w:ascii="Arial" w:hAnsi="Arial" w:cs="Arial"/>
                <w:sz w:val="22"/>
                <w:szCs w:val="22"/>
              </w:rPr>
              <w:t xml:space="preserve"> </w:t>
            </w:r>
            <w:r w:rsidR="00DA5437" w:rsidRPr="007B57A3">
              <w:rPr>
                <w:rFonts w:ascii="Arial" w:hAnsi="Arial" w:cs="Arial"/>
                <w:bCs/>
                <w:sz w:val="22"/>
                <w:szCs w:val="22"/>
              </w:rPr>
              <w:t>Effective care,</w:t>
            </w:r>
            <w:r w:rsidRPr="007B57A3">
              <w:rPr>
                <w:rFonts w:ascii="Arial" w:hAnsi="Arial" w:cs="Arial"/>
                <w:sz w:val="22"/>
                <w:szCs w:val="22"/>
              </w:rPr>
              <w:t xml:space="preserve"> patient safety and patient experience</w:t>
            </w:r>
            <w:r w:rsidR="00136C3A" w:rsidRPr="007B57A3">
              <w:rPr>
                <w:rFonts w:ascii="Arial" w:hAnsi="Arial" w:cs="Arial"/>
                <w:bCs/>
                <w:sz w:val="22"/>
                <w:szCs w:val="22"/>
              </w:rPr>
              <w:t>.</w:t>
            </w:r>
          </w:p>
        </w:tc>
      </w:tr>
    </w:tbl>
    <w:p w:rsidR="00DD689C" w:rsidRPr="007B57A3" w:rsidRDefault="00DD689C" w:rsidP="00DA5437">
      <w:pPr>
        <w:spacing w:line="276" w:lineRule="auto"/>
        <w:jc w:val="both"/>
        <w:rPr>
          <w:rFonts w:ascii="Arial" w:hAnsi="Arial" w:cs="Arial"/>
          <w:b/>
          <w:sz w:val="22"/>
          <w:szCs w:val="22"/>
        </w:rPr>
      </w:pPr>
    </w:p>
    <w:tbl>
      <w:tblPr>
        <w:tblW w:w="9180"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3972"/>
        <w:gridCol w:w="5208"/>
      </w:tblGrid>
      <w:tr w:rsidR="00DD689C" w:rsidRPr="007B57A3" w:rsidTr="002124A8">
        <w:tc>
          <w:tcPr>
            <w:tcW w:w="3972" w:type="dxa"/>
            <w:shd w:val="clear" w:color="auto" w:fill="auto"/>
          </w:tcPr>
          <w:p w:rsidR="00DD689C" w:rsidRPr="007B57A3" w:rsidRDefault="00CF242E" w:rsidP="00DA5437">
            <w:pPr>
              <w:spacing w:line="276" w:lineRule="auto"/>
              <w:jc w:val="both"/>
              <w:rPr>
                <w:rFonts w:ascii="Arial" w:hAnsi="Arial" w:cs="Arial"/>
                <w:b/>
                <w:bCs/>
                <w:sz w:val="22"/>
                <w:szCs w:val="22"/>
              </w:rPr>
            </w:pPr>
            <w:r w:rsidRPr="007B57A3">
              <w:rPr>
                <w:rFonts w:ascii="Arial" w:hAnsi="Arial" w:cs="Arial"/>
                <w:b/>
                <w:bCs/>
                <w:sz w:val="22"/>
                <w:szCs w:val="22"/>
              </w:rPr>
              <w:t xml:space="preserve">KEY METRICS AND </w:t>
            </w:r>
            <w:r w:rsidR="00DD689C" w:rsidRPr="007B57A3">
              <w:rPr>
                <w:rFonts w:ascii="Arial" w:hAnsi="Arial" w:cs="Arial"/>
                <w:b/>
                <w:bCs/>
                <w:sz w:val="22"/>
                <w:szCs w:val="22"/>
              </w:rPr>
              <w:t>IMPLICATIONS</w:t>
            </w:r>
          </w:p>
        </w:tc>
        <w:tc>
          <w:tcPr>
            <w:tcW w:w="5208" w:type="dxa"/>
            <w:shd w:val="clear" w:color="auto" w:fill="auto"/>
          </w:tcPr>
          <w:p w:rsidR="00DD689C" w:rsidRPr="007B57A3" w:rsidRDefault="00446F94" w:rsidP="00DA5437">
            <w:pPr>
              <w:spacing w:line="276" w:lineRule="auto"/>
              <w:jc w:val="both"/>
              <w:rPr>
                <w:rFonts w:ascii="Arial" w:hAnsi="Arial" w:cs="Arial"/>
                <w:b/>
                <w:bCs/>
                <w:sz w:val="22"/>
                <w:szCs w:val="22"/>
              </w:rPr>
            </w:pPr>
            <w:r w:rsidRPr="007B57A3">
              <w:rPr>
                <w:rFonts w:ascii="Arial" w:hAnsi="Arial" w:cs="Arial"/>
                <w:b/>
                <w:bCs/>
                <w:sz w:val="22"/>
                <w:szCs w:val="22"/>
              </w:rPr>
              <w:t xml:space="preserve">  </w:t>
            </w:r>
          </w:p>
          <w:p w:rsidR="00DD689C" w:rsidRPr="007B57A3" w:rsidRDefault="00DD689C" w:rsidP="00DA5437">
            <w:pPr>
              <w:spacing w:line="276" w:lineRule="auto"/>
              <w:jc w:val="both"/>
              <w:rPr>
                <w:rFonts w:ascii="Arial" w:hAnsi="Arial" w:cs="Arial"/>
                <w:b/>
                <w:bCs/>
                <w:sz w:val="22"/>
                <w:szCs w:val="22"/>
              </w:rPr>
            </w:pPr>
          </w:p>
        </w:tc>
      </w:tr>
      <w:tr w:rsidR="00DD689C" w:rsidRPr="007B57A3" w:rsidTr="002124A8">
        <w:trPr>
          <w:trHeight w:val="57"/>
        </w:trPr>
        <w:tc>
          <w:tcPr>
            <w:tcW w:w="9180" w:type="dxa"/>
            <w:gridSpan w:val="2"/>
            <w:shd w:val="clear" w:color="auto" w:fill="auto"/>
          </w:tcPr>
          <w:p w:rsidR="00DA5437" w:rsidRPr="007B57A3" w:rsidRDefault="00DA5437" w:rsidP="00DA5437">
            <w:pPr>
              <w:spacing w:line="276" w:lineRule="auto"/>
              <w:jc w:val="both"/>
              <w:rPr>
                <w:rFonts w:ascii="Arial" w:hAnsi="Arial" w:cs="Arial"/>
                <w:b/>
                <w:bCs/>
                <w:sz w:val="22"/>
                <w:szCs w:val="22"/>
                <w:u w:val="single"/>
              </w:rPr>
            </w:pPr>
            <w:r w:rsidRPr="007B57A3">
              <w:rPr>
                <w:rFonts w:ascii="Arial" w:hAnsi="Arial" w:cs="Arial"/>
                <w:b/>
                <w:bCs/>
                <w:sz w:val="22"/>
                <w:szCs w:val="22"/>
                <w:u w:val="single"/>
              </w:rPr>
              <w:t xml:space="preserve">1  </w:t>
            </w:r>
            <w:r w:rsidR="00B37AF2" w:rsidRPr="007B57A3">
              <w:rPr>
                <w:rFonts w:ascii="Arial" w:hAnsi="Arial" w:cs="Arial"/>
                <w:b/>
                <w:bCs/>
                <w:sz w:val="22"/>
                <w:szCs w:val="22"/>
                <w:u w:val="single"/>
              </w:rPr>
              <w:t>Effective Care</w:t>
            </w:r>
          </w:p>
          <w:p w:rsidR="00DA7509" w:rsidRPr="007B57A3" w:rsidRDefault="00CF242E" w:rsidP="00DA5437">
            <w:pPr>
              <w:spacing w:before="240" w:line="276" w:lineRule="auto"/>
              <w:jc w:val="both"/>
              <w:rPr>
                <w:rFonts w:ascii="Arial" w:hAnsi="Arial" w:cs="Arial"/>
                <w:b/>
                <w:bCs/>
                <w:sz w:val="22"/>
                <w:szCs w:val="22"/>
              </w:rPr>
            </w:pPr>
            <w:r w:rsidRPr="007B57A3">
              <w:rPr>
                <w:rFonts w:ascii="Arial" w:hAnsi="Arial" w:cs="Arial"/>
                <w:b/>
                <w:bCs/>
                <w:sz w:val="22"/>
                <w:szCs w:val="22"/>
              </w:rPr>
              <w:t>A</w:t>
            </w:r>
            <w:r w:rsidR="00DA5437" w:rsidRPr="007B57A3">
              <w:rPr>
                <w:rFonts w:ascii="Arial" w:hAnsi="Arial" w:cs="Arial"/>
                <w:b/>
                <w:bCs/>
                <w:sz w:val="22"/>
                <w:szCs w:val="22"/>
              </w:rPr>
              <w:t xml:space="preserve">  External Reviews</w:t>
            </w:r>
          </w:p>
          <w:p w:rsidR="001C0128" w:rsidRDefault="001C0128" w:rsidP="00DA5437">
            <w:pPr>
              <w:spacing w:line="276" w:lineRule="auto"/>
              <w:jc w:val="both"/>
              <w:rPr>
                <w:rFonts w:ascii="Arial" w:hAnsi="Arial" w:cs="Arial"/>
                <w:bCs/>
                <w:sz w:val="22"/>
                <w:szCs w:val="22"/>
              </w:rPr>
            </w:pPr>
          </w:p>
          <w:p w:rsidR="00DA5437" w:rsidRPr="00EA2CFC" w:rsidRDefault="001C0128" w:rsidP="00DA5437">
            <w:pPr>
              <w:spacing w:line="276" w:lineRule="auto"/>
              <w:jc w:val="both"/>
              <w:rPr>
                <w:rFonts w:ascii="Arial" w:hAnsi="Arial" w:cs="Arial"/>
                <w:bCs/>
                <w:sz w:val="22"/>
                <w:szCs w:val="22"/>
              </w:rPr>
            </w:pPr>
            <w:r w:rsidRPr="00EA2CFC">
              <w:rPr>
                <w:rFonts w:ascii="Arial" w:hAnsi="Arial" w:cs="Arial"/>
                <w:bCs/>
                <w:sz w:val="22"/>
                <w:szCs w:val="22"/>
              </w:rPr>
              <w:t>CQC inspection of St Hughes Hospital</w:t>
            </w:r>
            <w:r w:rsidR="00EA2CFC" w:rsidRPr="00EA2CFC">
              <w:rPr>
                <w:rFonts w:ascii="Arial" w:hAnsi="Arial" w:cs="Arial"/>
                <w:bCs/>
                <w:sz w:val="22"/>
                <w:szCs w:val="22"/>
              </w:rPr>
              <w:t xml:space="preserve"> –awaiting feedback.</w:t>
            </w:r>
          </w:p>
          <w:p w:rsidR="001C0128" w:rsidRDefault="001C0128" w:rsidP="00DA5437">
            <w:pPr>
              <w:spacing w:line="276" w:lineRule="auto"/>
              <w:jc w:val="both"/>
              <w:rPr>
                <w:rFonts w:ascii="Arial" w:hAnsi="Arial" w:cs="Arial"/>
                <w:bCs/>
                <w:sz w:val="22"/>
                <w:szCs w:val="22"/>
              </w:rPr>
            </w:pPr>
          </w:p>
          <w:p w:rsidR="001C0128" w:rsidRPr="007B57A3" w:rsidRDefault="001C0128" w:rsidP="00DA5437">
            <w:pPr>
              <w:spacing w:line="276" w:lineRule="auto"/>
              <w:jc w:val="both"/>
              <w:rPr>
                <w:rFonts w:ascii="Arial" w:hAnsi="Arial" w:cs="Arial"/>
                <w:b/>
                <w:bCs/>
                <w:sz w:val="22"/>
                <w:szCs w:val="22"/>
              </w:rPr>
            </w:pPr>
          </w:p>
          <w:p w:rsidR="00BB543D" w:rsidRPr="007B57A3" w:rsidRDefault="00DA5437" w:rsidP="001555E0">
            <w:pPr>
              <w:spacing w:line="276" w:lineRule="auto"/>
              <w:jc w:val="both"/>
              <w:rPr>
                <w:rFonts w:ascii="Arial" w:eastAsia="Calibri" w:hAnsi="Arial" w:cs="Arial"/>
                <w:b/>
                <w:sz w:val="22"/>
                <w:szCs w:val="22"/>
                <w:lang w:eastAsia="en-US"/>
              </w:rPr>
            </w:pPr>
            <w:r w:rsidRPr="007B57A3">
              <w:rPr>
                <w:rFonts w:ascii="Arial" w:hAnsi="Arial" w:cs="Arial"/>
                <w:b/>
                <w:bCs/>
                <w:sz w:val="22"/>
                <w:szCs w:val="22"/>
              </w:rPr>
              <w:t xml:space="preserve">B  </w:t>
            </w:r>
            <w:r w:rsidR="00B37AF2" w:rsidRPr="007B57A3">
              <w:rPr>
                <w:rFonts w:ascii="Arial" w:hAnsi="Arial" w:cs="Arial"/>
                <w:b/>
                <w:bCs/>
                <w:sz w:val="22"/>
                <w:szCs w:val="22"/>
              </w:rPr>
              <w:t xml:space="preserve">Winterbourne Concordat: </w:t>
            </w:r>
            <w:r w:rsidR="008032FA" w:rsidRPr="007B57A3">
              <w:rPr>
                <w:rFonts w:ascii="Arial" w:eastAsia="Calibri" w:hAnsi="Arial" w:cs="Arial"/>
                <w:b/>
                <w:sz w:val="22"/>
                <w:szCs w:val="22"/>
                <w:lang w:eastAsia="en-US"/>
              </w:rPr>
              <w:t>Transforming Complex Care</w:t>
            </w:r>
          </w:p>
          <w:p w:rsidR="00361929" w:rsidRPr="007B57A3" w:rsidRDefault="00361929" w:rsidP="00BB543D">
            <w:pPr>
              <w:spacing w:after="200" w:line="276" w:lineRule="auto"/>
              <w:jc w:val="both"/>
              <w:rPr>
                <w:rFonts w:ascii="Arial" w:eastAsia="Calibri" w:hAnsi="Arial" w:cs="Arial"/>
                <w:sz w:val="22"/>
                <w:szCs w:val="22"/>
                <w:lang w:eastAsia="en-US"/>
              </w:rPr>
            </w:pPr>
          </w:p>
          <w:p w:rsidR="00BB543D" w:rsidRPr="007B57A3" w:rsidRDefault="00B37AF2" w:rsidP="00BB543D">
            <w:pPr>
              <w:spacing w:after="200" w:line="276" w:lineRule="auto"/>
              <w:jc w:val="both"/>
              <w:rPr>
                <w:rFonts w:ascii="Arial" w:eastAsia="Calibri" w:hAnsi="Arial" w:cs="Arial"/>
                <w:sz w:val="22"/>
                <w:szCs w:val="22"/>
                <w:lang w:eastAsia="en-US"/>
              </w:rPr>
            </w:pPr>
            <w:r w:rsidRPr="007B57A3">
              <w:rPr>
                <w:rFonts w:ascii="Arial" w:eastAsia="Calibri" w:hAnsi="Arial" w:cs="Arial"/>
                <w:sz w:val="22"/>
                <w:szCs w:val="22"/>
                <w:lang w:eastAsia="en-US"/>
              </w:rPr>
              <w:t xml:space="preserve">All </w:t>
            </w:r>
            <w:r w:rsidR="00DA5437" w:rsidRPr="007B57A3">
              <w:rPr>
                <w:rFonts w:ascii="Arial" w:eastAsia="Calibri" w:hAnsi="Arial" w:cs="Arial"/>
                <w:sz w:val="22"/>
                <w:szCs w:val="22"/>
                <w:lang w:eastAsia="en-US"/>
              </w:rPr>
              <w:t xml:space="preserve">North East Lincolnshire CCG </w:t>
            </w:r>
            <w:r w:rsidRPr="007B57A3">
              <w:rPr>
                <w:rFonts w:ascii="Arial" w:eastAsia="Calibri" w:hAnsi="Arial" w:cs="Arial"/>
                <w:sz w:val="22"/>
                <w:szCs w:val="22"/>
                <w:lang w:eastAsia="en-US"/>
              </w:rPr>
              <w:t>clients are reported as</w:t>
            </w:r>
            <w:r w:rsidR="008032FA" w:rsidRPr="007B57A3">
              <w:rPr>
                <w:rFonts w:ascii="Arial" w:eastAsia="Calibri" w:hAnsi="Arial" w:cs="Arial"/>
                <w:sz w:val="22"/>
                <w:szCs w:val="22"/>
                <w:lang w:eastAsia="en-US"/>
              </w:rPr>
              <w:t xml:space="preserve"> </w:t>
            </w:r>
            <w:r w:rsidRPr="007B57A3">
              <w:rPr>
                <w:rFonts w:ascii="Arial" w:eastAsia="Calibri" w:hAnsi="Arial" w:cs="Arial"/>
                <w:sz w:val="22"/>
                <w:szCs w:val="22"/>
                <w:lang w:eastAsia="en-US"/>
              </w:rPr>
              <w:t>Winterbourne compliant.</w:t>
            </w:r>
          </w:p>
          <w:p w:rsidR="00911859" w:rsidRPr="007B57A3" w:rsidRDefault="00911859" w:rsidP="00BB543D">
            <w:pPr>
              <w:spacing w:after="200" w:line="276" w:lineRule="auto"/>
              <w:jc w:val="both"/>
              <w:rPr>
                <w:rFonts w:ascii="Arial" w:eastAsia="Calibri" w:hAnsi="Arial" w:cs="Arial"/>
                <w:sz w:val="22"/>
                <w:szCs w:val="22"/>
                <w:u w:val="single"/>
                <w:lang w:eastAsia="en-US"/>
              </w:rPr>
            </w:pPr>
          </w:p>
          <w:p w:rsidR="00CB1B56" w:rsidRPr="007B57A3" w:rsidRDefault="00DA5437" w:rsidP="00DA5437">
            <w:pPr>
              <w:spacing w:line="276" w:lineRule="auto"/>
              <w:jc w:val="both"/>
              <w:rPr>
                <w:rFonts w:ascii="Arial" w:hAnsi="Arial" w:cs="Arial"/>
                <w:b/>
                <w:bCs/>
                <w:sz w:val="22"/>
                <w:szCs w:val="22"/>
                <w:u w:val="single"/>
              </w:rPr>
            </w:pPr>
            <w:r w:rsidRPr="007B57A3">
              <w:rPr>
                <w:rFonts w:ascii="Arial" w:hAnsi="Arial" w:cs="Arial"/>
                <w:b/>
                <w:bCs/>
                <w:sz w:val="22"/>
                <w:szCs w:val="22"/>
                <w:u w:val="single"/>
              </w:rPr>
              <w:lastRenderedPageBreak/>
              <w:t xml:space="preserve">2  </w:t>
            </w:r>
            <w:r w:rsidR="008032FA" w:rsidRPr="007B57A3">
              <w:rPr>
                <w:rFonts w:ascii="Arial" w:hAnsi="Arial" w:cs="Arial"/>
                <w:b/>
                <w:bCs/>
                <w:sz w:val="22"/>
                <w:szCs w:val="22"/>
                <w:u w:val="single"/>
              </w:rPr>
              <w:t xml:space="preserve">Patient </w:t>
            </w:r>
            <w:r w:rsidR="001555E0" w:rsidRPr="007B57A3">
              <w:rPr>
                <w:rFonts w:ascii="Arial" w:hAnsi="Arial" w:cs="Arial"/>
                <w:b/>
                <w:bCs/>
                <w:sz w:val="22"/>
                <w:szCs w:val="22"/>
                <w:u w:val="single"/>
              </w:rPr>
              <w:t xml:space="preserve">and Client </w:t>
            </w:r>
            <w:r w:rsidR="008032FA" w:rsidRPr="007B57A3">
              <w:rPr>
                <w:rFonts w:ascii="Arial" w:hAnsi="Arial" w:cs="Arial"/>
                <w:b/>
                <w:bCs/>
                <w:sz w:val="22"/>
                <w:szCs w:val="22"/>
                <w:u w:val="single"/>
              </w:rPr>
              <w:t>Safety</w:t>
            </w:r>
          </w:p>
          <w:p w:rsidR="002B4829" w:rsidRPr="007B57A3" w:rsidRDefault="002B4829" w:rsidP="00DA5437">
            <w:pPr>
              <w:spacing w:line="276" w:lineRule="auto"/>
              <w:jc w:val="both"/>
              <w:rPr>
                <w:rFonts w:ascii="Arial" w:hAnsi="Arial" w:cs="Arial"/>
                <w:bCs/>
                <w:color w:val="FF0000"/>
                <w:sz w:val="22"/>
                <w:szCs w:val="22"/>
              </w:rPr>
            </w:pPr>
          </w:p>
          <w:p w:rsidR="00CF242E" w:rsidRDefault="006558BC" w:rsidP="006558BC">
            <w:pPr>
              <w:spacing w:line="276" w:lineRule="auto"/>
              <w:jc w:val="both"/>
              <w:rPr>
                <w:rFonts w:ascii="Arial" w:hAnsi="Arial" w:cs="Arial"/>
                <w:b/>
                <w:bCs/>
                <w:sz w:val="22"/>
                <w:szCs w:val="22"/>
              </w:rPr>
            </w:pPr>
            <w:r w:rsidRPr="007B57A3">
              <w:rPr>
                <w:rFonts w:ascii="Arial" w:hAnsi="Arial" w:cs="Arial"/>
                <w:b/>
                <w:bCs/>
                <w:sz w:val="22"/>
                <w:szCs w:val="22"/>
              </w:rPr>
              <w:t>A</w:t>
            </w:r>
            <w:r w:rsidR="00361929" w:rsidRPr="007B57A3">
              <w:rPr>
                <w:rFonts w:ascii="Arial" w:hAnsi="Arial" w:cs="Arial"/>
                <w:b/>
                <w:bCs/>
                <w:sz w:val="22"/>
                <w:szCs w:val="22"/>
              </w:rPr>
              <w:t>.</w:t>
            </w:r>
            <w:r w:rsidRPr="007B57A3">
              <w:rPr>
                <w:rFonts w:ascii="Arial" w:hAnsi="Arial" w:cs="Arial"/>
                <w:b/>
                <w:bCs/>
                <w:sz w:val="22"/>
                <w:szCs w:val="22"/>
              </w:rPr>
              <w:t xml:space="preserve"> </w:t>
            </w:r>
            <w:r w:rsidR="000F5290">
              <w:rPr>
                <w:rFonts w:ascii="Arial" w:hAnsi="Arial" w:cs="Arial"/>
                <w:b/>
                <w:bCs/>
                <w:sz w:val="22"/>
                <w:szCs w:val="22"/>
              </w:rPr>
              <w:t>Safeguarding Children.</w:t>
            </w:r>
          </w:p>
          <w:p w:rsidR="00E62F21" w:rsidRPr="00E62F21" w:rsidRDefault="00E62F21" w:rsidP="00E62F21">
            <w:pPr>
              <w:spacing w:before="120"/>
              <w:jc w:val="both"/>
              <w:rPr>
                <w:rFonts w:ascii="Arial" w:hAnsi="Arial"/>
                <w:b/>
                <w:sz w:val="22"/>
                <w:szCs w:val="20"/>
                <w:lang w:eastAsia="en-US"/>
              </w:rPr>
            </w:pPr>
            <w:bookmarkStart w:id="2" w:name="_Toc390857832"/>
            <w:bookmarkStart w:id="3" w:name="_Toc354165188"/>
            <w:r w:rsidRPr="00E62F21">
              <w:rPr>
                <w:rFonts w:ascii="Arial" w:hAnsi="Arial"/>
                <w:b/>
                <w:sz w:val="22"/>
                <w:szCs w:val="20"/>
                <w:lang w:eastAsia="en-US"/>
              </w:rPr>
              <w:t>North East Lincolnshire CCG Safeguarding Children Annual Report (April 2014- March 201</w:t>
            </w:r>
            <w:bookmarkEnd w:id="2"/>
            <w:bookmarkEnd w:id="3"/>
            <w:r w:rsidRPr="00E62F21">
              <w:rPr>
                <w:rFonts w:ascii="Arial" w:hAnsi="Arial"/>
                <w:b/>
                <w:sz w:val="22"/>
                <w:szCs w:val="20"/>
                <w:lang w:eastAsia="en-US"/>
              </w:rPr>
              <w:t>5)</w:t>
            </w:r>
            <w:r>
              <w:rPr>
                <w:rFonts w:ascii="Arial" w:hAnsi="Arial"/>
                <w:b/>
                <w:sz w:val="22"/>
                <w:szCs w:val="20"/>
                <w:lang w:eastAsia="en-US"/>
              </w:rPr>
              <w:t xml:space="preserve"> (</w:t>
            </w:r>
            <w:r w:rsidRPr="00E62F21">
              <w:rPr>
                <w:rFonts w:ascii="Arial" w:hAnsi="Arial"/>
                <w:sz w:val="22"/>
                <w:szCs w:val="20"/>
                <w:u w:val="single"/>
                <w:lang w:eastAsia="en-US"/>
              </w:rPr>
              <w:t>Summary</w:t>
            </w:r>
            <w:r>
              <w:rPr>
                <w:rFonts w:ascii="Arial" w:hAnsi="Arial"/>
                <w:sz w:val="22"/>
                <w:szCs w:val="20"/>
                <w:u w:val="single"/>
                <w:lang w:eastAsia="en-US"/>
              </w:rPr>
              <w:t xml:space="preserve"> below).</w:t>
            </w:r>
          </w:p>
          <w:p w:rsidR="00E62F21" w:rsidRPr="00E62F21" w:rsidRDefault="00E62F21" w:rsidP="00E62F21">
            <w:pPr>
              <w:numPr>
                <w:ilvl w:val="1"/>
                <w:numId w:val="34"/>
              </w:numPr>
              <w:tabs>
                <w:tab w:val="left" w:pos="567"/>
                <w:tab w:val="left" w:pos="1134"/>
              </w:tabs>
              <w:spacing w:before="120" w:after="120"/>
              <w:ind w:left="567" w:hanging="567"/>
              <w:contextualSpacing/>
              <w:jc w:val="both"/>
              <w:rPr>
                <w:rFonts w:ascii="Arial" w:hAnsi="Arial"/>
                <w:sz w:val="22"/>
                <w:szCs w:val="20"/>
                <w:lang w:eastAsia="en-US"/>
              </w:rPr>
            </w:pPr>
            <w:r w:rsidRPr="00E62F21">
              <w:rPr>
                <w:rFonts w:ascii="Arial" w:hAnsi="Arial"/>
                <w:sz w:val="22"/>
                <w:szCs w:val="20"/>
                <w:lang w:eastAsia="en-US"/>
              </w:rPr>
              <w:t xml:space="preserve">Section 11 of the Children Act 2004 places a duty upon all NHS bodies along with partner agencies to ensure that their safeguarding children functions are discharged. NELCCG Partnership Board as the organisation’s governing body has responsibility for ensuring that this duty is appropriately discharged. An Annual Report for the 2014-2015 year has been prepared which identifies the arrangements in place in order to provide the required assurance that the above duty is being effectively discharged. </w:t>
            </w:r>
          </w:p>
          <w:p w:rsidR="00E62F21" w:rsidRPr="00E62F21" w:rsidRDefault="00E62F21" w:rsidP="00E62F21">
            <w:pPr>
              <w:numPr>
                <w:ilvl w:val="1"/>
                <w:numId w:val="34"/>
              </w:numPr>
              <w:tabs>
                <w:tab w:val="left" w:pos="567"/>
                <w:tab w:val="left" w:pos="1134"/>
              </w:tabs>
              <w:spacing w:before="120" w:after="120"/>
              <w:ind w:left="567" w:hanging="567"/>
              <w:contextualSpacing/>
              <w:jc w:val="both"/>
              <w:rPr>
                <w:rFonts w:ascii="Arial" w:hAnsi="Arial"/>
                <w:sz w:val="22"/>
                <w:szCs w:val="20"/>
                <w:lang w:eastAsia="en-US"/>
              </w:rPr>
            </w:pPr>
            <w:r w:rsidRPr="00E62F21">
              <w:rPr>
                <w:rFonts w:ascii="Arial" w:hAnsi="Arial"/>
                <w:sz w:val="22"/>
                <w:szCs w:val="20"/>
                <w:lang w:eastAsia="en-US"/>
              </w:rPr>
              <w:t>The Annual Report:</w:t>
            </w:r>
          </w:p>
          <w:p w:rsidR="00EA2CFC" w:rsidRDefault="00E62F21" w:rsidP="00E62F21">
            <w:pPr>
              <w:numPr>
                <w:ilvl w:val="2"/>
                <w:numId w:val="34"/>
              </w:numPr>
              <w:tabs>
                <w:tab w:val="left" w:pos="567"/>
                <w:tab w:val="left" w:pos="1134"/>
              </w:tabs>
              <w:spacing w:before="120" w:after="120"/>
              <w:ind w:left="851" w:hanging="284"/>
              <w:contextualSpacing/>
              <w:jc w:val="both"/>
              <w:rPr>
                <w:rFonts w:ascii="Arial" w:hAnsi="Arial"/>
                <w:sz w:val="22"/>
                <w:szCs w:val="20"/>
                <w:lang w:eastAsia="en-US"/>
              </w:rPr>
            </w:pPr>
            <w:proofErr w:type="gramStart"/>
            <w:r w:rsidRPr="00EA2CFC">
              <w:rPr>
                <w:rFonts w:ascii="Arial" w:hAnsi="Arial"/>
                <w:sz w:val="22"/>
                <w:szCs w:val="20"/>
                <w:lang w:eastAsia="en-US"/>
              </w:rPr>
              <w:t>sets</w:t>
            </w:r>
            <w:proofErr w:type="gramEnd"/>
            <w:r w:rsidRPr="00EA2CFC">
              <w:rPr>
                <w:rFonts w:ascii="Arial" w:hAnsi="Arial"/>
                <w:sz w:val="22"/>
                <w:szCs w:val="20"/>
                <w:lang w:eastAsia="en-US"/>
              </w:rPr>
              <w:t xml:space="preserve"> out the updated legislative and statutory framework for 2014-2015 year; placed upon Clinical Commissioning Groups </w:t>
            </w:r>
            <w:r w:rsidR="00EA2CFC" w:rsidRPr="00EA2CFC">
              <w:rPr>
                <w:rFonts w:ascii="Arial" w:hAnsi="Arial"/>
                <w:sz w:val="22"/>
                <w:szCs w:val="20"/>
                <w:lang w:eastAsia="en-US"/>
              </w:rPr>
              <w:t xml:space="preserve">and partners.  </w:t>
            </w:r>
            <w:bookmarkStart w:id="4" w:name="_Toc293516764"/>
          </w:p>
          <w:p w:rsidR="00E62F21" w:rsidRPr="00EA2CFC" w:rsidRDefault="00E62F21" w:rsidP="00E62F21">
            <w:pPr>
              <w:numPr>
                <w:ilvl w:val="2"/>
                <w:numId w:val="34"/>
              </w:numPr>
              <w:tabs>
                <w:tab w:val="left" w:pos="567"/>
                <w:tab w:val="left" w:pos="1134"/>
              </w:tabs>
              <w:spacing w:before="120" w:after="120"/>
              <w:ind w:left="851" w:hanging="284"/>
              <w:contextualSpacing/>
              <w:jc w:val="both"/>
              <w:rPr>
                <w:rFonts w:ascii="Arial" w:hAnsi="Arial"/>
                <w:sz w:val="22"/>
                <w:szCs w:val="20"/>
                <w:lang w:eastAsia="en-US"/>
              </w:rPr>
            </w:pPr>
            <w:r w:rsidRPr="00EA2CFC">
              <w:rPr>
                <w:rFonts w:ascii="Arial" w:hAnsi="Arial"/>
                <w:sz w:val="22"/>
                <w:szCs w:val="20"/>
                <w:lang w:eastAsia="en-US"/>
              </w:rPr>
              <w:t>describes the NELCCG governance and assurance arrangements for safeguarding</w:t>
            </w:r>
            <w:bookmarkEnd w:id="4"/>
          </w:p>
          <w:p w:rsidR="00EA2CFC" w:rsidRPr="00EA2CFC" w:rsidRDefault="00E62F21" w:rsidP="00EA2CFC">
            <w:pPr>
              <w:numPr>
                <w:ilvl w:val="2"/>
                <w:numId w:val="34"/>
              </w:numPr>
              <w:tabs>
                <w:tab w:val="left" w:pos="567"/>
                <w:tab w:val="left" w:pos="1134"/>
              </w:tabs>
              <w:spacing w:before="120" w:after="120"/>
              <w:ind w:left="851" w:hanging="284"/>
              <w:contextualSpacing/>
              <w:jc w:val="both"/>
              <w:rPr>
                <w:rFonts w:ascii="Arial" w:hAnsi="Arial"/>
                <w:sz w:val="22"/>
                <w:szCs w:val="20"/>
                <w:lang w:eastAsia="en-US"/>
              </w:rPr>
            </w:pPr>
            <w:r w:rsidRPr="00EA2CFC">
              <w:rPr>
                <w:rFonts w:ascii="Arial" w:hAnsi="Arial"/>
                <w:sz w:val="22"/>
                <w:szCs w:val="20"/>
                <w:lang w:eastAsia="en-US"/>
              </w:rPr>
              <w:t xml:space="preserve">outlines the statutory role, function and priorities of North East Lincolnshire Safeguarding Children Board, and how NELCCG has contributed to </w:t>
            </w:r>
          </w:p>
          <w:p w:rsidR="00E62F21" w:rsidRPr="00E62F21" w:rsidRDefault="00EA2CFC" w:rsidP="00E62F21">
            <w:pPr>
              <w:numPr>
                <w:ilvl w:val="3"/>
                <w:numId w:val="34"/>
              </w:numPr>
              <w:tabs>
                <w:tab w:val="left" w:pos="567"/>
                <w:tab w:val="left" w:pos="1134"/>
              </w:tabs>
              <w:spacing w:before="120" w:after="120"/>
              <w:ind w:left="1135" w:hanging="284"/>
              <w:contextualSpacing/>
              <w:jc w:val="both"/>
              <w:rPr>
                <w:rFonts w:ascii="Arial" w:hAnsi="Arial"/>
                <w:sz w:val="22"/>
                <w:szCs w:val="20"/>
                <w:lang w:eastAsia="en-US"/>
              </w:rPr>
            </w:pPr>
            <w:r w:rsidRPr="00EA2CFC">
              <w:rPr>
                <w:rFonts w:ascii="Arial" w:hAnsi="Arial"/>
                <w:sz w:val="22"/>
                <w:szCs w:val="20"/>
                <w:lang w:eastAsia="en-US"/>
              </w:rPr>
              <w:t xml:space="preserve">the statutory functions </w:t>
            </w:r>
            <w:r>
              <w:rPr>
                <w:rFonts w:ascii="Arial" w:hAnsi="Arial"/>
                <w:sz w:val="22"/>
                <w:szCs w:val="20"/>
                <w:lang w:eastAsia="en-US"/>
              </w:rPr>
              <w:t xml:space="preserve">to </w:t>
            </w:r>
            <w:r w:rsidR="00E62F21" w:rsidRPr="00E62F21">
              <w:rPr>
                <w:rFonts w:ascii="Arial" w:hAnsi="Arial"/>
                <w:sz w:val="22"/>
                <w:szCs w:val="20"/>
              </w:rPr>
              <w:t>review the deaths of all children normally resident in their locality</w:t>
            </w:r>
          </w:p>
          <w:p w:rsidR="00E62F21" w:rsidRPr="00E62F21" w:rsidRDefault="00E62F21" w:rsidP="00E62F21">
            <w:pPr>
              <w:numPr>
                <w:ilvl w:val="3"/>
                <w:numId w:val="34"/>
              </w:numPr>
              <w:tabs>
                <w:tab w:val="left" w:pos="567"/>
                <w:tab w:val="left" w:pos="1134"/>
              </w:tabs>
              <w:spacing w:before="120" w:after="120"/>
              <w:ind w:left="1135" w:hanging="284"/>
              <w:contextualSpacing/>
              <w:jc w:val="both"/>
              <w:rPr>
                <w:rFonts w:ascii="Arial" w:hAnsi="Arial"/>
                <w:sz w:val="22"/>
                <w:szCs w:val="20"/>
                <w:lang w:eastAsia="en-US"/>
              </w:rPr>
            </w:pPr>
            <w:proofErr w:type="gramStart"/>
            <w:r w:rsidRPr="00E62F21">
              <w:rPr>
                <w:rFonts w:ascii="Arial" w:hAnsi="Arial"/>
                <w:sz w:val="22"/>
                <w:szCs w:val="20"/>
              </w:rPr>
              <w:t>undertake</w:t>
            </w:r>
            <w:proofErr w:type="gramEnd"/>
            <w:r w:rsidRPr="00E62F21">
              <w:rPr>
                <w:rFonts w:ascii="Arial" w:hAnsi="Arial"/>
                <w:sz w:val="22"/>
                <w:szCs w:val="20"/>
              </w:rPr>
              <w:t xml:space="preserve"> Serious Case Reviews if required.</w:t>
            </w:r>
          </w:p>
          <w:p w:rsidR="00E62F21" w:rsidRPr="00E62F21" w:rsidRDefault="00E62F21" w:rsidP="00E62F21">
            <w:pPr>
              <w:tabs>
                <w:tab w:val="left" w:pos="567"/>
                <w:tab w:val="left" w:pos="1134"/>
              </w:tabs>
              <w:spacing w:before="120" w:after="120"/>
              <w:ind w:left="851"/>
              <w:jc w:val="both"/>
              <w:rPr>
                <w:rFonts w:ascii="Arial" w:hAnsi="Arial"/>
                <w:sz w:val="22"/>
                <w:szCs w:val="20"/>
                <w:lang w:eastAsia="en-US"/>
              </w:rPr>
            </w:pPr>
            <w:r w:rsidRPr="00E62F21">
              <w:rPr>
                <w:rFonts w:ascii="Arial" w:hAnsi="Arial"/>
                <w:sz w:val="22"/>
                <w:szCs w:val="20"/>
                <w:lang w:eastAsia="en-US"/>
              </w:rPr>
              <w:t>No Serious Case Reviews were published by North East Lincolnshire LSCB in the 2014-2015 year.</w:t>
            </w:r>
          </w:p>
          <w:p w:rsidR="00E62F21" w:rsidRPr="00E62F21" w:rsidRDefault="00E62F21" w:rsidP="00E62F21">
            <w:pPr>
              <w:numPr>
                <w:ilvl w:val="2"/>
                <w:numId w:val="34"/>
              </w:numPr>
              <w:tabs>
                <w:tab w:val="left" w:pos="567"/>
                <w:tab w:val="left" w:pos="1134"/>
              </w:tabs>
              <w:spacing w:before="120" w:after="120"/>
              <w:ind w:left="851" w:hanging="284"/>
              <w:contextualSpacing/>
              <w:jc w:val="both"/>
              <w:rPr>
                <w:rFonts w:ascii="Arial" w:hAnsi="Arial"/>
                <w:sz w:val="22"/>
                <w:szCs w:val="20"/>
                <w:lang w:eastAsia="en-US"/>
              </w:rPr>
            </w:pPr>
            <w:bookmarkStart w:id="5" w:name="_Toc354165205"/>
            <w:bookmarkStart w:id="6" w:name="_Toc293516768"/>
            <w:proofErr w:type="gramStart"/>
            <w:r w:rsidRPr="00E62F21">
              <w:rPr>
                <w:rFonts w:ascii="Arial" w:hAnsi="Arial"/>
                <w:sz w:val="22"/>
                <w:szCs w:val="20"/>
                <w:lang w:eastAsia="en-US"/>
              </w:rPr>
              <w:t>identifies</w:t>
            </w:r>
            <w:proofErr w:type="gramEnd"/>
            <w:r w:rsidRPr="00E62F21">
              <w:rPr>
                <w:rFonts w:ascii="Arial" w:hAnsi="Arial"/>
                <w:sz w:val="22"/>
                <w:szCs w:val="20"/>
                <w:lang w:eastAsia="en-US"/>
              </w:rPr>
              <w:t xml:space="preserve"> that North East Lincolnshire services have not been subject to inspections of safeguarding or looked after children arrangements by either OFSTED or the Care Quality Commission (CQC) in 2014-2015. However, </w:t>
            </w:r>
            <w:r w:rsidRPr="00E62F21">
              <w:rPr>
                <w:rFonts w:ascii="Arial" w:hAnsi="Arial"/>
                <w:sz w:val="22"/>
                <w:szCs w:val="20"/>
                <w:lang w:val="en" w:eastAsia="en-US"/>
              </w:rPr>
              <w:t xml:space="preserve">learning from such reviews in other localities has been considered and as relevant reflected in the NELCCG </w:t>
            </w:r>
            <w:proofErr w:type="spellStart"/>
            <w:r w:rsidRPr="00E62F21">
              <w:rPr>
                <w:rFonts w:ascii="Arial" w:hAnsi="Arial"/>
                <w:sz w:val="22"/>
                <w:szCs w:val="20"/>
                <w:lang w:val="en" w:eastAsia="en-US"/>
              </w:rPr>
              <w:t>workplan</w:t>
            </w:r>
            <w:proofErr w:type="spellEnd"/>
            <w:r w:rsidRPr="00E62F21">
              <w:rPr>
                <w:rFonts w:ascii="Arial" w:hAnsi="Arial"/>
                <w:sz w:val="22"/>
                <w:szCs w:val="20"/>
                <w:lang w:val="en" w:eastAsia="en-US"/>
              </w:rPr>
              <w:t xml:space="preserve"> for 2015-2016</w:t>
            </w:r>
          </w:p>
          <w:p w:rsidR="00E62F21" w:rsidRPr="00E62F21" w:rsidRDefault="00E62F21" w:rsidP="00E62F21">
            <w:pPr>
              <w:numPr>
                <w:ilvl w:val="2"/>
                <w:numId w:val="34"/>
              </w:numPr>
              <w:tabs>
                <w:tab w:val="left" w:pos="567"/>
                <w:tab w:val="left" w:pos="1134"/>
              </w:tabs>
              <w:spacing w:before="120" w:after="120"/>
              <w:ind w:left="851" w:hanging="284"/>
              <w:contextualSpacing/>
              <w:jc w:val="both"/>
              <w:rPr>
                <w:rFonts w:ascii="Arial" w:hAnsi="Arial"/>
                <w:sz w:val="22"/>
                <w:szCs w:val="20"/>
                <w:lang w:eastAsia="en-US"/>
              </w:rPr>
            </w:pPr>
            <w:proofErr w:type="gramStart"/>
            <w:r w:rsidRPr="00E62F21">
              <w:rPr>
                <w:rFonts w:ascii="Arial" w:hAnsi="Arial"/>
                <w:sz w:val="22"/>
                <w:szCs w:val="20"/>
                <w:lang w:val="en" w:eastAsia="en-US"/>
              </w:rPr>
              <w:t>describes</w:t>
            </w:r>
            <w:proofErr w:type="gramEnd"/>
            <w:r w:rsidRPr="00E62F21">
              <w:rPr>
                <w:rFonts w:ascii="Arial" w:hAnsi="Arial"/>
                <w:sz w:val="22"/>
                <w:szCs w:val="20"/>
                <w:lang w:val="en" w:eastAsia="en-US"/>
              </w:rPr>
              <w:t xml:space="preserve"> the arrangements to ensure appropriate services for children who had experienced sexual harm are in place, following the emergence of a gap in such arrangements in the 2013-2014 year.</w:t>
            </w:r>
          </w:p>
          <w:bookmarkEnd w:id="5"/>
          <w:bookmarkEnd w:id="6"/>
          <w:p w:rsidR="00E62F21" w:rsidRPr="00E62F21" w:rsidRDefault="00E62F21" w:rsidP="00E62F21">
            <w:pPr>
              <w:numPr>
                <w:ilvl w:val="1"/>
                <w:numId w:val="34"/>
              </w:numPr>
              <w:tabs>
                <w:tab w:val="left" w:pos="567"/>
                <w:tab w:val="left" w:pos="1134"/>
              </w:tabs>
              <w:spacing w:before="120" w:after="120"/>
              <w:ind w:left="567" w:hanging="567"/>
              <w:contextualSpacing/>
              <w:jc w:val="both"/>
              <w:rPr>
                <w:rFonts w:ascii="Arial" w:hAnsi="Arial"/>
                <w:sz w:val="22"/>
                <w:szCs w:val="20"/>
              </w:rPr>
            </w:pPr>
            <w:r w:rsidRPr="00E62F21">
              <w:rPr>
                <w:rFonts w:ascii="Arial" w:hAnsi="Arial"/>
                <w:sz w:val="22"/>
                <w:szCs w:val="20"/>
              </w:rPr>
              <w:t>A Safeguarding Children work plan for North East Lincolnshire CCG for the 2015-2016 year has been developed, based on:</w:t>
            </w:r>
          </w:p>
          <w:p w:rsidR="00E62F21" w:rsidRPr="00E62F21" w:rsidRDefault="00E62F21" w:rsidP="00E62F21">
            <w:pPr>
              <w:numPr>
                <w:ilvl w:val="0"/>
                <w:numId w:val="35"/>
              </w:numPr>
              <w:spacing w:before="120"/>
              <w:ind w:left="924" w:hanging="357"/>
              <w:jc w:val="both"/>
              <w:rPr>
                <w:rFonts w:ascii="Arial" w:hAnsi="Arial"/>
                <w:sz w:val="22"/>
                <w:szCs w:val="20"/>
                <w:lang w:eastAsia="en-US"/>
              </w:rPr>
            </w:pPr>
            <w:r w:rsidRPr="00E62F21">
              <w:rPr>
                <w:rFonts w:ascii="Arial" w:hAnsi="Arial"/>
                <w:sz w:val="22"/>
                <w:szCs w:val="20"/>
                <w:lang w:eastAsia="en-US"/>
              </w:rPr>
              <w:t>Maintaining compliance with legislative, statutory and organisational responsibilities</w:t>
            </w:r>
          </w:p>
          <w:p w:rsidR="00E62F21" w:rsidRPr="00E62F21" w:rsidRDefault="00E62F21" w:rsidP="00E62F21">
            <w:pPr>
              <w:numPr>
                <w:ilvl w:val="0"/>
                <w:numId w:val="35"/>
              </w:numPr>
              <w:spacing w:before="120"/>
              <w:ind w:left="924" w:hanging="357"/>
              <w:jc w:val="both"/>
              <w:rPr>
                <w:rFonts w:ascii="Arial" w:hAnsi="Arial"/>
                <w:sz w:val="22"/>
                <w:szCs w:val="20"/>
                <w:lang w:eastAsia="en-US"/>
              </w:rPr>
            </w:pPr>
            <w:r w:rsidRPr="00E62F21">
              <w:rPr>
                <w:rFonts w:ascii="Arial" w:hAnsi="Arial"/>
                <w:sz w:val="22"/>
                <w:szCs w:val="20"/>
                <w:lang w:eastAsia="en-US"/>
              </w:rPr>
              <w:t>Enhancing arrangements</w:t>
            </w:r>
          </w:p>
          <w:p w:rsidR="00E62F21" w:rsidRPr="00E62F21" w:rsidRDefault="00E62F21" w:rsidP="00E62F21">
            <w:pPr>
              <w:numPr>
                <w:ilvl w:val="0"/>
                <w:numId w:val="35"/>
              </w:numPr>
              <w:spacing w:before="120"/>
              <w:ind w:left="924" w:hanging="357"/>
              <w:jc w:val="both"/>
              <w:rPr>
                <w:rFonts w:ascii="Arial" w:hAnsi="Arial"/>
                <w:sz w:val="22"/>
                <w:szCs w:val="20"/>
                <w:lang w:eastAsia="en-US"/>
              </w:rPr>
            </w:pPr>
            <w:r w:rsidRPr="00E62F21">
              <w:rPr>
                <w:rFonts w:ascii="Arial" w:hAnsi="Arial"/>
                <w:sz w:val="22"/>
                <w:szCs w:val="20"/>
                <w:lang w:eastAsia="en-US"/>
              </w:rPr>
              <w:t>Learning from case reviews, local and national initiatives, and regulatory activity.</w:t>
            </w:r>
          </w:p>
          <w:p w:rsidR="00E62F21" w:rsidRDefault="00E62F21" w:rsidP="00E62F21">
            <w:pPr>
              <w:tabs>
                <w:tab w:val="left" w:pos="567"/>
                <w:tab w:val="left" w:pos="1134"/>
              </w:tabs>
              <w:spacing w:before="120" w:after="120"/>
              <w:ind w:left="431"/>
              <w:contextualSpacing/>
              <w:jc w:val="both"/>
              <w:rPr>
                <w:rFonts w:ascii="Arial" w:hAnsi="Arial"/>
                <w:sz w:val="22"/>
                <w:szCs w:val="20"/>
                <w:lang w:eastAsia="en-US"/>
              </w:rPr>
            </w:pPr>
          </w:p>
          <w:p w:rsidR="001C0128" w:rsidRPr="00E62F21" w:rsidRDefault="00E62F21" w:rsidP="00E62F21">
            <w:pPr>
              <w:tabs>
                <w:tab w:val="left" w:pos="567"/>
                <w:tab w:val="left" w:pos="1134"/>
              </w:tabs>
              <w:spacing w:before="120" w:after="120"/>
              <w:ind w:left="431"/>
              <w:contextualSpacing/>
              <w:jc w:val="both"/>
              <w:rPr>
                <w:rFonts w:ascii="Arial" w:hAnsi="Arial"/>
                <w:sz w:val="22"/>
                <w:szCs w:val="20"/>
                <w:lang w:eastAsia="en-US"/>
              </w:rPr>
            </w:pPr>
            <w:r w:rsidRPr="00E62F21">
              <w:rPr>
                <w:rFonts w:ascii="Arial" w:hAnsi="Arial"/>
                <w:sz w:val="22"/>
                <w:szCs w:val="20"/>
                <w:lang w:eastAsia="en-US"/>
              </w:rPr>
              <w:t xml:space="preserve">It is anticipated that this </w:t>
            </w:r>
            <w:proofErr w:type="spellStart"/>
            <w:r w:rsidRPr="00E62F21">
              <w:rPr>
                <w:rFonts w:ascii="Arial" w:hAnsi="Arial"/>
                <w:sz w:val="22"/>
                <w:szCs w:val="20"/>
                <w:lang w:eastAsia="en-US"/>
              </w:rPr>
              <w:t>workplan</w:t>
            </w:r>
            <w:proofErr w:type="spellEnd"/>
            <w:r w:rsidRPr="00E62F21">
              <w:rPr>
                <w:rFonts w:ascii="Arial" w:hAnsi="Arial"/>
                <w:sz w:val="22"/>
                <w:szCs w:val="20"/>
                <w:lang w:eastAsia="en-US"/>
              </w:rPr>
              <w:t xml:space="preserve"> will be a “live” document subject to review via the Quality Committee and the Joint CCGs’ Safeguarding Forum, as well as shared as appropriate with the LSCB and other key stakeholders.</w:t>
            </w:r>
          </w:p>
          <w:bookmarkStart w:id="7" w:name="_MON_1503310178"/>
          <w:bookmarkStart w:id="8" w:name="_MON_1503310182"/>
          <w:bookmarkEnd w:id="7"/>
          <w:bookmarkEnd w:id="8"/>
          <w:p w:rsidR="00CF242E" w:rsidRPr="007B57A3" w:rsidRDefault="00A96EBF" w:rsidP="006558BC">
            <w:pPr>
              <w:spacing w:line="276" w:lineRule="auto"/>
              <w:jc w:val="both"/>
              <w:rPr>
                <w:rFonts w:ascii="Arial" w:hAnsi="Arial" w:cs="Arial"/>
                <w:bCs/>
                <w:sz w:val="22"/>
                <w:szCs w:val="22"/>
              </w:rPr>
            </w:pPr>
            <w:r>
              <w:rPr>
                <w:rFonts w:ascii="Arial" w:hAnsi="Arial" w:cs="Arial"/>
                <w:bCs/>
                <w:sz w:val="22"/>
                <w:szCs w:val="22"/>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6pt;height:47.8pt" o:ole="">
                  <v:imagedata r:id="rId10" o:title=""/>
                </v:shape>
                <o:OLEObject Type="Embed" ProgID="Word.Document.12" ShapeID="_x0000_i1029" DrawAspect="Icon" ObjectID="_1503310195" r:id="rId11">
                  <o:FieldCodes>\s</o:FieldCodes>
                </o:OLEObject>
              </w:object>
            </w:r>
          </w:p>
          <w:p w:rsidR="006558BC" w:rsidRPr="007B57A3" w:rsidRDefault="00361929" w:rsidP="006558BC">
            <w:pPr>
              <w:spacing w:line="276" w:lineRule="auto"/>
              <w:jc w:val="both"/>
              <w:rPr>
                <w:rFonts w:ascii="Arial" w:hAnsi="Arial" w:cs="Arial"/>
                <w:b/>
                <w:bCs/>
                <w:sz w:val="22"/>
                <w:szCs w:val="22"/>
              </w:rPr>
            </w:pPr>
            <w:r w:rsidRPr="007B57A3">
              <w:rPr>
                <w:rFonts w:ascii="Arial" w:hAnsi="Arial" w:cs="Arial"/>
                <w:b/>
                <w:bCs/>
                <w:sz w:val="22"/>
                <w:szCs w:val="22"/>
              </w:rPr>
              <w:t xml:space="preserve">B. </w:t>
            </w:r>
            <w:r w:rsidR="006558BC" w:rsidRPr="007B57A3">
              <w:rPr>
                <w:rFonts w:ascii="Arial" w:hAnsi="Arial" w:cs="Arial"/>
                <w:b/>
                <w:bCs/>
                <w:sz w:val="22"/>
                <w:szCs w:val="22"/>
              </w:rPr>
              <w:t xml:space="preserve"> Infection Control </w:t>
            </w:r>
          </w:p>
          <w:p w:rsidR="006558BC" w:rsidRPr="007B57A3" w:rsidRDefault="006558BC" w:rsidP="006558BC">
            <w:pPr>
              <w:spacing w:line="276" w:lineRule="auto"/>
              <w:jc w:val="both"/>
              <w:rPr>
                <w:rFonts w:ascii="Arial" w:hAnsi="Arial" w:cs="Arial"/>
                <w:bCs/>
                <w:color w:val="FF0000"/>
                <w:sz w:val="22"/>
                <w:szCs w:val="22"/>
              </w:rPr>
            </w:pPr>
            <w:bookmarkStart w:id="9" w:name="_GoBack"/>
            <w:bookmarkEnd w:id="9"/>
          </w:p>
          <w:p w:rsidR="006558BC" w:rsidRDefault="006558BC" w:rsidP="006558BC">
            <w:pPr>
              <w:rPr>
                <w:rFonts w:ascii="Arial" w:hAnsi="Arial" w:cs="Arial"/>
                <w:b/>
                <w:sz w:val="22"/>
                <w:szCs w:val="22"/>
              </w:rPr>
            </w:pPr>
            <w:r w:rsidRPr="007B57A3">
              <w:rPr>
                <w:rFonts w:ascii="Arial" w:hAnsi="Arial" w:cs="Arial"/>
                <w:b/>
                <w:sz w:val="22"/>
                <w:szCs w:val="22"/>
              </w:rPr>
              <w:t xml:space="preserve">C </w:t>
            </w:r>
            <w:proofErr w:type="spellStart"/>
            <w:r w:rsidRPr="007B57A3">
              <w:rPr>
                <w:rFonts w:ascii="Arial" w:hAnsi="Arial" w:cs="Arial"/>
                <w:b/>
                <w:sz w:val="22"/>
                <w:szCs w:val="22"/>
              </w:rPr>
              <w:t>Difficile</w:t>
            </w:r>
            <w:proofErr w:type="spellEnd"/>
          </w:p>
          <w:p w:rsidR="001C0128" w:rsidRDefault="001C0128" w:rsidP="001C0128">
            <w:pPr>
              <w:rPr>
                <w:rFonts w:ascii="Arial" w:hAnsi="Arial" w:cs="Arial"/>
                <w:sz w:val="22"/>
                <w:szCs w:val="22"/>
              </w:rPr>
            </w:pPr>
          </w:p>
          <w:p w:rsidR="001C0128" w:rsidRPr="001C0128" w:rsidRDefault="001C0128" w:rsidP="001C0128">
            <w:pPr>
              <w:rPr>
                <w:rFonts w:ascii="Arial" w:hAnsi="Arial" w:cs="Arial"/>
                <w:sz w:val="22"/>
                <w:szCs w:val="22"/>
              </w:rPr>
            </w:pPr>
            <w:r w:rsidRPr="001C0128">
              <w:rPr>
                <w:rFonts w:ascii="Arial" w:hAnsi="Arial" w:cs="Arial"/>
                <w:sz w:val="22"/>
                <w:szCs w:val="22"/>
              </w:rPr>
              <w:t>A total of 15 cases have occurred in 2015/16 against the annual 2015/16 target of 35, on current trend the forecast position would be 32. Of the 15 cases, 10 were Community acquired infections and the others Acute. An incr</w:t>
            </w:r>
            <w:r w:rsidR="00815FA9">
              <w:rPr>
                <w:rFonts w:ascii="Arial" w:hAnsi="Arial" w:cs="Arial"/>
                <w:sz w:val="22"/>
                <w:szCs w:val="22"/>
              </w:rPr>
              <w:t>ease in May and June is possibly</w:t>
            </w:r>
            <w:r w:rsidRPr="001C0128">
              <w:rPr>
                <w:rFonts w:ascii="Arial" w:hAnsi="Arial" w:cs="Arial"/>
                <w:sz w:val="22"/>
                <w:szCs w:val="22"/>
              </w:rPr>
              <w:t xml:space="preserve"> attributed to post influenza infections and an increase in antibiotic prescribing as reported from NHS England.</w:t>
            </w:r>
          </w:p>
          <w:p w:rsidR="001C0128" w:rsidRPr="001C0128" w:rsidRDefault="001C0128" w:rsidP="001C0128">
            <w:pPr>
              <w:rPr>
                <w:rFonts w:ascii="Arial" w:hAnsi="Arial" w:cs="Arial"/>
                <w:sz w:val="22"/>
                <w:szCs w:val="22"/>
              </w:rPr>
            </w:pPr>
          </w:p>
          <w:p w:rsidR="001C0128" w:rsidRPr="001C0128" w:rsidRDefault="001C0128" w:rsidP="001C0128">
            <w:pPr>
              <w:rPr>
                <w:rFonts w:ascii="Arial" w:hAnsi="Arial" w:cs="Arial"/>
                <w:sz w:val="22"/>
                <w:szCs w:val="22"/>
              </w:rPr>
            </w:pPr>
            <w:r w:rsidRPr="001C0128">
              <w:rPr>
                <w:rFonts w:ascii="Arial" w:hAnsi="Arial" w:cs="Arial"/>
                <w:sz w:val="22"/>
                <w:szCs w:val="22"/>
              </w:rPr>
              <w:t>Systems across both primary and secondary care are in place to undertake post infecti</w:t>
            </w:r>
            <w:r w:rsidR="00815FA9">
              <w:rPr>
                <w:rFonts w:ascii="Arial" w:hAnsi="Arial" w:cs="Arial"/>
                <w:sz w:val="22"/>
                <w:szCs w:val="22"/>
              </w:rPr>
              <w:t xml:space="preserve">on </w:t>
            </w:r>
            <w:r w:rsidR="00815FA9">
              <w:rPr>
                <w:rFonts w:ascii="Arial" w:hAnsi="Arial" w:cs="Arial"/>
                <w:sz w:val="22"/>
                <w:szCs w:val="22"/>
              </w:rPr>
              <w:lastRenderedPageBreak/>
              <w:t xml:space="preserve">reviews of all C Diff cases. </w:t>
            </w:r>
            <w:r w:rsidRPr="001C0128">
              <w:rPr>
                <w:rFonts w:ascii="Arial" w:hAnsi="Arial" w:cs="Arial"/>
                <w:sz w:val="22"/>
                <w:szCs w:val="22"/>
              </w:rPr>
              <w:t xml:space="preserve">C Diff cases are reviewed at the NEL CCG Quality Committee as a standing agenda item. We are continuing to monitor NL&amp;G action plans and Infection Control Policies in the Quality Contracting Committee and </w:t>
            </w:r>
            <w:proofErr w:type="spellStart"/>
            <w:r w:rsidRPr="001C0128">
              <w:rPr>
                <w:rFonts w:ascii="Arial" w:hAnsi="Arial" w:cs="Arial"/>
                <w:sz w:val="22"/>
                <w:szCs w:val="22"/>
              </w:rPr>
              <w:t>Yorks</w:t>
            </w:r>
            <w:proofErr w:type="spellEnd"/>
            <w:r w:rsidRPr="001C0128">
              <w:rPr>
                <w:rFonts w:ascii="Arial" w:hAnsi="Arial" w:cs="Arial"/>
                <w:sz w:val="22"/>
                <w:szCs w:val="22"/>
              </w:rPr>
              <w:t xml:space="preserve"> and Humber Hospital Acquired Infection Strategy Group</w:t>
            </w:r>
            <w:r w:rsidR="00815FA9">
              <w:rPr>
                <w:rFonts w:ascii="Arial" w:hAnsi="Arial" w:cs="Arial"/>
                <w:sz w:val="22"/>
                <w:szCs w:val="22"/>
              </w:rPr>
              <w:t>.</w:t>
            </w:r>
          </w:p>
          <w:p w:rsidR="001C0128" w:rsidRPr="001C0128" w:rsidRDefault="001C0128" w:rsidP="001C0128">
            <w:pPr>
              <w:rPr>
                <w:rFonts w:ascii="Arial" w:hAnsi="Arial" w:cs="Arial"/>
                <w:b/>
                <w:sz w:val="22"/>
                <w:szCs w:val="22"/>
              </w:rPr>
            </w:pPr>
          </w:p>
          <w:p w:rsidR="001C0128" w:rsidRPr="001C0128" w:rsidRDefault="001C0128" w:rsidP="001C0128">
            <w:pPr>
              <w:rPr>
                <w:rFonts w:ascii="Arial" w:hAnsi="Arial" w:cs="Arial"/>
                <w:b/>
                <w:sz w:val="22"/>
                <w:szCs w:val="22"/>
              </w:rPr>
            </w:pPr>
            <w:r w:rsidRPr="001C0128">
              <w:rPr>
                <w:rFonts w:ascii="Arial" w:hAnsi="Arial" w:cs="Arial"/>
                <w:b/>
                <w:sz w:val="22"/>
                <w:szCs w:val="22"/>
              </w:rPr>
              <w:t>MRSA</w:t>
            </w:r>
          </w:p>
          <w:p w:rsidR="001C0128" w:rsidRPr="001C0128" w:rsidRDefault="001C0128" w:rsidP="001C0128">
            <w:pPr>
              <w:rPr>
                <w:rFonts w:ascii="Arial" w:hAnsi="Arial" w:cs="Arial"/>
                <w:b/>
                <w:sz w:val="22"/>
                <w:szCs w:val="22"/>
              </w:rPr>
            </w:pPr>
          </w:p>
          <w:p w:rsidR="00361929" w:rsidRDefault="001C0128" w:rsidP="00815FA9">
            <w:pPr>
              <w:rPr>
                <w:rFonts w:ascii="Arial" w:hAnsi="Arial" w:cs="Arial"/>
                <w:sz w:val="22"/>
                <w:szCs w:val="22"/>
              </w:rPr>
            </w:pPr>
            <w:r w:rsidRPr="001C0128">
              <w:rPr>
                <w:rFonts w:ascii="Arial" w:hAnsi="Arial" w:cs="Arial"/>
                <w:sz w:val="22"/>
                <w:szCs w:val="22"/>
              </w:rPr>
              <w:t>We have had 2 cases of MRSA in 2015/16, this measure has a zero tolerance as the target and as such the 2015/16 target will not be achieved.  All MRSA cases are fully reviewed by the infection con</w:t>
            </w:r>
            <w:r w:rsidR="00815FA9">
              <w:rPr>
                <w:rFonts w:ascii="Arial" w:hAnsi="Arial" w:cs="Arial"/>
                <w:sz w:val="22"/>
                <w:szCs w:val="22"/>
              </w:rPr>
              <w:t>trol teams jointly with NLAG/General Practice</w:t>
            </w:r>
            <w:r w:rsidRPr="001C0128">
              <w:rPr>
                <w:rFonts w:ascii="Arial" w:hAnsi="Arial" w:cs="Arial"/>
                <w:sz w:val="22"/>
                <w:szCs w:val="22"/>
              </w:rPr>
              <w:t>/microbiology as appropriate</w:t>
            </w:r>
            <w:r w:rsidR="00815FA9">
              <w:rPr>
                <w:rFonts w:ascii="Arial" w:hAnsi="Arial" w:cs="Arial"/>
                <w:sz w:val="22"/>
                <w:szCs w:val="22"/>
              </w:rPr>
              <w:t>,</w:t>
            </w:r>
            <w:r w:rsidRPr="001C0128">
              <w:rPr>
                <w:rFonts w:ascii="Arial" w:hAnsi="Arial" w:cs="Arial"/>
                <w:sz w:val="22"/>
                <w:szCs w:val="22"/>
              </w:rPr>
              <w:t xml:space="preserve"> and action plans are formulated</w:t>
            </w:r>
            <w:r w:rsidR="00815FA9">
              <w:rPr>
                <w:rFonts w:ascii="Arial" w:hAnsi="Arial" w:cs="Arial"/>
                <w:sz w:val="22"/>
                <w:szCs w:val="22"/>
              </w:rPr>
              <w:t xml:space="preserve"> and monitored</w:t>
            </w:r>
            <w:r w:rsidRPr="001C0128">
              <w:rPr>
                <w:rFonts w:ascii="Arial" w:hAnsi="Arial" w:cs="Arial"/>
                <w:sz w:val="22"/>
                <w:szCs w:val="22"/>
              </w:rPr>
              <w:t xml:space="preserve"> for all cases</w:t>
            </w:r>
            <w:r w:rsidR="00815FA9">
              <w:rPr>
                <w:rFonts w:ascii="Arial" w:hAnsi="Arial" w:cs="Arial"/>
                <w:sz w:val="22"/>
                <w:szCs w:val="22"/>
              </w:rPr>
              <w:t xml:space="preserve">. </w:t>
            </w:r>
          </w:p>
          <w:p w:rsidR="00815FA9" w:rsidRPr="007B57A3" w:rsidRDefault="00815FA9" w:rsidP="00815FA9">
            <w:pPr>
              <w:rPr>
                <w:rFonts w:ascii="Arial" w:hAnsi="Arial" w:cs="Arial"/>
                <w:b/>
                <w:bCs/>
                <w:sz w:val="22"/>
                <w:szCs w:val="22"/>
              </w:rPr>
            </w:pPr>
          </w:p>
          <w:p w:rsidR="00B37AF2" w:rsidRPr="007B57A3" w:rsidRDefault="00361929" w:rsidP="00DA5437">
            <w:pPr>
              <w:spacing w:line="276" w:lineRule="auto"/>
              <w:jc w:val="both"/>
              <w:rPr>
                <w:rFonts w:ascii="Arial" w:hAnsi="Arial" w:cs="Arial"/>
                <w:b/>
                <w:bCs/>
                <w:sz w:val="22"/>
                <w:szCs w:val="22"/>
              </w:rPr>
            </w:pPr>
            <w:r w:rsidRPr="007B57A3">
              <w:rPr>
                <w:rFonts w:ascii="Arial" w:hAnsi="Arial" w:cs="Arial"/>
                <w:b/>
                <w:bCs/>
                <w:sz w:val="22"/>
                <w:szCs w:val="22"/>
              </w:rPr>
              <w:t xml:space="preserve">C. </w:t>
            </w:r>
            <w:r w:rsidR="00DA5437" w:rsidRPr="007B57A3">
              <w:rPr>
                <w:rFonts w:ascii="Arial" w:hAnsi="Arial" w:cs="Arial"/>
                <w:b/>
                <w:bCs/>
                <w:sz w:val="22"/>
                <w:szCs w:val="22"/>
              </w:rPr>
              <w:t xml:space="preserve"> </w:t>
            </w:r>
            <w:r w:rsidR="00B37AF2" w:rsidRPr="007B57A3">
              <w:rPr>
                <w:rFonts w:ascii="Arial" w:hAnsi="Arial" w:cs="Arial"/>
                <w:b/>
                <w:bCs/>
                <w:sz w:val="22"/>
                <w:szCs w:val="22"/>
              </w:rPr>
              <w:t>Serious Untoward Events</w:t>
            </w:r>
            <w:r w:rsidR="00FE7C71" w:rsidRPr="007B57A3">
              <w:rPr>
                <w:rFonts w:ascii="Arial" w:hAnsi="Arial" w:cs="Arial"/>
                <w:b/>
                <w:bCs/>
                <w:sz w:val="22"/>
                <w:szCs w:val="22"/>
              </w:rPr>
              <w:t xml:space="preserve"> </w:t>
            </w:r>
          </w:p>
          <w:p w:rsidR="00D305B9" w:rsidRPr="00D305B9" w:rsidRDefault="00D305B9" w:rsidP="00D305B9">
            <w:pPr>
              <w:spacing w:line="276" w:lineRule="auto"/>
              <w:jc w:val="both"/>
              <w:rPr>
                <w:rFonts w:ascii="Arial" w:eastAsia="Calibri" w:hAnsi="Arial" w:cs="Arial"/>
                <w:color w:val="FF0000"/>
                <w:sz w:val="22"/>
                <w:szCs w:val="22"/>
                <w:lang w:eastAsia="en-US"/>
              </w:rPr>
            </w:pPr>
          </w:p>
          <w:p w:rsidR="00D305B9" w:rsidRPr="00D305B9" w:rsidRDefault="00D305B9" w:rsidP="00D305B9">
            <w:pPr>
              <w:autoSpaceDE w:val="0"/>
              <w:autoSpaceDN w:val="0"/>
              <w:spacing w:line="276" w:lineRule="auto"/>
              <w:jc w:val="both"/>
              <w:rPr>
                <w:rFonts w:ascii="Arial" w:eastAsia="Calibri" w:hAnsi="Arial" w:cs="Arial"/>
                <w:color w:val="000000"/>
                <w:sz w:val="22"/>
                <w:szCs w:val="22"/>
              </w:rPr>
            </w:pPr>
            <w:r w:rsidRPr="00D305B9">
              <w:rPr>
                <w:rFonts w:ascii="Arial" w:eastAsia="Calibri" w:hAnsi="Arial" w:cs="Arial"/>
                <w:color w:val="000000"/>
                <w:sz w:val="22"/>
                <w:szCs w:val="22"/>
              </w:rPr>
              <w:t>NELCCG commission Yorkshire and Humber Commissioning Support to manage the Serious Incident (SI) process working collaboratively where appropriate with North Lincolnshire CCG and Humber CCGs.</w:t>
            </w:r>
          </w:p>
          <w:p w:rsidR="00D305B9" w:rsidRPr="00D305B9" w:rsidRDefault="00D305B9" w:rsidP="00D305B9">
            <w:pPr>
              <w:autoSpaceDE w:val="0"/>
              <w:autoSpaceDN w:val="0"/>
              <w:spacing w:line="276" w:lineRule="auto"/>
              <w:jc w:val="both"/>
              <w:rPr>
                <w:rFonts w:ascii="Arial" w:eastAsia="Calibri" w:hAnsi="Arial" w:cs="Arial"/>
                <w:color w:val="000000"/>
                <w:sz w:val="22"/>
                <w:szCs w:val="22"/>
              </w:rPr>
            </w:pPr>
          </w:p>
          <w:p w:rsidR="00815FA9" w:rsidRDefault="00D305B9" w:rsidP="00D305B9">
            <w:pPr>
              <w:autoSpaceDE w:val="0"/>
              <w:autoSpaceDN w:val="0"/>
              <w:spacing w:line="276" w:lineRule="auto"/>
              <w:jc w:val="both"/>
              <w:rPr>
                <w:rFonts w:ascii="Arial" w:eastAsia="Calibri" w:hAnsi="Arial" w:cs="Arial"/>
                <w:color w:val="000000"/>
                <w:sz w:val="22"/>
                <w:szCs w:val="22"/>
                <w:lang w:eastAsia="en-US"/>
              </w:rPr>
            </w:pPr>
            <w:r w:rsidRPr="00D305B9">
              <w:rPr>
                <w:rFonts w:ascii="Arial" w:eastAsia="Calibri" w:hAnsi="Arial" w:cs="Arial"/>
                <w:color w:val="000000"/>
                <w:sz w:val="22"/>
                <w:szCs w:val="22"/>
              </w:rPr>
              <w:t>The monthly report gives an overview of the Serious Incidents reported by each provider, including new Serious incidents reported, the quality of completed investigations (including meeting timescales) and a review of key themes and trends from completed investigations. A monthly meeting with the provider to discuss each report also provides further assurance and scrutiny, this process also oversees the completion of action plans.</w:t>
            </w:r>
            <w:r w:rsidRPr="00D305B9">
              <w:rPr>
                <w:rFonts w:ascii="Arial" w:eastAsia="Calibri" w:hAnsi="Arial" w:cs="Arial"/>
                <w:color w:val="000000"/>
                <w:sz w:val="22"/>
                <w:szCs w:val="22"/>
                <w:lang w:eastAsia="en-US"/>
              </w:rPr>
              <w:t xml:space="preserve"> </w:t>
            </w:r>
          </w:p>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The table below gives an indication of all Serious Incidents reported by NELCCG providers.  The NL&amp;G SI meetings are undertaken as a collaborative approach with NLCCG, ERYCCG and Lincolnshire CCGs the numbers shown below for NL&amp;G include patient</w:t>
            </w:r>
            <w:r>
              <w:rPr>
                <w:rFonts w:ascii="Arial" w:eastAsia="Calibri" w:hAnsi="Arial" w:cs="Arial"/>
                <w:color w:val="000000"/>
                <w:sz w:val="22"/>
                <w:szCs w:val="22"/>
                <w:lang w:eastAsia="en-US"/>
              </w:rPr>
              <w:t xml:space="preserve">s from all </w:t>
            </w:r>
            <w:r w:rsidRPr="00D305B9">
              <w:rPr>
                <w:rFonts w:ascii="Arial" w:eastAsia="Calibri" w:hAnsi="Arial" w:cs="Arial"/>
                <w:color w:val="000000"/>
                <w:sz w:val="22"/>
                <w:szCs w:val="22"/>
                <w:lang w:eastAsia="en-US"/>
              </w:rPr>
              <w:t>areas. The other provider figures are North East Lincolnshire patients only.</w:t>
            </w:r>
          </w:p>
          <w:p w:rsidR="002124A8" w:rsidRPr="00D305B9" w:rsidRDefault="002124A8" w:rsidP="00D305B9">
            <w:pPr>
              <w:autoSpaceDE w:val="0"/>
              <w:autoSpaceDN w:val="0"/>
              <w:spacing w:line="276" w:lineRule="auto"/>
              <w:jc w:val="both"/>
              <w:rPr>
                <w:rFonts w:ascii="Arial" w:eastAsia="Calibri" w:hAnsi="Arial" w:cs="Arial"/>
                <w:color w:val="000000"/>
                <w:sz w:val="22"/>
                <w:szCs w:val="22"/>
                <w:lang w:eastAsia="en-US"/>
              </w:rPr>
            </w:pPr>
          </w:p>
          <w:tbl>
            <w:tblPr>
              <w:tblW w:w="9204" w:type="dxa"/>
              <w:tblLayout w:type="fixed"/>
              <w:tblCellMar>
                <w:left w:w="0" w:type="dxa"/>
                <w:right w:w="0" w:type="dxa"/>
              </w:tblCellMar>
              <w:tblLook w:val="04A0" w:firstRow="1" w:lastRow="0" w:firstColumn="1" w:lastColumn="0" w:noHBand="0" w:noVBand="1"/>
            </w:tblPr>
            <w:tblGrid>
              <w:gridCol w:w="1215"/>
              <w:gridCol w:w="692"/>
              <w:gridCol w:w="693"/>
              <w:gridCol w:w="904"/>
              <w:gridCol w:w="692"/>
              <w:gridCol w:w="904"/>
              <w:gridCol w:w="1269"/>
              <w:gridCol w:w="1276"/>
              <w:gridCol w:w="1559"/>
            </w:tblGrid>
            <w:tr w:rsidR="00D305B9" w:rsidRPr="00D305B9" w:rsidTr="00D305B9">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August 2015  Report</w:t>
                  </w:r>
                </w:p>
              </w:tc>
              <w:tc>
                <w:tcPr>
                  <w:tcW w:w="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NL&amp;G</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CPG</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proofErr w:type="spellStart"/>
                  <w:r w:rsidRPr="00D305B9">
                    <w:rPr>
                      <w:rFonts w:ascii="Arial" w:eastAsia="Calibri" w:hAnsi="Arial" w:cs="Arial"/>
                      <w:color w:val="000000"/>
                      <w:sz w:val="22"/>
                      <w:szCs w:val="22"/>
                      <w:lang w:eastAsia="en-US"/>
                    </w:rPr>
                    <w:t>NAViGO</w:t>
                  </w:r>
                  <w:proofErr w:type="spellEnd"/>
                </w:p>
              </w:tc>
              <w:tc>
                <w:tcPr>
                  <w:tcW w:w="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HEY</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LPFT</w:t>
                  </w:r>
                </w:p>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CAMHS</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proofErr w:type="spellStart"/>
                  <w:r w:rsidRPr="00D305B9">
                    <w:rPr>
                      <w:rFonts w:ascii="Arial" w:eastAsia="Calibri" w:hAnsi="Arial" w:cs="Arial"/>
                      <w:color w:val="000000"/>
                      <w:sz w:val="22"/>
                      <w:szCs w:val="22"/>
                      <w:lang w:eastAsia="en-US"/>
                    </w:rPr>
                    <w:t>Yarb</w:t>
                  </w:r>
                  <w:proofErr w:type="spellEnd"/>
                  <w:r w:rsidRPr="00D305B9">
                    <w:rPr>
                      <w:rFonts w:ascii="Arial" w:eastAsia="Calibri" w:hAnsi="Arial" w:cs="Arial"/>
                      <w:color w:val="000000"/>
                      <w:sz w:val="22"/>
                      <w:szCs w:val="22"/>
                      <w:lang w:eastAsia="en-US"/>
                    </w:rPr>
                    <w:t>/Clee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Core Care Links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0"/>
                      <w:szCs w:val="20"/>
                    </w:rPr>
                    <w:t>Co-</w:t>
                  </w:r>
                  <w:proofErr w:type="spellStart"/>
                  <w:r w:rsidRPr="00D305B9">
                    <w:rPr>
                      <w:rFonts w:ascii="Arial" w:eastAsia="Calibri" w:hAnsi="Arial" w:cs="Arial"/>
                      <w:color w:val="000000"/>
                      <w:sz w:val="20"/>
                      <w:szCs w:val="20"/>
                    </w:rPr>
                    <w:t>comm</w:t>
                  </w:r>
                  <w:proofErr w:type="spellEnd"/>
                  <w:r w:rsidRPr="00D305B9">
                    <w:rPr>
                      <w:rFonts w:ascii="Arial" w:eastAsia="Calibri" w:hAnsi="Arial" w:cs="Arial"/>
                      <w:color w:val="000000"/>
                      <w:sz w:val="20"/>
                      <w:szCs w:val="20"/>
                    </w:rPr>
                    <w:t xml:space="preserve"> Primary Care</w:t>
                  </w:r>
                </w:p>
              </w:tc>
            </w:tr>
            <w:tr w:rsidR="00D305B9" w:rsidRPr="00D305B9" w:rsidTr="00D305B9">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05B9" w:rsidRPr="00D305B9" w:rsidRDefault="00D305B9" w:rsidP="00D305B9">
                  <w:pPr>
                    <w:rPr>
                      <w:rFonts w:ascii="Arial" w:eastAsia="Calibri" w:hAnsi="Arial" w:cs="Arial"/>
                      <w:sz w:val="20"/>
                      <w:szCs w:val="20"/>
                      <w:lang w:eastAsia="en-US"/>
                    </w:rPr>
                  </w:pPr>
                  <w:r w:rsidRPr="00D305B9">
                    <w:rPr>
                      <w:rFonts w:ascii="Arial" w:eastAsia="Calibri" w:hAnsi="Arial" w:cs="Arial"/>
                      <w:sz w:val="20"/>
                      <w:szCs w:val="20"/>
                      <w:lang w:eastAsia="en-US"/>
                    </w:rPr>
                    <w:t xml:space="preserve">Serious Incidents reported during  </w:t>
                  </w:r>
                </w:p>
                <w:p w:rsidR="00D305B9" w:rsidRPr="00D305B9" w:rsidRDefault="00D305B9" w:rsidP="00D305B9">
                  <w:pPr>
                    <w:rPr>
                      <w:rFonts w:ascii="Arial" w:eastAsia="Calibri" w:hAnsi="Arial" w:cs="Arial"/>
                      <w:sz w:val="20"/>
                      <w:szCs w:val="20"/>
                      <w:u w:val="single"/>
                      <w:lang w:eastAsia="en-US"/>
                    </w:rPr>
                  </w:pPr>
                  <w:r w:rsidRPr="00D305B9">
                    <w:rPr>
                      <w:rFonts w:ascii="Arial" w:eastAsia="Calibri" w:hAnsi="Arial" w:cs="Arial"/>
                      <w:sz w:val="20"/>
                      <w:szCs w:val="20"/>
                      <w:u w:val="single"/>
                      <w:lang w:eastAsia="en-US"/>
                    </w:rPr>
                    <w:t>2014-15 (total)</w:t>
                  </w:r>
                </w:p>
                <w:p w:rsidR="00D305B9" w:rsidRPr="00D305B9" w:rsidRDefault="00D305B9" w:rsidP="00D305B9">
                  <w:pPr>
                    <w:rPr>
                      <w:rFonts w:ascii="Arial" w:eastAsia="Calibri" w:hAnsi="Arial" w:cs="Arial"/>
                      <w:sz w:val="20"/>
                      <w:szCs w:val="20"/>
                      <w:lang w:eastAsia="en-US"/>
                    </w:rPr>
                  </w:pP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79</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21</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r>
            <w:tr w:rsidR="00D305B9" w:rsidRPr="00D305B9" w:rsidTr="00D305B9">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05B9" w:rsidRPr="00D305B9" w:rsidRDefault="00D305B9" w:rsidP="00D305B9">
                  <w:pPr>
                    <w:rPr>
                      <w:rFonts w:ascii="Arial" w:eastAsia="Calibri" w:hAnsi="Arial" w:cs="Arial"/>
                      <w:sz w:val="20"/>
                      <w:szCs w:val="20"/>
                      <w:lang w:eastAsia="en-US"/>
                    </w:rPr>
                  </w:pPr>
                  <w:r w:rsidRPr="00D305B9">
                    <w:rPr>
                      <w:rFonts w:ascii="Arial" w:eastAsia="Calibri" w:hAnsi="Arial" w:cs="Arial"/>
                      <w:sz w:val="20"/>
                      <w:szCs w:val="20"/>
                      <w:lang w:eastAsia="en-US"/>
                    </w:rPr>
                    <w:t>Serious Incidents reported at this point in 2014/15</w:t>
                  </w:r>
                </w:p>
                <w:p w:rsidR="00D305B9" w:rsidRPr="00D305B9" w:rsidRDefault="00D305B9" w:rsidP="00D305B9">
                  <w:pPr>
                    <w:rPr>
                      <w:rFonts w:ascii="Arial" w:eastAsia="Calibri" w:hAnsi="Arial" w:cs="Arial"/>
                      <w:sz w:val="20"/>
                      <w:szCs w:val="20"/>
                      <w:lang w:eastAsia="en-US"/>
                    </w:rPr>
                  </w:pP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29</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18</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1</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r>
            <w:tr w:rsidR="00D305B9" w:rsidRPr="00D305B9" w:rsidTr="00D305B9">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05B9" w:rsidRPr="00D305B9" w:rsidRDefault="00D305B9" w:rsidP="00D305B9">
                  <w:pPr>
                    <w:rPr>
                      <w:rFonts w:ascii="Arial" w:eastAsia="Calibri" w:hAnsi="Arial" w:cs="Arial"/>
                      <w:sz w:val="20"/>
                      <w:szCs w:val="20"/>
                      <w:u w:val="single"/>
                      <w:lang w:eastAsia="en-US"/>
                    </w:rPr>
                  </w:pPr>
                  <w:r w:rsidRPr="00D305B9">
                    <w:rPr>
                      <w:rFonts w:ascii="Arial" w:eastAsia="Calibri" w:hAnsi="Arial" w:cs="Arial"/>
                      <w:sz w:val="20"/>
                      <w:szCs w:val="20"/>
                      <w:lang w:eastAsia="en-US"/>
                    </w:rPr>
                    <w:t xml:space="preserve">Serious Incidents logged </w:t>
                  </w:r>
                  <w:r w:rsidRPr="00D305B9">
                    <w:rPr>
                      <w:rFonts w:ascii="Arial" w:eastAsia="Calibri" w:hAnsi="Arial" w:cs="Arial"/>
                      <w:sz w:val="20"/>
                      <w:szCs w:val="20"/>
                      <w:u w:val="single"/>
                      <w:lang w:eastAsia="en-US"/>
                    </w:rPr>
                    <w:t>YTD 15-16</w:t>
                  </w:r>
                </w:p>
                <w:p w:rsidR="00D305B9" w:rsidRPr="00D305B9" w:rsidRDefault="00D305B9" w:rsidP="00D305B9">
                  <w:pPr>
                    <w:rPr>
                      <w:rFonts w:ascii="Arial" w:eastAsia="Calibri" w:hAnsi="Arial" w:cs="Arial"/>
                      <w:sz w:val="20"/>
                      <w:szCs w:val="20"/>
                      <w:lang w:eastAsia="en-US"/>
                    </w:rPr>
                  </w:pP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13</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3</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5</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1</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1</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1</w:t>
                  </w:r>
                </w:p>
                <w:p w:rsidR="00D305B9" w:rsidRPr="00D305B9" w:rsidRDefault="00D305B9" w:rsidP="00D305B9">
                  <w:pPr>
                    <w:jc w:val="center"/>
                    <w:rPr>
                      <w:rFonts w:ascii="Arial" w:eastAsia="Calibri" w:hAnsi="Arial" w:cs="Arial"/>
                      <w:sz w:val="20"/>
                      <w:szCs w:val="20"/>
                      <w:lang w:eastAsia="en-US"/>
                    </w:rPr>
                  </w:pPr>
                </w:p>
              </w:tc>
            </w:tr>
            <w:tr w:rsidR="00D305B9" w:rsidRPr="00D305B9" w:rsidTr="00D305B9">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5B9" w:rsidRPr="00D305B9" w:rsidRDefault="00D305B9" w:rsidP="00D305B9">
                  <w:pPr>
                    <w:autoSpaceDE w:val="0"/>
                    <w:autoSpaceDN w:val="0"/>
                    <w:spacing w:line="276" w:lineRule="auto"/>
                    <w:jc w:val="both"/>
                    <w:rPr>
                      <w:rFonts w:ascii="Arial" w:eastAsia="Calibri" w:hAnsi="Arial" w:cs="Arial"/>
                      <w:color w:val="000000"/>
                      <w:sz w:val="22"/>
                      <w:szCs w:val="22"/>
                      <w:u w:val="single"/>
                      <w:lang w:eastAsia="en-US"/>
                    </w:rPr>
                  </w:pPr>
                  <w:r w:rsidRPr="00D305B9">
                    <w:rPr>
                      <w:rFonts w:ascii="Arial" w:eastAsia="Calibri" w:hAnsi="Arial" w:cs="Arial"/>
                      <w:color w:val="000000"/>
                      <w:sz w:val="22"/>
                      <w:szCs w:val="22"/>
                      <w:lang w:eastAsia="en-US"/>
                    </w:rPr>
                    <w:t xml:space="preserve">Serious Incidents De Logged </w:t>
                  </w:r>
                  <w:r w:rsidRPr="00D305B9">
                    <w:rPr>
                      <w:rFonts w:ascii="Arial" w:eastAsia="Calibri" w:hAnsi="Arial" w:cs="Arial"/>
                      <w:color w:val="000000"/>
                      <w:sz w:val="22"/>
                      <w:szCs w:val="22"/>
                      <w:u w:val="single"/>
                      <w:lang w:eastAsia="en-US"/>
                    </w:rPr>
                    <w:t>YTD 15-16</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1</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1</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5B9" w:rsidRPr="00D305B9" w:rsidRDefault="00D305B9" w:rsidP="00D305B9">
                  <w:pPr>
                    <w:autoSpaceDE w:val="0"/>
                    <w:autoSpaceDN w:val="0"/>
                    <w:spacing w:line="276" w:lineRule="auto"/>
                    <w:jc w:val="center"/>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t>0</w:t>
                  </w:r>
                </w:p>
              </w:tc>
            </w:tr>
            <w:tr w:rsidR="00D305B9" w:rsidRPr="00D305B9" w:rsidTr="00D305B9">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692"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904"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692"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904"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r>
            <w:tr w:rsidR="00D305B9" w:rsidRPr="00D305B9" w:rsidTr="00D305B9">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5B9" w:rsidRPr="00D305B9" w:rsidRDefault="00D305B9" w:rsidP="00D305B9">
                  <w:pPr>
                    <w:rPr>
                      <w:rFonts w:ascii="Arial" w:eastAsia="Calibri" w:hAnsi="Arial" w:cs="Arial"/>
                      <w:sz w:val="20"/>
                      <w:szCs w:val="20"/>
                      <w:lang w:eastAsia="en-US"/>
                    </w:rPr>
                  </w:pPr>
                  <w:r w:rsidRPr="00D305B9">
                    <w:rPr>
                      <w:rFonts w:ascii="Arial" w:eastAsia="Calibri" w:hAnsi="Arial" w:cs="Arial"/>
                      <w:sz w:val="20"/>
                      <w:szCs w:val="20"/>
                      <w:lang w:eastAsia="en-US"/>
                    </w:rPr>
                    <w:t>Never Events (NE) 15-16</w:t>
                  </w:r>
                </w:p>
              </w:tc>
              <w:tc>
                <w:tcPr>
                  <w:tcW w:w="692"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3*</w:t>
                  </w:r>
                </w:p>
              </w:tc>
              <w:tc>
                <w:tcPr>
                  <w:tcW w:w="69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904"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692"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904"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1269"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1276"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c>
                <w:tcPr>
                  <w:tcW w:w="1559"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D305B9" w:rsidRPr="00D305B9" w:rsidRDefault="00D305B9" w:rsidP="00D305B9">
                  <w:pPr>
                    <w:jc w:val="center"/>
                    <w:rPr>
                      <w:rFonts w:ascii="Arial" w:eastAsia="Calibri" w:hAnsi="Arial" w:cs="Arial"/>
                      <w:sz w:val="20"/>
                      <w:szCs w:val="20"/>
                      <w:lang w:eastAsia="en-US"/>
                    </w:rPr>
                  </w:pPr>
                  <w:r w:rsidRPr="00D305B9">
                    <w:rPr>
                      <w:rFonts w:ascii="Arial" w:eastAsia="Calibri" w:hAnsi="Arial" w:cs="Arial"/>
                      <w:sz w:val="20"/>
                      <w:szCs w:val="20"/>
                      <w:lang w:eastAsia="en-US"/>
                    </w:rPr>
                    <w:t>0</w:t>
                  </w:r>
                </w:p>
              </w:tc>
            </w:tr>
            <w:tr w:rsidR="00D305B9" w:rsidRPr="00D305B9" w:rsidTr="00D305B9">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692"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693"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904"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692"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904"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305B9" w:rsidRPr="00D305B9" w:rsidRDefault="00D305B9" w:rsidP="00D305B9">
                  <w:pPr>
                    <w:autoSpaceDE w:val="0"/>
                    <w:autoSpaceDN w:val="0"/>
                    <w:spacing w:line="276" w:lineRule="auto"/>
                    <w:jc w:val="both"/>
                    <w:rPr>
                      <w:rFonts w:ascii="Arial" w:eastAsia="Calibri" w:hAnsi="Arial" w:cs="Arial"/>
                      <w:color w:val="000000"/>
                      <w:sz w:val="22"/>
                      <w:szCs w:val="22"/>
                      <w:lang w:eastAsia="en-US"/>
                    </w:rPr>
                  </w:pPr>
                </w:p>
              </w:tc>
            </w:tr>
          </w:tbl>
          <w:p w:rsidR="002124A8" w:rsidRDefault="002124A8" w:rsidP="002124A8">
            <w:pPr>
              <w:rPr>
                <w:rFonts w:ascii="Calibri" w:eastAsia="Calibri" w:hAnsi="Calibri"/>
                <w:color w:val="1F497D"/>
                <w:sz w:val="22"/>
                <w:szCs w:val="22"/>
                <w:lang w:eastAsia="en-US"/>
              </w:rPr>
            </w:pPr>
          </w:p>
          <w:p w:rsidR="007B57A3" w:rsidRPr="00D67619" w:rsidRDefault="00D305B9" w:rsidP="002C5522">
            <w:pPr>
              <w:numPr>
                <w:ilvl w:val="0"/>
                <w:numId w:val="33"/>
              </w:numPr>
              <w:spacing w:line="276" w:lineRule="auto"/>
              <w:jc w:val="both"/>
              <w:rPr>
                <w:rFonts w:eastAsiaTheme="minorHAnsi"/>
                <w:sz w:val="22"/>
                <w:szCs w:val="22"/>
                <w:lang w:eastAsia="en-US"/>
              </w:rPr>
            </w:pPr>
            <w:r w:rsidRPr="00D305B9">
              <w:rPr>
                <w:rFonts w:ascii="Calibri" w:eastAsia="Calibri" w:hAnsi="Calibri"/>
                <w:color w:val="1F497D"/>
                <w:sz w:val="22"/>
                <w:szCs w:val="22"/>
                <w:lang w:eastAsia="en-US"/>
              </w:rPr>
              <w:t xml:space="preserve">3x Never Events </w:t>
            </w:r>
          </w:p>
          <w:p w:rsidR="00D67619" w:rsidRPr="00D67619" w:rsidRDefault="00D67619" w:rsidP="00D67619">
            <w:pPr>
              <w:spacing w:line="276" w:lineRule="auto"/>
              <w:ind w:left="720"/>
              <w:jc w:val="both"/>
              <w:rPr>
                <w:rFonts w:eastAsiaTheme="minorHAnsi"/>
                <w:sz w:val="22"/>
                <w:szCs w:val="22"/>
                <w:lang w:eastAsia="en-US"/>
              </w:rPr>
            </w:pPr>
          </w:p>
          <w:tbl>
            <w:tblPr>
              <w:tblW w:w="6372" w:type="dxa"/>
              <w:jc w:val="center"/>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5404"/>
              <w:gridCol w:w="968"/>
            </w:tblGrid>
            <w:tr w:rsidR="002124A8" w:rsidTr="002124A8">
              <w:trPr>
                <w:cantSplit/>
                <w:trHeight w:val="435"/>
                <w:tblHeader/>
                <w:jc w:val="center"/>
              </w:trPr>
              <w:tc>
                <w:tcPr>
                  <w:tcW w:w="5404" w:type="dxa"/>
                  <w:tcBorders>
                    <w:top w:val="single" w:sz="8" w:space="0" w:color="4F81BD"/>
                    <w:left w:val="single" w:sz="8" w:space="0" w:color="4F81BD"/>
                    <w:bottom w:val="single" w:sz="8" w:space="0" w:color="4F81BD"/>
                    <w:right w:val="single" w:sz="4" w:space="0" w:color="548DD4"/>
                  </w:tcBorders>
                  <w:hideMark/>
                </w:tcPr>
                <w:p w:rsidR="002124A8" w:rsidRDefault="002124A8" w:rsidP="00664048">
                  <w:pPr>
                    <w:spacing w:line="276" w:lineRule="auto"/>
                    <w:rPr>
                      <w:rFonts w:ascii="Arial" w:hAnsi="Arial" w:cs="Arial"/>
                      <w:bCs/>
                      <w:sz w:val="20"/>
                      <w:szCs w:val="20"/>
                    </w:rPr>
                  </w:pPr>
                  <w:r>
                    <w:rPr>
                      <w:rFonts w:ascii="Arial" w:hAnsi="Arial" w:cs="Arial"/>
                      <w:bCs/>
                      <w:color w:val="FF0000"/>
                      <w:sz w:val="20"/>
                      <w:szCs w:val="20"/>
                    </w:rPr>
                    <w:t xml:space="preserve">NEVER EVENT </w:t>
                  </w:r>
                  <w:r>
                    <w:rPr>
                      <w:rFonts w:ascii="Arial" w:hAnsi="Arial" w:cs="Arial"/>
                      <w:bCs/>
                      <w:sz w:val="20"/>
                      <w:szCs w:val="20"/>
                    </w:rPr>
                    <w:t>– Wrong Implant              (NELCCG Pt.)</w:t>
                  </w:r>
                </w:p>
              </w:tc>
              <w:tc>
                <w:tcPr>
                  <w:tcW w:w="968" w:type="dxa"/>
                  <w:tcBorders>
                    <w:top w:val="single" w:sz="8" w:space="0" w:color="4F81BD"/>
                    <w:left w:val="single" w:sz="4" w:space="0" w:color="548DD4"/>
                    <w:bottom w:val="single" w:sz="8" w:space="0" w:color="4F81BD"/>
                    <w:right w:val="single" w:sz="4" w:space="0" w:color="548DD4"/>
                  </w:tcBorders>
                  <w:vAlign w:val="center"/>
                  <w:hideMark/>
                </w:tcPr>
                <w:p w:rsidR="002124A8" w:rsidRDefault="002124A8" w:rsidP="00664048">
                  <w:pPr>
                    <w:spacing w:line="276" w:lineRule="auto"/>
                    <w:jc w:val="center"/>
                    <w:rPr>
                      <w:rFonts w:ascii="Arial" w:hAnsi="Arial" w:cs="Arial"/>
                      <w:bCs/>
                      <w:sz w:val="20"/>
                      <w:szCs w:val="20"/>
                    </w:rPr>
                  </w:pPr>
                  <w:r>
                    <w:rPr>
                      <w:rFonts w:ascii="Arial" w:hAnsi="Arial" w:cs="Arial"/>
                      <w:bCs/>
                      <w:sz w:val="20"/>
                      <w:szCs w:val="20"/>
                    </w:rPr>
                    <w:t>1</w:t>
                  </w:r>
                </w:p>
              </w:tc>
            </w:tr>
            <w:tr w:rsidR="002124A8" w:rsidTr="002124A8">
              <w:trPr>
                <w:cantSplit/>
                <w:trHeight w:val="435"/>
                <w:tblHeader/>
                <w:jc w:val="center"/>
              </w:trPr>
              <w:tc>
                <w:tcPr>
                  <w:tcW w:w="5404" w:type="dxa"/>
                  <w:tcBorders>
                    <w:top w:val="single" w:sz="8" w:space="0" w:color="4F81BD"/>
                    <w:left w:val="single" w:sz="8" w:space="0" w:color="4F81BD"/>
                    <w:bottom w:val="single" w:sz="8" w:space="0" w:color="4F81BD"/>
                    <w:right w:val="single" w:sz="4" w:space="0" w:color="548DD4"/>
                  </w:tcBorders>
                  <w:hideMark/>
                </w:tcPr>
                <w:p w:rsidR="002124A8" w:rsidRDefault="002124A8" w:rsidP="00664048">
                  <w:pPr>
                    <w:spacing w:line="276" w:lineRule="auto"/>
                    <w:rPr>
                      <w:rFonts w:ascii="Arial" w:hAnsi="Arial" w:cs="Arial"/>
                      <w:bCs/>
                      <w:sz w:val="20"/>
                      <w:szCs w:val="20"/>
                    </w:rPr>
                  </w:pPr>
                  <w:r>
                    <w:rPr>
                      <w:rFonts w:ascii="Arial" w:hAnsi="Arial" w:cs="Arial"/>
                      <w:bCs/>
                      <w:color w:val="FF0000"/>
                      <w:sz w:val="20"/>
                      <w:szCs w:val="20"/>
                    </w:rPr>
                    <w:t xml:space="preserve">NEVER EVENT </w:t>
                  </w:r>
                  <w:r>
                    <w:rPr>
                      <w:rFonts w:ascii="Arial" w:hAnsi="Arial" w:cs="Arial"/>
                      <w:bCs/>
                      <w:sz w:val="20"/>
                      <w:szCs w:val="20"/>
                    </w:rPr>
                    <w:t>– Wrong Site Surgery      (LECCG Pt.)</w:t>
                  </w:r>
                </w:p>
              </w:tc>
              <w:tc>
                <w:tcPr>
                  <w:tcW w:w="968" w:type="dxa"/>
                  <w:tcBorders>
                    <w:top w:val="single" w:sz="8" w:space="0" w:color="4F81BD"/>
                    <w:left w:val="single" w:sz="4" w:space="0" w:color="548DD4"/>
                    <w:bottom w:val="single" w:sz="8" w:space="0" w:color="4F81BD"/>
                    <w:right w:val="single" w:sz="4" w:space="0" w:color="548DD4"/>
                  </w:tcBorders>
                  <w:vAlign w:val="center"/>
                  <w:hideMark/>
                </w:tcPr>
                <w:p w:rsidR="002124A8" w:rsidRDefault="002124A8" w:rsidP="00664048">
                  <w:pPr>
                    <w:spacing w:line="276" w:lineRule="auto"/>
                    <w:jc w:val="center"/>
                    <w:rPr>
                      <w:rFonts w:ascii="Arial" w:hAnsi="Arial" w:cs="Arial"/>
                      <w:bCs/>
                      <w:sz w:val="20"/>
                      <w:szCs w:val="20"/>
                    </w:rPr>
                  </w:pPr>
                  <w:r>
                    <w:rPr>
                      <w:rFonts w:ascii="Arial" w:hAnsi="Arial" w:cs="Arial"/>
                      <w:bCs/>
                      <w:sz w:val="20"/>
                      <w:szCs w:val="20"/>
                    </w:rPr>
                    <w:t>1</w:t>
                  </w:r>
                </w:p>
              </w:tc>
            </w:tr>
            <w:tr w:rsidR="002124A8" w:rsidTr="002124A8">
              <w:trPr>
                <w:cantSplit/>
                <w:trHeight w:val="435"/>
                <w:tblHeader/>
                <w:jc w:val="center"/>
              </w:trPr>
              <w:tc>
                <w:tcPr>
                  <w:tcW w:w="5404" w:type="dxa"/>
                  <w:tcBorders>
                    <w:top w:val="single" w:sz="8" w:space="0" w:color="4F81BD"/>
                    <w:left w:val="single" w:sz="8" w:space="0" w:color="4F81BD"/>
                    <w:bottom w:val="single" w:sz="8" w:space="0" w:color="4F81BD"/>
                    <w:right w:val="single" w:sz="4" w:space="0" w:color="548DD4"/>
                  </w:tcBorders>
                  <w:hideMark/>
                </w:tcPr>
                <w:p w:rsidR="002124A8" w:rsidRDefault="002124A8" w:rsidP="00664048">
                  <w:pPr>
                    <w:spacing w:line="276" w:lineRule="auto"/>
                    <w:rPr>
                      <w:rFonts w:ascii="Arial" w:hAnsi="Arial" w:cs="Arial"/>
                      <w:bCs/>
                      <w:color w:val="FF0000"/>
                      <w:sz w:val="20"/>
                      <w:szCs w:val="20"/>
                    </w:rPr>
                  </w:pPr>
                  <w:r>
                    <w:rPr>
                      <w:rFonts w:ascii="Arial" w:hAnsi="Arial" w:cs="Arial"/>
                      <w:bCs/>
                      <w:color w:val="FF0000"/>
                      <w:sz w:val="20"/>
                      <w:szCs w:val="20"/>
                    </w:rPr>
                    <w:t xml:space="preserve">NEVER EVENT - </w:t>
                  </w:r>
                  <w:r>
                    <w:rPr>
                      <w:rFonts w:ascii="Arial" w:hAnsi="Arial" w:cs="Arial"/>
                      <w:bCs/>
                      <w:sz w:val="20"/>
                      <w:szCs w:val="20"/>
                    </w:rPr>
                    <w:t>Retained foreign object post-procedure     (NELCCG Pt.)</w:t>
                  </w:r>
                </w:p>
              </w:tc>
              <w:tc>
                <w:tcPr>
                  <w:tcW w:w="968" w:type="dxa"/>
                  <w:tcBorders>
                    <w:top w:val="single" w:sz="8" w:space="0" w:color="4F81BD"/>
                    <w:left w:val="single" w:sz="4" w:space="0" w:color="548DD4"/>
                    <w:bottom w:val="single" w:sz="8" w:space="0" w:color="4F81BD"/>
                    <w:right w:val="single" w:sz="4" w:space="0" w:color="548DD4"/>
                  </w:tcBorders>
                  <w:vAlign w:val="center"/>
                  <w:hideMark/>
                </w:tcPr>
                <w:p w:rsidR="002124A8" w:rsidRDefault="002124A8" w:rsidP="00664048">
                  <w:pPr>
                    <w:spacing w:line="276" w:lineRule="auto"/>
                    <w:jc w:val="center"/>
                    <w:rPr>
                      <w:rFonts w:ascii="Arial" w:hAnsi="Arial" w:cs="Arial"/>
                      <w:bCs/>
                      <w:sz w:val="20"/>
                      <w:szCs w:val="20"/>
                    </w:rPr>
                  </w:pPr>
                  <w:r>
                    <w:rPr>
                      <w:rFonts w:ascii="Arial" w:hAnsi="Arial" w:cs="Arial"/>
                      <w:bCs/>
                      <w:sz w:val="20"/>
                      <w:szCs w:val="20"/>
                    </w:rPr>
                    <w:t>1</w:t>
                  </w:r>
                </w:p>
              </w:tc>
            </w:tr>
          </w:tbl>
          <w:p w:rsidR="002124A8" w:rsidRPr="007B57A3" w:rsidRDefault="002124A8" w:rsidP="002C5522">
            <w:pPr>
              <w:pStyle w:val="Default"/>
              <w:spacing w:line="276" w:lineRule="auto"/>
              <w:jc w:val="both"/>
              <w:rPr>
                <w:rFonts w:eastAsiaTheme="minorHAnsi"/>
                <w:sz w:val="22"/>
                <w:szCs w:val="22"/>
                <w:lang w:eastAsia="en-US"/>
              </w:rPr>
            </w:pPr>
          </w:p>
          <w:p w:rsidR="002124A8" w:rsidRPr="007B57A3" w:rsidRDefault="002124A8" w:rsidP="00DA5437">
            <w:pPr>
              <w:pStyle w:val="Default"/>
              <w:spacing w:line="276" w:lineRule="auto"/>
              <w:jc w:val="both"/>
              <w:rPr>
                <w:rFonts w:eastAsiaTheme="minorHAnsi"/>
                <w:sz w:val="22"/>
                <w:szCs w:val="22"/>
                <w:lang w:eastAsia="en-US"/>
              </w:rPr>
            </w:pPr>
            <w:bookmarkStart w:id="10" w:name="_MON_1497258249"/>
            <w:bookmarkEnd w:id="10"/>
          </w:p>
          <w:p w:rsidR="001555E0" w:rsidRPr="007B57A3" w:rsidRDefault="00361929" w:rsidP="00CF242E">
            <w:pPr>
              <w:spacing w:line="276" w:lineRule="auto"/>
              <w:jc w:val="both"/>
              <w:rPr>
                <w:rFonts w:ascii="Arial" w:hAnsi="Arial" w:cs="Arial"/>
                <w:b/>
                <w:sz w:val="22"/>
                <w:szCs w:val="22"/>
              </w:rPr>
            </w:pPr>
            <w:r w:rsidRPr="007B57A3">
              <w:rPr>
                <w:rFonts w:ascii="Arial" w:hAnsi="Arial" w:cs="Arial"/>
                <w:b/>
                <w:bCs/>
                <w:sz w:val="22"/>
                <w:szCs w:val="22"/>
              </w:rPr>
              <w:t>D</w:t>
            </w:r>
            <w:r w:rsidR="00CF242E" w:rsidRPr="007B57A3">
              <w:rPr>
                <w:rFonts w:ascii="Arial" w:hAnsi="Arial" w:cs="Arial"/>
                <w:b/>
                <w:bCs/>
                <w:sz w:val="22"/>
                <w:szCs w:val="22"/>
              </w:rPr>
              <w:t>.</w:t>
            </w:r>
            <w:r w:rsidR="00830CC4" w:rsidRPr="007B57A3">
              <w:rPr>
                <w:rFonts w:ascii="Arial" w:hAnsi="Arial" w:cs="Arial"/>
                <w:b/>
                <w:bCs/>
                <w:sz w:val="22"/>
                <w:szCs w:val="22"/>
              </w:rPr>
              <w:t xml:space="preserve">  </w:t>
            </w:r>
            <w:r w:rsidR="001555E0" w:rsidRPr="007B57A3">
              <w:rPr>
                <w:rFonts w:ascii="Arial" w:hAnsi="Arial" w:cs="Arial"/>
                <w:b/>
                <w:sz w:val="22"/>
                <w:szCs w:val="22"/>
              </w:rPr>
              <w:t>Standardised Hospital Mortality Index (SHMI)</w:t>
            </w:r>
          </w:p>
          <w:p w:rsidR="00286A2F" w:rsidRPr="007B57A3" w:rsidRDefault="00286A2F" w:rsidP="00830CC4">
            <w:pPr>
              <w:pStyle w:val="Default"/>
              <w:spacing w:line="276" w:lineRule="auto"/>
              <w:jc w:val="both"/>
              <w:rPr>
                <w:sz w:val="22"/>
                <w:szCs w:val="22"/>
              </w:rPr>
            </w:pPr>
          </w:p>
          <w:p w:rsidR="001C0128" w:rsidRDefault="00830CC4" w:rsidP="00830CC4">
            <w:pPr>
              <w:pStyle w:val="Default"/>
              <w:spacing w:line="276" w:lineRule="auto"/>
              <w:jc w:val="both"/>
              <w:rPr>
                <w:sz w:val="22"/>
                <w:szCs w:val="22"/>
              </w:rPr>
            </w:pPr>
            <w:r w:rsidRPr="007B57A3">
              <w:rPr>
                <w:sz w:val="22"/>
                <w:szCs w:val="22"/>
              </w:rPr>
              <w:t xml:space="preserve">The </w:t>
            </w:r>
            <w:r w:rsidRPr="007B57A3">
              <w:rPr>
                <w:bCs/>
                <w:sz w:val="22"/>
                <w:szCs w:val="22"/>
              </w:rPr>
              <w:t>North East Lincolnshire CCG</w:t>
            </w:r>
            <w:r w:rsidRPr="007B57A3">
              <w:rPr>
                <w:sz w:val="22"/>
                <w:szCs w:val="22"/>
              </w:rPr>
              <w:t xml:space="preserve"> Mortality group continues to meet to focus on mortality and</w:t>
            </w:r>
            <w:r w:rsidR="00286A2F" w:rsidRPr="007B57A3">
              <w:rPr>
                <w:sz w:val="22"/>
                <w:szCs w:val="22"/>
              </w:rPr>
              <w:t xml:space="preserve"> potential </w:t>
            </w:r>
            <w:r w:rsidRPr="007B57A3">
              <w:rPr>
                <w:sz w:val="22"/>
                <w:szCs w:val="22"/>
              </w:rPr>
              <w:t>premature deaths in North East Lincolnshire</w:t>
            </w:r>
            <w:r w:rsidR="00286A2F" w:rsidRPr="007B57A3">
              <w:rPr>
                <w:sz w:val="22"/>
                <w:szCs w:val="22"/>
              </w:rPr>
              <w:t>, with a particular focus on those occurring within 30 days of discharge.</w:t>
            </w:r>
            <w:r w:rsidRPr="007B57A3">
              <w:rPr>
                <w:sz w:val="22"/>
                <w:szCs w:val="22"/>
              </w:rPr>
              <w:t xml:space="preserve"> The </w:t>
            </w:r>
            <w:r w:rsidR="00286A2F" w:rsidRPr="007B57A3">
              <w:rPr>
                <w:sz w:val="22"/>
                <w:szCs w:val="22"/>
              </w:rPr>
              <w:t xml:space="preserve">CCG </w:t>
            </w:r>
            <w:r w:rsidRPr="007B57A3">
              <w:rPr>
                <w:sz w:val="22"/>
                <w:szCs w:val="22"/>
              </w:rPr>
              <w:t xml:space="preserve">group has prioritised </w:t>
            </w:r>
            <w:r w:rsidRPr="007B57A3">
              <w:rPr>
                <w:bCs/>
                <w:sz w:val="22"/>
                <w:szCs w:val="22"/>
              </w:rPr>
              <w:t>one of the work streams to work</w:t>
            </w:r>
            <w:r w:rsidRPr="007B57A3">
              <w:rPr>
                <w:sz w:val="22"/>
                <w:szCs w:val="22"/>
              </w:rPr>
              <w:t xml:space="preserve"> with Northern Lincolnshire &amp; Goole Foundation Trust</w:t>
            </w:r>
            <w:r w:rsidRPr="007B57A3">
              <w:rPr>
                <w:bCs/>
                <w:sz w:val="22"/>
                <w:szCs w:val="22"/>
              </w:rPr>
              <w:t xml:space="preserve"> (NLAG)</w:t>
            </w:r>
            <w:r w:rsidRPr="007B57A3">
              <w:rPr>
                <w:sz w:val="22"/>
                <w:szCs w:val="22"/>
              </w:rPr>
              <w:t xml:space="preserve"> to understand the published reports relating to SHMI, in particular where the Trust is a national outlier</w:t>
            </w:r>
            <w:r w:rsidR="00286A2F" w:rsidRPr="007B57A3">
              <w:rPr>
                <w:sz w:val="22"/>
                <w:szCs w:val="22"/>
              </w:rPr>
              <w:t>, and the CCG clinical lead for Quality also routinely attends the NLAG mortality meetings</w:t>
            </w:r>
            <w:r w:rsidRPr="007B57A3">
              <w:rPr>
                <w:bCs/>
                <w:sz w:val="22"/>
                <w:szCs w:val="22"/>
              </w:rPr>
              <w:t>.</w:t>
            </w:r>
            <w:r w:rsidRPr="007B57A3">
              <w:rPr>
                <w:sz w:val="22"/>
                <w:szCs w:val="22"/>
              </w:rPr>
              <w:t xml:space="preserve"> </w:t>
            </w:r>
            <w:r w:rsidR="001555E0" w:rsidRPr="007B57A3">
              <w:rPr>
                <w:sz w:val="22"/>
                <w:szCs w:val="22"/>
              </w:rPr>
              <w:t xml:space="preserve">The Commissioning support unit </w:t>
            </w:r>
            <w:r w:rsidR="00A44E34">
              <w:rPr>
                <w:sz w:val="22"/>
                <w:szCs w:val="22"/>
              </w:rPr>
              <w:t xml:space="preserve">also provides </w:t>
            </w:r>
            <w:r w:rsidR="00286A2F" w:rsidRPr="007B57A3">
              <w:rPr>
                <w:sz w:val="22"/>
                <w:szCs w:val="22"/>
              </w:rPr>
              <w:t xml:space="preserve">a SHMI </w:t>
            </w:r>
            <w:r w:rsidR="001555E0" w:rsidRPr="007B57A3">
              <w:rPr>
                <w:sz w:val="22"/>
                <w:szCs w:val="22"/>
              </w:rPr>
              <w:t xml:space="preserve">analysis report that will </w:t>
            </w:r>
            <w:r w:rsidR="00286A2F" w:rsidRPr="007B57A3">
              <w:rPr>
                <w:sz w:val="22"/>
                <w:szCs w:val="22"/>
              </w:rPr>
              <w:t xml:space="preserve">also </w:t>
            </w:r>
            <w:r w:rsidR="001555E0" w:rsidRPr="007B57A3">
              <w:rPr>
                <w:sz w:val="22"/>
                <w:szCs w:val="22"/>
              </w:rPr>
              <w:t xml:space="preserve">be routinely considered by the Mortality Action Group. </w:t>
            </w:r>
          </w:p>
          <w:p w:rsidR="00815FA9" w:rsidRPr="007B57A3" w:rsidRDefault="00815FA9" w:rsidP="00830CC4">
            <w:pPr>
              <w:pStyle w:val="Default"/>
              <w:spacing w:line="276" w:lineRule="auto"/>
              <w:jc w:val="both"/>
              <w:rPr>
                <w:sz w:val="22"/>
                <w:szCs w:val="22"/>
              </w:rPr>
            </w:pPr>
          </w:p>
          <w:p w:rsidR="00286A2F" w:rsidRDefault="00286A2F" w:rsidP="00830CC4">
            <w:pPr>
              <w:pStyle w:val="Default"/>
              <w:spacing w:line="276" w:lineRule="auto"/>
              <w:jc w:val="both"/>
              <w:rPr>
                <w:sz w:val="22"/>
                <w:szCs w:val="22"/>
              </w:rPr>
            </w:pPr>
            <w:r w:rsidRPr="007B57A3">
              <w:rPr>
                <w:sz w:val="22"/>
                <w:szCs w:val="22"/>
              </w:rPr>
              <w:t xml:space="preserve">In view of recent concerns </w:t>
            </w:r>
            <w:r w:rsidR="00040145" w:rsidRPr="007B57A3">
              <w:rPr>
                <w:sz w:val="22"/>
                <w:szCs w:val="22"/>
              </w:rPr>
              <w:t xml:space="preserve">expressed </w:t>
            </w:r>
            <w:r w:rsidRPr="007B57A3">
              <w:rPr>
                <w:sz w:val="22"/>
                <w:szCs w:val="22"/>
              </w:rPr>
              <w:t xml:space="preserve">regarding the SHMI trends, </w:t>
            </w:r>
            <w:r w:rsidR="007E34FA">
              <w:rPr>
                <w:sz w:val="22"/>
                <w:szCs w:val="22"/>
              </w:rPr>
              <w:t xml:space="preserve">members of </w:t>
            </w:r>
            <w:r w:rsidRPr="007B57A3">
              <w:rPr>
                <w:sz w:val="22"/>
                <w:szCs w:val="22"/>
              </w:rPr>
              <w:t xml:space="preserve">the CCG </w:t>
            </w:r>
            <w:r w:rsidR="00040145" w:rsidRPr="007B57A3">
              <w:rPr>
                <w:sz w:val="22"/>
                <w:szCs w:val="22"/>
              </w:rPr>
              <w:t>Quality Committee</w:t>
            </w:r>
            <w:r w:rsidR="00830CC4" w:rsidRPr="007B57A3">
              <w:rPr>
                <w:sz w:val="22"/>
                <w:szCs w:val="22"/>
              </w:rPr>
              <w:t xml:space="preserve"> </w:t>
            </w:r>
            <w:r w:rsidR="007E34FA">
              <w:rPr>
                <w:sz w:val="22"/>
                <w:szCs w:val="22"/>
              </w:rPr>
              <w:t xml:space="preserve">are planned to meet this month to </w:t>
            </w:r>
            <w:r w:rsidR="001C0128">
              <w:rPr>
                <w:sz w:val="22"/>
                <w:szCs w:val="22"/>
              </w:rPr>
              <w:t>undertak</w:t>
            </w:r>
            <w:r w:rsidR="007E34FA">
              <w:rPr>
                <w:sz w:val="22"/>
                <w:szCs w:val="22"/>
              </w:rPr>
              <w:t>e</w:t>
            </w:r>
            <w:r w:rsidRPr="007B57A3">
              <w:rPr>
                <w:sz w:val="22"/>
                <w:szCs w:val="22"/>
              </w:rPr>
              <w:t xml:space="preserve"> a review of the SHMI work programmes being taken forward </w:t>
            </w:r>
            <w:r w:rsidR="00040145" w:rsidRPr="007B57A3">
              <w:rPr>
                <w:sz w:val="22"/>
                <w:szCs w:val="22"/>
              </w:rPr>
              <w:t>b</w:t>
            </w:r>
            <w:r w:rsidRPr="007B57A3">
              <w:rPr>
                <w:sz w:val="22"/>
                <w:szCs w:val="22"/>
              </w:rPr>
              <w:t>y the groups described above</w:t>
            </w:r>
            <w:r w:rsidR="007E34FA">
              <w:rPr>
                <w:sz w:val="22"/>
                <w:szCs w:val="22"/>
              </w:rPr>
              <w:t>, in order</w:t>
            </w:r>
            <w:r w:rsidRPr="007B57A3">
              <w:rPr>
                <w:sz w:val="22"/>
                <w:szCs w:val="22"/>
              </w:rPr>
              <w:t xml:space="preserve"> to provide assurance that the</w:t>
            </w:r>
            <w:r w:rsidR="007E34FA">
              <w:rPr>
                <w:sz w:val="22"/>
                <w:szCs w:val="22"/>
              </w:rPr>
              <w:t xml:space="preserve"> SHMI work is </w:t>
            </w:r>
            <w:r w:rsidR="00040145" w:rsidRPr="007B57A3">
              <w:rPr>
                <w:sz w:val="22"/>
                <w:szCs w:val="22"/>
              </w:rPr>
              <w:t>appropriate</w:t>
            </w:r>
            <w:r w:rsidR="007E34FA">
              <w:rPr>
                <w:sz w:val="22"/>
                <w:szCs w:val="22"/>
              </w:rPr>
              <w:t xml:space="preserve"> and</w:t>
            </w:r>
            <w:r w:rsidR="00040145" w:rsidRPr="007B57A3">
              <w:rPr>
                <w:sz w:val="22"/>
                <w:szCs w:val="22"/>
              </w:rPr>
              <w:t xml:space="preserve"> in scope and focus, and that they </w:t>
            </w:r>
            <w:r w:rsidRPr="007B57A3">
              <w:rPr>
                <w:sz w:val="22"/>
                <w:szCs w:val="22"/>
              </w:rPr>
              <w:t>can</w:t>
            </w:r>
            <w:r w:rsidR="00040145" w:rsidRPr="007B57A3">
              <w:rPr>
                <w:sz w:val="22"/>
                <w:szCs w:val="22"/>
              </w:rPr>
              <w:t xml:space="preserve"> therefore</w:t>
            </w:r>
            <w:r w:rsidRPr="007B57A3">
              <w:rPr>
                <w:sz w:val="22"/>
                <w:szCs w:val="22"/>
              </w:rPr>
              <w:t xml:space="preserve"> be</w:t>
            </w:r>
            <w:r w:rsidR="00040145" w:rsidRPr="007B57A3">
              <w:rPr>
                <w:sz w:val="22"/>
                <w:szCs w:val="22"/>
              </w:rPr>
              <w:t xml:space="preserve"> expected to </w:t>
            </w:r>
            <w:r w:rsidR="00CF242E" w:rsidRPr="007B57A3">
              <w:rPr>
                <w:sz w:val="22"/>
                <w:szCs w:val="22"/>
              </w:rPr>
              <w:t>deliver</w:t>
            </w:r>
            <w:r w:rsidR="00040145" w:rsidRPr="007B57A3">
              <w:rPr>
                <w:sz w:val="22"/>
                <w:szCs w:val="22"/>
              </w:rPr>
              <w:t xml:space="preserve"> improvement</w:t>
            </w:r>
            <w:r w:rsidR="00CF242E" w:rsidRPr="007B57A3">
              <w:rPr>
                <w:sz w:val="22"/>
                <w:szCs w:val="22"/>
              </w:rPr>
              <w:t xml:space="preserve"> </w:t>
            </w:r>
            <w:r w:rsidR="00040145" w:rsidRPr="007B57A3">
              <w:rPr>
                <w:sz w:val="22"/>
                <w:szCs w:val="22"/>
              </w:rPr>
              <w:t>over coming months</w:t>
            </w:r>
            <w:r w:rsidRPr="007B57A3">
              <w:rPr>
                <w:sz w:val="22"/>
                <w:szCs w:val="22"/>
              </w:rPr>
              <w:t xml:space="preserve">. </w:t>
            </w:r>
          </w:p>
          <w:p w:rsidR="00E15C04" w:rsidRPr="007B57A3" w:rsidRDefault="00E15C04" w:rsidP="00830CC4">
            <w:pPr>
              <w:pStyle w:val="Default"/>
              <w:spacing w:line="276" w:lineRule="auto"/>
              <w:jc w:val="both"/>
              <w:rPr>
                <w:sz w:val="22"/>
                <w:szCs w:val="22"/>
              </w:rPr>
            </w:pPr>
          </w:p>
          <w:p w:rsidR="00E15C04" w:rsidRDefault="00E15C04" w:rsidP="00E15C04">
            <w:pPr>
              <w:rPr>
                <w:rFonts w:ascii="Arial" w:hAnsi="Arial" w:cs="Arial"/>
                <w:color w:val="000000"/>
                <w:sz w:val="22"/>
                <w:szCs w:val="22"/>
              </w:rPr>
            </w:pPr>
            <w:r w:rsidRPr="00F06421">
              <w:rPr>
                <w:bCs/>
                <w:noProof/>
                <w:sz w:val="22"/>
                <w:szCs w:val="22"/>
              </w:rPr>
              <w:drawing>
                <wp:anchor distT="0" distB="0" distL="114300" distR="114300" simplePos="0" relativeHeight="251658752" behindDoc="1" locked="0" layoutInCell="1" allowOverlap="1" wp14:anchorId="1FC6B70F" wp14:editId="25697592">
                  <wp:simplePos x="0" y="0"/>
                  <wp:positionH relativeFrom="column">
                    <wp:posOffset>1882140</wp:posOffset>
                  </wp:positionH>
                  <wp:positionV relativeFrom="paragraph">
                    <wp:posOffset>48895</wp:posOffset>
                  </wp:positionV>
                  <wp:extent cx="4288790" cy="2244090"/>
                  <wp:effectExtent l="0" t="0" r="0" b="3810"/>
                  <wp:wrapTight wrapText="bothSides">
                    <wp:wrapPolygon edited="0">
                      <wp:start x="0" y="0"/>
                      <wp:lineTo x="0" y="21453"/>
                      <wp:lineTo x="21491" y="21453"/>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8790" cy="2244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421">
              <w:rPr>
                <w:rFonts w:ascii="Arial" w:hAnsi="Arial" w:cs="Arial"/>
                <w:color w:val="000000"/>
                <w:sz w:val="22"/>
                <w:szCs w:val="22"/>
              </w:rPr>
              <w:t>The Trust’s latest SHMI position (using the HED system for the period March 2014 to February 2015 is a score of 112.7. This is in the ‘higher than expected’ range, and shows a slight increase from the February 2014 to January 2015 position (111.9).  This performance leaves the Trust ranked 129 of the 141 NHS provider organisations included within the mortality data set. Of the three hospitals Grimsby had worse mortality ratings over the period (113.3) compared to Scunthorpe (112.4).</w:t>
            </w:r>
          </w:p>
          <w:p w:rsidR="00830CC4" w:rsidRDefault="00830CC4" w:rsidP="00830CC4">
            <w:pPr>
              <w:pStyle w:val="Default"/>
              <w:spacing w:line="276" w:lineRule="auto"/>
              <w:jc w:val="both"/>
              <w:rPr>
                <w:color w:val="auto"/>
                <w:sz w:val="22"/>
                <w:szCs w:val="22"/>
              </w:rPr>
            </w:pPr>
          </w:p>
          <w:p w:rsidR="007E34FA" w:rsidRDefault="007E34FA" w:rsidP="00830CC4">
            <w:pPr>
              <w:pStyle w:val="Default"/>
              <w:spacing w:line="276" w:lineRule="auto"/>
              <w:jc w:val="both"/>
              <w:rPr>
                <w:color w:val="auto"/>
                <w:sz w:val="22"/>
                <w:szCs w:val="22"/>
              </w:rPr>
            </w:pPr>
          </w:p>
          <w:p w:rsidR="007E34FA" w:rsidRDefault="007E34FA" w:rsidP="00830CC4">
            <w:pPr>
              <w:pStyle w:val="Default"/>
              <w:spacing w:line="276" w:lineRule="auto"/>
              <w:jc w:val="both"/>
              <w:rPr>
                <w:color w:val="auto"/>
                <w:sz w:val="22"/>
                <w:szCs w:val="22"/>
              </w:rPr>
            </w:pPr>
          </w:p>
          <w:p w:rsidR="007E34FA" w:rsidRDefault="007E34FA" w:rsidP="00830CC4">
            <w:pPr>
              <w:pStyle w:val="Default"/>
              <w:spacing w:line="276" w:lineRule="auto"/>
              <w:jc w:val="both"/>
              <w:rPr>
                <w:color w:val="auto"/>
                <w:sz w:val="22"/>
                <w:szCs w:val="22"/>
              </w:rPr>
            </w:pPr>
          </w:p>
          <w:p w:rsidR="007E34FA" w:rsidRDefault="007E34FA" w:rsidP="00830CC4">
            <w:pPr>
              <w:pStyle w:val="Default"/>
              <w:spacing w:line="276" w:lineRule="auto"/>
              <w:jc w:val="both"/>
              <w:rPr>
                <w:color w:val="auto"/>
                <w:sz w:val="22"/>
                <w:szCs w:val="22"/>
              </w:rPr>
            </w:pPr>
          </w:p>
          <w:p w:rsidR="007E34FA" w:rsidRDefault="007E34FA" w:rsidP="00830CC4">
            <w:pPr>
              <w:pStyle w:val="Default"/>
              <w:spacing w:line="276" w:lineRule="auto"/>
              <w:jc w:val="both"/>
              <w:rPr>
                <w:color w:val="auto"/>
                <w:sz w:val="22"/>
                <w:szCs w:val="22"/>
              </w:rPr>
            </w:pPr>
          </w:p>
          <w:p w:rsidR="007E34FA" w:rsidRPr="007B57A3" w:rsidRDefault="007E34FA" w:rsidP="00830CC4">
            <w:pPr>
              <w:pStyle w:val="Default"/>
              <w:spacing w:line="276" w:lineRule="auto"/>
              <w:jc w:val="both"/>
              <w:rPr>
                <w:color w:val="auto"/>
                <w:sz w:val="22"/>
                <w:szCs w:val="22"/>
              </w:rPr>
            </w:pPr>
          </w:p>
          <w:p w:rsidR="00286A2F" w:rsidRPr="007B57A3" w:rsidRDefault="00361929" w:rsidP="00F06421">
            <w:pPr>
              <w:tabs>
                <w:tab w:val="right" w:pos="9673"/>
              </w:tabs>
              <w:spacing w:line="276" w:lineRule="auto"/>
              <w:jc w:val="both"/>
              <w:rPr>
                <w:rFonts w:ascii="Arial" w:hAnsi="Arial" w:cs="Arial"/>
                <w:b/>
                <w:sz w:val="22"/>
                <w:szCs w:val="22"/>
              </w:rPr>
            </w:pPr>
            <w:r w:rsidRPr="007B57A3">
              <w:rPr>
                <w:rFonts w:ascii="Arial" w:hAnsi="Arial" w:cs="Arial"/>
                <w:b/>
                <w:sz w:val="22"/>
                <w:szCs w:val="22"/>
              </w:rPr>
              <w:t>3. Patient and Client Experience</w:t>
            </w:r>
            <w:r w:rsidR="00F06421">
              <w:rPr>
                <w:rFonts w:ascii="Arial" w:hAnsi="Arial" w:cs="Arial"/>
                <w:b/>
                <w:sz w:val="22"/>
                <w:szCs w:val="22"/>
              </w:rPr>
              <w:tab/>
            </w:r>
          </w:p>
          <w:p w:rsidR="00E15C04" w:rsidRDefault="00E15C04" w:rsidP="00830CC4">
            <w:pPr>
              <w:spacing w:after="200" w:line="276" w:lineRule="auto"/>
              <w:jc w:val="both"/>
              <w:rPr>
                <w:rFonts w:ascii="Arial" w:eastAsiaTheme="minorHAnsi" w:hAnsi="Arial" w:cs="Arial"/>
                <w:b/>
                <w:sz w:val="22"/>
                <w:szCs w:val="22"/>
                <w:lang w:eastAsia="en-US"/>
              </w:rPr>
            </w:pPr>
          </w:p>
          <w:p w:rsidR="00830CC4" w:rsidRPr="007B57A3" w:rsidRDefault="00830CC4" w:rsidP="00830CC4">
            <w:pPr>
              <w:spacing w:after="200" w:line="276" w:lineRule="auto"/>
              <w:jc w:val="both"/>
              <w:rPr>
                <w:rFonts w:ascii="Arial" w:eastAsiaTheme="minorHAnsi" w:hAnsi="Arial" w:cs="Arial"/>
                <w:b/>
                <w:color w:val="FF0000"/>
                <w:sz w:val="22"/>
                <w:szCs w:val="22"/>
                <w:lang w:eastAsia="en-US"/>
              </w:rPr>
            </w:pPr>
            <w:r w:rsidRPr="007B57A3">
              <w:rPr>
                <w:rFonts w:ascii="Arial" w:eastAsiaTheme="minorHAnsi" w:hAnsi="Arial" w:cs="Arial"/>
                <w:b/>
                <w:sz w:val="22"/>
                <w:szCs w:val="22"/>
                <w:lang w:eastAsia="en-US"/>
              </w:rPr>
              <w:t xml:space="preserve">Friends and Family Test (FFT) </w:t>
            </w:r>
          </w:p>
          <w:tbl>
            <w:tblPr>
              <w:tblpPr w:leftFromText="180" w:rightFromText="180" w:vertAnchor="text" w:horzAnchor="margin" w:tblpXSpec="right" w:tblpY="-47"/>
              <w:tblW w:w="2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821"/>
              <w:gridCol w:w="849"/>
              <w:gridCol w:w="731"/>
            </w:tblGrid>
            <w:tr w:rsidR="00E15C04" w:rsidTr="000E59C5">
              <w:tc>
                <w:tcPr>
                  <w:tcW w:w="5428" w:type="dxa"/>
                  <w:gridSpan w:val="4"/>
                  <w:tcBorders>
                    <w:top w:val="single" w:sz="8" w:space="0" w:color="E6E6FA"/>
                    <w:left w:val="single" w:sz="8" w:space="0" w:color="E6E6FA"/>
                    <w:bottom w:val="single" w:sz="8" w:space="0" w:color="E6E6FA"/>
                    <w:right w:val="single" w:sz="8" w:space="0" w:color="E6E6FA"/>
                  </w:tcBorders>
                  <w:shd w:val="clear" w:color="auto" w:fill="EEEE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2015-16 Year to date</w:t>
                  </w:r>
                </w:p>
              </w:tc>
            </w:tr>
            <w:tr w:rsidR="00E15C04" w:rsidTr="000E59C5">
              <w:tc>
                <w:tcPr>
                  <w:tcW w:w="2627"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p>
              </w:tc>
              <w:tc>
                <w:tcPr>
                  <w:tcW w:w="958"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Target</w:t>
                  </w:r>
                </w:p>
              </w:tc>
              <w:tc>
                <w:tcPr>
                  <w:tcW w:w="992"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Value</w:t>
                  </w:r>
                </w:p>
              </w:tc>
              <w:tc>
                <w:tcPr>
                  <w:tcW w:w="851"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Status</w:t>
                  </w:r>
                </w:p>
              </w:tc>
            </w:tr>
            <w:tr w:rsidR="00E15C04" w:rsidTr="000E59C5">
              <w:tc>
                <w:tcPr>
                  <w:tcW w:w="2627"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E15C04" w:rsidRPr="00F14BF6" w:rsidRDefault="00E15C04" w:rsidP="00E15C04">
                  <w:pPr>
                    <w:rPr>
                      <w:rFonts w:ascii="Verdana" w:eastAsia="Verdana" w:hAnsi="Verdana" w:cs="Verdana"/>
                      <w:color w:val="000000"/>
                      <w:sz w:val="16"/>
                      <w:szCs w:val="16"/>
                    </w:rPr>
                  </w:pPr>
                  <w:r w:rsidRPr="00F14BF6">
                    <w:rPr>
                      <w:rFonts w:ascii="Verdana" w:eastAsia="Verdana" w:hAnsi="Verdana" w:cs="Verdana"/>
                      <w:color w:val="000000"/>
                      <w:sz w:val="16"/>
                      <w:szCs w:val="16"/>
                    </w:rPr>
                    <w:t xml:space="preserve">CB13210 </w:t>
                  </w:r>
                  <w:r>
                    <w:rPr>
                      <w:rFonts w:ascii="Verdana" w:eastAsia="Verdana" w:hAnsi="Verdana" w:cs="Verdana"/>
                      <w:color w:val="000000"/>
                      <w:sz w:val="16"/>
                      <w:szCs w:val="16"/>
                    </w:rPr>
                    <w:t xml:space="preserve">- </w:t>
                  </w:r>
                  <w:r w:rsidRPr="00F14BF6">
                    <w:rPr>
                      <w:rFonts w:ascii="Verdana" w:eastAsia="Verdana" w:hAnsi="Verdana" w:cs="Verdana"/>
                      <w:color w:val="000000"/>
                      <w:sz w:val="16"/>
                      <w:szCs w:val="16"/>
                    </w:rPr>
                    <w:t>AAE ‘% recommend service’</w:t>
                  </w:r>
                </w:p>
              </w:tc>
              <w:tc>
                <w:tcPr>
                  <w:tcW w:w="958"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87.50%</w:t>
                  </w:r>
                </w:p>
              </w:tc>
              <w:tc>
                <w:tcPr>
                  <w:tcW w:w="992"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79.60%</w:t>
                  </w:r>
                </w:p>
              </w:tc>
              <w:tc>
                <w:tcPr>
                  <w:tcW w:w="85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59D02194" wp14:editId="20A505CE">
                        <wp:extent cx="199390" cy="1993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r>
            <w:tr w:rsidR="00E15C04" w:rsidTr="000E59C5">
              <w:tc>
                <w:tcPr>
                  <w:tcW w:w="2627"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E15C04" w:rsidRDefault="00E15C04" w:rsidP="00E15C04">
                  <w:pPr>
                    <w:rPr>
                      <w:rFonts w:ascii="Verdana" w:eastAsia="Verdana" w:hAnsi="Verdana" w:cs="Verdana"/>
                      <w:color w:val="000000"/>
                      <w:sz w:val="16"/>
                    </w:rPr>
                  </w:pPr>
                  <w:r>
                    <w:rPr>
                      <w:rFonts w:ascii="Verdana" w:eastAsia="Verdana" w:hAnsi="Verdana" w:cs="Verdana"/>
                      <w:color w:val="000000"/>
                      <w:sz w:val="16"/>
                    </w:rPr>
                    <w:t>CB13201 - AAE Response rate</w:t>
                  </w:r>
                </w:p>
              </w:tc>
              <w:tc>
                <w:tcPr>
                  <w:tcW w:w="958"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14.80%</w:t>
                  </w:r>
                </w:p>
              </w:tc>
              <w:tc>
                <w:tcPr>
                  <w:tcW w:w="992"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12.81%</w:t>
                  </w:r>
                </w:p>
              </w:tc>
              <w:tc>
                <w:tcPr>
                  <w:tcW w:w="85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75DC7DE9" wp14:editId="26D737D3">
                        <wp:extent cx="199390" cy="199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r>
            <w:tr w:rsidR="00E15C04" w:rsidTr="000E59C5">
              <w:tc>
                <w:tcPr>
                  <w:tcW w:w="2627"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E15C04" w:rsidRDefault="00E15C04" w:rsidP="00E15C04">
                  <w:pPr>
                    <w:rPr>
                      <w:rFonts w:ascii="Verdana" w:eastAsia="Verdana" w:hAnsi="Verdana" w:cs="Verdana"/>
                      <w:color w:val="000000"/>
                      <w:sz w:val="16"/>
                    </w:rPr>
                  </w:pPr>
                  <w:r>
                    <w:rPr>
                      <w:rFonts w:ascii="Verdana" w:eastAsia="Verdana" w:hAnsi="Verdana" w:cs="Verdana"/>
                      <w:color w:val="000000"/>
                      <w:sz w:val="16"/>
                    </w:rPr>
                    <w:t>CB13211 - Inpatient ‘% recommend service’</w:t>
                  </w:r>
                </w:p>
              </w:tc>
              <w:tc>
                <w:tcPr>
                  <w:tcW w:w="958"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95.50%</w:t>
                  </w:r>
                </w:p>
              </w:tc>
              <w:tc>
                <w:tcPr>
                  <w:tcW w:w="992"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96.14%</w:t>
                  </w:r>
                </w:p>
              </w:tc>
              <w:tc>
                <w:tcPr>
                  <w:tcW w:w="85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29856DF3" wp14:editId="7ED7C403">
                        <wp:extent cx="199390" cy="1993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r>
            <w:tr w:rsidR="00E15C04" w:rsidTr="000E59C5">
              <w:tc>
                <w:tcPr>
                  <w:tcW w:w="2627"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E15C04" w:rsidRDefault="00E15C04" w:rsidP="00E15C04">
                  <w:pPr>
                    <w:rPr>
                      <w:rFonts w:ascii="Verdana" w:eastAsia="Verdana" w:hAnsi="Verdana" w:cs="Verdana"/>
                      <w:color w:val="000000"/>
                      <w:sz w:val="16"/>
                    </w:rPr>
                  </w:pPr>
                  <w:r>
                    <w:rPr>
                      <w:rFonts w:ascii="Verdana" w:eastAsia="Verdana" w:hAnsi="Verdana" w:cs="Verdana"/>
                      <w:color w:val="000000"/>
                      <w:sz w:val="16"/>
                    </w:rPr>
                    <w:t>CB13203 - Inpatient Response rate</w:t>
                  </w:r>
                </w:p>
              </w:tc>
              <w:tc>
                <w:tcPr>
                  <w:tcW w:w="958"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26.30%</w:t>
                  </w:r>
                </w:p>
              </w:tc>
              <w:tc>
                <w:tcPr>
                  <w:tcW w:w="992"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20.36%</w:t>
                  </w:r>
                </w:p>
              </w:tc>
              <w:tc>
                <w:tcPr>
                  <w:tcW w:w="85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3687A4E5" wp14:editId="0CCDBE22">
                        <wp:extent cx="199390" cy="199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r>
            <w:tr w:rsidR="00E15C04" w:rsidTr="000E59C5">
              <w:tc>
                <w:tcPr>
                  <w:tcW w:w="2627"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E15C04" w:rsidRDefault="00E15C04" w:rsidP="00E15C04">
                  <w:pPr>
                    <w:rPr>
                      <w:rFonts w:ascii="Verdana" w:eastAsia="Verdana" w:hAnsi="Verdana" w:cs="Verdana"/>
                      <w:color w:val="000000"/>
                      <w:sz w:val="16"/>
                    </w:rPr>
                  </w:pPr>
                  <w:r>
                    <w:rPr>
                      <w:rFonts w:ascii="Verdana" w:eastAsia="Verdana" w:hAnsi="Verdana" w:cs="Verdana"/>
                      <w:color w:val="000000"/>
                      <w:sz w:val="16"/>
                    </w:rPr>
                    <w:t>CB13216 - Maternity Combined ‘% recommend service’</w:t>
                  </w:r>
                </w:p>
              </w:tc>
              <w:tc>
                <w:tcPr>
                  <w:tcW w:w="958"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95.68%</w:t>
                  </w:r>
                </w:p>
              </w:tc>
              <w:tc>
                <w:tcPr>
                  <w:tcW w:w="992"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95.77%</w:t>
                  </w:r>
                </w:p>
              </w:tc>
              <w:tc>
                <w:tcPr>
                  <w:tcW w:w="85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4C03E921" wp14:editId="4D137B77">
                        <wp:extent cx="199390" cy="199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r>
            <w:tr w:rsidR="00E15C04" w:rsidTr="000E59C5">
              <w:tc>
                <w:tcPr>
                  <w:tcW w:w="2627"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E15C04" w:rsidRDefault="00E15C04" w:rsidP="00E15C04">
                  <w:pPr>
                    <w:rPr>
                      <w:rFonts w:ascii="Verdana" w:eastAsia="Verdana" w:hAnsi="Verdana" w:cs="Verdana"/>
                      <w:color w:val="000000"/>
                      <w:sz w:val="16"/>
                    </w:rPr>
                  </w:pPr>
                  <w:r>
                    <w:rPr>
                      <w:rFonts w:ascii="Verdana" w:eastAsia="Verdana" w:hAnsi="Verdana" w:cs="Verdana"/>
                      <w:color w:val="000000"/>
                      <w:sz w:val="16"/>
                    </w:rPr>
                    <w:t>CB13205 - Maternity (Birth) Response rate</w:t>
                  </w:r>
                </w:p>
              </w:tc>
              <w:tc>
                <w:tcPr>
                  <w:tcW w:w="958"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23.47%</w:t>
                  </w:r>
                </w:p>
              </w:tc>
              <w:tc>
                <w:tcPr>
                  <w:tcW w:w="992"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9.44%</w:t>
                  </w:r>
                </w:p>
              </w:tc>
              <w:tc>
                <w:tcPr>
                  <w:tcW w:w="85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7F747452" wp14:editId="319F63CD">
                        <wp:extent cx="199390" cy="199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r>
            <w:tr w:rsidR="00E15C04" w:rsidTr="000E59C5">
              <w:tc>
                <w:tcPr>
                  <w:tcW w:w="2627"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E15C04" w:rsidRDefault="00E15C04" w:rsidP="00E15C04">
                  <w:pPr>
                    <w:rPr>
                      <w:rFonts w:ascii="Verdana" w:eastAsia="Verdana" w:hAnsi="Verdana" w:cs="Verdana"/>
                      <w:color w:val="000000"/>
                      <w:sz w:val="16"/>
                    </w:rPr>
                  </w:pPr>
                  <w:r>
                    <w:rPr>
                      <w:rFonts w:ascii="Verdana" w:eastAsia="Verdana" w:hAnsi="Verdana" w:cs="Verdana"/>
                      <w:color w:val="000000"/>
                      <w:sz w:val="16"/>
                    </w:rPr>
                    <w:t>CB13002 – Employee ‘recommend care’</w:t>
                  </w:r>
                </w:p>
              </w:tc>
              <w:tc>
                <w:tcPr>
                  <w:tcW w:w="958"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76.59%</w:t>
                  </w:r>
                </w:p>
              </w:tc>
              <w:tc>
                <w:tcPr>
                  <w:tcW w:w="992"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color w:val="000000"/>
                      <w:sz w:val="16"/>
                    </w:rPr>
                    <w:t>68.71%</w:t>
                  </w:r>
                </w:p>
              </w:tc>
              <w:tc>
                <w:tcPr>
                  <w:tcW w:w="85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E15C04" w:rsidRDefault="00E15C04" w:rsidP="00E15C04">
                  <w:pPr>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4AC48C9C" wp14:editId="71530E0B">
                        <wp:extent cx="199390" cy="199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r>
          </w:tbl>
          <w:p w:rsidR="00E15C04" w:rsidRDefault="00E15C04" w:rsidP="00E15C04">
            <w:pPr>
              <w:rPr>
                <w:rFonts w:ascii="Arial" w:eastAsia="Verdana" w:hAnsi="Arial" w:cs="Arial"/>
                <w:color w:val="000000"/>
                <w:sz w:val="20"/>
                <w:szCs w:val="20"/>
              </w:rPr>
            </w:pPr>
            <w:r w:rsidRPr="00F06421">
              <w:rPr>
                <w:rFonts w:ascii="Arial" w:eastAsia="Verdana" w:hAnsi="Arial" w:cs="Arial"/>
                <w:color w:val="000000"/>
                <w:sz w:val="20"/>
                <w:szCs w:val="20"/>
              </w:rPr>
              <w:t>The year to date performance shows that at trust level we are below target for Staff ‘% recommend service’ and A&amp;E but above target for both Inpatient and Maternity when looking at how others are performing nationally.  In respect of response rate currently year to date we are below target for A&amp;E, Inpatient and Maternity (Birth).</w:t>
            </w:r>
          </w:p>
          <w:p w:rsidR="00286A2F" w:rsidRPr="007B57A3" w:rsidRDefault="00040145" w:rsidP="00830CC4">
            <w:pPr>
              <w:rPr>
                <w:rFonts w:ascii="Arial" w:eastAsia="Verdana" w:hAnsi="Arial" w:cs="Arial"/>
                <w:color w:val="000000"/>
                <w:sz w:val="20"/>
                <w:szCs w:val="20"/>
              </w:rPr>
            </w:pPr>
            <w:r w:rsidRPr="007B57A3">
              <w:rPr>
                <w:rFonts w:ascii="Arial" w:eastAsia="Verdana" w:hAnsi="Arial" w:cs="Arial"/>
                <w:color w:val="000000"/>
                <w:sz w:val="20"/>
                <w:szCs w:val="20"/>
              </w:rPr>
              <w:t xml:space="preserve">. </w:t>
            </w:r>
          </w:p>
          <w:p w:rsidR="00830CC4" w:rsidRPr="007B57A3" w:rsidRDefault="00830CC4" w:rsidP="00830CC4">
            <w:pPr>
              <w:spacing w:after="200" w:line="276" w:lineRule="auto"/>
              <w:jc w:val="both"/>
              <w:rPr>
                <w:rFonts w:ascii="Arial" w:eastAsiaTheme="minorHAnsi" w:hAnsi="Arial" w:cs="Arial"/>
                <w:sz w:val="20"/>
                <w:szCs w:val="20"/>
                <w:lang w:eastAsia="en-US"/>
              </w:rPr>
            </w:pPr>
            <w:r w:rsidRPr="007B57A3">
              <w:rPr>
                <w:rFonts w:ascii="Arial" w:hAnsi="Arial" w:cs="Arial"/>
                <w:sz w:val="20"/>
                <w:szCs w:val="20"/>
              </w:rPr>
              <w:t>FFT was implemented within GP Practices on the 1st December 2014</w:t>
            </w:r>
            <w:r w:rsidR="00A44E34">
              <w:rPr>
                <w:rFonts w:ascii="Arial" w:hAnsi="Arial" w:cs="Arial"/>
                <w:sz w:val="20"/>
                <w:szCs w:val="20"/>
              </w:rPr>
              <w:t>. Data for the first quarter</w:t>
            </w:r>
            <w:r w:rsidRPr="007B57A3">
              <w:rPr>
                <w:rFonts w:ascii="Arial" w:hAnsi="Arial" w:cs="Arial"/>
                <w:sz w:val="20"/>
                <w:szCs w:val="20"/>
              </w:rPr>
              <w:t xml:space="preserve"> </w:t>
            </w:r>
            <w:r w:rsidR="00286A2F" w:rsidRPr="007B57A3">
              <w:rPr>
                <w:rFonts w:ascii="Arial" w:hAnsi="Arial" w:cs="Arial"/>
                <w:sz w:val="20"/>
                <w:szCs w:val="20"/>
              </w:rPr>
              <w:t>is now available and is currently being analysed</w:t>
            </w:r>
            <w:r w:rsidR="00A44E34">
              <w:rPr>
                <w:rFonts w:ascii="Arial" w:hAnsi="Arial" w:cs="Arial"/>
                <w:sz w:val="20"/>
                <w:szCs w:val="20"/>
              </w:rPr>
              <w:t>.</w:t>
            </w:r>
            <w:r w:rsidRPr="007B57A3">
              <w:rPr>
                <w:rFonts w:ascii="Arial" w:hAnsi="Arial" w:cs="Arial"/>
                <w:sz w:val="20"/>
                <w:szCs w:val="20"/>
              </w:rPr>
              <w:t xml:space="preserve"> </w:t>
            </w:r>
          </w:p>
          <w:p w:rsidR="00830CC4" w:rsidRPr="007B57A3" w:rsidRDefault="00830CC4" w:rsidP="00830CC4">
            <w:pPr>
              <w:spacing w:after="200" w:line="276" w:lineRule="auto"/>
              <w:jc w:val="both"/>
              <w:rPr>
                <w:rFonts w:ascii="Arial" w:eastAsiaTheme="minorHAnsi" w:hAnsi="Arial" w:cs="Arial"/>
                <w:sz w:val="22"/>
                <w:szCs w:val="22"/>
                <w:lang w:eastAsia="en-US"/>
              </w:rPr>
            </w:pPr>
          </w:p>
          <w:p w:rsidR="00D67619" w:rsidRPr="007B57A3" w:rsidRDefault="00D67619" w:rsidP="00830CC4">
            <w:pPr>
              <w:spacing w:after="200" w:line="276" w:lineRule="auto"/>
              <w:jc w:val="both"/>
              <w:rPr>
                <w:rFonts w:ascii="Arial" w:eastAsiaTheme="minorHAnsi" w:hAnsi="Arial" w:cs="Arial"/>
                <w:sz w:val="22"/>
                <w:szCs w:val="22"/>
                <w:lang w:eastAsia="en-US"/>
              </w:rPr>
            </w:pPr>
          </w:p>
        </w:tc>
      </w:tr>
      <w:tr w:rsidR="000F5290" w:rsidRPr="007B57A3" w:rsidTr="002124A8">
        <w:trPr>
          <w:trHeight w:val="57"/>
        </w:trPr>
        <w:tc>
          <w:tcPr>
            <w:tcW w:w="9180" w:type="dxa"/>
            <w:gridSpan w:val="2"/>
            <w:shd w:val="clear" w:color="auto" w:fill="auto"/>
          </w:tcPr>
          <w:p w:rsidR="000F5290" w:rsidRPr="007B57A3" w:rsidRDefault="000F5290" w:rsidP="00DA5437">
            <w:pPr>
              <w:spacing w:line="276" w:lineRule="auto"/>
              <w:jc w:val="both"/>
              <w:rPr>
                <w:rFonts w:ascii="Arial" w:hAnsi="Arial" w:cs="Arial"/>
                <w:bCs/>
                <w:sz w:val="22"/>
                <w:szCs w:val="22"/>
              </w:rPr>
            </w:pPr>
          </w:p>
        </w:tc>
      </w:tr>
    </w:tbl>
    <w:p w:rsidR="00A03A97" w:rsidRPr="002B4829" w:rsidRDefault="00A03A97"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2B4829" w:rsidTr="00DD7564">
        <w:trPr>
          <w:trHeight w:val="787"/>
        </w:trPr>
        <w:tc>
          <w:tcPr>
            <w:tcW w:w="9889" w:type="dxa"/>
            <w:gridSpan w:val="3"/>
            <w:shd w:val="clear" w:color="auto" w:fill="auto"/>
          </w:tcPr>
          <w:p w:rsidR="006A2E19" w:rsidRPr="002B4829" w:rsidRDefault="006A2E19" w:rsidP="00DA5437">
            <w:pPr>
              <w:spacing w:line="276" w:lineRule="auto"/>
              <w:jc w:val="both"/>
              <w:rPr>
                <w:rFonts w:ascii="Arial" w:hAnsi="Arial" w:cs="Arial"/>
                <w:b/>
                <w:bCs/>
                <w:sz w:val="22"/>
                <w:szCs w:val="22"/>
              </w:rPr>
            </w:pPr>
          </w:p>
          <w:p w:rsidR="006A2E19" w:rsidRPr="002B4829" w:rsidRDefault="006A2E19" w:rsidP="00DA5437">
            <w:pPr>
              <w:spacing w:line="276" w:lineRule="auto"/>
              <w:jc w:val="both"/>
              <w:rPr>
                <w:rFonts w:ascii="Arial" w:hAnsi="Arial" w:cs="Arial"/>
                <w:b/>
                <w:bCs/>
                <w:sz w:val="22"/>
                <w:szCs w:val="22"/>
              </w:rPr>
            </w:pPr>
            <w:r w:rsidRPr="002B4829">
              <w:rPr>
                <w:rFonts w:ascii="Arial" w:hAnsi="Arial" w:cs="Arial"/>
                <w:b/>
                <w:bCs/>
                <w:sz w:val="22"/>
                <w:szCs w:val="22"/>
              </w:rPr>
              <w:t xml:space="preserve">RECOMMENDATIONS (R) AND ACTIONS (A) FOR AGREEMENT </w:t>
            </w:r>
          </w:p>
          <w:p w:rsidR="00AF1211" w:rsidRPr="002B4829" w:rsidRDefault="00AF1211" w:rsidP="00DA5437">
            <w:pPr>
              <w:spacing w:line="276" w:lineRule="auto"/>
              <w:jc w:val="both"/>
              <w:rPr>
                <w:rFonts w:ascii="Arial" w:hAnsi="Arial" w:cs="Arial"/>
                <w:b/>
                <w:bCs/>
                <w:sz w:val="22"/>
                <w:szCs w:val="22"/>
              </w:rPr>
            </w:pPr>
          </w:p>
        </w:tc>
      </w:tr>
      <w:tr w:rsidR="00DD689C" w:rsidRPr="002B4829" w:rsidTr="00DD7564">
        <w:trPr>
          <w:trHeight w:val="370"/>
        </w:trPr>
        <w:tc>
          <w:tcPr>
            <w:tcW w:w="658" w:type="dxa"/>
            <w:shd w:val="clear" w:color="auto" w:fill="auto"/>
          </w:tcPr>
          <w:p w:rsidR="00DD689C" w:rsidRPr="002B4829" w:rsidRDefault="00DD689C" w:rsidP="00DA5437">
            <w:pPr>
              <w:spacing w:line="276" w:lineRule="auto"/>
              <w:jc w:val="both"/>
              <w:rPr>
                <w:rFonts w:ascii="Arial" w:hAnsi="Arial" w:cs="Arial"/>
                <w:bCs/>
                <w:sz w:val="22"/>
                <w:szCs w:val="22"/>
              </w:rPr>
            </w:pPr>
          </w:p>
        </w:tc>
        <w:tc>
          <w:tcPr>
            <w:tcW w:w="6820" w:type="dxa"/>
            <w:shd w:val="clear" w:color="auto" w:fill="auto"/>
          </w:tcPr>
          <w:p w:rsidR="00DD689C" w:rsidRDefault="00EA2B4C" w:rsidP="00A44E34">
            <w:pPr>
              <w:spacing w:line="276" w:lineRule="auto"/>
              <w:jc w:val="both"/>
              <w:rPr>
                <w:rFonts w:ascii="Arial" w:hAnsi="Arial" w:cs="Arial"/>
                <w:bCs/>
                <w:sz w:val="22"/>
                <w:szCs w:val="22"/>
              </w:rPr>
            </w:pPr>
            <w:r w:rsidRPr="002B4829">
              <w:rPr>
                <w:rFonts w:ascii="Arial" w:hAnsi="Arial" w:cs="Arial"/>
                <w:bCs/>
                <w:sz w:val="22"/>
                <w:szCs w:val="22"/>
              </w:rPr>
              <w:t>Members of the Board are asked to note the content of the report</w:t>
            </w:r>
            <w:r w:rsidR="00A44E34">
              <w:rPr>
                <w:rFonts w:ascii="Arial" w:hAnsi="Arial" w:cs="Arial"/>
                <w:bCs/>
                <w:sz w:val="22"/>
                <w:szCs w:val="22"/>
              </w:rPr>
              <w:t>.</w:t>
            </w:r>
          </w:p>
          <w:p w:rsidR="00A44E34" w:rsidRPr="002B4829" w:rsidRDefault="00A44E34" w:rsidP="00A44E34">
            <w:pPr>
              <w:spacing w:line="276" w:lineRule="auto"/>
              <w:jc w:val="both"/>
              <w:rPr>
                <w:rFonts w:ascii="Arial" w:hAnsi="Arial" w:cs="Arial"/>
                <w:bCs/>
                <w:sz w:val="22"/>
                <w:szCs w:val="22"/>
              </w:rPr>
            </w:pPr>
          </w:p>
        </w:tc>
        <w:tc>
          <w:tcPr>
            <w:tcW w:w="2411" w:type="dxa"/>
            <w:shd w:val="clear" w:color="auto" w:fill="auto"/>
          </w:tcPr>
          <w:p w:rsidR="00DD689C" w:rsidRPr="002B4829" w:rsidRDefault="00DD689C" w:rsidP="00DA5437">
            <w:pPr>
              <w:spacing w:line="276" w:lineRule="auto"/>
              <w:jc w:val="both"/>
              <w:rPr>
                <w:rFonts w:ascii="Arial" w:hAnsi="Arial" w:cs="Arial"/>
                <w:bCs/>
                <w:sz w:val="22"/>
                <w:szCs w:val="22"/>
              </w:rPr>
            </w:pPr>
          </w:p>
        </w:tc>
      </w:tr>
    </w:tbl>
    <w:tbl>
      <w:tblPr>
        <w:tblpPr w:leftFromText="180" w:rightFromText="180" w:vertAnchor="text" w:horzAnchor="margin" w:tblpY="165"/>
        <w:tblW w:w="98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917"/>
        <w:gridCol w:w="1134"/>
        <w:gridCol w:w="3118"/>
      </w:tblGrid>
      <w:tr w:rsidR="00434960" w:rsidRPr="002B4829" w:rsidTr="00434960">
        <w:trPr>
          <w:trHeight w:val="822"/>
          <w:tblHeader/>
        </w:trPr>
        <w:tc>
          <w:tcPr>
            <w:tcW w:w="720" w:type="dxa"/>
            <w:shd w:val="clear" w:color="auto" w:fill="C0C0C0"/>
            <w:vAlign w:val="center"/>
          </w:tcPr>
          <w:p w:rsidR="00434960" w:rsidRPr="002B4829" w:rsidRDefault="00434960" w:rsidP="00434960">
            <w:pPr>
              <w:spacing w:before="80" w:after="80"/>
              <w:jc w:val="center"/>
              <w:rPr>
                <w:rFonts w:ascii="Arial" w:hAnsi="Arial" w:cs="Arial"/>
                <w:b/>
                <w:sz w:val="22"/>
                <w:szCs w:val="22"/>
              </w:rPr>
            </w:pPr>
          </w:p>
        </w:tc>
        <w:tc>
          <w:tcPr>
            <w:tcW w:w="4917" w:type="dxa"/>
            <w:shd w:val="clear" w:color="auto" w:fill="C0C0C0"/>
            <w:vAlign w:val="center"/>
          </w:tcPr>
          <w:p w:rsidR="00434960" w:rsidRPr="002B4829" w:rsidRDefault="00434960" w:rsidP="00434960">
            <w:pPr>
              <w:spacing w:before="80" w:after="80"/>
              <w:rPr>
                <w:rFonts w:ascii="Arial" w:hAnsi="Arial" w:cs="Arial"/>
                <w:b/>
                <w:sz w:val="22"/>
                <w:szCs w:val="22"/>
              </w:rPr>
            </w:pPr>
          </w:p>
        </w:tc>
        <w:tc>
          <w:tcPr>
            <w:tcW w:w="1134" w:type="dxa"/>
            <w:shd w:val="clear" w:color="auto" w:fill="C0C0C0"/>
            <w:vAlign w:val="center"/>
          </w:tcPr>
          <w:p w:rsidR="00434960" w:rsidRPr="002B4829" w:rsidRDefault="00434960" w:rsidP="00434960">
            <w:pPr>
              <w:spacing w:before="80" w:after="80"/>
              <w:jc w:val="center"/>
              <w:rPr>
                <w:rFonts w:ascii="Arial" w:hAnsi="Arial" w:cs="Arial"/>
                <w:b/>
                <w:sz w:val="22"/>
                <w:szCs w:val="22"/>
              </w:rPr>
            </w:pPr>
          </w:p>
          <w:p w:rsidR="00434960" w:rsidRPr="002B4829" w:rsidRDefault="00434960" w:rsidP="00434960">
            <w:pPr>
              <w:spacing w:before="80" w:after="80"/>
              <w:jc w:val="center"/>
              <w:rPr>
                <w:rFonts w:ascii="Arial" w:hAnsi="Arial" w:cs="Arial"/>
                <w:b/>
                <w:sz w:val="22"/>
                <w:szCs w:val="22"/>
              </w:rPr>
            </w:pPr>
            <w:r w:rsidRPr="002B4829">
              <w:rPr>
                <w:rFonts w:ascii="Arial" w:hAnsi="Arial" w:cs="Arial"/>
                <w:b/>
                <w:sz w:val="22"/>
                <w:szCs w:val="22"/>
              </w:rPr>
              <w:t>Yes/No</w:t>
            </w:r>
            <w:r w:rsidRPr="002B4829">
              <w:rPr>
                <w:rFonts w:ascii="Arial" w:hAnsi="Arial" w:cs="Arial"/>
                <w:b/>
                <w:sz w:val="22"/>
                <w:szCs w:val="22"/>
              </w:rPr>
              <w:br/>
            </w:r>
          </w:p>
        </w:tc>
        <w:tc>
          <w:tcPr>
            <w:tcW w:w="3118" w:type="dxa"/>
            <w:shd w:val="clear" w:color="auto" w:fill="C0C0C0"/>
            <w:vAlign w:val="center"/>
          </w:tcPr>
          <w:p w:rsidR="00434960" w:rsidRPr="002B4829" w:rsidRDefault="00434960" w:rsidP="00434960">
            <w:pPr>
              <w:spacing w:before="80" w:after="80"/>
              <w:jc w:val="center"/>
              <w:rPr>
                <w:rFonts w:ascii="Arial" w:hAnsi="Arial" w:cs="Arial"/>
                <w:b/>
                <w:sz w:val="22"/>
                <w:szCs w:val="22"/>
              </w:rPr>
            </w:pPr>
            <w:r w:rsidRPr="002B4829">
              <w:rPr>
                <w:rFonts w:ascii="Arial" w:hAnsi="Arial" w:cs="Arial"/>
                <w:b/>
                <w:sz w:val="22"/>
                <w:szCs w:val="22"/>
              </w:rPr>
              <w:t>Comments</w:t>
            </w: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Does the document take account of and meet the requirements of the following:</w:t>
            </w:r>
          </w:p>
        </w:tc>
        <w:tc>
          <w:tcPr>
            <w:tcW w:w="1134" w:type="dxa"/>
            <w:shd w:val="clear" w:color="auto" w:fill="auto"/>
          </w:tcPr>
          <w:p w:rsidR="00434960" w:rsidRPr="002B4829" w:rsidRDefault="00434960" w:rsidP="00434960">
            <w:pPr>
              <w:spacing w:before="80" w:after="80"/>
              <w:jc w:val="center"/>
              <w:rPr>
                <w:rFonts w:ascii="Arial" w:hAnsi="Arial" w:cs="Arial"/>
                <w:sz w:val="22"/>
                <w:szCs w:val="22"/>
              </w:rPr>
            </w:pP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Mental Capacity Act</w:t>
            </w:r>
          </w:p>
        </w:tc>
        <w:tc>
          <w:tcPr>
            <w:tcW w:w="1134" w:type="dxa"/>
            <w:shd w:val="clear" w:color="auto" w:fill="auto"/>
          </w:tcPr>
          <w:p w:rsidR="00434960" w:rsidRPr="002B4829" w:rsidRDefault="00CF242E" w:rsidP="00434960">
            <w:pPr>
              <w:spacing w:before="80" w:after="80"/>
              <w:jc w:val="center"/>
              <w:rPr>
                <w:rFonts w:ascii="Arial" w:hAnsi="Arial" w:cs="Arial"/>
                <w:sz w:val="22"/>
                <w:szCs w:val="22"/>
              </w:rPr>
            </w:pPr>
            <w:r>
              <w:rPr>
                <w:rFonts w:ascii="Arial" w:hAnsi="Arial" w:cs="Arial"/>
                <w:sz w:val="22"/>
                <w:szCs w:val="22"/>
              </w:rPr>
              <w:t>n/a</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ii)</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CCG  Equality Impact Assessment</w:t>
            </w:r>
          </w:p>
        </w:tc>
        <w:tc>
          <w:tcPr>
            <w:tcW w:w="1134" w:type="dxa"/>
            <w:shd w:val="clear" w:color="auto" w:fill="auto"/>
          </w:tcPr>
          <w:p w:rsidR="00434960" w:rsidRPr="002B4829" w:rsidRDefault="00CF242E" w:rsidP="00434960">
            <w:pPr>
              <w:spacing w:before="80" w:after="80"/>
              <w:jc w:val="center"/>
              <w:rPr>
                <w:rFonts w:ascii="Arial" w:hAnsi="Arial" w:cs="Arial"/>
                <w:sz w:val="22"/>
                <w:szCs w:val="22"/>
              </w:rPr>
            </w:pPr>
            <w:r>
              <w:rPr>
                <w:rFonts w:ascii="Arial" w:hAnsi="Arial" w:cs="Arial"/>
                <w:sz w:val="22"/>
                <w:szCs w:val="22"/>
              </w:rPr>
              <w:t>n/a</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iii)</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Human Rights Act 1998</w:t>
            </w:r>
          </w:p>
        </w:tc>
        <w:tc>
          <w:tcPr>
            <w:tcW w:w="1134" w:type="dxa"/>
            <w:shd w:val="clear" w:color="auto" w:fill="auto"/>
          </w:tcPr>
          <w:p w:rsidR="00434960" w:rsidRPr="002B4829" w:rsidRDefault="00CF242E" w:rsidP="00434960">
            <w:pPr>
              <w:spacing w:before="80" w:after="80"/>
              <w:jc w:val="center"/>
              <w:rPr>
                <w:rFonts w:ascii="Arial" w:hAnsi="Arial" w:cs="Arial"/>
                <w:sz w:val="22"/>
                <w:szCs w:val="22"/>
              </w:rPr>
            </w:pPr>
            <w:r>
              <w:rPr>
                <w:rFonts w:ascii="Arial" w:hAnsi="Arial" w:cs="Arial"/>
                <w:sz w:val="22"/>
                <w:szCs w:val="22"/>
              </w:rPr>
              <w:t>n/a</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iv)</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Health and Safety at Work Act 1974</w:t>
            </w:r>
          </w:p>
        </w:tc>
        <w:tc>
          <w:tcPr>
            <w:tcW w:w="1134" w:type="dxa"/>
            <w:shd w:val="clear" w:color="auto" w:fill="auto"/>
          </w:tcPr>
          <w:p w:rsidR="00434960" w:rsidRPr="002B4829" w:rsidRDefault="00CF242E" w:rsidP="00434960">
            <w:pPr>
              <w:spacing w:before="80" w:after="80"/>
              <w:jc w:val="center"/>
              <w:rPr>
                <w:rFonts w:ascii="Arial" w:hAnsi="Arial" w:cs="Arial"/>
                <w:sz w:val="22"/>
                <w:szCs w:val="22"/>
              </w:rPr>
            </w:pPr>
            <w:r>
              <w:rPr>
                <w:rFonts w:ascii="Arial" w:hAnsi="Arial" w:cs="Arial"/>
                <w:sz w:val="22"/>
                <w:szCs w:val="22"/>
              </w:rPr>
              <w:t>n/a</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v)</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Freedom of Information Act 2000 / Data Protection Act 1998</w:t>
            </w:r>
          </w:p>
        </w:tc>
        <w:tc>
          <w:tcPr>
            <w:tcW w:w="1134" w:type="dxa"/>
            <w:shd w:val="clear" w:color="auto" w:fill="auto"/>
          </w:tcPr>
          <w:p w:rsidR="00434960" w:rsidRPr="002B4829" w:rsidRDefault="00434960" w:rsidP="00434960">
            <w:pPr>
              <w:spacing w:before="80" w:after="80"/>
              <w:jc w:val="center"/>
              <w:rPr>
                <w:rFonts w:ascii="Arial" w:hAnsi="Arial" w:cs="Arial"/>
                <w:sz w:val="22"/>
                <w:szCs w:val="22"/>
              </w:rPr>
            </w:pPr>
            <w:r w:rsidRPr="002B4829">
              <w:rPr>
                <w:rFonts w:ascii="Arial" w:hAnsi="Arial" w:cs="Arial"/>
                <w:sz w:val="22"/>
                <w:szCs w:val="22"/>
              </w:rPr>
              <w:t>Y</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iv)</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Does the report have regard of the principles and values of the NHS Constitution?</w:t>
            </w:r>
          </w:p>
          <w:p w:rsidR="00434960" w:rsidRPr="002B4829" w:rsidRDefault="00A96EBF" w:rsidP="00434960">
            <w:pPr>
              <w:spacing w:before="80" w:after="80"/>
              <w:rPr>
                <w:rFonts w:ascii="Arial" w:hAnsi="Arial" w:cs="Arial"/>
                <w:sz w:val="22"/>
                <w:szCs w:val="22"/>
              </w:rPr>
            </w:pPr>
            <w:hyperlink r:id="rId15" w:history="1">
              <w:r w:rsidR="00434960" w:rsidRPr="002B4829">
                <w:rPr>
                  <w:rStyle w:val="Hyperlink"/>
                  <w:rFonts w:ascii="Arial" w:hAnsi="Arial" w:cs="Arial"/>
                  <w:sz w:val="22"/>
                  <w:szCs w:val="22"/>
                </w:rPr>
                <w:t>www.dh.gov.uk/en/Publicationsandstatistics/Publications/PublicationsPolicyAndGuidance/DH_113613</w:t>
              </w:r>
            </w:hyperlink>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sidRPr="002B4829">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bl>
    <w:p w:rsidR="00DC3218" w:rsidRPr="00801DD4" w:rsidRDefault="00DC3218" w:rsidP="00434960">
      <w:pPr>
        <w:rPr>
          <w:rFonts w:ascii="Arial" w:hAnsi="Arial" w:cs="Arial"/>
          <w:b/>
          <w:sz w:val="22"/>
          <w:szCs w:val="22"/>
        </w:rPr>
      </w:pPr>
    </w:p>
    <w:sectPr w:rsidR="00DC3218" w:rsidRPr="00801DD4" w:rsidSect="00DD7564">
      <w:footerReference w:type="default" r:id="rId16"/>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95" w:rsidRDefault="00E56F95">
      <w:r>
        <w:separator/>
      </w:r>
    </w:p>
  </w:endnote>
  <w:endnote w:type="continuationSeparator" w:id="0">
    <w:p w:rsidR="00E56F95" w:rsidRDefault="00E56F95">
      <w:r>
        <w:continuationSeparator/>
      </w:r>
    </w:p>
  </w:endnote>
  <w:endnote w:type="continuationNotice" w:id="1">
    <w:p w:rsidR="00E56F95" w:rsidRDefault="00E56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37670"/>
      <w:docPartObj>
        <w:docPartGallery w:val="Page Numbers (Bottom of Page)"/>
        <w:docPartUnique/>
      </w:docPartObj>
    </w:sdtPr>
    <w:sdtEndPr>
      <w:rPr>
        <w:noProof/>
      </w:rPr>
    </w:sdtEndPr>
    <w:sdtContent>
      <w:p w:rsidR="007F3D4C" w:rsidRDefault="007F3D4C">
        <w:pPr>
          <w:pStyle w:val="Footer"/>
          <w:jc w:val="right"/>
        </w:pPr>
        <w:r>
          <w:fldChar w:fldCharType="begin"/>
        </w:r>
        <w:r>
          <w:instrText xml:space="preserve"> PAGE   \* MERGEFORMAT </w:instrText>
        </w:r>
        <w:r>
          <w:fldChar w:fldCharType="separate"/>
        </w:r>
        <w:r w:rsidR="00A96EB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95" w:rsidRDefault="00E56F95">
      <w:r>
        <w:separator/>
      </w:r>
    </w:p>
  </w:footnote>
  <w:footnote w:type="continuationSeparator" w:id="0">
    <w:p w:rsidR="00E56F95" w:rsidRDefault="00E56F95">
      <w:r>
        <w:continuationSeparator/>
      </w:r>
    </w:p>
  </w:footnote>
  <w:footnote w:type="continuationNotice" w:id="1">
    <w:p w:rsidR="00E56F95" w:rsidRDefault="00E56F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0280EE5"/>
    <w:multiLevelType w:val="multilevel"/>
    <w:tmpl w:val="0EE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A1852"/>
    <w:multiLevelType w:val="hybridMultilevel"/>
    <w:tmpl w:val="94D675B2"/>
    <w:lvl w:ilvl="0" w:tplc="D57C805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EF2064"/>
    <w:multiLevelType w:val="hybridMultilevel"/>
    <w:tmpl w:val="C226E2C6"/>
    <w:lvl w:ilvl="0" w:tplc="A90CE08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6557874"/>
    <w:multiLevelType w:val="hybridMultilevel"/>
    <w:tmpl w:val="B56C87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0">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2">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F74B9F"/>
    <w:multiLevelType w:val="multilevel"/>
    <w:tmpl w:val="9B9C438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nsid w:val="314B58F1"/>
    <w:multiLevelType w:val="hybridMultilevel"/>
    <w:tmpl w:val="108C47BC"/>
    <w:lvl w:ilvl="0" w:tplc="269CB1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A72CB8"/>
    <w:multiLevelType w:val="hybridMultilevel"/>
    <w:tmpl w:val="845665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1E628C"/>
    <w:multiLevelType w:val="multilevel"/>
    <w:tmpl w:val="A19A2A52"/>
    <w:lvl w:ilvl="0">
      <w:start w:val="1"/>
      <w:numFmt w:val="decimal"/>
      <w:lvlText w:val="%1."/>
      <w:lvlJc w:val="left"/>
      <w:pPr>
        <w:ind w:left="6456" w:hanging="360"/>
      </w:pPr>
    </w:lvl>
    <w:lvl w:ilvl="1">
      <w:start w:val="1"/>
      <w:numFmt w:val="decimal"/>
      <w:lvlText w:val="%2."/>
      <w:lvlJc w:val="left"/>
      <w:pPr>
        <w:ind w:left="999" w:hanging="432"/>
      </w:p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C327111"/>
    <w:multiLevelType w:val="hybridMultilevel"/>
    <w:tmpl w:val="6B68E2EE"/>
    <w:lvl w:ilvl="0" w:tplc="8B8AB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4">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7">
    <w:nsid w:val="56611DF8"/>
    <w:multiLevelType w:val="hybridMultilevel"/>
    <w:tmpl w:val="D30AD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F51366"/>
    <w:multiLevelType w:val="multilevel"/>
    <w:tmpl w:val="B20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1A74D9"/>
    <w:multiLevelType w:val="hybridMultilevel"/>
    <w:tmpl w:val="F0B2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0"/>
  </w:num>
  <w:num w:numId="4">
    <w:abstractNumId w:val="34"/>
  </w:num>
  <w:num w:numId="5">
    <w:abstractNumId w:val="24"/>
  </w:num>
  <w:num w:numId="6">
    <w:abstractNumId w:val="30"/>
  </w:num>
  <w:num w:numId="7">
    <w:abstractNumId w:val="3"/>
  </w:num>
  <w:num w:numId="8">
    <w:abstractNumId w:val="23"/>
  </w:num>
  <w:num w:numId="9">
    <w:abstractNumId w:val="26"/>
  </w:num>
  <w:num w:numId="10">
    <w:abstractNumId w:val="5"/>
  </w:num>
  <w:num w:numId="11">
    <w:abstractNumId w:val="12"/>
  </w:num>
  <w:num w:numId="12">
    <w:abstractNumId w:val="29"/>
  </w:num>
  <w:num w:numId="13">
    <w:abstractNumId w:val="19"/>
  </w:num>
  <w:num w:numId="14">
    <w:abstractNumId w:val="1"/>
  </w:num>
  <w:num w:numId="15">
    <w:abstractNumId w:val="21"/>
  </w:num>
  <w:num w:numId="16">
    <w:abstractNumId w:val="13"/>
  </w:num>
  <w:num w:numId="17">
    <w:abstractNumId w:val="25"/>
  </w:num>
  <w:num w:numId="18">
    <w:abstractNumId w:val="20"/>
  </w:num>
  <w:num w:numId="19">
    <w:abstractNumId w:val="31"/>
  </w:num>
  <w:num w:numId="20">
    <w:abstractNumId w:val="11"/>
  </w:num>
  <w:num w:numId="21">
    <w:abstractNumId w:val="10"/>
  </w:num>
  <w:num w:numId="22">
    <w:abstractNumId w:val="17"/>
  </w:num>
  <w:num w:numId="23">
    <w:abstractNumId w:val="4"/>
  </w:num>
  <w:num w:numId="24">
    <w:abstractNumId w:val="9"/>
  </w:num>
  <w:num w:numId="25">
    <w:abstractNumId w:val="15"/>
  </w:num>
  <w:num w:numId="26">
    <w:abstractNumId w:val="22"/>
  </w:num>
  <w:num w:numId="27">
    <w:abstractNumId w:val="14"/>
  </w:num>
  <w:num w:numId="28">
    <w:abstractNumId w:val="32"/>
  </w:num>
  <w:num w:numId="29">
    <w:abstractNumId w:val="6"/>
  </w:num>
  <w:num w:numId="30">
    <w:abstractNumId w:val="27"/>
  </w:num>
  <w:num w:numId="31">
    <w:abstractNumId w:val="7"/>
  </w:num>
  <w:num w:numId="32">
    <w:abstractNumId w:val="16"/>
  </w:num>
  <w:num w:numId="33">
    <w:abstractNumId w:val="8"/>
  </w:num>
  <w:num w:numId="3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04C8"/>
    <w:rsid w:val="00002EFA"/>
    <w:rsid w:val="00005597"/>
    <w:rsid w:val="00015F2C"/>
    <w:rsid w:val="000165FE"/>
    <w:rsid w:val="00017A77"/>
    <w:rsid w:val="00020184"/>
    <w:rsid w:val="0003526D"/>
    <w:rsid w:val="00037302"/>
    <w:rsid w:val="00040145"/>
    <w:rsid w:val="00050A68"/>
    <w:rsid w:val="0005217F"/>
    <w:rsid w:val="00053013"/>
    <w:rsid w:val="000553ED"/>
    <w:rsid w:val="00060BE3"/>
    <w:rsid w:val="00062ABA"/>
    <w:rsid w:val="00067D66"/>
    <w:rsid w:val="000804F5"/>
    <w:rsid w:val="00086901"/>
    <w:rsid w:val="00091E11"/>
    <w:rsid w:val="000920DD"/>
    <w:rsid w:val="00095E6B"/>
    <w:rsid w:val="00095FED"/>
    <w:rsid w:val="000B1D82"/>
    <w:rsid w:val="000B1EEB"/>
    <w:rsid w:val="000B4521"/>
    <w:rsid w:val="000B71BF"/>
    <w:rsid w:val="000C440F"/>
    <w:rsid w:val="000E4269"/>
    <w:rsid w:val="000F5290"/>
    <w:rsid w:val="00101E52"/>
    <w:rsid w:val="00105599"/>
    <w:rsid w:val="00105BD8"/>
    <w:rsid w:val="00112B21"/>
    <w:rsid w:val="001154A6"/>
    <w:rsid w:val="00120909"/>
    <w:rsid w:val="001209C1"/>
    <w:rsid w:val="00124B07"/>
    <w:rsid w:val="00132B3D"/>
    <w:rsid w:val="00136A3D"/>
    <w:rsid w:val="00136C3A"/>
    <w:rsid w:val="00146F56"/>
    <w:rsid w:val="0015293E"/>
    <w:rsid w:val="001555E0"/>
    <w:rsid w:val="00157684"/>
    <w:rsid w:val="00157D2B"/>
    <w:rsid w:val="00160342"/>
    <w:rsid w:val="00171A6A"/>
    <w:rsid w:val="00176D4A"/>
    <w:rsid w:val="00180D44"/>
    <w:rsid w:val="00180DA6"/>
    <w:rsid w:val="00185707"/>
    <w:rsid w:val="00187F17"/>
    <w:rsid w:val="00190670"/>
    <w:rsid w:val="00193741"/>
    <w:rsid w:val="00197B68"/>
    <w:rsid w:val="001A4E90"/>
    <w:rsid w:val="001B3A86"/>
    <w:rsid w:val="001B6258"/>
    <w:rsid w:val="001C0128"/>
    <w:rsid w:val="001D06EA"/>
    <w:rsid w:val="001D6104"/>
    <w:rsid w:val="001D78A2"/>
    <w:rsid w:val="001E773A"/>
    <w:rsid w:val="001F0095"/>
    <w:rsid w:val="001F21BE"/>
    <w:rsid w:val="001F59F0"/>
    <w:rsid w:val="001F6597"/>
    <w:rsid w:val="00200CED"/>
    <w:rsid w:val="0020798A"/>
    <w:rsid w:val="002124A8"/>
    <w:rsid w:val="00213BC1"/>
    <w:rsid w:val="002141E5"/>
    <w:rsid w:val="00216C8C"/>
    <w:rsid w:val="00231A40"/>
    <w:rsid w:val="00231D43"/>
    <w:rsid w:val="00235F12"/>
    <w:rsid w:val="00246031"/>
    <w:rsid w:val="00246D3A"/>
    <w:rsid w:val="002510A1"/>
    <w:rsid w:val="0025514C"/>
    <w:rsid w:val="00256406"/>
    <w:rsid w:val="00261AB5"/>
    <w:rsid w:val="002626F4"/>
    <w:rsid w:val="0026660D"/>
    <w:rsid w:val="00266CB0"/>
    <w:rsid w:val="00266FF1"/>
    <w:rsid w:val="002700D2"/>
    <w:rsid w:val="00285B93"/>
    <w:rsid w:val="00285C31"/>
    <w:rsid w:val="00286998"/>
    <w:rsid w:val="00286A2F"/>
    <w:rsid w:val="00292B28"/>
    <w:rsid w:val="00294FCD"/>
    <w:rsid w:val="002A2A33"/>
    <w:rsid w:val="002A3C39"/>
    <w:rsid w:val="002A651D"/>
    <w:rsid w:val="002B4829"/>
    <w:rsid w:val="002B63BC"/>
    <w:rsid w:val="002C17C1"/>
    <w:rsid w:val="002C5522"/>
    <w:rsid w:val="002D417E"/>
    <w:rsid w:val="002E26B9"/>
    <w:rsid w:val="002E7820"/>
    <w:rsid w:val="002F30C8"/>
    <w:rsid w:val="002F445D"/>
    <w:rsid w:val="002F47B6"/>
    <w:rsid w:val="002F5936"/>
    <w:rsid w:val="00301655"/>
    <w:rsid w:val="00303B76"/>
    <w:rsid w:val="00312796"/>
    <w:rsid w:val="003225BA"/>
    <w:rsid w:val="00326AB8"/>
    <w:rsid w:val="00333257"/>
    <w:rsid w:val="0034307E"/>
    <w:rsid w:val="00357080"/>
    <w:rsid w:val="00361929"/>
    <w:rsid w:val="00363C1F"/>
    <w:rsid w:val="0036628F"/>
    <w:rsid w:val="00366F7D"/>
    <w:rsid w:val="00380FCF"/>
    <w:rsid w:val="003813D8"/>
    <w:rsid w:val="00384979"/>
    <w:rsid w:val="00394F30"/>
    <w:rsid w:val="003A0027"/>
    <w:rsid w:val="003A03CB"/>
    <w:rsid w:val="003A2C04"/>
    <w:rsid w:val="003A65D1"/>
    <w:rsid w:val="003B0A06"/>
    <w:rsid w:val="003B626C"/>
    <w:rsid w:val="003C6569"/>
    <w:rsid w:val="003D2887"/>
    <w:rsid w:val="003D3E08"/>
    <w:rsid w:val="003D3F5E"/>
    <w:rsid w:val="003D489F"/>
    <w:rsid w:val="003E4361"/>
    <w:rsid w:val="003F5E9E"/>
    <w:rsid w:val="003F6D7A"/>
    <w:rsid w:val="003F6DF9"/>
    <w:rsid w:val="00406064"/>
    <w:rsid w:val="00420D54"/>
    <w:rsid w:val="00423F06"/>
    <w:rsid w:val="004337A4"/>
    <w:rsid w:val="00434363"/>
    <w:rsid w:val="00434960"/>
    <w:rsid w:val="0043664F"/>
    <w:rsid w:val="00441951"/>
    <w:rsid w:val="00441E7A"/>
    <w:rsid w:val="00446F94"/>
    <w:rsid w:val="00447394"/>
    <w:rsid w:val="00450490"/>
    <w:rsid w:val="0045487B"/>
    <w:rsid w:val="00454EA5"/>
    <w:rsid w:val="00456662"/>
    <w:rsid w:val="00457AAE"/>
    <w:rsid w:val="00460038"/>
    <w:rsid w:val="004623CA"/>
    <w:rsid w:val="00462810"/>
    <w:rsid w:val="00463C23"/>
    <w:rsid w:val="00464A6D"/>
    <w:rsid w:val="00466602"/>
    <w:rsid w:val="00470088"/>
    <w:rsid w:val="00470C33"/>
    <w:rsid w:val="004710E4"/>
    <w:rsid w:val="004756D3"/>
    <w:rsid w:val="004822A5"/>
    <w:rsid w:val="00490D15"/>
    <w:rsid w:val="004A5EE0"/>
    <w:rsid w:val="004A69F6"/>
    <w:rsid w:val="004A75B1"/>
    <w:rsid w:val="004B29A9"/>
    <w:rsid w:val="004B4F56"/>
    <w:rsid w:val="004C0DE3"/>
    <w:rsid w:val="004C5FA2"/>
    <w:rsid w:val="004C677C"/>
    <w:rsid w:val="004C6F5C"/>
    <w:rsid w:val="004D0321"/>
    <w:rsid w:val="004D7118"/>
    <w:rsid w:val="004E7A80"/>
    <w:rsid w:val="004F2E71"/>
    <w:rsid w:val="004F300F"/>
    <w:rsid w:val="004F3209"/>
    <w:rsid w:val="004F64DF"/>
    <w:rsid w:val="005109BE"/>
    <w:rsid w:val="00517C3A"/>
    <w:rsid w:val="0052360E"/>
    <w:rsid w:val="00532C2C"/>
    <w:rsid w:val="00541F74"/>
    <w:rsid w:val="0055649F"/>
    <w:rsid w:val="00562641"/>
    <w:rsid w:val="00562E19"/>
    <w:rsid w:val="00567797"/>
    <w:rsid w:val="0057544B"/>
    <w:rsid w:val="0057654D"/>
    <w:rsid w:val="005847E8"/>
    <w:rsid w:val="00585083"/>
    <w:rsid w:val="0058666A"/>
    <w:rsid w:val="00587A7C"/>
    <w:rsid w:val="00587B25"/>
    <w:rsid w:val="00591E40"/>
    <w:rsid w:val="00593311"/>
    <w:rsid w:val="005973A0"/>
    <w:rsid w:val="005A36F7"/>
    <w:rsid w:val="005A625B"/>
    <w:rsid w:val="005C497F"/>
    <w:rsid w:val="005E01FA"/>
    <w:rsid w:val="005E2E6B"/>
    <w:rsid w:val="005F0C84"/>
    <w:rsid w:val="005F11AA"/>
    <w:rsid w:val="005F195A"/>
    <w:rsid w:val="0060216B"/>
    <w:rsid w:val="00604967"/>
    <w:rsid w:val="00607C7F"/>
    <w:rsid w:val="006203A2"/>
    <w:rsid w:val="006227EF"/>
    <w:rsid w:val="006248E1"/>
    <w:rsid w:val="00625124"/>
    <w:rsid w:val="006468ED"/>
    <w:rsid w:val="006558BC"/>
    <w:rsid w:val="006569A3"/>
    <w:rsid w:val="00657CC2"/>
    <w:rsid w:val="00664815"/>
    <w:rsid w:val="006657C5"/>
    <w:rsid w:val="00666DDD"/>
    <w:rsid w:val="0067295A"/>
    <w:rsid w:val="00675C73"/>
    <w:rsid w:val="0068471B"/>
    <w:rsid w:val="0068496F"/>
    <w:rsid w:val="00686660"/>
    <w:rsid w:val="0069645B"/>
    <w:rsid w:val="0069733F"/>
    <w:rsid w:val="006A2E19"/>
    <w:rsid w:val="006A788A"/>
    <w:rsid w:val="006A7D61"/>
    <w:rsid w:val="006B301F"/>
    <w:rsid w:val="006B7C64"/>
    <w:rsid w:val="006C03B7"/>
    <w:rsid w:val="006C1DEF"/>
    <w:rsid w:val="006C2A88"/>
    <w:rsid w:val="006C5536"/>
    <w:rsid w:val="006D2FBF"/>
    <w:rsid w:val="006D535E"/>
    <w:rsid w:val="006E2F1F"/>
    <w:rsid w:val="006E77B2"/>
    <w:rsid w:val="006F1162"/>
    <w:rsid w:val="006F2D41"/>
    <w:rsid w:val="006F45C7"/>
    <w:rsid w:val="006F5C8A"/>
    <w:rsid w:val="006F7B59"/>
    <w:rsid w:val="0070365F"/>
    <w:rsid w:val="00704AA3"/>
    <w:rsid w:val="00710714"/>
    <w:rsid w:val="00716CAF"/>
    <w:rsid w:val="00730C39"/>
    <w:rsid w:val="007315E3"/>
    <w:rsid w:val="0073457C"/>
    <w:rsid w:val="007351D1"/>
    <w:rsid w:val="00736E79"/>
    <w:rsid w:val="00740BB8"/>
    <w:rsid w:val="00752F56"/>
    <w:rsid w:val="00752FD6"/>
    <w:rsid w:val="007542CB"/>
    <w:rsid w:val="007559C0"/>
    <w:rsid w:val="00762B55"/>
    <w:rsid w:val="00765D56"/>
    <w:rsid w:val="007673BA"/>
    <w:rsid w:val="0077428E"/>
    <w:rsid w:val="00775657"/>
    <w:rsid w:val="00775E08"/>
    <w:rsid w:val="00776A1C"/>
    <w:rsid w:val="00777C4C"/>
    <w:rsid w:val="007818CA"/>
    <w:rsid w:val="007927F8"/>
    <w:rsid w:val="007943EA"/>
    <w:rsid w:val="007A1CE6"/>
    <w:rsid w:val="007A356A"/>
    <w:rsid w:val="007A7384"/>
    <w:rsid w:val="007B20A8"/>
    <w:rsid w:val="007B2FB2"/>
    <w:rsid w:val="007B57A3"/>
    <w:rsid w:val="007C1372"/>
    <w:rsid w:val="007C7176"/>
    <w:rsid w:val="007D3224"/>
    <w:rsid w:val="007D373C"/>
    <w:rsid w:val="007D4325"/>
    <w:rsid w:val="007D696B"/>
    <w:rsid w:val="007E2B49"/>
    <w:rsid w:val="007E34FA"/>
    <w:rsid w:val="007E5418"/>
    <w:rsid w:val="007E6A63"/>
    <w:rsid w:val="007F26DD"/>
    <w:rsid w:val="007F3D4C"/>
    <w:rsid w:val="007F5413"/>
    <w:rsid w:val="00801DD4"/>
    <w:rsid w:val="008024D1"/>
    <w:rsid w:val="008032FA"/>
    <w:rsid w:val="00803AA5"/>
    <w:rsid w:val="00812DE5"/>
    <w:rsid w:val="00815FA9"/>
    <w:rsid w:val="008254CA"/>
    <w:rsid w:val="00826DB8"/>
    <w:rsid w:val="00830CC4"/>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B3714"/>
    <w:rsid w:val="008C70FB"/>
    <w:rsid w:val="008D12EA"/>
    <w:rsid w:val="008D6A39"/>
    <w:rsid w:val="008E206C"/>
    <w:rsid w:val="008F140F"/>
    <w:rsid w:val="008F200B"/>
    <w:rsid w:val="008F677B"/>
    <w:rsid w:val="00902940"/>
    <w:rsid w:val="00905151"/>
    <w:rsid w:val="00907378"/>
    <w:rsid w:val="009112DF"/>
    <w:rsid w:val="00911859"/>
    <w:rsid w:val="009119AD"/>
    <w:rsid w:val="0091688E"/>
    <w:rsid w:val="00920543"/>
    <w:rsid w:val="00923556"/>
    <w:rsid w:val="009269E7"/>
    <w:rsid w:val="009306C6"/>
    <w:rsid w:val="00936BC2"/>
    <w:rsid w:val="00936C71"/>
    <w:rsid w:val="009377E9"/>
    <w:rsid w:val="0094097A"/>
    <w:rsid w:val="009415CF"/>
    <w:rsid w:val="00946B7B"/>
    <w:rsid w:val="00960460"/>
    <w:rsid w:val="00961032"/>
    <w:rsid w:val="009615DA"/>
    <w:rsid w:val="009646FA"/>
    <w:rsid w:val="00973430"/>
    <w:rsid w:val="00975B74"/>
    <w:rsid w:val="009846C1"/>
    <w:rsid w:val="00995D16"/>
    <w:rsid w:val="009A0C1E"/>
    <w:rsid w:val="009B25F1"/>
    <w:rsid w:val="009B32B5"/>
    <w:rsid w:val="009B3884"/>
    <w:rsid w:val="009C1493"/>
    <w:rsid w:val="009C33D4"/>
    <w:rsid w:val="009C4945"/>
    <w:rsid w:val="009C6E24"/>
    <w:rsid w:val="009D14DD"/>
    <w:rsid w:val="009D4815"/>
    <w:rsid w:val="009E0D79"/>
    <w:rsid w:val="009E7323"/>
    <w:rsid w:val="009F1269"/>
    <w:rsid w:val="00A01B48"/>
    <w:rsid w:val="00A03A97"/>
    <w:rsid w:val="00A07691"/>
    <w:rsid w:val="00A07A07"/>
    <w:rsid w:val="00A1183A"/>
    <w:rsid w:val="00A14275"/>
    <w:rsid w:val="00A17708"/>
    <w:rsid w:val="00A20848"/>
    <w:rsid w:val="00A23803"/>
    <w:rsid w:val="00A2612F"/>
    <w:rsid w:val="00A31B98"/>
    <w:rsid w:val="00A33560"/>
    <w:rsid w:val="00A33B01"/>
    <w:rsid w:val="00A35F42"/>
    <w:rsid w:val="00A40291"/>
    <w:rsid w:val="00A44E34"/>
    <w:rsid w:val="00A45F00"/>
    <w:rsid w:val="00A531CD"/>
    <w:rsid w:val="00A646B0"/>
    <w:rsid w:val="00A66F25"/>
    <w:rsid w:val="00A74848"/>
    <w:rsid w:val="00A773EC"/>
    <w:rsid w:val="00A77DA9"/>
    <w:rsid w:val="00A839E9"/>
    <w:rsid w:val="00A83BD9"/>
    <w:rsid w:val="00A860CA"/>
    <w:rsid w:val="00A862EF"/>
    <w:rsid w:val="00A873BF"/>
    <w:rsid w:val="00A87ACE"/>
    <w:rsid w:val="00A9668F"/>
    <w:rsid w:val="00A96EBF"/>
    <w:rsid w:val="00A96FB0"/>
    <w:rsid w:val="00AB262D"/>
    <w:rsid w:val="00AB2796"/>
    <w:rsid w:val="00AC13A0"/>
    <w:rsid w:val="00AC47AF"/>
    <w:rsid w:val="00AC54D3"/>
    <w:rsid w:val="00AC5C4C"/>
    <w:rsid w:val="00AC7BB2"/>
    <w:rsid w:val="00AD4952"/>
    <w:rsid w:val="00AD4F09"/>
    <w:rsid w:val="00AD584A"/>
    <w:rsid w:val="00AD7635"/>
    <w:rsid w:val="00AE454E"/>
    <w:rsid w:val="00AE485A"/>
    <w:rsid w:val="00AF05A0"/>
    <w:rsid w:val="00AF1211"/>
    <w:rsid w:val="00AF3749"/>
    <w:rsid w:val="00AF3A61"/>
    <w:rsid w:val="00AF47E2"/>
    <w:rsid w:val="00AF5DDB"/>
    <w:rsid w:val="00B02EF5"/>
    <w:rsid w:val="00B170EF"/>
    <w:rsid w:val="00B31017"/>
    <w:rsid w:val="00B349FF"/>
    <w:rsid w:val="00B363A4"/>
    <w:rsid w:val="00B37AF2"/>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283B"/>
    <w:rsid w:val="00B93457"/>
    <w:rsid w:val="00B961A5"/>
    <w:rsid w:val="00B97B0B"/>
    <w:rsid w:val="00BA763E"/>
    <w:rsid w:val="00BB4739"/>
    <w:rsid w:val="00BB543D"/>
    <w:rsid w:val="00BB5C36"/>
    <w:rsid w:val="00BB7DF9"/>
    <w:rsid w:val="00BC24D2"/>
    <w:rsid w:val="00BC27AF"/>
    <w:rsid w:val="00BC4508"/>
    <w:rsid w:val="00BC5CEC"/>
    <w:rsid w:val="00BC6D92"/>
    <w:rsid w:val="00BD6929"/>
    <w:rsid w:val="00BE2812"/>
    <w:rsid w:val="00BE6E0D"/>
    <w:rsid w:val="00BE7009"/>
    <w:rsid w:val="00BF4C1F"/>
    <w:rsid w:val="00BF64D8"/>
    <w:rsid w:val="00C053D3"/>
    <w:rsid w:val="00C0569D"/>
    <w:rsid w:val="00C07D8B"/>
    <w:rsid w:val="00C11E56"/>
    <w:rsid w:val="00C12393"/>
    <w:rsid w:val="00C13505"/>
    <w:rsid w:val="00C20949"/>
    <w:rsid w:val="00C43E07"/>
    <w:rsid w:val="00C523B4"/>
    <w:rsid w:val="00C52D50"/>
    <w:rsid w:val="00C628C9"/>
    <w:rsid w:val="00C703B6"/>
    <w:rsid w:val="00C72CB3"/>
    <w:rsid w:val="00C74EC1"/>
    <w:rsid w:val="00C7588E"/>
    <w:rsid w:val="00C85824"/>
    <w:rsid w:val="00C86CC4"/>
    <w:rsid w:val="00C965C4"/>
    <w:rsid w:val="00CA3315"/>
    <w:rsid w:val="00CA64C1"/>
    <w:rsid w:val="00CA6EC9"/>
    <w:rsid w:val="00CB1B56"/>
    <w:rsid w:val="00CB4EE8"/>
    <w:rsid w:val="00CC6E1E"/>
    <w:rsid w:val="00CD079D"/>
    <w:rsid w:val="00CD2622"/>
    <w:rsid w:val="00CD319C"/>
    <w:rsid w:val="00CD4F1D"/>
    <w:rsid w:val="00CD54A8"/>
    <w:rsid w:val="00CE07E5"/>
    <w:rsid w:val="00CE160D"/>
    <w:rsid w:val="00CF242E"/>
    <w:rsid w:val="00CF258F"/>
    <w:rsid w:val="00CF5F75"/>
    <w:rsid w:val="00D00EFA"/>
    <w:rsid w:val="00D25017"/>
    <w:rsid w:val="00D25A2E"/>
    <w:rsid w:val="00D271AC"/>
    <w:rsid w:val="00D305B9"/>
    <w:rsid w:val="00D3494B"/>
    <w:rsid w:val="00D35D4A"/>
    <w:rsid w:val="00D41C63"/>
    <w:rsid w:val="00D450C3"/>
    <w:rsid w:val="00D4597C"/>
    <w:rsid w:val="00D52206"/>
    <w:rsid w:val="00D6242A"/>
    <w:rsid w:val="00D655CC"/>
    <w:rsid w:val="00D6660C"/>
    <w:rsid w:val="00D67619"/>
    <w:rsid w:val="00D76A89"/>
    <w:rsid w:val="00D803BA"/>
    <w:rsid w:val="00D91037"/>
    <w:rsid w:val="00D921A3"/>
    <w:rsid w:val="00DA5437"/>
    <w:rsid w:val="00DA584B"/>
    <w:rsid w:val="00DA6818"/>
    <w:rsid w:val="00DA7509"/>
    <w:rsid w:val="00DA75DE"/>
    <w:rsid w:val="00DC2203"/>
    <w:rsid w:val="00DC3218"/>
    <w:rsid w:val="00DC46DB"/>
    <w:rsid w:val="00DD1E33"/>
    <w:rsid w:val="00DD27F1"/>
    <w:rsid w:val="00DD3E42"/>
    <w:rsid w:val="00DD689C"/>
    <w:rsid w:val="00DD7564"/>
    <w:rsid w:val="00DE6E0E"/>
    <w:rsid w:val="00DF00F8"/>
    <w:rsid w:val="00DF2F49"/>
    <w:rsid w:val="00DF3185"/>
    <w:rsid w:val="00DF3E42"/>
    <w:rsid w:val="00DF47C7"/>
    <w:rsid w:val="00E056CB"/>
    <w:rsid w:val="00E15C04"/>
    <w:rsid w:val="00E24870"/>
    <w:rsid w:val="00E2557D"/>
    <w:rsid w:val="00E320A8"/>
    <w:rsid w:val="00E43FD9"/>
    <w:rsid w:val="00E4499A"/>
    <w:rsid w:val="00E46EFA"/>
    <w:rsid w:val="00E47C0B"/>
    <w:rsid w:val="00E50ED4"/>
    <w:rsid w:val="00E5159C"/>
    <w:rsid w:val="00E538AF"/>
    <w:rsid w:val="00E550FE"/>
    <w:rsid w:val="00E56F95"/>
    <w:rsid w:val="00E617F9"/>
    <w:rsid w:val="00E62B1C"/>
    <w:rsid w:val="00E62F21"/>
    <w:rsid w:val="00E67668"/>
    <w:rsid w:val="00E7471C"/>
    <w:rsid w:val="00E75A46"/>
    <w:rsid w:val="00E857C3"/>
    <w:rsid w:val="00E921F2"/>
    <w:rsid w:val="00E92F81"/>
    <w:rsid w:val="00E94BFF"/>
    <w:rsid w:val="00E9685C"/>
    <w:rsid w:val="00EA1089"/>
    <w:rsid w:val="00EA285F"/>
    <w:rsid w:val="00EA2B4C"/>
    <w:rsid w:val="00EA2CFC"/>
    <w:rsid w:val="00EB6E0A"/>
    <w:rsid w:val="00EC03DC"/>
    <w:rsid w:val="00ED0665"/>
    <w:rsid w:val="00ED2BBB"/>
    <w:rsid w:val="00ED44C9"/>
    <w:rsid w:val="00ED5835"/>
    <w:rsid w:val="00ED6017"/>
    <w:rsid w:val="00EF1A15"/>
    <w:rsid w:val="00EF303F"/>
    <w:rsid w:val="00EF3C43"/>
    <w:rsid w:val="00EF524B"/>
    <w:rsid w:val="00F008CD"/>
    <w:rsid w:val="00F03783"/>
    <w:rsid w:val="00F05335"/>
    <w:rsid w:val="00F06421"/>
    <w:rsid w:val="00F12864"/>
    <w:rsid w:val="00F12DB0"/>
    <w:rsid w:val="00F3113F"/>
    <w:rsid w:val="00F32730"/>
    <w:rsid w:val="00F3308A"/>
    <w:rsid w:val="00F333A5"/>
    <w:rsid w:val="00F3716D"/>
    <w:rsid w:val="00F37D18"/>
    <w:rsid w:val="00F40B1F"/>
    <w:rsid w:val="00F45C7E"/>
    <w:rsid w:val="00F51B57"/>
    <w:rsid w:val="00F524C7"/>
    <w:rsid w:val="00F55731"/>
    <w:rsid w:val="00F55EFB"/>
    <w:rsid w:val="00F63B44"/>
    <w:rsid w:val="00F6631C"/>
    <w:rsid w:val="00F768A3"/>
    <w:rsid w:val="00F85FD3"/>
    <w:rsid w:val="00F906E5"/>
    <w:rsid w:val="00F9086D"/>
    <w:rsid w:val="00F9292B"/>
    <w:rsid w:val="00FA3BC7"/>
    <w:rsid w:val="00FB10F2"/>
    <w:rsid w:val="00FB3252"/>
    <w:rsid w:val="00FB47ED"/>
    <w:rsid w:val="00FB4DB6"/>
    <w:rsid w:val="00FB548E"/>
    <w:rsid w:val="00FB69A8"/>
    <w:rsid w:val="00FB7D2A"/>
    <w:rsid w:val="00FC2818"/>
    <w:rsid w:val="00FC3546"/>
    <w:rsid w:val="00FC4B83"/>
    <w:rsid w:val="00FC6262"/>
    <w:rsid w:val="00FD0CF4"/>
    <w:rsid w:val="00FD11B5"/>
    <w:rsid w:val="00FD44F3"/>
    <w:rsid w:val="00FD5D6D"/>
    <w:rsid w:val="00FD79C1"/>
    <w:rsid w:val="00FE0D3A"/>
    <w:rsid w:val="00FE201C"/>
    <w:rsid w:val="00FE485A"/>
    <w:rsid w:val="00FE4D7B"/>
    <w:rsid w:val="00FE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 w:type="paragraph" w:styleId="FootnoteText">
    <w:name w:val="footnote text"/>
    <w:basedOn w:val="Normal"/>
    <w:link w:val="FootnoteTextChar"/>
    <w:rsid w:val="00E62F21"/>
    <w:rPr>
      <w:sz w:val="20"/>
      <w:szCs w:val="20"/>
    </w:rPr>
  </w:style>
  <w:style w:type="character" w:customStyle="1" w:styleId="FootnoteTextChar">
    <w:name w:val="Footnote Text Char"/>
    <w:basedOn w:val="DefaultParagraphFont"/>
    <w:link w:val="FootnoteText"/>
    <w:rsid w:val="00E62F21"/>
  </w:style>
  <w:style w:type="character" w:styleId="FootnoteReference">
    <w:name w:val="footnote reference"/>
    <w:basedOn w:val="DefaultParagraphFont"/>
    <w:uiPriority w:val="99"/>
    <w:unhideWhenUsed/>
    <w:rsid w:val="00E62F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 w:type="paragraph" w:styleId="FootnoteText">
    <w:name w:val="footnote text"/>
    <w:basedOn w:val="Normal"/>
    <w:link w:val="FootnoteTextChar"/>
    <w:rsid w:val="00E62F21"/>
    <w:rPr>
      <w:sz w:val="20"/>
      <w:szCs w:val="20"/>
    </w:rPr>
  </w:style>
  <w:style w:type="character" w:customStyle="1" w:styleId="FootnoteTextChar">
    <w:name w:val="Footnote Text Char"/>
    <w:basedOn w:val="DefaultParagraphFont"/>
    <w:link w:val="FootnoteText"/>
    <w:rsid w:val="00E62F21"/>
  </w:style>
  <w:style w:type="character" w:styleId="FootnoteReference">
    <w:name w:val="footnote reference"/>
    <w:basedOn w:val="DefaultParagraphFont"/>
    <w:uiPriority w:val="99"/>
    <w:unhideWhenUsed/>
    <w:rsid w:val="00E62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115295897">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718624429">
      <w:bodyDiv w:val="1"/>
      <w:marLeft w:val="0"/>
      <w:marRight w:val="0"/>
      <w:marTop w:val="0"/>
      <w:marBottom w:val="0"/>
      <w:divBdr>
        <w:top w:val="none" w:sz="0" w:space="0" w:color="auto"/>
        <w:left w:val="none" w:sz="0" w:space="0" w:color="auto"/>
        <w:bottom w:val="none" w:sz="0" w:space="0" w:color="auto"/>
        <w:right w:val="none" w:sz="0" w:space="0" w:color="auto"/>
      </w:divBdr>
      <w:divsChild>
        <w:div w:id="495851726">
          <w:marLeft w:val="0"/>
          <w:marRight w:val="0"/>
          <w:marTop w:val="0"/>
          <w:marBottom w:val="0"/>
          <w:divBdr>
            <w:top w:val="none" w:sz="0" w:space="0" w:color="auto"/>
            <w:left w:val="none" w:sz="0" w:space="0" w:color="auto"/>
            <w:bottom w:val="none" w:sz="0" w:space="0" w:color="auto"/>
            <w:right w:val="none" w:sz="0" w:space="0" w:color="auto"/>
          </w:divBdr>
          <w:divsChild>
            <w:div w:id="1349719643">
              <w:marLeft w:val="0"/>
              <w:marRight w:val="0"/>
              <w:marTop w:val="0"/>
              <w:marBottom w:val="0"/>
              <w:divBdr>
                <w:top w:val="none" w:sz="0" w:space="0" w:color="auto"/>
                <w:left w:val="none" w:sz="0" w:space="0" w:color="auto"/>
                <w:bottom w:val="none" w:sz="0" w:space="0" w:color="auto"/>
                <w:right w:val="none" w:sz="0" w:space="0" w:color="auto"/>
              </w:divBdr>
              <w:divsChild>
                <w:div w:id="1584408831">
                  <w:marLeft w:val="0"/>
                  <w:marRight w:val="0"/>
                  <w:marTop w:val="0"/>
                  <w:marBottom w:val="0"/>
                  <w:divBdr>
                    <w:top w:val="none" w:sz="0" w:space="0" w:color="auto"/>
                    <w:left w:val="none" w:sz="0" w:space="0" w:color="auto"/>
                    <w:bottom w:val="none" w:sz="0" w:space="0" w:color="auto"/>
                    <w:right w:val="none" w:sz="0" w:space="0" w:color="auto"/>
                  </w:divBdr>
                  <w:divsChild>
                    <w:div w:id="383800625">
                      <w:marLeft w:val="0"/>
                      <w:marRight w:val="0"/>
                      <w:marTop w:val="0"/>
                      <w:marBottom w:val="0"/>
                      <w:divBdr>
                        <w:top w:val="none" w:sz="0" w:space="0" w:color="auto"/>
                        <w:left w:val="none" w:sz="0" w:space="0" w:color="auto"/>
                        <w:bottom w:val="none" w:sz="0" w:space="0" w:color="auto"/>
                        <w:right w:val="none" w:sz="0" w:space="0" w:color="auto"/>
                      </w:divBdr>
                      <w:divsChild>
                        <w:div w:id="916284587">
                          <w:marLeft w:val="0"/>
                          <w:marRight w:val="0"/>
                          <w:marTop w:val="0"/>
                          <w:marBottom w:val="0"/>
                          <w:divBdr>
                            <w:top w:val="none" w:sz="0" w:space="0" w:color="auto"/>
                            <w:left w:val="none" w:sz="0" w:space="0" w:color="auto"/>
                            <w:bottom w:val="none" w:sz="0" w:space="0" w:color="auto"/>
                            <w:right w:val="none" w:sz="0" w:space="0" w:color="auto"/>
                          </w:divBdr>
                          <w:divsChild>
                            <w:div w:id="1758593386">
                              <w:marLeft w:val="0"/>
                              <w:marRight w:val="0"/>
                              <w:marTop w:val="0"/>
                              <w:marBottom w:val="0"/>
                              <w:divBdr>
                                <w:top w:val="none" w:sz="0" w:space="0" w:color="auto"/>
                                <w:left w:val="none" w:sz="0" w:space="0" w:color="auto"/>
                                <w:bottom w:val="none" w:sz="0" w:space="0" w:color="auto"/>
                                <w:right w:val="none" w:sz="0" w:space="0" w:color="auto"/>
                              </w:divBdr>
                              <w:divsChild>
                                <w:div w:id="1006593270">
                                  <w:marLeft w:val="0"/>
                                  <w:marRight w:val="0"/>
                                  <w:marTop w:val="0"/>
                                  <w:marBottom w:val="0"/>
                                  <w:divBdr>
                                    <w:top w:val="none" w:sz="0" w:space="0" w:color="auto"/>
                                    <w:left w:val="none" w:sz="0" w:space="0" w:color="auto"/>
                                    <w:bottom w:val="none" w:sz="0" w:space="0" w:color="auto"/>
                                    <w:right w:val="none" w:sz="0" w:space="0" w:color="auto"/>
                                  </w:divBdr>
                                  <w:divsChild>
                                    <w:div w:id="9158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76518">
      <w:bodyDiv w:val="1"/>
      <w:marLeft w:val="0"/>
      <w:marRight w:val="0"/>
      <w:marTop w:val="0"/>
      <w:marBottom w:val="0"/>
      <w:divBdr>
        <w:top w:val="none" w:sz="0" w:space="0" w:color="auto"/>
        <w:left w:val="none" w:sz="0" w:space="0" w:color="auto"/>
        <w:bottom w:val="none" w:sz="0" w:space="0" w:color="auto"/>
        <w:right w:val="none" w:sz="0" w:space="0" w:color="auto"/>
      </w:divBdr>
      <w:divsChild>
        <w:div w:id="57943280">
          <w:marLeft w:val="0"/>
          <w:marRight w:val="0"/>
          <w:marTop w:val="0"/>
          <w:marBottom w:val="0"/>
          <w:divBdr>
            <w:top w:val="none" w:sz="0" w:space="0" w:color="auto"/>
            <w:left w:val="none" w:sz="0" w:space="0" w:color="auto"/>
            <w:bottom w:val="none" w:sz="0" w:space="0" w:color="auto"/>
            <w:right w:val="none" w:sz="0" w:space="0" w:color="auto"/>
          </w:divBdr>
          <w:divsChild>
            <w:div w:id="453252111">
              <w:marLeft w:val="0"/>
              <w:marRight w:val="0"/>
              <w:marTop w:val="0"/>
              <w:marBottom w:val="0"/>
              <w:divBdr>
                <w:top w:val="none" w:sz="0" w:space="0" w:color="auto"/>
                <w:left w:val="none" w:sz="0" w:space="0" w:color="auto"/>
                <w:bottom w:val="none" w:sz="0" w:space="0" w:color="auto"/>
                <w:right w:val="none" w:sz="0" w:space="0" w:color="auto"/>
              </w:divBdr>
              <w:divsChild>
                <w:div w:id="226494452">
                  <w:marLeft w:val="0"/>
                  <w:marRight w:val="0"/>
                  <w:marTop w:val="0"/>
                  <w:marBottom w:val="0"/>
                  <w:divBdr>
                    <w:top w:val="none" w:sz="0" w:space="0" w:color="auto"/>
                    <w:left w:val="none" w:sz="0" w:space="0" w:color="auto"/>
                    <w:bottom w:val="none" w:sz="0" w:space="0" w:color="auto"/>
                    <w:right w:val="none" w:sz="0" w:space="0" w:color="auto"/>
                  </w:divBdr>
                  <w:divsChild>
                    <w:div w:id="1175412142">
                      <w:marLeft w:val="0"/>
                      <w:marRight w:val="0"/>
                      <w:marTop w:val="0"/>
                      <w:marBottom w:val="0"/>
                      <w:divBdr>
                        <w:top w:val="none" w:sz="0" w:space="0" w:color="auto"/>
                        <w:left w:val="none" w:sz="0" w:space="0" w:color="auto"/>
                        <w:bottom w:val="none" w:sz="0" w:space="0" w:color="auto"/>
                        <w:right w:val="none" w:sz="0" w:space="0" w:color="auto"/>
                      </w:divBdr>
                      <w:divsChild>
                        <w:div w:id="1212425267">
                          <w:marLeft w:val="0"/>
                          <w:marRight w:val="0"/>
                          <w:marTop w:val="0"/>
                          <w:marBottom w:val="0"/>
                          <w:divBdr>
                            <w:top w:val="none" w:sz="0" w:space="0" w:color="auto"/>
                            <w:left w:val="none" w:sz="0" w:space="0" w:color="auto"/>
                            <w:bottom w:val="none" w:sz="0" w:space="0" w:color="auto"/>
                            <w:right w:val="none" w:sz="0" w:space="0" w:color="auto"/>
                          </w:divBdr>
                          <w:divsChild>
                            <w:div w:id="1344017641">
                              <w:marLeft w:val="0"/>
                              <w:marRight w:val="0"/>
                              <w:marTop w:val="0"/>
                              <w:marBottom w:val="0"/>
                              <w:divBdr>
                                <w:top w:val="none" w:sz="0" w:space="0" w:color="auto"/>
                                <w:left w:val="none" w:sz="0" w:space="0" w:color="auto"/>
                                <w:bottom w:val="none" w:sz="0" w:space="0" w:color="auto"/>
                                <w:right w:val="none" w:sz="0" w:space="0" w:color="auto"/>
                              </w:divBdr>
                              <w:divsChild>
                                <w:div w:id="1465805453">
                                  <w:marLeft w:val="0"/>
                                  <w:marRight w:val="0"/>
                                  <w:marTop w:val="0"/>
                                  <w:marBottom w:val="0"/>
                                  <w:divBdr>
                                    <w:top w:val="none" w:sz="0" w:space="0" w:color="auto"/>
                                    <w:left w:val="none" w:sz="0" w:space="0" w:color="auto"/>
                                    <w:bottom w:val="none" w:sz="0" w:space="0" w:color="auto"/>
                                    <w:right w:val="none" w:sz="0" w:space="0" w:color="auto"/>
                                  </w:divBdr>
                                  <w:divsChild>
                                    <w:div w:id="10230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222543">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5657288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009722624">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sChild>
    </w:div>
    <w:div w:id="1179732195">
      <w:bodyDiv w:val="1"/>
      <w:marLeft w:val="0"/>
      <w:marRight w:val="0"/>
      <w:marTop w:val="0"/>
      <w:marBottom w:val="0"/>
      <w:divBdr>
        <w:top w:val="none" w:sz="0" w:space="0" w:color="auto"/>
        <w:left w:val="none" w:sz="0" w:space="0" w:color="auto"/>
        <w:bottom w:val="none" w:sz="0" w:space="0" w:color="auto"/>
        <w:right w:val="none" w:sz="0" w:space="0" w:color="auto"/>
      </w:divBdr>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406413322">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07788691">
      <w:bodyDiv w:val="1"/>
      <w:marLeft w:val="0"/>
      <w:marRight w:val="0"/>
      <w:marTop w:val="0"/>
      <w:marBottom w:val="0"/>
      <w:divBdr>
        <w:top w:val="none" w:sz="0" w:space="0" w:color="auto"/>
        <w:left w:val="none" w:sz="0" w:space="0" w:color="auto"/>
        <w:bottom w:val="none" w:sz="0" w:space="0" w:color="auto"/>
        <w:right w:val="none" w:sz="0" w:space="0" w:color="auto"/>
      </w:divBdr>
      <w:divsChild>
        <w:div w:id="1411197213">
          <w:marLeft w:val="0"/>
          <w:marRight w:val="0"/>
          <w:marTop w:val="0"/>
          <w:marBottom w:val="0"/>
          <w:divBdr>
            <w:top w:val="none" w:sz="0" w:space="0" w:color="auto"/>
            <w:left w:val="none" w:sz="0" w:space="0" w:color="auto"/>
            <w:bottom w:val="none" w:sz="0" w:space="0" w:color="auto"/>
            <w:right w:val="none" w:sz="0" w:space="0" w:color="auto"/>
          </w:divBdr>
          <w:divsChild>
            <w:div w:id="256602759">
              <w:marLeft w:val="0"/>
              <w:marRight w:val="0"/>
              <w:marTop w:val="0"/>
              <w:marBottom w:val="0"/>
              <w:divBdr>
                <w:top w:val="none" w:sz="0" w:space="0" w:color="auto"/>
                <w:left w:val="none" w:sz="0" w:space="0" w:color="auto"/>
                <w:bottom w:val="none" w:sz="0" w:space="0" w:color="auto"/>
                <w:right w:val="none" w:sz="0" w:space="0" w:color="auto"/>
              </w:divBdr>
              <w:divsChild>
                <w:div w:id="912593027">
                  <w:marLeft w:val="0"/>
                  <w:marRight w:val="0"/>
                  <w:marTop w:val="0"/>
                  <w:marBottom w:val="0"/>
                  <w:divBdr>
                    <w:top w:val="none" w:sz="0" w:space="0" w:color="auto"/>
                    <w:left w:val="none" w:sz="0" w:space="0" w:color="auto"/>
                    <w:bottom w:val="none" w:sz="0" w:space="0" w:color="auto"/>
                    <w:right w:val="none" w:sz="0" w:space="0" w:color="auto"/>
                  </w:divBdr>
                  <w:divsChild>
                    <w:div w:id="866483197">
                      <w:marLeft w:val="0"/>
                      <w:marRight w:val="0"/>
                      <w:marTop w:val="0"/>
                      <w:marBottom w:val="0"/>
                      <w:divBdr>
                        <w:top w:val="none" w:sz="0" w:space="0" w:color="auto"/>
                        <w:left w:val="none" w:sz="0" w:space="0" w:color="auto"/>
                        <w:bottom w:val="none" w:sz="0" w:space="0" w:color="auto"/>
                        <w:right w:val="none" w:sz="0" w:space="0" w:color="auto"/>
                      </w:divBdr>
                      <w:divsChild>
                        <w:div w:id="231741460">
                          <w:marLeft w:val="0"/>
                          <w:marRight w:val="0"/>
                          <w:marTop w:val="0"/>
                          <w:marBottom w:val="0"/>
                          <w:divBdr>
                            <w:top w:val="none" w:sz="0" w:space="0" w:color="auto"/>
                            <w:left w:val="none" w:sz="0" w:space="0" w:color="auto"/>
                            <w:bottom w:val="none" w:sz="0" w:space="0" w:color="auto"/>
                            <w:right w:val="none" w:sz="0" w:space="0" w:color="auto"/>
                          </w:divBdr>
                          <w:divsChild>
                            <w:div w:id="384721443">
                              <w:marLeft w:val="0"/>
                              <w:marRight w:val="0"/>
                              <w:marTop w:val="0"/>
                              <w:marBottom w:val="0"/>
                              <w:divBdr>
                                <w:top w:val="none" w:sz="0" w:space="0" w:color="auto"/>
                                <w:left w:val="none" w:sz="0" w:space="0" w:color="auto"/>
                                <w:bottom w:val="none" w:sz="0" w:space="0" w:color="auto"/>
                                <w:right w:val="none" w:sz="0" w:space="0" w:color="auto"/>
                              </w:divBdr>
                              <w:divsChild>
                                <w:div w:id="942960555">
                                  <w:marLeft w:val="0"/>
                                  <w:marRight w:val="0"/>
                                  <w:marTop w:val="0"/>
                                  <w:marBottom w:val="0"/>
                                  <w:divBdr>
                                    <w:top w:val="none" w:sz="0" w:space="0" w:color="auto"/>
                                    <w:left w:val="none" w:sz="0" w:space="0" w:color="auto"/>
                                    <w:bottom w:val="none" w:sz="0" w:space="0" w:color="auto"/>
                                    <w:right w:val="none" w:sz="0" w:space="0" w:color="auto"/>
                                  </w:divBdr>
                                  <w:divsChild>
                                    <w:div w:id="11655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 w:id="20849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yperlink" Target="http://www.dh.gov.uk/en/Publicationsandstatistics/Publications/PublicationsPolicyAndGuidance/DH_113613"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6D51-F147-472D-BE3D-0756E233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9636</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2011-06-01T15:50:00Z</cp:lastPrinted>
  <dcterms:created xsi:type="dcterms:W3CDTF">2015-09-09T12:23:00Z</dcterms:created>
  <dcterms:modified xsi:type="dcterms:W3CDTF">2015-09-09T12:23:00Z</dcterms:modified>
</cp:coreProperties>
</file>