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bookmarkStart w:id="0" w:name="_GoBack"/>
      <w:bookmarkEnd w:id="0"/>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883C59" w:rsidP="00D43881">
            <w:pPr>
              <w:rPr>
                <w:rFonts w:ascii="Arial" w:hAnsi="Arial" w:cs="Arial"/>
                <w:bCs/>
                <w:sz w:val="22"/>
                <w:szCs w:val="22"/>
              </w:rPr>
            </w:pPr>
            <w:r>
              <w:rPr>
                <w:rFonts w:ascii="Arial" w:hAnsi="Arial" w:cs="Arial"/>
                <w:bCs/>
                <w:sz w:val="22"/>
                <w:szCs w:val="22"/>
              </w:rPr>
              <w:t>12</w:t>
            </w:r>
            <w:r w:rsidRPr="00883C59">
              <w:rPr>
                <w:rFonts w:ascii="Arial" w:hAnsi="Arial" w:cs="Arial"/>
                <w:bCs/>
                <w:sz w:val="22"/>
                <w:szCs w:val="22"/>
                <w:vertAlign w:val="superscript"/>
              </w:rPr>
              <w:t>th</w:t>
            </w:r>
            <w:r>
              <w:rPr>
                <w:rFonts w:ascii="Arial" w:hAnsi="Arial" w:cs="Arial"/>
                <w:bCs/>
                <w:sz w:val="22"/>
                <w:szCs w:val="22"/>
              </w:rPr>
              <w:t xml:space="preserve"> March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Pr>
                <w:rFonts w:ascii="Arial" w:hAnsi="Arial" w:cs="Arial"/>
                <w:bCs/>
                <w:sz w:val="22"/>
                <w:szCs w:val="22"/>
              </w:rPr>
              <w:t>CCG is</w:t>
            </w:r>
            <w:r w:rsidR="00805F65">
              <w:rPr>
                <w:rFonts w:ascii="Arial" w:hAnsi="Arial" w:cs="Arial"/>
                <w:bCs/>
                <w:sz w:val="22"/>
                <w:szCs w:val="22"/>
              </w:rPr>
              <w:t xml:space="preserve"> a</w:t>
            </w:r>
            <w:r>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6F0207" w:rsidP="00FA6C46">
            <w:pPr>
              <w:jc w:val="both"/>
              <w:rPr>
                <w:rFonts w:ascii="Arial" w:hAnsi="Arial" w:cs="Arial"/>
                <w:bCs/>
                <w:sz w:val="22"/>
                <w:szCs w:val="22"/>
              </w:rPr>
            </w:pPr>
            <w:r>
              <w:rPr>
                <w:rFonts w:ascii="Arial" w:hAnsi="Arial" w:cs="Arial"/>
                <w:bCs/>
                <w:sz w:val="22"/>
                <w:szCs w:val="22"/>
              </w:rPr>
              <w:t xml:space="preserve">That the partnership Board is aware of the key actions being undertaken in relation to </w:t>
            </w:r>
            <w:r w:rsidR="00FA6C46">
              <w:rPr>
                <w:rFonts w:ascii="Arial" w:hAnsi="Arial" w:cs="Arial"/>
                <w:bCs/>
                <w:sz w:val="22"/>
                <w:szCs w:val="22"/>
              </w:rPr>
              <w:t xml:space="preserve">commissioning and </w:t>
            </w:r>
            <w:r>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836C48"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r>
        <w:rPr>
          <w:rFonts w:ascii="Arial" w:hAnsi="Arial" w:cs="Arial"/>
          <w:b/>
          <w:bCs/>
          <w:sz w:val="22"/>
          <w:szCs w:val="22"/>
        </w:rPr>
        <w:br w:type="page"/>
      </w: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AC0416">
        <w:rPr>
          <w:rFonts w:ascii="Arial" w:hAnsi="Arial" w:cs="Arial"/>
          <w:b/>
          <w:bCs/>
          <w:sz w:val="22"/>
          <w:szCs w:val="22"/>
        </w:rPr>
        <w:t>February 2015</w:t>
      </w:r>
    </w:p>
    <w:p w:rsidR="00981F43" w:rsidRDefault="00981F43">
      <w:pPr>
        <w:rPr>
          <w:rFonts w:ascii="Arial" w:hAnsi="Arial" w:cs="Arial"/>
          <w:b/>
          <w:bCs/>
          <w:sz w:val="22"/>
          <w:szCs w:val="22"/>
        </w:rPr>
      </w:pPr>
    </w:p>
    <w:p w:rsidR="006F0207" w:rsidRDefault="006F0207">
      <w:pPr>
        <w:rPr>
          <w:rFonts w:ascii="Arial" w:hAnsi="Arial" w:cs="Arial"/>
          <w:bCs/>
          <w:sz w:val="20"/>
          <w:szCs w:val="20"/>
        </w:rPr>
      </w:pPr>
    </w:p>
    <w:tbl>
      <w:tblPr>
        <w:tblW w:w="10125" w:type="dxa"/>
        <w:tblLayout w:type="fixed"/>
        <w:tblLook w:val="01E0" w:firstRow="1" w:lastRow="1" w:firstColumn="1" w:lastColumn="1" w:noHBand="0" w:noVBand="0"/>
      </w:tblPr>
      <w:tblGrid>
        <w:gridCol w:w="10125"/>
      </w:tblGrid>
      <w:tr w:rsidR="00AC0416" w:rsidRPr="006D3A45" w:rsidTr="00B37265">
        <w:tc>
          <w:tcPr>
            <w:tcW w:w="10125" w:type="dxa"/>
            <w:shd w:val="clear" w:color="auto" w:fill="auto"/>
          </w:tcPr>
          <w:p w:rsidR="00AC0416" w:rsidRPr="006D3A45" w:rsidRDefault="00AC0416" w:rsidP="00AC0416">
            <w:pPr>
              <w:rPr>
                <w:rFonts w:ascii="Calibri" w:hAnsi="Calibri" w:cs="Calibri"/>
                <w:sz w:val="22"/>
                <w:szCs w:val="22"/>
                <w:u w:val="single"/>
              </w:rPr>
            </w:pPr>
            <w:r>
              <w:rPr>
                <w:rFonts w:ascii="Calibri" w:hAnsi="Calibri" w:cs="Calibri"/>
                <w:sz w:val="22"/>
                <w:szCs w:val="22"/>
                <w:u w:val="single"/>
              </w:rPr>
              <w:t>1.</w:t>
            </w:r>
            <w:r w:rsidRPr="006D3A45">
              <w:rPr>
                <w:rFonts w:ascii="Calibri" w:hAnsi="Calibri" w:cs="Calibri"/>
                <w:sz w:val="22"/>
                <w:szCs w:val="22"/>
                <w:u w:val="single"/>
              </w:rPr>
              <w:t>Contracts</w:t>
            </w:r>
          </w:p>
        </w:tc>
      </w:tr>
      <w:tr w:rsidR="00AC0416" w:rsidRPr="000B2BDE" w:rsidTr="00B37265">
        <w:tc>
          <w:tcPr>
            <w:tcW w:w="10125" w:type="dxa"/>
            <w:shd w:val="clear" w:color="auto" w:fill="auto"/>
          </w:tcPr>
          <w:p w:rsidR="00522E5B" w:rsidRDefault="00AC0416" w:rsidP="00B37265">
            <w:pPr>
              <w:jc w:val="both"/>
              <w:rPr>
                <w:rFonts w:ascii="Calibri" w:hAnsi="Calibri" w:cs="Calibri"/>
                <w:sz w:val="22"/>
                <w:szCs w:val="22"/>
              </w:rPr>
            </w:pPr>
            <w:r>
              <w:rPr>
                <w:rFonts w:ascii="Calibri" w:hAnsi="Calibri" w:cs="Calibri"/>
                <w:sz w:val="22"/>
                <w:szCs w:val="22"/>
              </w:rPr>
              <w:t>The signing of the 20</w:t>
            </w:r>
            <w:r w:rsidR="000C13F4">
              <w:rPr>
                <w:rFonts w:ascii="Calibri" w:hAnsi="Calibri" w:cs="Calibri"/>
                <w:sz w:val="22"/>
                <w:szCs w:val="22"/>
              </w:rPr>
              <w:t xml:space="preserve">14/15 </w:t>
            </w:r>
            <w:proofErr w:type="spellStart"/>
            <w:r w:rsidR="000C13F4">
              <w:rPr>
                <w:rFonts w:ascii="Calibri" w:hAnsi="Calibri" w:cs="Calibri"/>
                <w:sz w:val="22"/>
                <w:szCs w:val="22"/>
              </w:rPr>
              <w:t>NLaG</w:t>
            </w:r>
            <w:proofErr w:type="spellEnd"/>
            <w:r w:rsidR="000C13F4">
              <w:rPr>
                <w:rFonts w:ascii="Calibri" w:hAnsi="Calibri" w:cs="Calibri"/>
                <w:sz w:val="22"/>
                <w:szCs w:val="22"/>
              </w:rPr>
              <w:t xml:space="preserve"> Contract was delayed</w:t>
            </w:r>
            <w:r>
              <w:rPr>
                <w:rFonts w:ascii="Calibri" w:hAnsi="Calibri" w:cs="Calibri"/>
                <w:sz w:val="22"/>
                <w:szCs w:val="22"/>
              </w:rPr>
              <w:t xml:space="preserve"> however</w:t>
            </w:r>
            <w:r w:rsidR="000C13F4">
              <w:rPr>
                <w:rFonts w:ascii="Calibri" w:hAnsi="Calibri" w:cs="Calibri"/>
                <w:sz w:val="22"/>
                <w:szCs w:val="22"/>
              </w:rPr>
              <w:t>, it has now been signed</w:t>
            </w:r>
            <w:r>
              <w:rPr>
                <w:rFonts w:ascii="Calibri" w:hAnsi="Calibri" w:cs="Calibri"/>
                <w:sz w:val="22"/>
                <w:szCs w:val="22"/>
              </w:rPr>
              <w:t>.</w:t>
            </w:r>
          </w:p>
          <w:p w:rsidR="00522E5B" w:rsidRDefault="00522E5B" w:rsidP="00B37265">
            <w:pPr>
              <w:jc w:val="both"/>
              <w:rPr>
                <w:rFonts w:ascii="Calibri" w:hAnsi="Calibri" w:cs="Calibri"/>
                <w:sz w:val="22"/>
                <w:szCs w:val="22"/>
              </w:rPr>
            </w:pPr>
          </w:p>
          <w:p w:rsidR="00522E5B" w:rsidRDefault="00AC0416" w:rsidP="00B37265">
            <w:pPr>
              <w:jc w:val="both"/>
              <w:rPr>
                <w:rFonts w:ascii="Calibri" w:hAnsi="Calibri" w:cs="Calibri"/>
                <w:sz w:val="22"/>
                <w:szCs w:val="22"/>
              </w:rPr>
            </w:pPr>
            <w:r>
              <w:rPr>
                <w:rFonts w:ascii="Calibri" w:hAnsi="Calibri" w:cs="Calibri"/>
                <w:sz w:val="22"/>
                <w:szCs w:val="22"/>
              </w:rPr>
              <w:t xml:space="preserve"> The deadline for signing the 2015/16 contract has been revised to 11</w:t>
            </w:r>
            <w:r w:rsidRPr="00AC0416">
              <w:rPr>
                <w:rFonts w:ascii="Calibri" w:hAnsi="Calibri" w:cs="Calibri"/>
                <w:sz w:val="22"/>
                <w:szCs w:val="22"/>
                <w:vertAlign w:val="superscript"/>
              </w:rPr>
              <w:t>th</w:t>
            </w:r>
            <w:r>
              <w:rPr>
                <w:rFonts w:ascii="Calibri" w:hAnsi="Calibri" w:cs="Calibri"/>
                <w:sz w:val="22"/>
                <w:szCs w:val="22"/>
              </w:rPr>
              <w:t xml:space="preserve"> March 2015</w:t>
            </w:r>
            <w:r w:rsidR="007932C5">
              <w:rPr>
                <w:rFonts w:ascii="Calibri" w:hAnsi="Calibri" w:cs="Calibri"/>
                <w:sz w:val="22"/>
                <w:szCs w:val="22"/>
              </w:rPr>
              <w:t xml:space="preserve"> for CCGs</w:t>
            </w:r>
            <w:r w:rsidR="00522E5B">
              <w:rPr>
                <w:rFonts w:ascii="Calibri" w:hAnsi="Calibri" w:cs="Calibri"/>
                <w:sz w:val="22"/>
                <w:szCs w:val="22"/>
              </w:rPr>
              <w:t>,</w:t>
            </w:r>
            <w:r w:rsidR="004266AA">
              <w:rPr>
                <w:rFonts w:ascii="Calibri" w:hAnsi="Calibri" w:cs="Calibri"/>
                <w:sz w:val="22"/>
                <w:szCs w:val="22"/>
              </w:rPr>
              <w:t xml:space="preserve"> however</w:t>
            </w:r>
            <w:r w:rsidR="007932C5">
              <w:rPr>
                <w:rFonts w:ascii="Calibri" w:hAnsi="Calibri" w:cs="Calibri"/>
                <w:sz w:val="22"/>
                <w:szCs w:val="22"/>
              </w:rPr>
              <w:t xml:space="preserve"> N</w:t>
            </w:r>
            <w:r w:rsidR="004266AA">
              <w:rPr>
                <w:rFonts w:ascii="Calibri" w:hAnsi="Calibri" w:cs="Calibri"/>
                <w:sz w:val="22"/>
                <w:szCs w:val="22"/>
              </w:rPr>
              <w:t xml:space="preserve">orthern </w:t>
            </w:r>
            <w:r w:rsidR="007932C5">
              <w:rPr>
                <w:rFonts w:ascii="Calibri" w:hAnsi="Calibri" w:cs="Calibri"/>
                <w:sz w:val="22"/>
                <w:szCs w:val="22"/>
              </w:rPr>
              <w:t>L</w:t>
            </w:r>
            <w:r w:rsidR="004266AA">
              <w:rPr>
                <w:rFonts w:ascii="Calibri" w:hAnsi="Calibri" w:cs="Calibri"/>
                <w:sz w:val="22"/>
                <w:szCs w:val="22"/>
              </w:rPr>
              <w:t>incolnshire and Goole NHS Foundation Trust (NL)</w:t>
            </w:r>
            <w:r w:rsidR="007932C5">
              <w:rPr>
                <w:rFonts w:ascii="Calibri" w:hAnsi="Calibri" w:cs="Calibri"/>
                <w:sz w:val="22"/>
                <w:szCs w:val="22"/>
              </w:rPr>
              <w:t xml:space="preserve">G have recently received a further revised planning </w:t>
            </w:r>
            <w:r w:rsidR="004266AA">
              <w:rPr>
                <w:rFonts w:ascii="Calibri" w:hAnsi="Calibri" w:cs="Calibri"/>
                <w:sz w:val="22"/>
                <w:szCs w:val="22"/>
              </w:rPr>
              <w:t>and contracting timetable from M</w:t>
            </w:r>
            <w:r w:rsidR="007932C5">
              <w:rPr>
                <w:rFonts w:ascii="Calibri" w:hAnsi="Calibri" w:cs="Calibri"/>
                <w:sz w:val="22"/>
                <w:szCs w:val="22"/>
              </w:rPr>
              <w:t>onitor which states that their timescale for contract sign off has been further revised to 31</w:t>
            </w:r>
            <w:r w:rsidR="007932C5" w:rsidRPr="007932C5">
              <w:rPr>
                <w:rFonts w:ascii="Calibri" w:hAnsi="Calibri" w:cs="Calibri"/>
                <w:sz w:val="22"/>
                <w:szCs w:val="22"/>
                <w:vertAlign w:val="superscript"/>
              </w:rPr>
              <w:t>st</w:t>
            </w:r>
            <w:r w:rsidR="007932C5">
              <w:rPr>
                <w:rFonts w:ascii="Calibri" w:hAnsi="Calibri" w:cs="Calibri"/>
                <w:sz w:val="22"/>
                <w:szCs w:val="22"/>
              </w:rPr>
              <w:t xml:space="preserve"> March</w:t>
            </w:r>
            <w:r>
              <w:rPr>
                <w:rFonts w:ascii="Calibri" w:hAnsi="Calibri" w:cs="Calibri"/>
                <w:sz w:val="22"/>
                <w:szCs w:val="22"/>
              </w:rPr>
              <w:t xml:space="preserve">. </w:t>
            </w:r>
          </w:p>
          <w:p w:rsidR="00E863C2" w:rsidRDefault="00E863C2" w:rsidP="00B37265">
            <w:pPr>
              <w:jc w:val="both"/>
              <w:rPr>
                <w:rFonts w:ascii="Calibri" w:hAnsi="Calibri" w:cs="Calibri"/>
                <w:color w:val="000000"/>
                <w:sz w:val="22"/>
                <w:szCs w:val="22"/>
              </w:rPr>
            </w:pPr>
          </w:p>
          <w:p w:rsidR="00103660" w:rsidRDefault="00E863C2" w:rsidP="00B37265">
            <w:pPr>
              <w:jc w:val="both"/>
              <w:rPr>
                <w:rFonts w:ascii="Calibri" w:hAnsi="Calibri" w:cs="Calibri"/>
                <w:color w:val="000000"/>
                <w:sz w:val="22"/>
                <w:szCs w:val="22"/>
              </w:rPr>
            </w:pPr>
            <w:r>
              <w:rPr>
                <w:rFonts w:ascii="Calibri" w:hAnsi="Calibri" w:cs="Calibri"/>
                <w:color w:val="000000"/>
                <w:sz w:val="22"/>
                <w:szCs w:val="22"/>
              </w:rPr>
              <w:t>Monitor and NHSE have indicated that for 2015 16 contractual penalties must be applied against providers for non-compliance with any CQUIN’s or KPI’s. The CCG must publish on its external website the reason and value of any deductions.</w:t>
            </w:r>
          </w:p>
          <w:p w:rsidR="00E863C2" w:rsidRDefault="00E863C2" w:rsidP="00B37265">
            <w:pPr>
              <w:jc w:val="both"/>
              <w:rPr>
                <w:rFonts w:ascii="Calibri" w:hAnsi="Calibri" w:cs="Calibri"/>
                <w:sz w:val="22"/>
                <w:szCs w:val="22"/>
              </w:rPr>
            </w:pPr>
          </w:p>
          <w:p w:rsidR="00103660" w:rsidRDefault="00103660" w:rsidP="00B37265">
            <w:pPr>
              <w:jc w:val="both"/>
              <w:rPr>
                <w:rFonts w:ascii="Calibri" w:hAnsi="Calibri" w:cs="Calibri"/>
                <w:sz w:val="22"/>
                <w:szCs w:val="22"/>
              </w:rPr>
            </w:pPr>
            <w:r>
              <w:rPr>
                <w:rFonts w:ascii="Calibri" w:hAnsi="Calibri" w:cs="Calibri"/>
                <w:sz w:val="22"/>
                <w:szCs w:val="22"/>
              </w:rPr>
              <w:t xml:space="preserve">The 2015/16 standard national contract which will need to be used with providers is still to be published, however work is progressing to agree the CQUINS, KPIS, activity and finance elements of the contracts for inclusion in the final document once received.  This is being progressed by the 2 CCGS, (North and North East Lincolnshire) &amp; and the 3 main </w:t>
            </w:r>
            <w:proofErr w:type="gramStart"/>
            <w:r>
              <w:rPr>
                <w:rFonts w:ascii="Calibri" w:hAnsi="Calibri" w:cs="Calibri"/>
                <w:sz w:val="22"/>
                <w:szCs w:val="22"/>
              </w:rPr>
              <w:t>NHS  providers</w:t>
            </w:r>
            <w:proofErr w:type="gramEnd"/>
            <w:r>
              <w:rPr>
                <w:rFonts w:ascii="Calibri" w:hAnsi="Calibri" w:cs="Calibri"/>
                <w:sz w:val="22"/>
                <w:szCs w:val="22"/>
              </w:rPr>
              <w:t xml:space="preserve"> locally (NLG, </w:t>
            </w:r>
            <w:proofErr w:type="spellStart"/>
            <w:r>
              <w:rPr>
                <w:rFonts w:ascii="Calibri" w:hAnsi="Calibri" w:cs="Calibri"/>
                <w:sz w:val="22"/>
                <w:szCs w:val="22"/>
              </w:rPr>
              <w:t>Navigo</w:t>
            </w:r>
            <w:proofErr w:type="spellEnd"/>
            <w:r>
              <w:rPr>
                <w:rFonts w:ascii="Calibri" w:hAnsi="Calibri" w:cs="Calibri"/>
                <w:sz w:val="22"/>
                <w:szCs w:val="22"/>
              </w:rPr>
              <w:t xml:space="preserve"> &amp; Care Plus Group) working together through a series of structured meetings .</w:t>
            </w:r>
          </w:p>
          <w:p w:rsidR="00522E5B" w:rsidRDefault="00522E5B" w:rsidP="00B37265">
            <w:pPr>
              <w:jc w:val="both"/>
              <w:rPr>
                <w:rFonts w:ascii="Calibri" w:hAnsi="Calibri" w:cs="Calibri"/>
                <w:sz w:val="22"/>
                <w:szCs w:val="22"/>
              </w:rPr>
            </w:pPr>
          </w:p>
          <w:p w:rsidR="00103660" w:rsidRDefault="004266AA" w:rsidP="00B37265">
            <w:pPr>
              <w:jc w:val="both"/>
              <w:rPr>
                <w:rFonts w:ascii="Calibri" w:hAnsi="Calibri" w:cs="Calibri"/>
                <w:sz w:val="22"/>
                <w:szCs w:val="22"/>
              </w:rPr>
            </w:pPr>
            <w:r>
              <w:rPr>
                <w:rFonts w:ascii="Calibri" w:hAnsi="Calibri" w:cs="Calibri"/>
                <w:sz w:val="22"/>
                <w:szCs w:val="22"/>
              </w:rPr>
              <w:t xml:space="preserve">Attached is a draft Memorandum of Understanding, which has been developed by the 2 </w:t>
            </w:r>
            <w:proofErr w:type="gramStart"/>
            <w:r>
              <w:rPr>
                <w:rFonts w:ascii="Calibri" w:hAnsi="Calibri" w:cs="Calibri"/>
                <w:sz w:val="22"/>
                <w:szCs w:val="22"/>
              </w:rPr>
              <w:t>CCGs  .</w:t>
            </w:r>
            <w:proofErr w:type="gramEnd"/>
            <w:r>
              <w:rPr>
                <w:rFonts w:ascii="Calibri" w:hAnsi="Calibri" w:cs="Calibri"/>
                <w:sz w:val="22"/>
                <w:szCs w:val="22"/>
              </w:rPr>
              <w:t xml:space="preserve">  This document is now being taken to each organisations Governing Body for approval in principle</w:t>
            </w:r>
            <w:r w:rsidR="00103660">
              <w:rPr>
                <w:rFonts w:ascii="Calibri" w:hAnsi="Calibri" w:cs="Calibri"/>
                <w:sz w:val="22"/>
                <w:szCs w:val="22"/>
              </w:rPr>
              <w:t>.  Work is still being taking place to complete the schedules that would support the MOU and will be added once completed.</w:t>
            </w:r>
          </w:p>
          <w:p w:rsidR="00103660" w:rsidRDefault="00103660" w:rsidP="00B37265">
            <w:pPr>
              <w:jc w:val="both"/>
              <w:rPr>
                <w:rFonts w:ascii="Calibri" w:hAnsi="Calibri" w:cs="Calibri"/>
                <w:sz w:val="22"/>
                <w:szCs w:val="22"/>
              </w:rPr>
            </w:pPr>
            <w:r>
              <w:rPr>
                <w:rFonts w:ascii="Calibri" w:hAnsi="Calibri" w:cs="Calibri"/>
                <w:sz w:val="22"/>
                <w:szCs w:val="22"/>
              </w:rPr>
              <w:t>If approved in principle it is proposed that signing up to the completed version of the MOU is delegated to the Chief Clinical Officer.</w:t>
            </w:r>
          </w:p>
          <w:p w:rsidR="00103660" w:rsidRDefault="00103660" w:rsidP="00522E5B">
            <w:pPr>
              <w:rPr>
                <w:rFonts w:ascii="Calibri" w:hAnsi="Calibri" w:cs="Calibri"/>
                <w:sz w:val="22"/>
                <w:szCs w:val="22"/>
              </w:rPr>
            </w:pPr>
          </w:p>
          <w:p w:rsidR="00103660" w:rsidRDefault="00B37265" w:rsidP="00522E5B">
            <w:pPr>
              <w:rPr>
                <w:rFonts w:ascii="Calibri" w:hAnsi="Calibri" w:cs="Calibri"/>
                <w:sz w:val="22"/>
                <w:szCs w:val="22"/>
              </w:rPr>
            </w:pPr>
            <w:r>
              <w:rPr>
                <w:rFonts w:ascii="Calibri" w:hAnsi="Calibri" w:cs="Calibri"/>
                <w:sz w:val="22"/>
                <w:szCs w:val="22"/>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11" o:title=""/>
                </v:shape>
                <o:OLEObject Type="Embed" ProgID="Word.Document.12" ShapeID="_x0000_i1025" DrawAspect="Icon" ObjectID="_1487151113" r:id="rId12">
                  <o:FieldCodes>\s</o:FieldCodes>
                </o:OLEObject>
              </w:object>
            </w:r>
          </w:p>
          <w:p w:rsidR="004266AA" w:rsidRDefault="004266AA" w:rsidP="00522E5B">
            <w:pPr>
              <w:rPr>
                <w:rFonts w:ascii="Calibri" w:hAnsi="Calibri" w:cs="Calibri"/>
                <w:sz w:val="22"/>
                <w:szCs w:val="22"/>
              </w:rPr>
            </w:pPr>
          </w:p>
          <w:p w:rsidR="00AC0416" w:rsidRPr="000B2BDE" w:rsidRDefault="00AC0416" w:rsidP="00522E5B">
            <w:pPr>
              <w:rPr>
                <w:rFonts w:ascii="Calibri" w:hAnsi="Calibri" w:cs="Calibri"/>
                <w:sz w:val="22"/>
                <w:szCs w:val="22"/>
              </w:rPr>
            </w:pPr>
          </w:p>
        </w:tc>
      </w:tr>
      <w:tr w:rsidR="00AC0416" w:rsidTr="00B37265">
        <w:tc>
          <w:tcPr>
            <w:tcW w:w="10125" w:type="dxa"/>
            <w:shd w:val="clear" w:color="auto" w:fill="auto"/>
          </w:tcPr>
          <w:p w:rsidR="00AC0416" w:rsidRDefault="00AC0416" w:rsidP="002B2091">
            <w:pPr>
              <w:rPr>
                <w:rFonts w:ascii="Calibri" w:hAnsi="Calibri" w:cs="Calibri"/>
                <w:sz w:val="22"/>
                <w:szCs w:val="22"/>
              </w:rPr>
            </w:pPr>
          </w:p>
        </w:tc>
      </w:tr>
      <w:tr w:rsidR="00AC0416" w:rsidRPr="00ED160B" w:rsidTr="00B37265">
        <w:tc>
          <w:tcPr>
            <w:tcW w:w="10125" w:type="dxa"/>
            <w:shd w:val="clear" w:color="auto" w:fill="auto"/>
          </w:tcPr>
          <w:p w:rsidR="00AC0416" w:rsidRPr="00ED160B" w:rsidRDefault="00AC0416" w:rsidP="00AC0416">
            <w:pPr>
              <w:rPr>
                <w:rFonts w:ascii="Calibri" w:hAnsi="Calibri" w:cs="Calibri"/>
                <w:sz w:val="22"/>
                <w:szCs w:val="22"/>
                <w:u w:val="single"/>
              </w:rPr>
            </w:pPr>
            <w:r>
              <w:rPr>
                <w:rFonts w:ascii="Calibri" w:hAnsi="Calibri" w:cs="Calibri"/>
                <w:sz w:val="22"/>
                <w:szCs w:val="22"/>
                <w:u w:val="single"/>
              </w:rPr>
              <w:t>2.</w:t>
            </w:r>
            <w:r w:rsidRPr="00ED160B">
              <w:rPr>
                <w:rFonts w:ascii="Calibri" w:hAnsi="Calibri" w:cs="Calibri"/>
                <w:sz w:val="22"/>
                <w:szCs w:val="22"/>
                <w:u w:val="single"/>
              </w:rPr>
              <w:t xml:space="preserve">Domiciliary Care Tender </w:t>
            </w:r>
          </w:p>
        </w:tc>
      </w:tr>
      <w:tr w:rsidR="00AC0416" w:rsidTr="00B37265">
        <w:tc>
          <w:tcPr>
            <w:tcW w:w="10125" w:type="dxa"/>
            <w:shd w:val="clear" w:color="auto" w:fill="auto"/>
          </w:tcPr>
          <w:p w:rsidR="00AC0416" w:rsidRDefault="00AC0416" w:rsidP="00B37265">
            <w:pPr>
              <w:jc w:val="both"/>
              <w:rPr>
                <w:rFonts w:ascii="Calibri" w:hAnsi="Calibri" w:cs="Calibri"/>
                <w:sz w:val="22"/>
                <w:szCs w:val="22"/>
              </w:rPr>
            </w:pPr>
            <w:r>
              <w:rPr>
                <w:rFonts w:ascii="Calibri" w:hAnsi="Calibri" w:cs="Calibri"/>
                <w:sz w:val="22"/>
                <w:szCs w:val="22"/>
              </w:rPr>
              <w:t xml:space="preserve">30 organisations attended the bidder information event and a number of bids were submitted by the deadline.  7 Organisations </w:t>
            </w:r>
            <w:r w:rsidR="00F27279">
              <w:rPr>
                <w:rFonts w:ascii="Calibri" w:hAnsi="Calibri" w:cs="Calibri"/>
                <w:sz w:val="22"/>
                <w:szCs w:val="22"/>
              </w:rPr>
              <w:t>were invited to t</w:t>
            </w:r>
            <w:r>
              <w:rPr>
                <w:rFonts w:ascii="Calibri" w:hAnsi="Calibri" w:cs="Calibri"/>
                <w:sz w:val="22"/>
                <w:szCs w:val="22"/>
              </w:rPr>
              <w:t>ender (ITT) stage and 7 bids were received by the closing date of the 2</w:t>
            </w:r>
            <w:r w:rsidRPr="00AC0416">
              <w:rPr>
                <w:rFonts w:ascii="Calibri" w:hAnsi="Calibri" w:cs="Calibri"/>
                <w:sz w:val="22"/>
                <w:szCs w:val="22"/>
                <w:vertAlign w:val="superscript"/>
              </w:rPr>
              <w:t>nd</w:t>
            </w:r>
            <w:r>
              <w:rPr>
                <w:rFonts w:ascii="Calibri" w:hAnsi="Calibri" w:cs="Calibri"/>
                <w:sz w:val="22"/>
                <w:szCs w:val="22"/>
              </w:rPr>
              <w:t xml:space="preserve"> March. </w:t>
            </w:r>
          </w:p>
        </w:tc>
      </w:tr>
      <w:tr w:rsidR="00AC0416" w:rsidTr="00B37265">
        <w:tc>
          <w:tcPr>
            <w:tcW w:w="10125" w:type="dxa"/>
            <w:shd w:val="clear" w:color="auto" w:fill="auto"/>
          </w:tcPr>
          <w:p w:rsidR="00AC0416" w:rsidRDefault="00AC0416" w:rsidP="002B2091">
            <w:pPr>
              <w:rPr>
                <w:rFonts w:ascii="Calibri" w:hAnsi="Calibri" w:cs="Calibri"/>
                <w:sz w:val="22"/>
                <w:szCs w:val="22"/>
              </w:rPr>
            </w:pPr>
          </w:p>
        </w:tc>
      </w:tr>
      <w:tr w:rsidR="00AC0416" w:rsidRPr="00ED160B" w:rsidTr="00B37265">
        <w:tc>
          <w:tcPr>
            <w:tcW w:w="10125" w:type="dxa"/>
            <w:shd w:val="clear" w:color="auto" w:fill="auto"/>
          </w:tcPr>
          <w:p w:rsidR="00AC0416" w:rsidRPr="00ED160B" w:rsidRDefault="00AC0416" w:rsidP="00AC0416">
            <w:pPr>
              <w:rPr>
                <w:rFonts w:ascii="Calibri" w:hAnsi="Calibri" w:cs="Calibri"/>
                <w:sz w:val="22"/>
                <w:szCs w:val="22"/>
                <w:u w:val="single"/>
              </w:rPr>
            </w:pPr>
            <w:r>
              <w:rPr>
                <w:rFonts w:ascii="Calibri" w:hAnsi="Calibri" w:cs="Calibri"/>
                <w:sz w:val="22"/>
                <w:szCs w:val="22"/>
                <w:u w:val="single"/>
              </w:rPr>
              <w:t>3.</w:t>
            </w:r>
            <w:r w:rsidRPr="00ED160B">
              <w:rPr>
                <w:rFonts w:ascii="Calibri" w:hAnsi="Calibri" w:cs="Calibri"/>
                <w:sz w:val="22"/>
                <w:szCs w:val="22"/>
                <w:u w:val="single"/>
              </w:rPr>
              <w:t xml:space="preserve">IAPT </w:t>
            </w:r>
            <w:r>
              <w:rPr>
                <w:rFonts w:ascii="Calibri" w:hAnsi="Calibri" w:cs="Calibri"/>
                <w:sz w:val="22"/>
                <w:szCs w:val="22"/>
                <w:u w:val="single"/>
              </w:rPr>
              <w:t xml:space="preserve">Services </w:t>
            </w:r>
            <w:r w:rsidRPr="00ED160B">
              <w:rPr>
                <w:rFonts w:ascii="Calibri" w:hAnsi="Calibri" w:cs="Calibri"/>
                <w:sz w:val="22"/>
                <w:szCs w:val="22"/>
                <w:u w:val="single"/>
              </w:rPr>
              <w:t xml:space="preserve"> </w:t>
            </w:r>
          </w:p>
        </w:tc>
      </w:tr>
      <w:tr w:rsidR="00AC0416" w:rsidTr="00B37265">
        <w:tc>
          <w:tcPr>
            <w:tcW w:w="10125" w:type="dxa"/>
            <w:shd w:val="clear" w:color="auto" w:fill="auto"/>
          </w:tcPr>
          <w:p w:rsidR="00AC0416" w:rsidRDefault="00AC0416" w:rsidP="00B37265">
            <w:pPr>
              <w:jc w:val="both"/>
              <w:rPr>
                <w:rFonts w:ascii="Calibri" w:hAnsi="Calibri" w:cs="Calibri"/>
                <w:sz w:val="22"/>
                <w:szCs w:val="22"/>
              </w:rPr>
            </w:pPr>
            <w:r>
              <w:rPr>
                <w:rFonts w:ascii="Calibri" w:hAnsi="Calibri" w:cs="Calibri"/>
                <w:sz w:val="22"/>
                <w:szCs w:val="22"/>
              </w:rPr>
              <w:t xml:space="preserve">Freshney Green practices will work to the revised service specification provided by the </w:t>
            </w:r>
            <w:r w:rsidR="00A57479">
              <w:rPr>
                <w:rFonts w:ascii="Calibri" w:hAnsi="Calibri" w:cs="Calibri"/>
                <w:sz w:val="22"/>
                <w:szCs w:val="22"/>
              </w:rPr>
              <w:t>CCG.</w:t>
            </w:r>
            <w:r>
              <w:rPr>
                <w:rFonts w:ascii="Calibri" w:hAnsi="Calibri" w:cs="Calibri"/>
                <w:sz w:val="22"/>
                <w:szCs w:val="22"/>
              </w:rPr>
              <w:t xml:space="preserve">  This will ensure that the service is compliant with NICE guidance and the service will refer to Navigo as appropriate.  </w:t>
            </w:r>
          </w:p>
        </w:tc>
      </w:tr>
      <w:tr w:rsidR="00AC0416" w:rsidRPr="000D0916" w:rsidTr="00B37265">
        <w:tc>
          <w:tcPr>
            <w:tcW w:w="10125" w:type="dxa"/>
            <w:shd w:val="clear" w:color="auto" w:fill="auto"/>
          </w:tcPr>
          <w:p w:rsidR="00AC0416" w:rsidRPr="000D0916" w:rsidRDefault="00AC0416" w:rsidP="002B2091">
            <w:pPr>
              <w:rPr>
                <w:rFonts w:ascii="Calibri" w:hAnsi="Calibri" w:cs="Calibri"/>
                <w:b/>
                <w:sz w:val="22"/>
                <w:szCs w:val="22"/>
              </w:rPr>
            </w:pPr>
          </w:p>
        </w:tc>
      </w:tr>
      <w:tr w:rsidR="00AC0416" w:rsidRPr="000D0916" w:rsidTr="00B37265">
        <w:tc>
          <w:tcPr>
            <w:tcW w:w="10125" w:type="dxa"/>
            <w:shd w:val="clear" w:color="auto" w:fill="auto"/>
          </w:tcPr>
          <w:p w:rsidR="00AC0416" w:rsidRPr="00A57479" w:rsidRDefault="00E863C2" w:rsidP="002B2091">
            <w:pPr>
              <w:rPr>
                <w:rFonts w:ascii="Calibri" w:hAnsi="Calibri" w:cs="Calibri"/>
                <w:sz w:val="22"/>
                <w:szCs w:val="22"/>
                <w:u w:val="single"/>
              </w:rPr>
            </w:pPr>
            <w:r>
              <w:rPr>
                <w:rFonts w:ascii="Calibri" w:hAnsi="Calibri" w:cs="Calibri"/>
                <w:sz w:val="22"/>
                <w:szCs w:val="22"/>
                <w:u w:val="single"/>
              </w:rPr>
              <w:t>4</w:t>
            </w:r>
            <w:r w:rsidR="00A57479" w:rsidRPr="00A57479">
              <w:rPr>
                <w:rFonts w:ascii="Calibri" w:hAnsi="Calibri" w:cs="Calibri"/>
                <w:sz w:val="22"/>
                <w:szCs w:val="22"/>
                <w:u w:val="single"/>
              </w:rPr>
              <w:t xml:space="preserve">. </w:t>
            </w:r>
            <w:r w:rsidR="00AC0416" w:rsidRPr="00A57479">
              <w:rPr>
                <w:rFonts w:ascii="Calibri" w:hAnsi="Calibri" w:cs="Calibri"/>
                <w:sz w:val="22"/>
                <w:szCs w:val="22"/>
                <w:u w:val="single"/>
              </w:rPr>
              <w:t>Alzheimer’s Society</w:t>
            </w:r>
          </w:p>
        </w:tc>
      </w:tr>
      <w:tr w:rsidR="00AC0416" w:rsidRPr="00864F1B" w:rsidTr="00B37265">
        <w:tc>
          <w:tcPr>
            <w:tcW w:w="10125" w:type="dxa"/>
            <w:shd w:val="clear" w:color="auto" w:fill="auto"/>
          </w:tcPr>
          <w:p w:rsidR="00E863C2" w:rsidRDefault="00AC0416" w:rsidP="00B37265">
            <w:pPr>
              <w:jc w:val="both"/>
              <w:rPr>
                <w:rFonts w:ascii="Calibri" w:hAnsi="Calibri" w:cs="Calibri"/>
                <w:sz w:val="22"/>
                <w:szCs w:val="22"/>
              </w:rPr>
            </w:pPr>
            <w:r>
              <w:rPr>
                <w:rFonts w:ascii="Calibri" w:hAnsi="Calibri" w:cs="Calibri"/>
                <w:sz w:val="22"/>
                <w:szCs w:val="22"/>
              </w:rPr>
              <w:t>A review of the Alzheimer’s Society (AS) contract was undertaken in 2014 to identify current service delivery and to consider potential efficiencies.</w:t>
            </w:r>
            <w:r w:rsidR="00A57479">
              <w:rPr>
                <w:rFonts w:ascii="Calibri" w:hAnsi="Calibri" w:cs="Calibri"/>
                <w:sz w:val="22"/>
                <w:szCs w:val="22"/>
              </w:rPr>
              <w:t xml:space="preserve"> </w:t>
            </w:r>
            <w:r w:rsidRPr="00300A83">
              <w:rPr>
                <w:rFonts w:ascii="Calibri" w:hAnsi="Calibri" w:cs="Calibri"/>
                <w:sz w:val="22"/>
                <w:szCs w:val="22"/>
              </w:rPr>
              <w:t>Current provision includes a Dementia Advisor Support Service, a Memory Café Network, therapeutic and time limited groups, awareness raising sessions and specialist carers training.</w:t>
            </w:r>
            <w:r w:rsidR="00A57479">
              <w:rPr>
                <w:rFonts w:ascii="Calibri" w:hAnsi="Calibri" w:cs="Calibri"/>
                <w:sz w:val="22"/>
                <w:szCs w:val="22"/>
              </w:rPr>
              <w:t xml:space="preserve"> </w:t>
            </w:r>
          </w:p>
          <w:p w:rsidR="00AC0416" w:rsidRPr="00864F1B" w:rsidRDefault="00E863C2" w:rsidP="00B37265">
            <w:pPr>
              <w:jc w:val="both"/>
              <w:rPr>
                <w:rFonts w:ascii="Calibri" w:hAnsi="Calibri" w:cs="Calibri"/>
                <w:sz w:val="22"/>
                <w:szCs w:val="22"/>
              </w:rPr>
            </w:pPr>
            <w:r>
              <w:rPr>
                <w:rFonts w:ascii="Calibri" w:hAnsi="Calibri" w:cs="Calibri"/>
                <w:sz w:val="22"/>
                <w:szCs w:val="22"/>
              </w:rPr>
              <w:t>Negotiation</w:t>
            </w:r>
            <w:r w:rsidR="00AC0416">
              <w:rPr>
                <w:rFonts w:ascii="Calibri" w:hAnsi="Calibri" w:cs="Calibri"/>
                <w:sz w:val="22"/>
                <w:szCs w:val="22"/>
              </w:rPr>
              <w:t xml:space="preserve"> on the revised contract and service specificati</w:t>
            </w:r>
            <w:r>
              <w:rPr>
                <w:rFonts w:ascii="Calibri" w:hAnsi="Calibri" w:cs="Calibri"/>
                <w:sz w:val="22"/>
                <w:szCs w:val="22"/>
              </w:rPr>
              <w:t>on is underway with the provider, with a n</w:t>
            </w:r>
            <w:r w:rsidR="00AC0416">
              <w:rPr>
                <w:rFonts w:ascii="Calibri" w:hAnsi="Calibri" w:cs="Calibri"/>
                <w:sz w:val="22"/>
                <w:szCs w:val="22"/>
              </w:rPr>
              <w:t xml:space="preserve">eed to </w:t>
            </w:r>
            <w:r w:rsidR="00AC0416">
              <w:rPr>
                <w:rFonts w:ascii="Calibri" w:hAnsi="Calibri" w:cs="Calibri"/>
                <w:sz w:val="22"/>
                <w:szCs w:val="22"/>
              </w:rPr>
              <w:lastRenderedPageBreak/>
              <w:t xml:space="preserve">ensure that clear outcomes are provided in order to ensure improvement in service delivery and value for money. </w:t>
            </w:r>
            <w:r w:rsidR="00AC0416" w:rsidRPr="00864F1B">
              <w:rPr>
                <w:rFonts w:ascii="Calibri" w:hAnsi="Calibri" w:cs="Calibri"/>
                <w:sz w:val="22"/>
                <w:szCs w:val="22"/>
              </w:rPr>
              <w:t xml:space="preserve"> </w:t>
            </w:r>
          </w:p>
        </w:tc>
      </w:tr>
      <w:tr w:rsidR="00AC0416" w:rsidRPr="00443A20" w:rsidTr="00B37265">
        <w:tc>
          <w:tcPr>
            <w:tcW w:w="10125" w:type="dxa"/>
            <w:shd w:val="clear" w:color="auto" w:fill="auto"/>
          </w:tcPr>
          <w:p w:rsidR="00AC0416" w:rsidRPr="00443A20" w:rsidRDefault="00AC0416" w:rsidP="002B2091">
            <w:pPr>
              <w:rPr>
                <w:rFonts w:ascii="Calibri" w:hAnsi="Calibri" w:cs="Calibri"/>
                <w:b/>
                <w:sz w:val="22"/>
                <w:szCs w:val="22"/>
              </w:rPr>
            </w:pPr>
          </w:p>
        </w:tc>
      </w:tr>
      <w:tr w:rsidR="00AC0416" w:rsidRPr="00443A20" w:rsidTr="00B37265">
        <w:tc>
          <w:tcPr>
            <w:tcW w:w="10125" w:type="dxa"/>
            <w:shd w:val="clear" w:color="auto" w:fill="auto"/>
          </w:tcPr>
          <w:p w:rsidR="00AC0416" w:rsidRPr="00A57479" w:rsidRDefault="00A57479" w:rsidP="002B2091">
            <w:pPr>
              <w:rPr>
                <w:rFonts w:ascii="Calibri" w:hAnsi="Calibri" w:cs="Calibri"/>
                <w:sz w:val="22"/>
                <w:szCs w:val="22"/>
                <w:u w:val="single"/>
              </w:rPr>
            </w:pPr>
            <w:r w:rsidRPr="00A57479">
              <w:rPr>
                <w:rFonts w:ascii="Calibri" w:hAnsi="Calibri" w:cs="Calibri"/>
                <w:sz w:val="22"/>
                <w:szCs w:val="22"/>
                <w:u w:val="single"/>
              </w:rPr>
              <w:t xml:space="preserve">6. </w:t>
            </w:r>
            <w:r w:rsidR="00AC0416" w:rsidRPr="00A57479">
              <w:rPr>
                <w:rFonts w:ascii="Calibri" w:hAnsi="Calibri" w:cs="Calibri"/>
                <w:sz w:val="22"/>
                <w:szCs w:val="22"/>
                <w:u w:val="single"/>
              </w:rPr>
              <w:t xml:space="preserve">Patient Transport Services (PTS) Review </w:t>
            </w:r>
          </w:p>
        </w:tc>
      </w:tr>
      <w:tr w:rsidR="00AC0416" w:rsidRPr="005A2F09" w:rsidTr="00B37265">
        <w:tc>
          <w:tcPr>
            <w:tcW w:w="10125" w:type="dxa"/>
            <w:shd w:val="clear" w:color="auto" w:fill="auto"/>
          </w:tcPr>
          <w:p w:rsidR="00AC0416" w:rsidRDefault="00AC0416" w:rsidP="00B37265">
            <w:pPr>
              <w:jc w:val="both"/>
              <w:rPr>
                <w:rFonts w:ascii="Calibri" w:hAnsi="Calibri" w:cs="Calibri"/>
                <w:bCs/>
                <w:sz w:val="22"/>
                <w:szCs w:val="22"/>
              </w:rPr>
            </w:pPr>
            <w:r>
              <w:rPr>
                <w:rFonts w:ascii="Calibri" w:hAnsi="Calibri" w:cs="Calibri"/>
                <w:sz w:val="22"/>
                <w:szCs w:val="22"/>
              </w:rPr>
              <w:t>The EMAS</w:t>
            </w:r>
            <w:r w:rsidR="00A57479">
              <w:rPr>
                <w:rFonts w:ascii="Calibri" w:hAnsi="Calibri" w:cs="Calibri"/>
                <w:sz w:val="22"/>
                <w:szCs w:val="22"/>
              </w:rPr>
              <w:t xml:space="preserve"> PTS</w:t>
            </w:r>
            <w:r>
              <w:rPr>
                <w:rFonts w:ascii="Calibri" w:hAnsi="Calibri" w:cs="Calibri"/>
                <w:sz w:val="22"/>
                <w:szCs w:val="22"/>
              </w:rPr>
              <w:t xml:space="preserve"> contract is due to expire on 21 January 2016 and the CCG </w:t>
            </w:r>
            <w:r w:rsidR="00A57479">
              <w:rPr>
                <w:rFonts w:ascii="Calibri" w:hAnsi="Calibri" w:cs="Calibri"/>
                <w:sz w:val="22"/>
                <w:szCs w:val="22"/>
              </w:rPr>
              <w:t>has</w:t>
            </w:r>
            <w:r>
              <w:rPr>
                <w:rFonts w:ascii="Calibri" w:hAnsi="Calibri" w:cs="Calibri"/>
                <w:sz w:val="22"/>
                <w:szCs w:val="22"/>
              </w:rPr>
              <w:t xml:space="preserve"> give</w:t>
            </w:r>
            <w:r w:rsidR="00A57479">
              <w:rPr>
                <w:rFonts w:ascii="Calibri" w:hAnsi="Calibri" w:cs="Calibri"/>
                <w:sz w:val="22"/>
                <w:szCs w:val="22"/>
              </w:rPr>
              <w:t>n</w:t>
            </w:r>
            <w:r>
              <w:rPr>
                <w:rFonts w:ascii="Calibri" w:hAnsi="Calibri" w:cs="Calibri"/>
                <w:sz w:val="22"/>
                <w:szCs w:val="22"/>
              </w:rPr>
              <w:t xml:space="preserve"> 12 months’ notice to var</w:t>
            </w:r>
            <w:r w:rsidR="00A57479">
              <w:rPr>
                <w:rFonts w:ascii="Calibri" w:hAnsi="Calibri" w:cs="Calibri"/>
                <w:sz w:val="22"/>
                <w:szCs w:val="22"/>
              </w:rPr>
              <w:t>y the contract with an extension to 31</w:t>
            </w:r>
            <w:r w:rsidR="00A57479" w:rsidRPr="00A57479">
              <w:rPr>
                <w:rFonts w:ascii="Calibri" w:hAnsi="Calibri" w:cs="Calibri"/>
                <w:sz w:val="22"/>
                <w:szCs w:val="22"/>
                <w:vertAlign w:val="superscript"/>
              </w:rPr>
              <w:t>st</w:t>
            </w:r>
            <w:r w:rsidR="00A57479">
              <w:rPr>
                <w:rFonts w:ascii="Calibri" w:hAnsi="Calibri" w:cs="Calibri"/>
                <w:sz w:val="22"/>
                <w:szCs w:val="22"/>
              </w:rPr>
              <w:t xml:space="preserve"> March 2016. </w:t>
            </w:r>
            <w:r w:rsidR="0009122D">
              <w:rPr>
                <w:rFonts w:ascii="Calibri" w:hAnsi="Calibri" w:cs="Calibri"/>
                <w:sz w:val="22"/>
                <w:szCs w:val="22"/>
              </w:rPr>
              <w:t>The review will</w:t>
            </w:r>
            <w:r>
              <w:rPr>
                <w:rFonts w:ascii="Calibri" w:hAnsi="Calibri" w:cs="Calibri"/>
                <w:sz w:val="22"/>
                <w:szCs w:val="22"/>
              </w:rPr>
              <w:t xml:space="preserve"> look at ensuring funding for those people most in need and may include establishing clear eligibility criter</w:t>
            </w:r>
            <w:r w:rsidR="003E5157">
              <w:rPr>
                <w:rFonts w:ascii="Calibri" w:hAnsi="Calibri" w:cs="Calibri"/>
                <w:sz w:val="22"/>
                <w:szCs w:val="22"/>
              </w:rPr>
              <w:t>ia for funding of PTS journeys.</w:t>
            </w:r>
            <w:r w:rsidR="0009122D">
              <w:rPr>
                <w:rFonts w:ascii="Calibri" w:hAnsi="Calibri" w:cs="Calibri"/>
                <w:sz w:val="22"/>
                <w:szCs w:val="22"/>
              </w:rPr>
              <w:t xml:space="preserve"> </w:t>
            </w:r>
            <w:r w:rsidR="003E5157">
              <w:rPr>
                <w:rFonts w:ascii="Calibri" w:hAnsi="Calibri" w:cs="Calibri"/>
                <w:sz w:val="22"/>
                <w:szCs w:val="22"/>
              </w:rPr>
              <w:t xml:space="preserve"> The</w:t>
            </w:r>
            <w:r>
              <w:rPr>
                <w:rFonts w:ascii="Calibri" w:hAnsi="Calibri" w:cs="Calibri"/>
                <w:sz w:val="22"/>
                <w:szCs w:val="22"/>
              </w:rPr>
              <w:t xml:space="preserve"> CCG</w:t>
            </w:r>
            <w:r w:rsidR="0009122D">
              <w:rPr>
                <w:rFonts w:ascii="Calibri" w:hAnsi="Calibri" w:cs="Calibri"/>
                <w:sz w:val="22"/>
                <w:szCs w:val="22"/>
              </w:rPr>
              <w:t xml:space="preserve"> working with NLCCG &amp; other stakeholders (including </w:t>
            </w:r>
            <w:proofErr w:type="spellStart"/>
            <w:r w:rsidR="0009122D">
              <w:rPr>
                <w:rFonts w:ascii="Calibri" w:hAnsi="Calibri" w:cs="Calibri"/>
                <w:sz w:val="22"/>
                <w:szCs w:val="22"/>
              </w:rPr>
              <w:t>Healthwatch</w:t>
            </w:r>
            <w:proofErr w:type="spellEnd"/>
            <w:r w:rsidR="0009122D">
              <w:rPr>
                <w:rFonts w:ascii="Calibri" w:hAnsi="Calibri" w:cs="Calibri"/>
                <w:sz w:val="22"/>
                <w:szCs w:val="22"/>
              </w:rPr>
              <w:t xml:space="preserve"> and scrutiny members) to develop</w:t>
            </w:r>
            <w:r>
              <w:rPr>
                <w:rFonts w:ascii="Calibri" w:hAnsi="Calibri" w:cs="Calibri"/>
                <w:sz w:val="22"/>
                <w:szCs w:val="22"/>
              </w:rPr>
              <w:t xml:space="preserve"> options</w:t>
            </w:r>
            <w:r w:rsidR="0009122D">
              <w:rPr>
                <w:rFonts w:ascii="Calibri" w:hAnsi="Calibri" w:cs="Calibri"/>
                <w:sz w:val="22"/>
                <w:szCs w:val="22"/>
              </w:rPr>
              <w:t xml:space="preserve"> &amp; a specification</w:t>
            </w:r>
            <w:r>
              <w:rPr>
                <w:rFonts w:ascii="Calibri" w:hAnsi="Calibri" w:cs="Calibri"/>
                <w:sz w:val="22"/>
                <w:szCs w:val="22"/>
              </w:rPr>
              <w:t xml:space="preserve"> for a more robust community transport service for non-emergency jou</w:t>
            </w:r>
            <w:r w:rsidR="003E5157">
              <w:rPr>
                <w:rFonts w:ascii="Calibri" w:hAnsi="Calibri" w:cs="Calibri"/>
                <w:sz w:val="22"/>
                <w:szCs w:val="22"/>
              </w:rPr>
              <w:t>rneys</w:t>
            </w:r>
            <w:r w:rsidR="0009122D">
              <w:rPr>
                <w:rFonts w:ascii="Calibri" w:hAnsi="Calibri" w:cs="Calibri"/>
                <w:sz w:val="22"/>
                <w:szCs w:val="22"/>
              </w:rPr>
              <w:t xml:space="preserve"> which will </w:t>
            </w:r>
            <w:r w:rsidR="0009122D">
              <w:rPr>
                <w:rFonts w:ascii="Calibri" w:hAnsi="Calibri" w:cs="Calibri"/>
                <w:bCs/>
                <w:sz w:val="22"/>
                <w:szCs w:val="22"/>
              </w:rPr>
              <w:t xml:space="preserve"> allow</w:t>
            </w:r>
            <w:r w:rsidRPr="005A2F09">
              <w:rPr>
                <w:rFonts w:ascii="Calibri" w:hAnsi="Calibri" w:cs="Calibri"/>
                <w:bCs/>
                <w:sz w:val="22"/>
                <w:szCs w:val="22"/>
              </w:rPr>
              <w:t xml:space="preserve"> for inclusion of sites and capacity that reflects current and future demand. </w:t>
            </w:r>
            <w:r w:rsidR="0009122D">
              <w:rPr>
                <w:rFonts w:ascii="Calibri" w:hAnsi="Calibri" w:cs="Calibri"/>
                <w:bCs/>
                <w:sz w:val="22"/>
                <w:szCs w:val="22"/>
              </w:rPr>
              <w:t xml:space="preserve"> </w:t>
            </w:r>
          </w:p>
          <w:p w:rsidR="0009122D" w:rsidRDefault="0009122D" w:rsidP="00B37265">
            <w:pPr>
              <w:jc w:val="both"/>
              <w:rPr>
                <w:rFonts w:ascii="Calibri" w:hAnsi="Calibri" w:cs="Calibri"/>
                <w:bCs/>
                <w:sz w:val="22"/>
                <w:szCs w:val="22"/>
              </w:rPr>
            </w:pPr>
          </w:p>
          <w:p w:rsidR="0009122D" w:rsidRPr="005A2F09" w:rsidRDefault="0009122D" w:rsidP="00B37265">
            <w:pPr>
              <w:jc w:val="both"/>
              <w:rPr>
                <w:rFonts w:ascii="Calibri" w:hAnsi="Calibri" w:cs="Calibri"/>
                <w:sz w:val="22"/>
                <w:szCs w:val="22"/>
              </w:rPr>
            </w:pPr>
            <w:r>
              <w:rPr>
                <w:rFonts w:ascii="Calibri" w:hAnsi="Calibri" w:cs="Calibri"/>
                <w:bCs/>
                <w:sz w:val="22"/>
                <w:szCs w:val="22"/>
              </w:rPr>
              <w:t>As part of development of the specification community engagement events will be held.</w:t>
            </w:r>
          </w:p>
        </w:tc>
      </w:tr>
      <w:tr w:rsidR="00AC0416" w:rsidTr="00B37265">
        <w:tc>
          <w:tcPr>
            <w:tcW w:w="10125" w:type="dxa"/>
            <w:shd w:val="clear" w:color="auto" w:fill="auto"/>
          </w:tcPr>
          <w:p w:rsidR="00AC0416" w:rsidRDefault="00AC0416" w:rsidP="002B2091">
            <w:pPr>
              <w:rPr>
                <w:rFonts w:ascii="Calibri" w:hAnsi="Calibri" w:cs="Calibri"/>
                <w:b/>
                <w:sz w:val="22"/>
                <w:szCs w:val="22"/>
              </w:rPr>
            </w:pPr>
          </w:p>
        </w:tc>
      </w:tr>
      <w:tr w:rsidR="00AC0416" w:rsidRPr="00C1504D" w:rsidTr="00B37265">
        <w:tc>
          <w:tcPr>
            <w:tcW w:w="10125" w:type="dxa"/>
            <w:shd w:val="clear" w:color="auto" w:fill="auto"/>
          </w:tcPr>
          <w:p w:rsidR="00AC0416" w:rsidRPr="00F27279" w:rsidRDefault="00F27279" w:rsidP="002B2091">
            <w:pPr>
              <w:rPr>
                <w:rFonts w:ascii="Calibri" w:hAnsi="Calibri" w:cs="Calibri"/>
                <w:color w:val="000000"/>
                <w:sz w:val="22"/>
                <w:szCs w:val="22"/>
                <w:u w:val="single"/>
              </w:rPr>
            </w:pPr>
            <w:r w:rsidRPr="00F27279">
              <w:rPr>
                <w:rFonts w:ascii="Calibri" w:hAnsi="Calibri" w:cs="Calibri"/>
                <w:color w:val="000000"/>
                <w:sz w:val="22"/>
                <w:szCs w:val="22"/>
                <w:u w:val="single"/>
              </w:rPr>
              <w:t xml:space="preserve">7. </w:t>
            </w:r>
            <w:r w:rsidR="00AC0416" w:rsidRPr="00F27279">
              <w:rPr>
                <w:rFonts w:ascii="Calibri" w:hAnsi="Calibri" w:cs="Calibri"/>
                <w:color w:val="000000"/>
                <w:sz w:val="22"/>
                <w:szCs w:val="22"/>
                <w:u w:val="single"/>
              </w:rPr>
              <w:t xml:space="preserve">Tier 3 Weight Management Service </w:t>
            </w:r>
          </w:p>
        </w:tc>
      </w:tr>
      <w:tr w:rsidR="00AC0416" w:rsidRPr="00E91F4C" w:rsidTr="00B37265">
        <w:tc>
          <w:tcPr>
            <w:tcW w:w="10125" w:type="dxa"/>
            <w:shd w:val="clear" w:color="auto" w:fill="auto"/>
          </w:tcPr>
          <w:p w:rsidR="0009122D" w:rsidRDefault="00AC0416" w:rsidP="00B37265">
            <w:pPr>
              <w:jc w:val="both"/>
              <w:rPr>
                <w:rFonts w:ascii="Calibri" w:hAnsi="Calibri" w:cs="Calibri"/>
                <w:sz w:val="22"/>
                <w:szCs w:val="22"/>
              </w:rPr>
            </w:pPr>
            <w:r w:rsidRPr="00CE0D16">
              <w:rPr>
                <w:rFonts w:ascii="Calibri" w:hAnsi="Calibri" w:cs="Calibri"/>
                <w:sz w:val="22"/>
                <w:szCs w:val="22"/>
              </w:rPr>
              <w:t>Due to recent changes to NHS Commissioning Guidance for weight management services there is a gap in provision of Tier 3 Specialist Weight Management Services</w:t>
            </w:r>
            <w:r w:rsidR="0009122D">
              <w:rPr>
                <w:rFonts w:ascii="Calibri" w:hAnsi="Calibri" w:cs="Calibri"/>
                <w:sz w:val="22"/>
                <w:szCs w:val="22"/>
              </w:rPr>
              <w:t xml:space="preserve">, which has means that there is a </w:t>
            </w:r>
            <w:r w:rsidRPr="00CE0D16">
              <w:rPr>
                <w:rFonts w:ascii="Calibri" w:hAnsi="Calibri" w:cs="Calibri"/>
                <w:sz w:val="22"/>
                <w:szCs w:val="22"/>
              </w:rPr>
              <w:t xml:space="preserve">cohort of patients </w:t>
            </w:r>
            <w:r w:rsidR="0009122D">
              <w:rPr>
                <w:rFonts w:ascii="Calibri" w:hAnsi="Calibri" w:cs="Calibri"/>
                <w:sz w:val="22"/>
                <w:szCs w:val="22"/>
              </w:rPr>
              <w:t xml:space="preserve">that would be </w:t>
            </w:r>
            <w:r w:rsidRPr="00CE0D16">
              <w:rPr>
                <w:rFonts w:ascii="Calibri" w:hAnsi="Calibri" w:cs="Calibri"/>
                <w:sz w:val="22"/>
                <w:szCs w:val="22"/>
              </w:rPr>
              <w:t>excluded from progressing to surgery.</w:t>
            </w:r>
            <w:r w:rsidR="0009122D">
              <w:rPr>
                <w:rFonts w:ascii="Calibri" w:hAnsi="Calibri" w:cs="Calibri"/>
                <w:sz w:val="22"/>
                <w:szCs w:val="22"/>
              </w:rPr>
              <w:t xml:space="preserve"> </w:t>
            </w:r>
          </w:p>
          <w:p w:rsidR="0009122D" w:rsidRDefault="0009122D" w:rsidP="00B37265">
            <w:pPr>
              <w:jc w:val="both"/>
              <w:rPr>
                <w:rFonts w:ascii="Calibri" w:hAnsi="Calibri" w:cs="Calibri"/>
                <w:sz w:val="22"/>
                <w:szCs w:val="22"/>
              </w:rPr>
            </w:pPr>
          </w:p>
          <w:p w:rsidR="00AC0416" w:rsidRDefault="00AC0416" w:rsidP="00B37265">
            <w:pPr>
              <w:jc w:val="both"/>
              <w:rPr>
                <w:rFonts w:ascii="Calibri" w:hAnsi="Calibri" w:cs="Calibri"/>
                <w:sz w:val="22"/>
                <w:szCs w:val="22"/>
              </w:rPr>
            </w:pPr>
            <w:r w:rsidRPr="00CE0D16">
              <w:rPr>
                <w:rFonts w:ascii="Calibri" w:hAnsi="Calibri" w:cs="Calibri"/>
                <w:sz w:val="22"/>
                <w:szCs w:val="22"/>
              </w:rPr>
              <w:t xml:space="preserve">In response to the urgent need of some patients the CCG has worked with </w:t>
            </w:r>
            <w:r>
              <w:rPr>
                <w:rFonts w:ascii="Calibri" w:hAnsi="Calibri" w:cs="Calibri"/>
                <w:sz w:val="22"/>
                <w:szCs w:val="22"/>
              </w:rPr>
              <w:t>NL</w:t>
            </w:r>
            <w:r w:rsidRPr="00CE0D16">
              <w:rPr>
                <w:rFonts w:ascii="Calibri" w:hAnsi="Calibri" w:cs="Calibri"/>
                <w:sz w:val="22"/>
                <w:szCs w:val="22"/>
              </w:rPr>
              <w:t xml:space="preserve">CCG and </w:t>
            </w:r>
            <w:r>
              <w:rPr>
                <w:rFonts w:ascii="Calibri" w:hAnsi="Calibri" w:cs="Calibri"/>
                <w:sz w:val="22"/>
                <w:szCs w:val="22"/>
              </w:rPr>
              <w:t>HEY</w:t>
            </w:r>
            <w:r w:rsidRPr="00CE0D16">
              <w:rPr>
                <w:rFonts w:ascii="Calibri" w:hAnsi="Calibri" w:cs="Calibri"/>
                <w:sz w:val="22"/>
                <w:szCs w:val="22"/>
              </w:rPr>
              <w:t xml:space="preserve"> Hospitals NHS Trust to develop a Tier 3 Service to be provided at Castle Hill Hospital for an interim period of 18 months</w:t>
            </w:r>
            <w:r w:rsidR="003E5157">
              <w:rPr>
                <w:rFonts w:ascii="Calibri" w:hAnsi="Calibri" w:cs="Calibri"/>
                <w:sz w:val="22"/>
                <w:szCs w:val="22"/>
              </w:rPr>
              <w:t xml:space="preserve"> from 1</w:t>
            </w:r>
            <w:r w:rsidR="003E5157" w:rsidRPr="003E5157">
              <w:rPr>
                <w:rFonts w:ascii="Calibri" w:hAnsi="Calibri" w:cs="Calibri"/>
                <w:sz w:val="22"/>
                <w:szCs w:val="22"/>
                <w:vertAlign w:val="superscript"/>
              </w:rPr>
              <w:t>st</w:t>
            </w:r>
            <w:r w:rsidR="003E5157">
              <w:rPr>
                <w:rFonts w:ascii="Calibri" w:hAnsi="Calibri" w:cs="Calibri"/>
                <w:sz w:val="22"/>
                <w:szCs w:val="22"/>
              </w:rPr>
              <w:t xml:space="preserve"> April 2015</w:t>
            </w:r>
            <w:r w:rsidRPr="00CE0D16">
              <w:rPr>
                <w:rFonts w:ascii="Calibri" w:hAnsi="Calibri" w:cs="Calibri"/>
                <w:sz w:val="22"/>
                <w:szCs w:val="22"/>
              </w:rPr>
              <w:t>.</w:t>
            </w:r>
            <w:r>
              <w:rPr>
                <w:rFonts w:ascii="Calibri" w:hAnsi="Calibri" w:cs="Calibri"/>
                <w:sz w:val="22"/>
                <w:szCs w:val="22"/>
              </w:rPr>
              <w:t xml:space="preserve"> </w:t>
            </w:r>
            <w:r w:rsidRPr="00CE0D16">
              <w:rPr>
                <w:rFonts w:ascii="Calibri" w:hAnsi="Calibri" w:cs="Calibri"/>
                <w:sz w:val="22"/>
                <w:szCs w:val="22"/>
              </w:rPr>
              <w:t>The 18 month timeframe will also allow for an evaluation of Tier 3 Weight Management which will inform the</w:t>
            </w:r>
            <w:r w:rsidR="0009122D">
              <w:rPr>
                <w:rFonts w:ascii="Calibri" w:hAnsi="Calibri" w:cs="Calibri"/>
                <w:sz w:val="22"/>
                <w:szCs w:val="22"/>
              </w:rPr>
              <w:t xml:space="preserve"> future commissioning intentions </w:t>
            </w:r>
            <w:r w:rsidRPr="00CE0D16">
              <w:rPr>
                <w:rFonts w:ascii="Calibri" w:hAnsi="Calibri" w:cs="Calibri"/>
                <w:sz w:val="22"/>
                <w:szCs w:val="22"/>
              </w:rPr>
              <w:t>of the CCGs going forward</w:t>
            </w:r>
            <w:r>
              <w:rPr>
                <w:rFonts w:ascii="Calibri" w:hAnsi="Calibri" w:cs="Calibri"/>
                <w:sz w:val="22"/>
                <w:szCs w:val="22"/>
              </w:rPr>
              <w:t>.</w:t>
            </w:r>
          </w:p>
          <w:p w:rsidR="00316D7E" w:rsidRDefault="00316D7E" w:rsidP="003E5157">
            <w:pPr>
              <w:rPr>
                <w:rFonts w:ascii="Calibri" w:hAnsi="Calibri" w:cs="Calibri"/>
                <w:sz w:val="22"/>
                <w:szCs w:val="22"/>
              </w:rPr>
            </w:pPr>
          </w:p>
          <w:p w:rsidR="00316D7E" w:rsidRPr="00316D7E" w:rsidRDefault="00316D7E" w:rsidP="003E5157">
            <w:pPr>
              <w:rPr>
                <w:rFonts w:ascii="Calibri" w:hAnsi="Calibri" w:cs="Calibri"/>
                <w:sz w:val="22"/>
                <w:szCs w:val="22"/>
                <w:u w:val="single"/>
              </w:rPr>
            </w:pPr>
            <w:r w:rsidRPr="00316D7E">
              <w:rPr>
                <w:rFonts w:ascii="Calibri" w:hAnsi="Calibri" w:cs="Calibri"/>
                <w:sz w:val="22"/>
                <w:szCs w:val="22"/>
                <w:u w:val="single"/>
              </w:rPr>
              <w:t>8. Primary care Enhanced Services</w:t>
            </w:r>
          </w:p>
          <w:p w:rsidR="00316D7E" w:rsidRDefault="0009122D" w:rsidP="00B37265">
            <w:pPr>
              <w:jc w:val="both"/>
              <w:rPr>
                <w:rFonts w:ascii="Calibri" w:hAnsi="Calibri" w:cs="Calibri"/>
                <w:sz w:val="22"/>
                <w:szCs w:val="22"/>
              </w:rPr>
            </w:pPr>
            <w:r>
              <w:rPr>
                <w:rFonts w:ascii="Calibri" w:hAnsi="Calibri" w:cs="Calibri"/>
                <w:sz w:val="22"/>
                <w:szCs w:val="22"/>
              </w:rPr>
              <w:t xml:space="preserve">Following on from the </w:t>
            </w:r>
            <w:r w:rsidR="00316D7E">
              <w:rPr>
                <w:rFonts w:ascii="Calibri" w:hAnsi="Calibri" w:cs="Calibri"/>
                <w:sz w:val="22"/>
                <w:szCs w:val="22"/>
              </w:rPr>
              <w:t xml:space="preserve">PMS Review, the deduction of </w:t>
            </w:r>
            <w:r>
              <w:rPr>
                <w:rFonts w:ascii="Calibri" w:hAnsi="Calibri" w:cs="Calibri"/>
                <w:sz w:val="22"/>
                <w:szCs w:val="22"/>
              </w:rPr>
              <w:t xml:space="preserve">the </w:t>
            </w:r>
            <w:r w:rsidR="00316D7E">
              <w:rPr>
                <w:rFonts w:ascii="Calibri" w:hAnsi="Calibri" w:cs="Calibri"/>
                <w:sz w:val="22"/>
                <w:szCs w:val="22"/>
              </w:rPr>
              <w:t>PMS premium will commence from April 2015. The CCG working with the Sub Regional Team and the LMC have identified a number of primary care services to re-commission to ensure continuity of service within practices.</w:t>
            </w:r>
            <w:r w:rsidR="006A5B18">
              <w:rPr>
                <w:rFonts w:ascii="Calibri" w:hAnsi="Calibri" w:cs="Calibri"/>
                <w:sz w:val="22"/>
                <w:szCs w:val="22"/>
              </w:rPr>
              <w:t xml:space="preserve"> </w:t>
            </w:r>
            <w:r w:rsidR="00316D7E">
              <w:rPr>
                <w:rFonts w:ascii="Calibri" w:hAnsi="Calibri" w:cs="Calibri"/>
                <w:sz w:val="22"/>
                <w:szCs w:val="22"/>
              </w:rPr>
              <w:t xml:space="preserve"> These services include Anti Coagulation level 3, Application of </w:t>
            </w:r>
            <w:proofErr w:type="spellStart"/>
            <w:r w:rsidR="00316D7E">
              <w:rPr>
                <w:rFonts w:ascii="Calibri" w:hAnsi="Calibri" w:cs="Calibri"/>
                <w:sz w:val="22"/>
                <w:szCs w:val="22"/>
              </w:rPr>
              <w:t>GnhR</w:t>
            </w:r>
            <w:proofErr w:type="spellEnd"/>
            <w:r w:rsidR="00316D7E">
              <w:rPr>
                <w:rFonts w:ascii="Calibri" w:hAnsi="Calibri" w:cs="Calibri"/>
                <w:sz w:val="22"/>
                <w:szCs w:val="22"/>
              </w:rPr>
              <w:t xml:space="preserve"> (urology)</w:t>
            </w:r>
            <w:r w:rsidR="00F979D8">
              <w:rPr>
                <w:rFonts w:ascii="Calibri" w:hAnsi="Calibri" w:cs="Calibri"/>
                <w:sz w:val="22"/>
                <w:szCs w:val="22"/>
              </w:rPr>
              <w:t xml:space="preserve"> and</w:t>
            </w:r>
            <w:r w:rsidR="00316D7E">
              <w:rPr>
                <w:rFonts w:ascii="Calibri" w:hAnsi="Calibri" w:cs="Calibri"/>
                <w:sz w:val="22"/>
                <w:szCs w:val="22"/>
              </w:rPr>
              <w:t xml:space="preserve"> </w:t>
            </w:r>
            <w:r w:rsidR="00F979D8">
              <w:rPr>
                <w:rFonts w:ascii="Calibri" w:hAnsi="Calibri" w:cs="Calibri"/>
                <w:sz w:val="22"/>
                <w:szCs w:val="22"/>
              </w:rPr>
              <w:t xml:space="preserve">Post-operative care service. </w:t>
            </w:r>
            <w:r w:rsidR="006A5B18">
              <w:rPr>
                <w:rFonts w:ascii="Calibri" w:hAnsi="Calibri" w:cs="Calibri"/>
                <w:sz w:val="22"/>
                <w:szCs w:val="22"/>
              </w:rPr>
              <w:t xml:space="preserve"> The</w:t>
            </w:r>
            <w:r w:rsidR="00F979D8">
              <w:rPr>
                <w:rFonts w:ascii="Calibri" w:hAnsi="Calibri" w:cs="Calibri"/>
                <w:sz w:val="22"/>
                <w:szCs w:val="22"/>
              </w:rPr>
              <w:t xml:space="preserve"> contracts will commence from 1</w:t>
            </w:r>
            <w:r w:rsidR="00F979D8" w:rsidRPr="00F979D8">
              <w:rPr>
                <w:rFonts w:ascii="Calibri" w:hAnsi="Calibri" w:cs="Calibri"/>
                <w:sz w:val="22"/>
                <w:szCs w:val="22"/>
                <w:vertAlign w:val="superscript"/>
              </w:rPr>
              <w:t>st</w:t>
            </w:r>
            <w:r w:rsidR="00F979D8">
              <w:rPr>
                <w:rFonts w:ascii="Calibri" w:hAnsi="Calibri" w:cs="Calibri"/>
                <w:sz w:val="22"/>
                <w:szCs w:val="22"/>
              </w:rPr>
              <w:t xml:space="preserve"> April and will ensure services maintained in a primary care setting. These only apply to those practices who have a PMS or GMS contract and do not apply to APMS contracts at this time as they have not changed and these services remain part of the service specification.</w:t>
            </w:r>
          </w:p>
          <w:p w:rsidR="00F979D8" w:rsidRDefault="00F979D8" w:rsidP="003E5157">
            <w:pPr>
              <w:rPr>
                <w:rFonts w:ascii="Calibri" w:hAnsi="Calibri" w:cs="Calibri"/>
                <w:sz w:val="22"/>
                <w:szCs w:val="22"/>
              </w:rPr>
            </w:pPr>
          </w:p>
          <w:p w:rsidR="00F979D8" w:rsidRDefault="00F979D8" w:rsidP="003E5157">
            <w:pPr>
              <w:rPr>
                <w:rFonts w:ascii="Calibri" w:hAnsi="Calibri" w:cs="Calibri"/>
                <w:sz w:val="22"/>
                <w:szCs w:val="22"/>
              </w:rPr>
            </w:pPr>
          </w:p>
          <w:p w:rsidR="00F979D8" w:rsidRDefault="00F979D8" w:rsidP="003E5157">
            <w:pPr>
              <w:rPr>
                <w:rFonts w:ascii="Calibri" w:hAnsi="Calibri" w:cs="Calibri"/>
                <w:sz w:val="22"/>
                <w:szCs w:val="22"/>
              </w:rPr>
            </w:pPr>
            <w:r>
              <w:rPr>
                <w:rFonts w:ascii="Calibri" w:hAnsi="Calibri" w:cs="Calibri"/>
                <w:sz w:val="22"/>
                <w:szCs w:val="22"/>
              </w:rPr>
              <w:t>Eddie McCabe</w:t>
            </w:r>
          </w:p>
          <w:p w:rsidR="00F979D8" w:rsidRDefault="00F979D8" w:rsidP="003E5157">
            <w:pPr>
              <w:rPr>
                <w:rFonts w:ascii="Calibri" w:hAnsi="Calibri" w:cs="Calibri"/>
                <w:sz w:val="22"/>
                <w:szCs w:val="22"/>
              </w:rPr>
            </w:pPr>
            <w:r>
              <w:rPr>
                <w:rFonts w:ascii="Calibri" w:hAnsi="Calibri" w:cs="Calibri"/>
                <w:sz w:val="22"/>
                <w:szCs w:val="22"/>
              </w:rPr>
              <w:t>March 2015</w:t>
            </w:r>
          </w:p>
          <w:p w:rsidR="003E5157" w:rsidRPr="00E91F4C" w:rsidRDefault="003E5157" w:rsidP="003E5157">
            <w:pPr>
              <w:rPr>
                <w:rFonts w:ascii="Calibri" w:hAnsi="Calibri" w:cs="Calibri"/>
                <w:sz w:val="22"/>
                <w:szCs w:val="22"/>
              </w:rPr>
            </w:pPr>
          </w:p>
        </w:tc>
      </w:tr>
    </w:tbl>
    <w:p w:rsidR="00805F65" w:rsidRPr="00F34767" w:rsidRDefault="00805F65" w:rsidP="00F27279">
      <w:pPr>
        <w:rPr>
          <w:rFonts w:ascii="Arial" w:hAnsi="Arial" w:cs="Arial"/>
          <w:bCs/>
          <w:sz w:val="20"/>
          <w:szCs w:val="20"/>
        </w:rPr>
      </w:pPr>
    </w:p>
    <w:sectPr w:rsidR="00805F65" w:rsidRPr="00F34767" w:rsidSect="00DD7564">
      <w:footerReference w:type="default" r:id="rId13"/>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1C" w:rsidRDefault="0043321C">
      <w:r>
        <w:separator/>
      </w:r>
    </w:p>
  </w:endnote>
  <w:endnote w:type="continuationSeparator" w:id="0">
    <w:p w:rsidR="0043321C" w:rsidRDefault="0043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1C" w:rsidRDefault="0043321C">
      <w:r>
        <w:separator/>
      </w:r>
    </w:p>
  </w:footnote>
  <w:footnote w:type="continuationSeparator" w:id="0">
    <w:p w:rsidR="0043321C" w:rsidRDefault="00433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3">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3">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6">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0"/>
  </w:num>
  <w:num w:numId="4">
    <w:abstractNumId w:val="34"/>
  </w:num>
  <w:num w:numId="5">
    <w:abstractNumId w:val="23"/>
  </w:num>
  <w:num w:numId="6">
    <w:abstractNumId w:val="30"/>
  </w:num>
  <w:num w:numId="7">
    <w:abstractNumId w:val="5"/>
  </w:num>
  <w:num w:numId="8">
    <w:abstractNumId w:val="22"/>
  </w:num>
  <w:num w:numId="9">
    <w:abstractNumId w:val="25"/>
  </w:num>
  <w:num w:numId="10">
    <w:abstractNumId w:val="7"/>
  </w:num>
  <w:num w:numId="11">
    <w:abstractNumId w:val="14"/>
  </w:num>
  <w:num w:numId="12">
    <w:abstractNumId w:val="28"/>
  </w:num>
  <w:num w:numId="13">
    <w:abstractNumId w:val="19"/>
  </w:num>
  <w:num w:numId="14">
    <w:abstractNumId w:val="2"/>
  </w:num>
  <w:num w:numId="15">
    <w:abstractNumId w:val="21"/>
  </w:num>
  <w:num w:numId="16">
    <w:abstractNumId w:val="15"/>
  </w:num>
  <w:num w:numId="17">
    <w:abstractNumId w:val="24"/>
  </w:num>
  <w:num w:numId="18">
    <w:abstractNumId w:val="20"/>
  </w:num>
  <w:num w:numId="19">
    <w:abstractNumId w:val="31"/>
  </w:num>
  <w:num w:numId="20">
    <w:abstractNumId w:val="12"/>
  </w:num>
  <w:num w:numId="21">
    <w:abstractNumId w:val="9"/>
  </w:num>
  <w:num w:numId="22">
    <w:abstractNumId w:val="17"/>
  </w:num>
  <w:num w:numId="23">
    <w:abstractNumId w:val="6"/>
  </w:num>
  <w:num w:numId="24">
    <w:abstractNumId w:val="1"/>
  </w:num>
  <w:num w:numId="25">
    <w:abstractNumId w:val="29"/>
  </w:num>
  <w:num w:numId="26">
    <w:abstractNumId w:val="10"/>
  </w:num>
  <w:num w:numId="27">
    <w:abstractNumId w:val="13"/>
  </w:num>
  <w:num w:numId="28">
    <w:abstractNumId w:val="26"/>
  </w:num>
  <w:num w:numId="29">
    <w:abstractNumId w:val="32"/>
  </w:num>
  <w:num w:numId="30">
    <w:abstractNumId w:val="11"/>
  </w:num>
  <w:num w:numId="31">
    <w:abstractNumId w:val="35"/>
  </w:num>
  <w:num w:numId="32">
    <w:abstractNumId w:val="8"/>
  </w:num>
  <w:num w:numId="33">
    <w:abstractNumId w:val="33"/>
  </w:num>
  <w:num w:numId="34">
    <w:abstractNumId w:val="18"/>
  </w:num>
  <w:num w:numId="35">
    <w:abstractNumId w:val="16"/>
  </w:num>
  <w:num w:numId="3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22D"/>
    <w:rsid w:val="00091E11"/>
    <w:rsid w:val="000920DD"/>
    <w:rsid w:val="00095E6B"/>
    <w:rsid w:val="000B1D82"/>
    <w:rsid w:val="000B1EEB"/>
    <w:rsid w:val="000B3544"/>
    <w:rsid w:val="000B4521"/>
    <w:rsid w:val="000C13F4"/>
    <w:rsid w:val="000C440F"/>
    <w:rsid w:val="000E4269"/>
    <w:rsid w:val="00101E52"/>
    <w:rsid w:val="00103660"/>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869FD"/>
    <w:rsid w:val="002A3C39"/>
    <w:rsid w:val="002A651D"/>
    <w:rsid w:val="002B63BC"/>
    <w:rsid w:val="002C17C1"/>
    <w:rsid w:val="002E26B9"/>
    <w:rsid w:val="002E7820"/>
    <w:rsid w:val="002F445D"/>
    <w:rsid w:val="002F47B6"/>
    <w:rsid w:val="00301655"/>
    <w:rsid w:val="00303B76"/>
    <w:rsid w:val="00312796"/>
    <w:rsid w:val="00316D7E"/>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E5157"/>
    <w:rsid w:val="003F6D7A"/>
    <w:rsid w:val="003F6DF9"/>
    <w:rsid w:val="00406064"/>
    <w:rsid w:val="00420D54"/>
    <w:rsid w:val="00423F06"/>
    <w:rsid w:val="004266AA"/>
    <w:rsid w:val="00427EC0"/>
    <w:rsid w:val="0043321C"/>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2E5B"/>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A7ACC"/>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7384"/>
    <w:rsid w:val="007B20A8"/>
    <w:rsid w:val="007B2FB2"/>
    <w:rsid w:val="007C1372"/>
    <w:rsid w:val="007C7176"/>
    <w:rsid w:val="007D373C"/>
    <w:rsid w:val="007D696B"/>
    <w:rsid w:val="007E035B"/>
    <w:rsid w:val="007E2B49"/>
    <w:rsid w:val="007E6A63"/>
    <w:rsid w:val="007F26DD"/>
    <w:rsid w:val="007F5413"/>
    <w:rsid w:val="00803AA5"/>
    <w:rsid w:val="00805F65"/>
    <w:rsid w:val="008254CA"/>
    <w:rsid w:val="00831338"/>
    <w:rsid w:val="00836C48"/>
    <w:rsid w:val="00840F53"/>
    <w:rsid w:val="00841F6F"/>
    <w:rsid w:val="00845E6F"/>
    <w:rsid w:val="00846C25"/>
    <w:rsid w:val="00852744"/>
    <w:rsid w:val="00852BCF"/>
    <w:rsid w:val="00866065"/>
    <w:rsid w:val="00866EFA"/>
    <w:rsid w:val="00866FF8"/>
    <w:rsid w:val="00876BA5"/>
    <w:rsid w:val="00882C25"/>
    <w:rsid w:val="00883C59"/>
    <w:rsid w:val="00891846"/>
    <w:rsid w:val="00891EDC"/>
    <w:rsid w:val="0089366A"/>
    <w:rsid w:val="008A57B4"/>
    <w:rsid w:val="008C6467"/>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1F43"/>
    <w:rsid w:val="009846C1"/>
    <w:rsid w:val="00995D16"/>
    <w:rsid w:val="009A0C1E"/>
    <w:rsid w:val="009A29A7"/>
    <w:rsid w:val="009B25F1"/>
    <w:rsid w:val="009B32B5"/>
    <w:rsid w:val="009C33D4"/>
    <w:rsid w:val="009D14DD"/>
    <w:rsid w:val="009D4815"/>
    <w:rsid w:val="009E0D79"/>
    <w:rsid w:val="009E7323"/>
    <w:rsid w:val="009F3A26"/>
    <w:rsid w:val="00A01B48"/>
    <w:rsid w:val="00A03A97"/>
    <w:rsid w:val="00A07A07"/>
    <w:rsid w:val="00A1183A"/>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C041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21F5F"/>
    <w:rsid w:val="00B31017"/>
    <w:rsid w:val="00B349FF"/>
    <w:rsid w:val="00B363A4"/>
    <w:rsid w:val="00B37265"/>
    <w:rsid w:val="00B40742"/>
    <w:rsid w:val="00B41D76"/>
    <w:rsid w:val="00B54373"/>
    <w:rsid w:val="00B55AF0"/>
    <w:rsid w:val="00B55E86"/>
    <w:rsid w:val="00B60D87"/>
    <w:rsid w:val="00B66E1A"/>
    <w:rsid w:val="00B67EC9"/>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3881"/>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863C2"/>
    <w:rsid w:val="00E921F2"/>
    <w:rsid w:val="00E94BFF"/>
    <w:rsid w:val="00E96028"/>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27279"/>
    <w:rsid w:val="00F3113F"/>
    <w:rsid w:val="00F32730"/>
    <w:rsid w:val="00F3308A"/>
    <w:rsid w:val="00F34767"/>
    <w:rsid w:val="00F3716D"/>
    <w:rsid w:val="00F37D18"/>
    <w:rsid w:val="00F40B1F"/>
    <w:rsid w:val="00F45C7E"/>
    <w:rsid w:val="00F51B57"/>
    <w:rsid w:val="00F524C7"/>
    <w:rsid w:val="00F55731"/>
    <w:rsid w:val="00F55EFB"/>
    <w:rsid w:val="00F6631C"/>
    <w:rsid w:val="00F768A3"/>
    <w:rsid w:val="00F76D30"/>
    <w:rsid w:val="00F80178"/>
    <w:rsid w:val="00F85FD3"/>
    <w:rsid w:val="00F906E5"/>
    <w:rsid w:val="00F9086D"/>
    <w:rsid w:val="00F9292B"/>
    <w:rsid w:val="00F971CA"/>
    <w:rsid w:val="00F979D8"/>
    <w:rsid w:val="00FA3BC7"/>
    <w:rsid w:val="00FA6C46"/>
    <w:rsid w:val="00FB10F2"/>
    <w:rsid w:val="00FB47ED"/>
    <w:rsid w:val="00FB4DB6"/>
    <w:rsid w:val="00FB69A8"/>
    <w:rsid w:val="00FB7D2A"/>
    <w:rsid w:val="00FC2818"/>
    <w:rsid w:val="00FC2E61"/>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4ECD-39F5-45AE-ABCE-A6CF7B32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6544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2015-03-06T12:46:00Z</dcterms:created>
  <dcterms:modified xsi:type="dcterms:W3CDTF">2015-03-06T12:46:00Z</dcterms:modified>
</cp:coreProperties>
</file>