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5A49BE">
                              <w:rPr>
                                <w:rFonts w:ascii="Arial" w:hAnsi="Arial" w:cs="Arial"/>
                                <w:sz w:val="32"/>
                                <w:szCs w:val="32"/>
                              </w:rPr>
                              <w:t>07</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5A49BE">
                        <w:rPr>
                          <w:rFonts w:ascii="Arial" w:hAnsi="Arial" w:cs="Arial"/>
                          <w:sz w:val="32"/>
                          <w:szCs w:val="32"/>
                        </w:rPr>
                        <w:t>07</w:t>
                      </w:r>
                    </w:p>
                    <w:p w:rsidR="005F0C84" w:rsidRDefault="005F0C84"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bookmarkStart w:id="0" w:name="_GoBack"/>
      <w:bookmarkEnd w:id="0"/>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C6185B">
        <w:trPr>
          <w:trHeight w:val="571"/>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C6185B" w:rsidP="009306C6">
            <w:pPr>
              <w:rPr>
                <w:rFonts w:ascii="Arial" w:hAnsi="Arial" w:cs="Arial"/>
                <w:bCs/>
                <w:sz w:val="22"/>
                <w:szCs w:val="22"/>
              </w:rPr>
            </w:pPr>
            <w:r>
              <w:rPr>
                <w:rFonts w:ascii="Arial" w:hAnsi="Arial" w:cs="Arial"/>
                <w:bCs/>
                <w:sz w:val="22"/>
                <w:szCs w:val="22"/>
              </w:rPr>
              <w:t>Steve Pintus</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C6185B" w:rsidP="00BC5CEC">
            <w:pPr>
              <w:rPr>
                <w:rFonts w:ascii="Arial" w:hAnsi="Arial" w:cs="Arial"/>
                <w:bCs/>
                <w:sz w:val="22"/>
                <w:szCs w:val="22"/>
              </w:rPr>
            </w:pPr>
            <w:r>
              <w:rPr>
                <w:rFonts w:ascii="Arial" w:hAnsi="Arial" w:cs="Arial"/>
                <w:bCs/>
                <w:sz w:val="22"/>
                <w:szCs w:val="22"/>
              </w:rPr>
              <w:t xml:space="preserve">12 November </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C6185B" w:rsidP="009306C6">
            <w:pPr>
              <w:rPr>
                <w:rFonts w:ascii="Arial" w:hAnsi="Arial" w:cs="Arial"/>
                <w:bCs/>
                <w:sz w:val="22"/>
                <w:szCs w:val="22"/>
              </w:rPr>
            </w:pPr>
            <w:r>
              <w:rPr>
                <w:rFonts w:ascii="Arial" w:hAnsi="Arial" w:cs="Arial"/>
                <w:bCs/>
                <w:sz w:val="22"/>
                <w:szCs w:val="22"/>
              </w:rPr>
              <w:t>Director of Public Health Report 2014-15</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C6185B" w:rsidP="00752FD6">
            <w:pPr>
              <w:spacing w:before="60"/>
              <w:rPr>
                <w:rFonts w:ascii="Arial" w:hAnsi="Arial" w:cs="Arial"/>
                <w:sz w:val="22"/>
                <w:szCs w:val="22"/>
              </w:rPr>
            </w:pPr>
            <w:bookmarkStart w:id="1" w:name="Check4"/>
            <w:r>
              <w:rPr>
                <w:rFonts w:ascii="Arial" w:hAnsi="Arial" w:cs="Arial"/>
                <w:sz w:val="22"/>
                <w:szCs w:val="22"/>
              </w:rPr>
              <w:t>x</w:t>
            </w:r>
            <w:r w:rsidR="00DD7564">
              <w:rPr>
                <w:rFonts w:ascii="Arial" w:hAnsi="Arial" w:cs="Arial"/>
                <w:sz w:val="22"/>
                <w:szCs w:val="22"/>
              </w:rPr>
              <w:fldChar w:fldCharType="begin">
                <w:ffData>
                  <w:name w:val="Check4"/>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FF73B5" w:rsidRPr="00FF73B5" w:rsidRDefault="00FF73B5" w:rsidP="00FF73B5">
            <w:pPr>
              <w:autoSpaceDE w:val="0"/>
              <w:autoSpaceDN w:val="0"/>
              <w:adjustRightInd w:val="0"/>
              <w:rPr>
                <w:rFonts w:ascii="Arial" w:eastAsiaTheme="minorHAnsi" w:hAnsi="Arial" w:cs="Arial"/>
                <w:lang w:eastAsia="en-US"/>
              </w:rPr>
            </w:pPr>
            <w:r>
              <w:rPr>
                <w:rFonts w:ascii="Arial" w:eastAsiaTheme="minorHAnsi" w:hAnsi="Arial" w:cs="Arial"/>
                <w:lang w:eastAsia="en-US"/>
              </w:rPr>
              <w:t>T</w:t>
            </w:r>
            <w:r w:rsidRPr="00FF73B5">
              <w:rPr>
                <w:rFonts w:ascii="Arial" w:eastAsiaTheme="minorHAnsi" w:hAnsi="Arial" w:cs="Arial"/>
                <w:lang w:eastAsia="en-US"/>
              </w:rPr>
              <w:t>his is the Annual Report of the Director of Public Health for North East Lincolnshire, which is a statutory requirement of all designated chief officers for public health.</w:t>
            </w:r>
          </w:p>
          <w:p w:rsidR="00FF73B5" w:rsidRPr="00FF73B5" w:rsidRDefault="00FF73B5" w:rsidP="00FF73B5">
            <w:pPr>
              <w:autoSpaceDE w:val="0"/>
              <w:autoSpaceDN w:val="0"/>
              <w:adjustRightInd w:val="0"/>
              <w:rPr>
                <w:rFonts w:ascii="Arial" w:eastAsiaTheme="minorHAnsi" w:hAnsi="Arial" w:cs="Arial"/>
                <w:lang w:eastAsia="en-US"/>
              </w:rPr>
            </w:pPr>
          </w:p>
          <w:p w:rsidR="00FF73B5" w:rsidRPr="00FF73B5" w:rsidRDefault="00FF73B5" w:rsidP="00FF73B5">
            <w:pPr>
              <w:autoSpaceDE w:val="0"/>
              <w:autoSpaceDN w:val="0"/>
              <w:adjustRightInd w:val="0"/>
              <w:rPr>
                <w:rFonts w:ascii="Arial" w:eastAsiaTheme="minorHAnsi" w:hAnsi="Arial" w:cs="Arial"/>
                <w:lang w:eastAsia="en-US"/>
              </w:rPr>
            </w:pPr>
            <w:r w:rsidRPr="00FF73B5">
              <w:rPr>
                <w:rFonts w:ascii="Arial" w:eastAsiaTheme="minorHAnsi" w:hAnsi="Arial" w:cs="Arial"/>
                <w:lang w:eastAsia="en-US"/>
              </w:rPr>
              <w:t xml:space="preserve">The report this year focusses solely on the early years, in particular conception to 2 years of age, with a tag line of “the best start in life”. This focus was agreed in order to prepare public health for the transfer of 0-5 children’s public health commissioning to local authorities in October 2015. This final part of the public health transfer will join up commissioning for children </w:t>
            </w:r>
            <w:proofErr w:type="gramStart"/>
            <w:r w:rsidRPr="00FF73B5">
              <w:rPr>
                <w:rFonts w:ascii="Arial" w:eastAsiaTheme="minorHAnsi" w:hAnsi="Arial" w:cs="Arial"/>
                <w:lang w:eastAsia="en-US"/>
              </w:rPr>
              <w:t>under</w:t>
            </w:r>
            <w:proofErr w:type="gramEnd"/>
            <w:r w:rsidRPr="00FF73B5">
              <w:rPr>
                <w:rFonts w:ascii="Arial" w:eastAsiaTheme="minorHAnsi" w:hAnsi="Arial" w:cs="Arial"/>
                <w:lang w:eastAsia="en-US"/>
              </w:rPr>
              <w:t xml:space="preserve"> 5 with the commissioning for 5-19 year olds and the wider public health functions, which successfully transferred to local government in April 2014 under the Health and Social Care Act 2012.</w:t>
            </w:r>
          </w:p>
          <w:p w:rsidR="00FF73B5" w:rsidRPr="00FF73B5" w:rsidRDefault="00FF73B5" w:rsidP="00FF73B5">
            <w:pPr>
              <w:autoSpaceDE w:val="0"/>
              <w:autoSpaceDN w:val="0"/>
              <w:adjustRightInd w:val="0"/>
              <w:rPr>
                <w:rFonts w:ascii="Arial" w:eastAsiaTheme="minorHAnsi" w:hAnsi="Arial" w:cs="Arial"/>
                <w:lang w:eastAsia="en-US"/>
              </w:rPr>
            </w:pPr>
          </w:p>
          <w:p w:rsidR="00FF73B5" w:rsidRPr="00FF73B5" w:rsidRDefault="00FF73B5" w:rsidP="00FF73B5">
            <w:pPr>
              <w:autoSpaceDE w:val="0"/>
              <w:autoSpaceDN w:val="0"/>
              <w:adjustRightInd w:val="0"/>
              <w:rPr>
                <w:rFonts w:ascii="Arial" w:eastAsiaTheme="minorHAnsi" w:hAnsi="Arial" w:cs="Arial"/>
                <w:lang w:eastAsia="en-US"/>
              </w:rPr>
            </w:pPr>
            <w:r w:rsidRPr="00FF73B5">
              <w:rPr>
                <w:rFonts w:ascii="Arial" w:eastAsiaTheme="minorHAnsi" w:hAnsi="Arial" w:cs="Arial"/>
                <w:lang w:eastAsia="en-US"/>
              </w:rPr>
              <w:t>The introduction highlights the positive opportunities that the transfer of early years public health services will create and also provides an update on last year’s public health annual report and the progress made on its recommendations</w:t>
            </w:r>
          </w:p>
          <w:p w:rsidR="00FF73B5" w:rsidRPr="00FF73B5" w:rsidRDefault="00FF73B5" w:rsidP="00FF73B5">
            <w:pPr>
              <w:autoSpaceDE w:val="0"/>
              <w:autoSpaceDN w:val="0"/>
              <w:adjustRightInd w:val="0"/>
              <w:rPr>
                <w:rFonts w:ascii="Arial" w:eastAsiaTheme="minorHAnsi" w:hAnsi="Arial" w:cs="Arial"/>
                <w:lang w:eastAsia="en-US"/>
              </w:rPr>
            </w:pPr>
          </w:p>
          <w:p w:rsidR="006A74AF" w:rsidRPr="00FF73B5" w:rsidRDefault="00FF73B5" w:rsidP="00FF73B5">
            <w:pPr>
              <w:autoSpaceDE w:val="0"/>
              <w:autoSpaceDN w:val="0"/>
              <w:adjustRightInd w:val="0"/>
              <w:rPr>
                <w:rFonts w:ascii="Arial" w:eastAsiaTheme="minorHAnsi" w:hAnsi="Arial" w:cs="Arial"/>
                <w:lang w:eastAsia="en-US"/>
              </w:rPr>
            </w:pPr>
            <w:r w:rsidRPr="00FF73B5">
              <w:rPr>
                <w:rFonts w:ascii="Arial" w:eastAsiaTheme="minorHAnsi" w:hAnsi="Arial" w:cs="Arial"/>
                <w:lang w:eastAsia="en-US"/>
              </w:rPr>
              <w:t>The report is divided broadly into sections each culminating with a series of recommendations: Pregnancy and Development Factors 0-2 years. In each section identifies the challenges and a variety of initiatives addressing health issues for this population.</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6A74AF" w:rsidRDefault="00FF73B5" w:rsidP="00B41D76">
            <w:pPr>
              <w:rPr>
                <w:rFonts w:ascii="Arial" w:hAnsi="Arial" w:cs="Arial"/>
                <w:bCs/>
                <w:sz w:val="22"/>
                <w:szCs w:val="22"/>
              </w:rPr>
            </w:pPr>
            <w:r>
              <w:rPr>
                <w:rFonts w:ascii="Arial" w:eastAsiaTheme="minorHAnsi" w:hAnsi="Arial" w:cs="Arial"/>
                <w:lang w:eastAsia="en-US"/>
              </w:rPr>
              <w:t xml:space="preserve">This public health annual report supports a key area of the Health &amp; Wellbeing Strategy and the Council Plan’s overall aims of both Stronger Economy and Stronger Communities and in particular the objectives of encouraging and facilitating healthier lives with a focus on enabling families to shape their own health, a focus on investment in preventative action and a focus on providing health support at </w:t>
            </w:r>
            <w:r w:rsidRPr="00E8782A">
              <w:rPr>
                <w:rFonts w:ascii="Arial" w:eastAsiaTheme="minorHAnsi" w:hAnsi="Arial" w:cs="Arial"/>
                <w:lang w:eastAsia="en-US"/>
              </w:rPr>
              <w:t>the most appropriate level and location.</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FF73B5" w:rsidRDefault="00FF73B5" w:rsidP="00FF73B5">
            <w:pPr>
              <w:rPr>
                <w:rFonts w:ascii="Arial" w:hAnsi="Arial" w:cs="Arial"/>
                <w:bCs/>
                <w:sz w:val="22"/>
                <w:szCs w:val="22"/>
              </w:rPr>
            </w:pPr>
            <w:r w:rsidRPr="00FF73B5">
              <w:rPr>
                <w:rFonts w:ascii="Arial" w:eastAsiaTheme="minorHAnsi" w:hAnsi="Arial" w:cs="Arial"/>
                <w:lang w:eastAsia="en-US"/>
              </w:rPr>
              <w:t xml:space="preserve">The recommendations made by the Director of Public Health focus on building on existing </w:t>
            </w:r>
            <w:r w:rsidRPr="00FF73B5">
              <w:rPr>
                <w:rFonts w:ascii="Arial" w:eastAsiaTheme="minorHAnsi" w:hAnsi="Arial" w:cs="Arial"/>
                <w:lang w:eastAsia="en-US"/>
              </w:rPr>
              <w:lastRenderedPageBreak/>
              <w:t>efforts and encourage greater integration of approaches particularly through the opportunities offered by the transfer of responsibility for health of the 0-5 year age group this autumn.</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8752"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1451"/>
        <w:gridCol w:w="8580"/>
        <w:gridCol w:w="141"/>
        <w:gridCol w:w="8580"/>
      </w:tblGrid>
      <w:tr w:rsidR="006A2E19" w:rsidRPr="00752FD6" w:rsidTr="00FF73B5">
        <w:trPr>
          <w:gridAfter w:val="1"/>
          <w:wAfter w:w="8580" w:type="dxa"/>
          <w:trHeight w:val="567"/>
        </w:trPr>
        <w:tc>
          <w:tcPr>
            <w:tcW w:w="10172"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FF73B5">
        <w:trPr>
          <w:trHeight w:val="370"/>
        </w:trPr>
        <w:tc>
          <w:tcPr>
            <w:tcW w:w="10031" w:type="dxa"/>
            <w:gridSpan w:val="2"/>
            <w:shd w:val="clear" w:color="auto" w:fill="auto"/>
          </w:tcPr>
          <w:p w:rsidR="00FF73B5" w:rsidRPr="00FF73B5" w:rsidRDefault="00FF73B5" w:rsidP="00FF73B5">
            <w:pPr>
              <w:rPr>
                <w:rFonts w:ascii="Arial" w:hAnsi="Arial" w:cs="Arial"/>
              </w:rPr>
            </w:pPr>
            <w:r w:rsidRPr="00FF73B5">
              <w:rPr>
                <w:rFonts w:ascii="Arial" w:hAnsi="Arial" w:cs="Arial"/>
              </w:rPr>
              <w:t>The Partnership Board are invited to note the Report for 2014-15</w:t>
            </w:r>
          </w:p>
          <w:p w:rsidR="006A74AF" w:rsidRPr="00FF73B5" w:rsidRDefault="006A74AF" w:rsidP="00FF73B5">
            <w:pPr>
              <w:ind w:right="34"/>
            </w:pPr>
          </w:p>
        </w:tc>
        <w:tc>
          <w:tcPr>
            <w:tcW w:w="8721" w:type="dxa"/>
            <w:gridSpan w:val="2"/>
            <w:shd w:val="clear" w:color="auto" w:fill="auto"/>
          </w:tcPr>
          <w:p w:rsidR="006A74AF" w:rsidRPr="00FF73B5" w:rsidRDefault="006A74AF" w:rsidP="00FF73B5">
            <w:pPr>
              <w:ind w:left="-2093" w:hanging="357"/>
            </w:pPr>
          </w:p>
        </w:tc>
      </w:tr>
      <w:tr w:rsidR="006A74AF" w:rsidRPr="00752FD6" w:rsidTr="00FF73B5">
        <w:trPr>
          <w:gridAfter w:val="1"/>
          <w:wAfter w:w="8580" w:type="dxa"/>
          <w:trHeight w:val="379"/>
        </w:trPr>
        <w:tc>
          <w:tcPr>
            <w:tcW w:w="1451" w:type="dxa"/>
            <w:shd w:val="clear" w:color="auto" w:fill="auto"/>
          </w:tcPr>
          <w:p w:rsidR="006A74AF" w:rsidRPr="00FF73B5" w:rsidRDefault="006A74AF" w:rsidP="00FF73B5"/>
        </w:tc>
        <w:tc>
          <w:tcPr>
            <w:tcW w:w="8721" w:type="dxa"/>
            <w:gridSpan w:val="2"/>
            <w:shd w:val="clear" w:color="auto" w:fill="auto"/>
          </w:tcPr>
          <w:p w:rsidR="006A74AF" w:rsidRPr="00FF73B5" w:rsidRDefault="006A74AF" w:rsidP="00FF73B5"/>
        </w:tc>
      </w:tr>
      <w:tr w:rsidR="006A74AF" w:rsidRPr="00752FD6" w:rsidTr="00FF73B5">
        <w:trPr>
          <w:gridAfter w:val="1"/>
          <w:wAfter w:w="8580" w:type="dxa"/>
          <w:trHeight w:val="379"/>
        </w:trPr>
        <w:tc>
          <w:tcPr>
            <w:tcW w:w="1451" w:type="dxa"/>
            <w:shd w:val="clear" w:color="auto" w:fill="auto"/>
          </w:tcPr>
          <w:p w:rsidR="006A74AF" w:rsidRPr="00FF73B5" w:rsidRDefault="006A74AF" w:rsidP="00FF73B5"/>
        </w:tc>
        <w:tc>
          <w:tcPr>
            <w:tcW w:w="8721" w:type="dxa"/>
            <w:gridSpan w:val="2"/>
            <w:shd w:val="clear" w:color="auto" w:fill="auto"/>
          </w:tcPr>
          <w:p w:rsidR="006A74AF" w:rsidRPr="00FF73B5" w:rsidRDefault="006A74AF" w:rsidP="00FF73B5"/>
          <w:p w:rsidR="006A74AF" w:rsidRPr="00FF73B5" w:rsidRDefault="006A74AF" w:rsidP="00FF73B5"/>
        </w:tc>
      </w:tr>
      <w:tr w:rsidR="006A74AF" w:rsidRPr="00752FD6" w:rsidTr="00FF73B5">
        <w:trPr>
          <w:gridAfter w:val="1"/>
          <w:wAfter w:w="8580" w:type="dxa"/>
          <w:trHeight w:val="379"/>
        </w:trPr>
        <w:tc>
          <w:tcPr>
            <w:tcW w:w="1451" w:type="dxa"/>
            <w:shd w:val="clear" w:color="auto" w:fill="auto"/>
          </w:tcPr>
          <w:p w:rsidR="006A74AF" w:rsidRPr="00FF73B5" w:rsidRDefault="006A74AF" w:rsidP="00FF73B5"/>
        </w:tc>
        <w:tc>
          <w:tcPr>
            <w:tcW w:w="8721" w:type="dxa"/>
            <w:gridSpan w:val="2"/>
            <w:shd w:val="clear" w:color="auto" w:fill="auto"/>
          </w:tcPr>
          <w:p w:rsidR="006A74AF" w:rsidRPr="00FF73B5" w:rsidRDefault="006A74AF" w:rsidP="00FF73B5"/>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5A49BE"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D4" w:rsidRDefault="00A473D4">
      <w:r>
        <w:separator/>
      </w:r>
    </w:p>
  </w:endnote>
  <w:endnote w:type="continuationSeparator" w:id="0">
    <w:p w:rsidR="00A473D4" w:rsidRDefault="00A4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D4" w:rsidRDefault="00A473D4">
      <w:r>
        <w:separator/>
      </w:r>
    </w:p>
  </w:footnote>
  <w:footnote w:type="continuationSeparator" w:id="0">
    <w:p w:rsidR="00A473D4" w:rsidRDefault="00A47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8">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0"/>
  </w:num>
  <w:num w:numId="4">
    <w:abstractNumId w:val="22"/>
  </w:num>
  <w:num w:numId="5">
    <w:abstractNumId w:val="15"/>
  </w:num>
  <w:num w:numId="6">
    <w:abstractNumId w:val="20"/>
  </w:num>
  <w:num w:numId="7">
    <w:abstractNumId w:val="3"/>
  </w:num>
  <w:num w:numId="8">
    <w:abstractNumId w:val="14"/>
  </w:num>
  <w:num w:numId="9">
    <w:abstractNumId w:val="17"/>
  </w:num>
  <w:num w:numId="10">
    <w:abstractNumId w:val="5"/>
  </w:num>
  <w:num w:numId="11">
    <w:abstractNumId w:val="8"/>
  </w:num>
  <w:num w:numId="12">
    <w:abstractNumId w:val="19"/>
  </w:num>
  <w:num w:numId="13">
    <w:abstractNumId w:val="11"/>
  </w:num>
  <w:num w:numId="14">
    <w:abstractNumId w:val="1"/>
  </w:num>
  <w:num w:numId="15">
    <w:abstractNumId w:val="13"/>
  </w:num>
  <w:num w:numId="16">
    <w:abstractNumId w:val="9"/>
  </w:num>
  <w:num w:numId="17">
    <w:abstractNumId w:val="16"/>
  </w:num>
  <w:num w:numId="18">
    <w:abstractNumId w:val="12"/>
  </w:num>
  <w:num w:numId="19">
    <w:abstractNumId w:val="21"/>
  </w:num>
  <w:num w:numId="20">
    <w:abstractNumId w:val="7"/>
  </w:num>
  <w:num w:numId="21">
    <w:abstractNumId w:val="6"/>
  </w:num>
  <w:num w:numId="22">
    <w:abstractNumId w:val="10"/>
  </w:num>
  <w:num w:numId="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62F6"/>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49BE"/>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473D4"/>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523B4"/>
    <w:rsid w:val="00C52D50"/>
    <w:rsid w:val="00C6185B"/>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C7A61"/>
    <w:rsid w:val="00FD11B5"/>
    <w:rsid w:val="00FD44F3"/>
    <w:rsid w:val="00FD5D6D"/>
    <w:rsid w:val="00FD79C1"/>
    <w:rsid w:val="00FE0D3A"/>
    <w:rsid w:val="00FE201C"/>
    <w:rsid w:val="00FE485A"/>
    <w:rsid w:val="00FE4D7B"/>
    <w:rsid w:val="00FF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3027</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3</cp:revision>
  <cp:lastPrinted>2011-06-01T15:50:00Z</cp:lastPrinted>
  <dcterms:created xsi:type="dcterms:W3CDTF">2015-11-05T11:31:00Z</dcterms:created>
  <dcterms:modified xsi:type="dcterms:W3CDTF">2015-11-06T09:28:00Z</dcterms:modified>
</cp:coreProperties>
</file>