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Pr="00830CC4" w:rsidRDefault="001D78A2" w:rsidP="00BA763E">
      <w:pPr>
        <w:pStyle w:val="Header"/>
        <w:jc w:val="right"/>
        <w:rPr>
          <w:noProof/>
        </w:rPr>
      </w:pPr>
      <w:bookmarkStart w:id="0" w:name="_GoBack"/>
      <w:bookmarkEnd w:id="0"/>
      <w:r w:rsidRPr="00830CC4">
        <w:rPr>
          <w:noProof/>
        </w:rPr>
        <w:drawing>
          <wp:inline distT="0" distB="0" distL="0" distR="0" wp14:anchorId="5BDBEEC2" wp14:editId="1F635E6C">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Pr="00830CC4" w:rsidRDefault="00BA763E" w:rsidP="00DA5437">
      <w:pPr>
        <w:pStyle w:val="Heading1"/>
        <w:ind w:left="5760"/>
      </w:pPr>
      <w:r w:rsidRPr="00830CC4">
        <w:t>North East Lincolnshire CCG</w:t>
      </w:r>
    </w:p>
    <w:p w:rsidR="005F11AA" w:rsidRPr="00830CC4" w:rsidRDefault="00DC3218" w:rsidP="00DA5437">
      <w:pPr>
        <w:pStyle w:val="Header"/>
        <w:spacing w:line="276" w:lineRule="auto"/>
        <w:jc w:val="right"/>
        <w:rPr>
          <w:b/>
          <w:color w:val="365F91"/>
        </w:rPr>
      </w:pPr>
      <w:r w:rsidRPr="00830CC4">
        <w:rPr>
          <w:rFonts w:ascii="Arial" w:hAnsi="Arial" w:cs="Arial"/>
          <w:b/>
          <w:noProof/>
          <w:sz w:val="52"/>
          <w:szCs w:val="52"/>
        </w:rPr>
        <mc:AlternateContent>
          <mc:Choice Requires="wps">
            <w:drawing>
              <wp:anchor distT="0" distB="0" distL="114300" distR="114300" simplePos="0" relativeHeight="251657728" behindDoc="0" locked="0" layoutInCell="1" allowOverlap="1" wp14:anchorId="422A15D3" wp14:editId="63940928">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D4C" w:rsidRDefault="001C46B8" w:rsidP="00DD689C">
                            <w:pPr>
                              <w:rPr>
                                <w:sz w:val="36"/>
                              </w:rPr>
                            </w:pPr>
                            <w:r>
                              <w:rPr>
                                <w:sz w:val="36"/>
                              </w:rPr>
                              <w:t>Attachment</w:t>
                            </w:r>
                            <w:r w:rsidR="0045487B">
                              <w:rPr>
                                <w:sz w:val="36"/>
                              </w:rPr>
                              <w:t xml:space="preserve"> </w:t>
                            </w:r>
                            <w:r>
                              <w:rPr>
                                <w:sz w:val="3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7F3D4C" w:rsidRDefault="001C46B8" w:rsidP="00DD689C">
                      <w:pPr>
                        <w:rPr>
                          <w:sz w:val="36"/>
                        </w:rPr>
                      </w:pPr>
                      <w:r>
                        <w:rPr>
                          <w:sz w:val="36"/>
                        </w:rPr>
                        <w:t>Attachment</w:t>
                      </w:r>
                      <w:r w:rsidR="0045487B">
                        <w:rPr>
                          <w:sz w:val="36"/>
                        </w:rPr>
                        <w:t xml:space="preserve"> </w:t>
                      </w:r>
                      <w:r>
                        <w:rPr>
                          <w:sz w:val="36"/>
                        </w:rPr>
                        <w:t>11</w:t>
                      </w:r>
                    </w:p>
                  </w:txbxContent>
                </v:textbox>
              </v:shape>
            </w:pict>
          </mc:Fallback>
        </mc:AlternateContent>
      </w:r>
    </w:p>
    <w:p w:rsidR="00DD689C" w:rsidRPr="00830CC4"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DD689C" w:rsidP="00DA5437">
            <w:pPr>
              <w:spacing w:line="276" w:lineRule="auto"/>
              <w:jc w:val="both"/>
              <w:rPr>
                <w:rFonts w:ascii="Arial" w:hAnsi="Arial" w:cs="Arial"/>
                <w:b/>
                <w:bCs/>
                <w:sz w:val="22"/>
                <w:szCs w:val="22"/>
              </w:rPr>
            </w:pP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Report to:</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7E6A63" w:rsidP="00DA5437">
            <w:pPr>
              <w:spacing w:line="276" w:lineRule="auto"/>
              <w:jc w:val="both"/>
              <w:rPr>
                <w:rFonts w:ascii="Arial" w:hAnsi="Arial" w:cs="Arial"/>
                <w:bCs/>
                <w:sz w:val="22"/>
                <w:szCs w:val="22"/>
              </w:rPr>
            </w:pPr>
            <w:r w:rsidRPr="00830CC4">
              <w:rPr>
                <w:rFonts w:ascii="Arial" w:hAnsi="Arial" w:cs="Arial"/>
                <w:bCs/>
                <w:sz w:val="22"/>
                <w:szCs w:val="22"/>
              </w:rPr>
              <w:t xml:space="preserve">NEL </w:t>
            </w:r>
            <w:r w:rsidR="007927F8" w:rsidRPr="00830CC4">
              <w:rPr>
                <w:rFonts w:ascii="Arial" w:hAnsi="Arial" w:cs="Arial"/>
                <w:bCs/>
                <w:sz w:val="22"/>
                <w:szCs w:val="22"/>
              </w:rPr>
              <w:t xml:space="preserve">CCG </w:t>
            </w:r>
            <w:r w:rsidR="00A531CD" w:rsidRPr="00830CC4">
              <w:rPr>
                <w:rFonts w:ascii="Arial" w:hAnsi="Arial" w:cs="Arial"/>
                <w:bCs/>
                <w:sz w:val="22"/>
                <w:szCs w:val="22"/>
              </w:rPr>
              <w:t>Partnership Board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Presented by:</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CF242E" w:rsidRPr="00830CC4" w:rsidRDefault="001C0128" w:rsidP="001C0128">
            <w:pPr>
              <w:spacing w:line="276" w:lineRule="auto"/>
              <w:jc w:val="both"/>
              <w:rPr>
                <w:rFonts w:ascii="Arial" w:hAnsi="Arial" w:cs="Arial"/>
                <w:bCs/>
                <w:sz w:val="22"/>
                <w:szCs w:val="22"/>
              </w:rPr>
            </w:pPr>
            <w:r>
              <w:rPr>
                <w:rFonts w:ascii="Arial" w:hAnsi="Arial" w:cs="Arial"/>
                <w:bCs/>
                <w:sz w:val="22"/>
                <w:szCs w:val="22"/>
              </w:rPr>
              <w:t>Jan Haxby, Director of Quality &amp; Nursing</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Date of Meeting:</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486F47" w:rsidP="00486F47">
            <w:pPr>
              <w:spacing w:line="276" w:lineRule="auto"/>
              <w:jc w:val="both"/>
              <w:rPr>
                <w:rFonts w:ascii="Arial" w:hAnsi="Arial" w:cs="Arial"/>
                <w:bCs/>
                <w:sz w:val="22"/>
                <w:szCs w:val="22"/>
              </w:rPr>
            </w:pPr>
            <w:r>
              <w:rPr>
                <w:rFonts w:ascii="Arial" w:hAnsi="Arial" w:cs="Arial"/>
                <w:bCs/>
                <w:sz w:val="22"/>
                <w:szCs w:val="22"/>
              </w:rPr>
              <w:t xml:space="preserve">05 November </w:t>
            </w:r>
            <w:r w:rsidR="001C0128">
              <w:rPr>
                <w:rFonts w:ascii="Arial" w:hAnsi="Arial" w:cs="Arial"/>
                <w:bCs/>
                <w:sz w:val="22"/>
                <w:szCs w:val="22"/>
              </w:rPr>
              <w:t xml:space="preserve">2015. </w:t>
            </w:r>
          </w:p>
        </w:tc>
      </w:tr>
      <w:tr w:rsidR="00DD689C" w:rsidRPr="00830CC4" w:rsidTr="00DD7564">
        <w:trPr>
          <w:trHeight w:val="438"/>
        </w:trPr>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Subject:</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2F30C8" w:rsidP="00CF242E">
            <w:pPr>
              <w:spacing w:line="276" w:lineRule="auto"/>
              <w:jc w:val="both"/>
              <w:rPr>
                <w:rFonts w:ascii="Arial" w:hAnsi="Arial" w:cs="Arial"/>
                <w:bCs/>
                <w:sz w:val="22"/>
                <w:szCs w:val="22"/>
              </w:rPr>
            </w:pPr>
            <w:r w:rsidRPr="00830CC4">
              <w:rPr>
                <w:rFonts w:ascii="Arial" w:hAnsi="Arial" w:cs="Arial"/>
                <w:bCs/>
                <w:sz w:val="22"/>
                <w:szCs w:val="22"/>
              </w:rPr>
              <w:t xml:space="preserve">Quality Report </w:t>
            </w:r>
            <w:r w:rsidR="00CF242E">
              <w:rPr>
                <w:rFonts w:ascii="Arial" w:hAnsi="Arial" w:cs="Arial"/>
                <w:bCs/>
                <w:sz w:val="22"/>
                <w:szCs w:val="22"/>
              </w:rPr>
              <w:t>from</w:t>
            </w:r>
            <w:r w:rsidRPr="00830CC4">
              <w:rPr>
                <w:rFonts w:ascii="Arial" w:hAnsi="Arial" w:cs="Arial"/>
                <w:bCs/>
                <w:sz w:val="22"/>
                <w:szCs w:val="22"/>
              </w:rPr>
              <w:t xml:space="preserve"> </w:t>
            </w:r>
            <w:r w:rsidR="00C11E56" w:rsidRPr="00830CC4">
              <w:rPr>
                <w:rFonts w:ascii="Arial" w:hAnsi="Arial" w:cs="Arial"/>
                <w:bCs/>
                <w:sz w:val="22"/>
                <w:szCs w:val="22"/>
              </w:rPr>
              <w:t>Clinical Quality Committee</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Status:</w:t>
            </w:r>
          </w:p>
          <w:p w:rsidR="00DD689C" w:rsidRPr="00830CC4"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OPEN</w:t>
            </w:r>
            <w:r w:rsidR="00DD689C" w:rsidRPr="00830CC4">
              <w:rPr>
                <w:rFonts w:ascii="Arial" w:hAnsi="Arial" w:cs="Arial"/>
                <w:sz w:val="22"/>
                <w:szCs w:val="22"/>
              </w:rPr>
              <w:tab/>
              <w:t xml:space="preserve">           </w:t>
            </w:r>
            <w:r w:rsidR="00DD689C" w:rsidRPr="00830CC4">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830CC4">
              <w:rPr>
                <w:rFonts w:ascii="Arial" w:hAnsi="Arial" w:cs="Arial"/>
                <w:sz w:val="22"/>
                <w:szCs w:val="22"/>
              </w:rPr>
              <w:instrText xml:space="preserve"> FORMCHECKBOX </w:instrText>
            </w:r>
            <w:r w:rsidR="00DD689C" w:rsidRPr="00830CC4">
              <w:rPr>
                <w:rFonts w:ascii="Arial" w:hAnsi="Arial" w:cs="Arial"/>
                <w:sz w:val="22"/>
                <w:szCs w:val="22"/>
              </w:rPr>
            </w:r>
            <w:r w:rsidR="00DD689C" w:rsidRPr="00830CC4">
              <w:rPr>
                <w:rFonts w:ascii="Arial" w:hAnsi="Arial" w:cs="Arial"/>
                <w:sz w:val="22"/>
                <w:szCs w:val="22"/>
              </w:rPr>
              <w:fldChar w:fldCharType="end"/>
            </w:r>
            <w:bookmarkEnd w:id="1"/>
            <w:r w:rsidR="00DD689C" w:rsidRPr="00830CC4">
              <w:rPr>
                <w:rFonts w:ascii="Arial" w:hAnsi="Arial" w:cs="Arial"/>
                <w:sz w:val="22"/>
                <w:szCs w:val="22"/>
              </w:rPr>
              <w:t xml:space="preserve"> CLOSED</w:t>
            </w:r>
          </w:p>
        </w:tc>
      </w:tr>
      <w:tr w:rsidR="00DD689C" w:rsidRPr="00830CC4" w:rsidTr="00DD7564">
        <w:tc>
          <w:tcPr>
            <w:tcW w:w="2028" w:type="dxa"/>
            <w:shd w:val="clear" w:color="auto" w:fill="auto"/>
          </w:tcPr>
          <w:p w:rsidR="00DD689C" w:rsidRPr="00830CC4" w:rsidRDefault="00DD689C" w:rsidP="00DA5437">
            <w:pPr>
              <w:spacing w:line="276" w:lineRule="auto"/>
              <w:jc w:val="both"/>
              <w:rPr>
                <w:rFonts w:ascii="Arial" w:hAnsi="Arial" w:cs="Arial"/>
                <w:b/>
                <w:bCs/>
                <w:sz w:val="22"/>
                <w:szCs w:val="22"/>
              </w:rPr>
            </w:pPr>
            <w:r w:rsidRPr="00830CC4">
              <w:rPr>
                <w:rFonts w:ascii="Arial" w:hAnsi="Arial" w:cs="Arial"/>
                <w:b/>
                <w:bCs/>
                <w:sz w:val="22"/>
                <w:szCs w:val="22"/>
              </w:rPr>
              <w:t>Agenda Section:</w:t>
            </w:r>
          </w:p>
        </w:tc>
        <w:bookmarkStart w:id="2" w:name="Check4"/>
        <w:tc>
          <w:tcPr>
            <w:tcW w:w="7861" w:type="dxa"/>
            <w:shd w:val="clear" w:color="auto" w:fill="auto"/>
          </w:tcPr>
          <w:p w:rsidR="00DD689C" w:rsidRPr="00830CC4" w:rsidRDefault="006227EF" w:rsidP="006227EF">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Check4"/>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2"/>
            <w:r w:rsidR="00DD689C" w:rsidRPr="00830CC4">
              <w:rPr>
                <w:rFonts w:ascii="Arial" w:hAnsi="Arial" w:cs="Arial"/>
                <w:sz w:val="22"/>
                <w:szCs w:val="22"/>
              </w:rPr>
              <w:t xml:space="preserve"> STRATEGY</w:t>
            </w:r>
            <w:r w:rsidR="00DD7564" w:rsidRPr="00830CC4">
              <w:rPr>
                <w:rFonts w:ascii="Arial" w:hAnsi="Arial" w:cs="Arial"/>
                <w:sz w:val="22"/>
                <w:szCs w:val="22"/>
              </w:rPr>
              <w:tab/>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00DD689C" w:rsidRPr="00830CC4">
              <w:rPr>
                <w:rFonts w:ascii="Arial" w:hAnsi="Arial" w:cs="Arial"/>
                <w:sz w:val="22"/>
                <w:szCs w:val="22"/>
              </w:rPr>
              <w:t xml:space="preserve"> COMMISSIONING</w:t>
            </w:r>
            <w:r w:rsidR="00DD7564" w:rsidRPr="00830CC4">
              <w:rPr>
                <w:rFonts w:ascii="Arial" w:hAnsi="Arial" w:cs="Arial"/>
                <w:sz w:val="22"/>
                <w:szCs w:val="22"/>
              </w:rPr>
              <w:t xml:space="preserve">    </w:t>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w:t>
            </w:r>
            <w:r w:rsidR="00DD689C" w:rsidRPr="00830CC4">
              <w:rPr>
                <w:rFonts w:ascii="Arial" w:hAnsi="Arial" w:cs="Arial"/>
                <w:sz w:val="22"/>
                <w:szCs w:val="22"/>
              </w:rPr>
              <w:t>OPERATIONAL ISSUES</w:t>
            </w:r>
          </w:p>
        </w:tc>
      </w:tr>
    </w:tbl>
    <w:p w:rsidR="00DD689C" w:rsidRPr="00830CC4"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B57A3" w:rsidTr="00DD7564">
        <w:tc>
          <w:tcPr>
            <w:tcW w:w="2868"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b/>
                <w:bCs/>
                <w:sz w:val="22"/>
                <w:szCs w:val="22"/>
              </w:rPr>
            </w:pPr>
            <w:r w:rsidRPr="007B57A3">
              <w:rPr>
                <w:rFonts w:ascii="Arial" w:hAnsi="Arial" w:cs="Arial"/>
                <w:b/>
                <w:bCs/>
                <w:sz w:val="22"/>
                <w:szCs w:val="22"/>
              </w:rPr>
              <w:t>OBJECT OF REPORT</w:t>
            </w:r>
          </w:p>
        </w:tc>
        <w:tc>
          <w:tcPr>
            <w:tcW w:w="7021" w:type="dxa"/>
            <w:shd w:val="clear" w:color="auto" w:fill="auto"/>
          </w:tcPr>
          <w:p w:rsidR="00B170EF" w:rsidRPr="007B57A3" w:rsidRDefault="00B170EF" w:rsidP="00DA5437">
            <w:pPr>
              <w:spacing w:line="276" w:lineRule="auto"/>
              <w:jc w:val="both"/>
              <w:rPr>
                <w:rFonts w:ascii="Arial" w:hAnsi="Arial" w:cs="Arial"/>
                <w:b/>
                <w:bCs/>
                <w:sz w:val="22"/>
                <w:szCs w:val="22"/>
              </w:rPr>
            </w:pPr>
          </w:p>
          <w:p w:rsidR="00B170EF" w:rsidRPr="007B57A3" w:rsidRDefault="00B170EF"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sz w:val="22"/>
                <w:szCs w:val="22"/>
              </w:rPr>
            </w:pPr>
          </w:p>
        </w:tc>
      </w:tr>
      <w:tr w:rsidR="00DD689C" w:rsidRPr="007B57A3" w:rsidTr="00DD7564">
        <w:trPr>
          <w:trHeight w:val="856"/>
        </w:trPr>
        <w:tc>
          <w:tcPr>
            <w:tcW w:w="9889" w:type="dxa"/>
            <w:gridSpan w:val="2"/>
            <w:shd w:val="clear" w:color="auto" w:fill="auto"/>
          </w:tcPr>
          <w:p w:rsidR="00DA5437" w:rsidRPr="007B57A3" w:rsidRDefault="00DA5437" w:rsidP="00DA5437">
            <w:pPr>
              <w:autoSpaceDE w:val="0"/>
              <w:autoSpaceDN w:val="0"/>
              <w:adjustRightInd w:val="0"/>
              <w:jc w:val="both"/>
              <w:rPr>
                <w:rFonts w:ascii="Arial" w:eastAsiaTheme="minorHAnsi" w:hAnsi="Arial" w:cs="Arial"/>
                <w:color w:val="000000"/>
                <w:sz w:val="22"/>
                <w:szCs w:val="22"/>
                <w:lang w:eastAsia="en-US"/>
              </w:rPr>
            </w:pPr>
            <w:r w:rsidRPr="007B57A3">
              <w:rPr>
                <w:rFonts w:ascii="Arial" w:eastAsiaTheme="minorHAnsi" w:hAnsi="Arial" w:cs="Arial"/>
                <w:color w:val="000000"/>
                <w:sz w:val="22"/>
                <w:szCs w:val="22"/>
                <w:lang w:eastAsia="en-US"/>
              </w:rPr>
              <w:t xml:space="preserve">The report informs </w:t>
            </w:r>
            <w:r w:rsidR="00CF242E" w:rsidRPr="007B57A3">
              <w:rPr>
                <w:rFonts w:ascii="Arial" w:eastAsiaTheme="minorHAnsi" w:hAnsi="Arial" w:cs="Arial"/>
                <w:color w:val="000000"/>
                <w:sz w:val="22"/>
                <w:szCs w:val="22"/>
                <w:lang w:eastAsia="en-US"/>
              </w:rPr>
              <w:t xml:space="preserve">the Partnership Board of key metrics for </w:t>
            </w:r>
            <w:r w:rsidRPr="007B57A3">
              <w:rPr>
                <w:rFonts w:ascii="Arial" w:eastAsiaTheme="minorHAnsi" w:hAnsi="Arial" w:cs="Arial"/>
                <w:color w:val="000000"/>
                <w:sz w:val="22"/>
                <w:szCs w:val="22"/>
                <w:lang w:eastAsia="en-US"/>
              </w:rPr>
              <w:t>quality and safety of the services it commissions and in doing so provides assurance that North East Lincolnshire CCG is fulfilling its responsibility and commitment to commission safe and effective services</w:t>
            </w:r>
            <w:r w:rsidR="002F5936" w:rsidRPr="007B57A3">
              <w:rPr>
                <w:rFonts w:ascii="Arial" w:eastAsiaTheme="minorHAnsi" w:hAnsi="Arial" w:cs="Arial"/>
                <w:color w:val="000000"/>
                <w:sz w:val="22"/>
                <w:szCs w:val="22"/>
                <w:lang w:eastAsia="en-US"/>
              </w:rPr>
              <w:t xml:space="preserve"> that meet</w:t>
            </w:r>
            <w:r w:rsidRPr="007B57A3">
              <w:rPr>
                <w:rFonts w:ascii="Arial" w:eastAsiaTheme="minorHAnsi" w:hAnsi="Arial" w:cs="Arial"/>
                <w:color w:val="000000"/>
                <w:sz w:val="22"/>
                <w:szCs w:val="22"/>
                <w:lang w:eastAsia="en-US"/>
              </w:rPr>
              <w:t xml:space="preserve"> the needs of the population of North East Lincolnshire. </w:t>
            </w:r>
          </w:p>
          <w:p w:rsidR="00DD7564" w:rsidRPr="007B57A3" w:rsidRDefault="00DD7564" w:rsidP="00DA5437">
            <w:pPr>
              <w:spacing w:line="276" w:lineRule="auto"/>
              <w:jc w:val="both"/>
              <w:rPr>
                <w:rFonts w:ascii="Arial" w:hAnsi="Arial" w:cs="Arial"/>
              </w:rPr>
            </w:pPr>
          </w:p>
        </w:tc>
      </w:tr>
    </w:tbl>
    <w:p w:rsidR="00DD689C" w:rsidRPr="007B57A3"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B57A3" w:rsidTr="00DD7564">
        <w:tc>
          <w:tcPr>
            <w:tcW w:w="2868"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b/>
                <w:bCs/>
                <w:sz w:val="22"/>
                <w:szCs w:val="22"/>
              </w:rPr>
            </w:pPr>
            <w:r w:rsidRPr="007B57A3">
              <w:rPr>
                <w:rFonts w:ascii="Arial" w:hAnsi="Arial" w:cs="Arial"/>
                <w:b/>
                <w:bCs/>
                <w:sz w:val="22"/>
                <w:szCs w:val="22"/>
              </w:rPr>
              <w:t>STRATEGY</w:t>
            </w:r>
            <w:r w:rsidR="00C11E56" w:rsidRPr="007B57A3">
              <w:rPr>
                <w:rFonts w:ascii="Arial" w:hAnsi="Arial" w:cs="Arial"/>
                <w:b/>
                <w:bCs/>
                <w:sz w:val="22"/>
                <w:szCs w:val="22"/>
              </w:rPr>
              <w:t xml:space="preserve">                          </w:t>
            </w:r>
          </w:p>
        </w:tc>
        <w:tc>
          <w:tcPr>
            <w:tcW w:w="7021" w:type="dxa"/>
            <w:shd w:val="clear" w:color="auto" w:fill="auto"/>
          </w:tcPr>
          <w:p w:rsidR="00DD689C" w:rsidRPr="007B57A3" w:rsidRDefault="00DD689C" w:rsidP="00DA5437">
            <w:pPr>
              <w:spacing w:line="276" w:lineRule="auto"/>
              <w:jc w:val="both"/>
              <w:rPr>
                <w:rFonts w:ascii="Arial" w:hAnsi="Arial" w:cs="Arial"/>
                <w:b/>
                <w:bCs/>
                <w:sz w:val="22"/>
                <w:szCs w:val="22"/>
              </w:rPr>
            </w:pPr>
          </w:p>
          <w:p w:rsidR="00DD689C" w:rsidRPr="007B57A3" w:rsidRDefault="00DD689C" w:rsidP="00DA5437">
            <w:pPr>
              <w:spacing w:line="276" w:lineRule="auto"/>
              <w:jc w:val="both"/>
              <w:rPr>
                <w:rFonts w:ascii="Arial" w:hAnsi="Arial" w:cs="Arial"/>
                <w:sz w:val="22"/>
                <w:szCs w:val="22"/>
              </w:rPr>
            </w:pPr>
          </w:p>
        </w:tc>
      </w:tr>
      <w:tr w:rsidR="00DD689C" w:rsidRPr="007B57A3" w:rsidTr="00DD7564">
        <w:trPr>
          <w:trHeight w:val="637"/>
        </w:trPr>
        <w:tc>
          <w:tcPr>
            <w:tcW w:w="9889" w:type="dxa"/>
            <w:gridSpan w:val="2"/>
            <w:shd w:val="clear" w:color="auto" w:fill="auto"/>
          </w:tcPr>
          <w:p w:rsidR="00B170EF" w:rsidRPr="007B57A3" w:rsidRDefault="00DA5437" w:rsidP="00DA5437">
            <w:pPr>
              <w:spacing w:line="276" w:lineRule="auto"/>
              <w:jc w:val="both"/>
              <w:rPr>
                <w:rFonts w:ascii="Arial" w:hAnsi="Arial" w:cs="Arial"/>
                <w:sz w:val="22"/>
                <w:szCs w:val="22"/>
              </w:rPr>
            </w:pPr>
            <w:r w:rsidRPr="007B57A3">
              <w:rPr>
                <w:rFonts w:ascii="Arial" w:hAnsi="Arial" w:cs="Arial"/>
                <w:sz w:val="22"/>
                <w:szCs w:val="22"/>
              </w:rPr>
              <w:t xml:space="preserve">    </w:t>
            </w:r>
            <w:r w:rsidR="00446F94" w:rsidRPr="007B57A3">
              <w:rPr>
                <w:rFonts w:ascii="Arial" w:hAnsi="Arial" w:cs="Arial"/>
                <w:sz w:val="22"/>
                <w:szCs w:val="22"/>
              </w:rPr>
              <w:t xml:space="preserve">                             </w:t>
            </w:r>
          </w:p>
          <w:p w:rsidR="00301655" w:rsidRPr="007B57A3" w:rsidRDefault="00446F94" w:rsidP="00DA5437">
            <w:pPr>
              <w:spacing w:line="276" w:lineRule="auto"/>
              <w:jc w:val="both"/>
              <w:rPr>
                <w:rFonts w:ascii="Arial" w:hAnsi="Arial" w:cs="Arial"/>
                <w:bCs/>
                <w:sz w:val="22"/>
                <w:szCs w:val="22"/>
              </w:rPr>
            </w:pPr>
            <w:r w:rsidRPr="007B57A3">
              <w:rPr>
                <w:rFonts w:ascii="Arial" w:hAnsi="Arial" w:cs="Arial"/>
                <w:sz w:val="22"/>
                <w:szCs w:val="22"/>
              </w:rPr>
              <w:t xml:space="preserve"> </w:t>
            </w:r>
            <w:r w:rsidR="00DA5437" w:rsidRPr="007B57A3">
              <w:rPr>
                <w:rFonts w:ascii="Arial" w:hAnsi="Arial" w:cs="Arial"/>
                <w:bCs/>
                <w:sz w:val="22"/>
                <w:szCs w:val="22"/>
              </w:rPr>
              <w:t>Effective care,</w:t>
            </w:r>
            <w:r w:rsidRPr="007B57A3">
              <w:rPr>
                <w:rFonts w:ascii="Arial" w:hAnsi="Arial" w:cs="Arial"/>
                <w:sz w:val="22"/>
                <w:szCs w:val="22"/>
              </w:rPr>
              <w:t xml:space="preserve"> patient safety and patient experience</w:t>
            </w:r>
            <w:r w:rsidR="00136C3A" w:rsidRPr="007B57A3">
              <w:rPr>
                <w:rFonts w:ascii="Arial" w:hAnsi="Arial" w:cs="Arial"/>
                <w:bCs/>
                <w:sz w:val="22"/>
                <w:szCs w:val="22"/>
              </w:rPr>
              <w:t>.</w:t>
            </w:r>
          </w:p>
        </w:tc>
      </w:tr>
    </w:tbl>
    <w:p w:rsidR="00DD689C" w:rsidRPr="007B57A3" w:rsidRDefault="00DD689C" w:rsidP="00DA5437">
      <w:pPr>
        <w:spacing w:line="276" w:lineRule="auto"/>
        <w:jc w:val="both"/>
        <w:rPr>
          <w:rFonts w:ascii="Arial" w:hAnsi="Arial" w:cs="Arial"/>
          <w:b/>
          <w:sz w:val="22"/>
          <w:szCs w:val="22"/>
        </w:rPr>
      </w:pPr>
    </w:p>
    <w:tbl>
      <w:tblPr>
        <w:tblW w:w="9180"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208"/>
      </w:tblGrid>
      <w:tr w:rsidR="00DD689C" w:rsidRPr="007B57A3" w:rsidTr="002124A8">
        <w:tc>
          <w:tcPr>
            <w:tcW w:w="3972" w:type="dxa"/>
            <w:shd w:val="clear" w:color="auto" w:fill="auto"/>
          </w:tcPr>
          <w:p w:rsidR="00DD689C" w:rsidRPr="007B57A3" w:rsidRDefault="00CF242E" w:rsidP="00DA5437">
            <w:pPr>
              <w:spacing w:line="276" w:lineRule="auto"/>
              <w:jc w:val="both"/>
              <w:rPr>
                <w:rFonts w:ascii="Arial" w:hAnsi="Arial" w:cs="Arial"/>
                <w:b/>
                <w:bCs/>
                <w:sz w:val="22"/>
                <w:szCs w:val="22"/>
              </w:rPr>
            </w:pPr>
            <w:r w:rsidRPr="007B57A3">
              <w:rPr>
                <w:rFonts w:ascii="Arial" w:hAnsi="Arial" w:cs="Arial"/>
                <w:b/>
                <w:bCs/>
                <w:sz w:val="22"/>
                <w:szCs w:val="22"/>
              </w:rPr>
              <w:t xml:space="preserve">KEY METRICS AND </w:t>
            </w:r>
            <w:r w:rsidR="00DD689C" w:rsidRPr="007B57A3">
              <w:rPr>
                <w:rFonts w:ascii="Arial" w:hAnsi="Arial" w:cs="Arial"/>
                <w:b/>
                <w:bCs/>
                <w:sz w:val="22"/>
                <w:szCs w:val="22"/>
              </w:rPr>
              <w:t>IMPLICATIONS</w:t>
            </w:r>
          </w:p>
        </w:tc>
        <w:tc>
          <w:tcPr>
            <w:tcW w:w="5208" w:type="dxa"/>
            <w:shd w:val="clear" w:color="auto" w:fill="auto"/>
          </w:tcPr>
          <w:p w:rsidR="00DD689C" w:rsidRPr="007B57A3" w:rsidRDefault="00446F94" w:rsidP="00DA5437">
            <w:pPr>
              <w:spacing w:line="276" w:lineRule="auto"/>
              <w:jc w:val="both"/>
              <w:rPr>
                <w:rFonts w:ascii="Arial" w:hAnsi="Arial" w:cs="Arial"/>
                <w:b/>
                <w:bCs/>
                <w:sz w:val="22"/>
                <w:szCs w:val="22"/>
              </w:rPr>
            </w:pPr>
            <w:r w:rsidRPr="007B57A3">
              <w:rPr>
                <w:rFonts w:ascii="Arial" w:hAnsi="Arial" w:cs="Arial"/>
                <w:b/>
                <w:bCs/>
                <w:sz w:val="22"/>
                <w:szCs w:val="22"/>
              </w:rPr>
              <w:t xml:space="preserve">  </w:t>
            </w:r>
          </w:p>
          <w:p w:rsidR="00DD689C" w:rsidRPr="007B57A3" w:rsidRDefault="00DD689C" w:rsidP="00DA5437">
            <w:pPr>
              <w:spacing w:line="276" w:lineRule="auto"/>
              <w:jc w:val="both"/>
              <w:rPr>
                <w:rFonts w:ascii="Arial" w:hAnsi="Arial" w:cs="Arial"/>
                <w:b/>
                <w:bCs/>
                <w:sz w:val="22"/>
                <w:szCs w:val="22"/>
              </w:rPr>
            </w:pPr>
          </w:p>
        </w:tc>
      </w:tr>
      <w:tr w:rsidR="00DD689C" w:rsidRPr="007B57A3" w:rsidTr="002124A8">
        <w:trPr>
          <w:trHeight w:val="57"/>
        </w:trPr>
        <w:tc>
          <w:tcPr>
            <w:tcW w:w="9180" w:type="dxa"/>
            <w:gridSpan w:val="2"/>
            <w:shd w:val="clear" w:color="auto" w:fill="auto"/>
          </w:tcPr>
          <w:p w:rsidR="00DA5437" w:rsidRPr="007B57A3" w:rsidRDefault="00DA5437" w:rsidP="00DA5437">
            <w:pPr>
              <w:spacing w:line="276" w:lineRule="auto"/>
              <w:jc w:val="both"/>
              <w:rPr>
                <w:rFonts w:ascii="Arial" w:hAnsi="Arial" w:cs="Arial"/>
                <w:b/>
                <w:bCs/>
                <w:sz w:val="22"/>
                <w:szCs w:val="22"/>
                <w:u w:val="single"/>
              </w:rPr>
            </w:pPr>
            <w:r w:rsidRPr="007B57A3">
              <w:rPr>
                <w:rFonts w:ascii="Arial" w:hAnsi="Arial" w:cs="Arial"/>
                <w:b/>
                <w:bCs/>
                <w:sz w:val="22"/>
                <w:szCs w:val="22"/>
                <w:u w:val="single"/>
              </w:rPr>
              <w:t xml:space="preserve">1  </w:t>
            </w:r>
            <w:r w:rsidR="00B37AF2" w:rsidRPr="007B57A3">
              <w:rPr>
                <w:rFonts w:ascii="Arial" w:hAnsi="Arial" w:cs="Arial"/>
                <w:b/>
                <w:bCs/>
                <w:sz w:val="22"/>
                <w:szCs w:val="22"/>
                <w:u w:val="single"/>
              </w:rPr>
              <w:t>Effective Care</w:t>
            </w:r>
          </w:p>
          <w:p w:rsidR="00DA7509" w:rsidRPr="007B57A3" w:rsidRDefault="00CF242E" w:rsidP="00DA5437">
            <w:pPr>
              <w:spacing w:before="240" w:line="276" w:lineRule="auto"/>
              <w:jc w:val="both"/>
              <w:rPr>
                <w:rFonts w:ascii="Arial" w:hAnsi="Arial" w:cs="Arial"/>
                <w:b/>
                <w:bCs/>
                <w:sz w:val="22"/>
                <w:szCs w:val="22"/>
              </w:rPr>
            </w:pPr>
            <w:r w:rsidRPr="007B57A3">
              <w:rPr>
                <w:rFonts w:ascii="Arial" w:hAnsi="Arial" w:cs="Arial"/>
                <w:b/>
                <w:bCs/>
                <w:sz w:val="22"/>
                <w:szCs w:val="22"/>
              </w:rPr>
              <w:t>A</w:t>
            </w:r>
            <w:r w:rsidR="00DA5437" w:rsidRPr="007B57A3">
              <w:rPr>
                <w:rFonts w:ascii="Arial" w:hAnsi="Arial" w:cs="Arial"/>
                <w:b/>
                <w:bCs/>
                <w:sz w:val="22"/>
                <w:szCs w:val="22"/>
              </w:rPr>
              <w:t xml:space="preserve">  External Reviews</w:t>
            </w:r>
          </w:p>
          <w:p w:rsidR="001C0128" w:rsidRDefault="001C0128" w:rsidP="00DA5437">
            <w:pPr>
              <w:spacing w:line="276" w:lineRule="auto"/>
              <w:jc w:val="both"/>
              <w:rPr>
                <w:rFonts w:ascii="Arial" w:hAnsi="Arial" w:cs="Arial"/>
                <w:bCs/>
                <w:sz w:val="22"/>
                <w:szCs w:val="22"/>
              </w:rPr>
            </w:pPr>
          </w:p>
          <w:p w:rsidR="00A07D22" w:rsidRDefault="001C0128" w:rsidP="00DA5437">
            <w:pPr>
              <w:spacing w:line="276" w:lineRule="auto"/>
              <w:jc w:val="both"/>
              <w:rPr>
                <w:rFonts w:ascii="Arial" w:hAnsi="Arial" w:cs="Arial"/>
                <w:bCs/>
                <w:sz w:val="22"/>
                <w:szCs w:val="22"/>
              </w:rPr>
            </w:pPr>
            <w:r w:rsidRPr="00EA2CFC">
              <w:rPr>
                <w:rFonts w:ascii="Arial" w:hAnsi="Arial" w:cs="Arial"/>
                <w:bCs/>
                <w:sz w:val="22"/>
                <w:szCs w:val="22"/>
              </w:rPr>
              <w:t>CQC inspection</w:t>
            </w:r>
            <w:r w:rsidR="00A07D22">
              <w:rPr>
                <w:rFonts w:ascii="Arial" w:hAnsi="Arial" w:cs="Arial"/>
                <w:bCs/>
                <w:sz w:val="22"/>
                <w:szCs w:val="22"/>
              </w:rPr>
              <w:t>s</w:t>
            </w:r>
            <w:r w:rsidRPr="00EA2CFC">
              <w:rPr>
                <w:rFonts w:ascii="Arial" w:hAnsi="Arial" w:cs="Arial"/>
                <w:bCs/>
                <w:sz w:val="22"/>
                <w:szCs w:val="22"/>
              </w:rPr>
              <w:t xml:space="preserve"> of St Hughes Hospital</w:t>
            </w:r>
            <w:r w:rsidR="00A07D22">
              <w:rPr>
                <w:rFonts w:ascii="Arial" w:hAnsi="Arial" w:cs="Arial"/>
                <w:bCs/>
                <w:sz w:val="22"/>
                <w:szCs w:val="22"/>
              </w:rPr>
              <w:t xml:space="preserve"> &amp; Northern Lincolnshire &amp; Goole Hospitals NHS Trust </w:t>
            </w:r>
            <w:r w:rsidR="00BF300A">
              <w:rPr>
                <w:rFonts w:ascii="Arial" w:hAnsi="Arial" w:cs="Arial"/>
                <w:bCs/>
                <w:sz w:val="22"/>
                <w:szCs w:val="22"/>
              </w:rPr>
              <w:t>have taken place</w:t>
            </w:r>
            <w:r w:rsidR="00A07D22">
              <w:rPr>
                <w:rFonts w:ascii="Arial" w:hAnsi="Arial" w:cs="Arial"/>
                <w:bCs/>
                <w:sz w:val="22"/>
                <w:szCs w:val="22"/>
              </w:rPr>
              <w:t xml:space="preserve">– awaiting final reports.  </w:t>
            </w:r>
          </w:p>
          <w:p w:rsidR="00AD5328" w:rsidRDefault="00AD5328" w:rsidP="00DA5437">
            <w:pPr>
              <w:spacing w:line="276" w:lineRule="auto"/>
              <w:jc w:val="both"/>
              <w:rPr>
                <w:rFonts w:ascii="Arial" w:hAnsi="Arial" w:cs="Arial"/>
                <w:bCs/>
                <w:sz w:val="22"/>
                <w:szCs w:val="22"/>
              </w:rPr>
            </w:pPr>
          </w:p>
          <w:p w:rsidR="00486F47" w:rsidRDefault="00463727" w:rsidP="00DA5437">
            <w:pPr>
              <w:spacing w:line="276" w:lineRule="auto"/>
              <w:jc w:val="both"/>
              <w:rPr>
                <w:rFonts w:ascii="Arial" w:hAnsi="Arial" w:cs="Arial"/>
                <w:bCs/>
                <w:sz w:val="22"/>
                <w:szCs w:val="22"/>
              </w:rPr>
            </w:pPr>
            <w:r w:rsidRPr="00463727">
              <w:rPr>
                <w:rFonts w:ascii="Arial" w:hAnsi="Arial" w:cs="Arial"/>
                <w:bCs/>
                <w:sz w:val="22"/>
                <w:szCs w:val="22"/>
              </w:rPr>
              <w:t>The CQC assessment for EMAS is due to take place week commencing 16th November covering the following three areas: Accident &amp; Emergency; Patient Transport Services; and Emergency Operations Centre.</w:t>
            </w:r>
          </w:p>
          <w:p w:rsidR="001C0128" w:rsidRPr="007B57A3" w:rsidRDefault="001C0128" w:rsidP="00DA5437">
            <w:pPr>
              <w:spacing w:line="276" w:lineRule="auto"/>
              <w:jc w:val="both"/>
              <w:rPr>
                <w:rFonts w:ascii="Arial" w:hAnsi="Arial" w:cs="Arial"/>
                <w:b/>
                <w:bCs/>
                <w:sz w:val="22"/>
                <w:szCs w:val="22"/>
              </w:rPr>
            </w:pPr>
          </w:p>
          <w:p w:rsidR="00463727" w:rsidRDefault="00DA5437" w:rsidP="00463727">
            <w:pPr>
              <w:spacing w:line="276" w:lineRule="auto"/>
              <w:jc w:val="both"/>
              <w:rPr>
                <w:rFonts w:ascii="Arial" w:eastAsia="Calibri" w:hAnsi="Arial" w:cs="Arial"/>
                <w:b/>
                <w:sz w:val="22"/>
                <w:szCs w:val="22"/>
                <w:lang w:eastAsia="en-US"/>
              </w:rPr>
            </w:pPr>
            <w:r w:rsidRPr="007B57A3">
              <w:rPr>
                <w:rFonts w:ascii="Arial" w:hAnsi="Arial" w:cs="Arial"/>
                <w:b/>
                <w:bCs/>
                <w:sz w:val="22"/>
                <w:szCs w:val="22"/>
              </w:rPr>
              <w:t xml:space="preserve">B  </w:t>
            </w:r>
            <w:r w:rsidR="00B37AF2" w:rsidRPr="007B57A3">
              <w:rPr>
                <w:rFonts w:ascii="Arial" w:hAnsi="Arial" w:cs="Arial"/>
                <w:b/>
                <w:bCs/>
                <w:sz w:val="22"/>
                <w:szCs w:val="22"/>
              </w:rPr>
              <w:t xml:space="preserve">Winterbourne Concordat: </w:t>
            </w:r>
            <w:r w:rsidR="008032FA" w:rsidRPr="007B57A3">
              <w:rPr>
                <w:rFonts w:ascii="Arial" w:eastAsia="Calibri" w:hAnsi="Arial" w:cs="Arial"/>
                <w:b/>
                <w:sz w:val="22"/>
                <w:szCs w:val="22"/>
                <w:lang w:eastAsia="en-US"/>
              </w:rPr>
              <w:t>Transforming Complex Care</w:t>
            </w:r>
          </w:p>
          <w:p w:rsidR="00463727" w:rsidRPr="00463727" w:rsidRDefault="00463727" w:rsidP="00463727">
            <w:pPr>
              <w:spacing w:line="276" w:lineRule="auto"/>
              <w:jc w:val="both"/>
              <w:rPr>
                <w:rFonts w:ascii="Arial" w:eastAsia="Calibri" w:hAnsi="Arial" w:cs="Arial"/>
                <w:b/>
                <w:sz w:val="22"/>
                <w:szCs w:val="22"/>
                <w:lang w:eastAsia="en-US"/>
              </w:rPr>
            </w:pPr>
          </w:p>
          <w:p w:rsidR="0071408A" w:rsidRDefault="00E55E7F" w:rsidP="0071408A">
            <w:pPr>
              <w:rPr>
                <w:rFonts w:ascii="Arial" w:eastAsia="Calibri" w:hAnsi="Arial" w:cs="Arial"/>
                <w:sz w:val="22"/>
                <w:szCs w:val="22"/>
                <w:lang w:eastAsia="en-US"/>
              </w:rPr>
            </w:pPr>
            <w:r>
              <w:rPr>
                <w:rFonts w:ascii="Arial" w:eastAsia="Calibri" w:hAnsi="Arial" w:cs="Arial"/>
                <w:sz w:val="22"/>
                <w:szCs w:val="22"/>
                <w:lang w:eastAsia="en-US"/>
              </w:rPr>
              <w:lastRenderedPageBreak/>
              <w:t xml:space="preserve">We currently have 1 </w:t>
            </w:r>
            <w:r w:rsidR="0071408A">
              <w:rPr>
                <w:rFonts w:ascii="Arial" w:eastAsia="Calibri" w:hAnsi="Arial" w:cs="Arial"/>
                <w:sz w:val="22"/>
                <w:szCs w:val="22"/>
                <w:lang w:eastAsia="en-US"/>
              </w:rPr>
              <w:t xml:space="preserve">person that is </w:t>
            </w:r>
            <w:r w:rsidRPr="00E55E7F">
              <w:rPr>
                <w:rFonts w:ascii="Arial" w:eastAsia="Calibri" w:hAnsi="Arial" w:cs="Arial"/>
                <w:sz w:val="22"/>
                <w:szCs w:val="22"/>
                <w:lang w:eastAsia="en-US"/>
              </w:rPr>
              <w:t>in a treatment and assessment unit</w:t>
            </w:r>
            <w:r w:rsidR="0071408A">
              <w:rPr>
                <w:rFonts w:ascii="Arial" w:eastAsia="Calibri" w:hAnsi="Arial" w:cs="Arial"/>
                <w:sz w:val="22"/>
                <w:szCs w:val="22"/>
                <w:lang w:eastAsia="en-US"/>
              </w:rPr>
              <w:t xml:space="preserve">. The person </w:t>
            </w:r>
            <w:r w:rsidR="00BF300A">
              <w:rPr>
                <w:rFonts w:ascii="Arial" w:eastAsia="Calibri" w:hAnsi="Arial" w:cs="Arial"/>
                <w:sz w:val="22"/>
                <w:szCs w:val="22"/>
                <w:lang w:eastAsia="en-US"/>
              </w:rPr>
              <w:t xml:space="preserve">has </w:t>
            </w:r>
            <w:r w:rsidR="000115E6">
              <w:rPr>
                <w:rFonts w:ascii="Arial" w:eastAsia="Calibri" w:hAnsi="Arial" w:cs="Arial"/>
                <w:sz w:val="22"/>
                <w:szCs w:val="22"/>
                <w:lang w:eastAsia="en-US"/>
              </w:rPr>
              <w:t xml:space="preserve">a case manager and will follow due process, with </w:t>
            </w:r>
            <w:r w:rsidR="0071408A">
              <w:rPr>
                <w:rFonts w:ascii="Arial" w:eastAsia="Calibri" w:hAnsi="Arial" w:cs="Arial"/>
                <w:sz w:val="22"/>
                <w:szCs w:val="22"/>
                <w:lang w:eastAsia="en-US"/>
              </w:rPr>
              <w:t xml:space="preserve">a </w:t>
            </w:r>
            <w:r w:rsidR="0071408A" w:rsidRPr="00E55E7F">
              <w:rPr>
                <w:rFonts w:ascii="Arial" w:eastAsia="Calibri" w:hAnsi="Arial" w:cs="Arial"/>
                <w:sz w:val="22"/>
                <w:szCs w:val="22"/>
                <w:lang w:eastAsia="en-US"/>
              </w:rPr>
              <w:t>clear action plan</w:t>
            </w:r>
            <w:r w:rsidR="0071408A">
              <w:rPr>
                <w:rFonts w:ascii="Arial" w:eastAsia="Calibri" w:hAnsi="Arial" w:cs="Arial"/>
                <w:sz w:val="22"/>
                <w:szCs w:val="22"/>
                <w:lang w:eastAsia="en-US"/>
              </w:rPr>
              <w:t xml:space="preserve"> in place</w:t>
            </w:r>
            <w:r w:rsidR="0071408A" w:rsidRPr="00E55E7F">
              <w:rPr>
                <w:rFonts w:ascii="Arial" w:eastAsia="Calibri" w:hAnsi="Arial" w:cs="Arial"/>
                <w:sz w:val="22"/>
                <w:szCs w:val="22"/>
                <w:lang w:eastAsia="en-US"/>
              </w:rPr>
              <w:t xml:space="preserve"> for discharge</w:t>
            </w:r>
            <w:r w:rsidR="0071408A">
              <w:rPr>
                <w:rFonts w:ascii="Arial" w:eastAsia="Calibri" w:hAnsi="Arial" w:cs="Arial"/>
                <w:sz w:val="22"/>
                <w:szCs w:val="22"/>
                <w:lang w:eastAsia="en-US"/>
              </w:rPr>
              <w:t xml:space="preserve">. </w:t>
            </w:r>
            <w:r w:rsidR="000115E6">
              <w:rPr>
                <w:rFonts w:ascii="Arial" w:eastAsia="Calibri" w:hAnsi="Arial" w:cs="Arial"/>
                <w:sz w:val="22"/>
                <w:szCs w:val="22"/>
                <w:lang w:eastAsia="en-US"/>
              </w:rPr>
              <w:t xml:space="preserve"> </w:t>
            </w:r>
            <w:r w:rsidR="0071408A" w:rsidRPr="00E55E7F">
              <w:rPr>
                <w:rFonts w:ascii="Arial" w:eastAsia="Calibri" w:hAnsi="Arial" w:cs="Arial"/>
                <w:sz w:val="22"/>
                <w:szCs w:val="22"/>
                <w:lang w:eastAsia="en-US"/>
              </w:rPr>
              <w:t xml:space="preserve"> </w:t>
            </w:r>
            <w:r w:rsidR="0071408A">
              <w:rPr>
                <w:rFonts w:ascii="Arial" w:eastAsia="Calibri" w:hAnsi="Arial" w:cs="Arial"/>
                <w:sz w:val="22"/>
                <w:szCs w:val="22"/>
                <w:lang w:eastAsia="en-US"/>
              </w:rPr>
              <w:t xml:space="preserve"> </w:t>
            </w:r>
          </w:p>
          <w:p w:rsidR="00E55E7F" w:rsidRDefault="00E55E7F" w:rsidP="00DA5437">
            <w:pPr>
              <w:spacing w:line="276" w:lineRule="auto"/>
              <w:jc w:val="both"/>
              <w:rPr>
                <w:rFonts w:ascii="Arial" w:eastAsia="Calibri" w:hAnsi="Arial" w:cs="Arial"/>
                <w:sz w:val="22"/>
                <w:szCs w:val="22"/>
                <w:lang w:eastAsia="en-US"/>
              </w:rPr>
            </w:pPr>
          </w:p>
          <w:p w:rsidR="0058164C" w:rsidRDefault="0058164C" w:rsidP="00DA5437">
            <w:pPr>
              <w:spacing w:line="276" w:lineRule="auto"/>
              <w:jc w:val="both"/>
              <w:rPr>
                <w:rFonts w:ascii="Arial" w:eastAsia="Calibri" w:hAnsi="Arial" w:cs="Arial"/>
                <w:sz w:val="22"/>
                <w:szCs w:val="22"/>
                <w:lang w:eastAsia="en-US"/>
              </w:rPr>
            </w:pPr>
          </w:p>
          <w:p w:rsidR="00CB1B56" w:rsidRPr="005A507A" w:rsidRDefault="00DA5437" w:rsidP="005A507A">
            <w:pPr>
              <w:pStyle w:val="ListParagraph"/>
              <w:numPr>
                <w:ilvl w:val="0"/>
                <w:numId w:val="39"/>
              </w:numPr>
              <w:spacing w:line="276" w:lineRule="auto"/>
              <w:jc w:val="both"/>
              <w:rPr>
                <w:rFonts w:ascii="Arial" w:hAnsi="Arial" w:cs="Arial"/>
                <w:b/>
                <w:bCs/>
                <w:sz w:val="22"/>
                <w:szCs w:val="22"/>
                <w:u w:val="single"/>
              </w:rPr>
            </w:pPr>
            <w:r w:rsidRPr="005A507A">
              <w:rPr>
                <w:rFonts w:ascii="Arial" w:hAnsi="Arial" w:cs="Arial"/>
                <w:b/>
                <w:bCs/>
                <w:sz w:val="22"/>
                <w:szCs w:val="22"/>
                <w:u w:val="single"/>
              </w:rPr>
              <w:t xml:space="preserve"> </w:t>
            </w:r>
            <w:r w:rsidR="008032FA" w:rsidRPr="005A507A">
              <w:rPr>
                <w:rFonts w:ascii="Arial" w:hAnsi="Arial" w:cs="Arial"/>
                <w:b/>
                <w:bCs/>
                <w:sz w:val="22"/>
                <w:szCs w:val="22"/>
                <w:u w:val="single"/>
              </w:rPr>
              <w:t xml:space="preserve">Patient </w:t>
            </w:r>
            <w:r w:rsidR="001555E0" w:rsidRPr="005A507A">
              <w:rPr>
                <w:rFonts w:ascii="Arial" w:hAnsi="Arial" w:cs="Arial"/>
                <w:b/>
                <w:bCs/>
                <w:sz w:val="22"/>
                <w:szCs w:val="22"/>
                <w:u w:val="single"/>
              </w:rPr>
              <w:t xml:space="preserve">and Client </w:t>
            </w:r>
            <w:r w:rsidR="008032FA" w:rsidRPr="005A507A">
              <w:rPr>
                <w:rFonts w:ascii="Arial" w:hAnsi="Arial" w:cs="Arial"/>
                <w:b/>
                <w:bCs/>
                <w:sz w:val="22"/>
                <w:szCs w:val="22"/>
                <w:u w:val="single"/>
              </w:rPr>
              <w:t>Safety</w:t>
            </w:r>
          </w:p>
          <w:p w:rsidR="002B4829" w:rsidRPr="007B57A3" w:rsidRDefault="002B4829" w:rsidP="00DA5437">
            <w:pPr>
              <w:spacing w:line="276" w:lineRule="auto"/>
              <w:jc w:val="both"/>
              <w:rPr>
                <w:rFonts w:ascii="Arial" w:hAnsi="Arial" w:cs="Arial"/>
                <w:bCs/>
                <w:color w:val="FF0000"/>
                <w:sz w:val="22"/>
                <w:szCs w:val="22"/>
              </w:rPr>
            </w:pPr>
          </w:p>
          <w:p w:rsidR="005A507A" w:rsidRDefault="005A507A" w:rsidP="005A507A">
            <w:pPr>
              <w:spacing w:line="276" w:lineRule="auto"/>
              <w:jc w:val="both"/>
            </w:pPr>
            <w:r>
              <w:rPr>
                <w:rFonts w:ascii="Arial" w:hAnsi="Arial" w:cs="Arial"/>
                <w:b/>
                <w:bCs/>
                <w:sz w:val="22"/>
                <w:szCs w:val="22"/>
              </w:rPr>
              <w:t xml:space="preserve">A.  </w:t>
            </w:r>
            <w:r w:rsidR="000F5290" w:rsidRPr="005A507A">
              <w:rPr>
                <w:rFonts w:ascii="Arial" w:hAnsi="Arial" w:cs="Arial"/>
                <w:b/>
                <w:bCs/>
                <w:sz w:val="22"/>
                <w:szCs w:val="22"/>
              </w:rPr>
              <w:t>Safeguarding.</w:t>
            </w:r>
            <w:r>
              <w:t xml:space="preserve"> </w:t>
            </w:r>
          </w:p>
          <w:p w:rsidR="0006383A" w:rsidRDefault="0006383A" w:rsidP="005A507A">
            <w:pPr>
              <w:spacing w:line="276" w:lineRule="auto"/>
              <w:jc w:val="both"/>
              <w:rPr>
                <w:rFonts w:ascii="Arial" w:hAnsi="Arial" w:cs="Arial"/>
                <w:bCs/>
                <w:sz w:val="22"/>
                <w:szCs w:val="22"/>
              </w:rPr>
            </w:pPr>
          </w:p>
          <w:p w:rsidR="0006383A" w:rsidRPr="0006383A" w:rsidRDefault="005A507A" w:rsidP="005A507A">
            <w:pPr>
              <w:spacing w:line="276" w:lineRule="auto"/>
              <w:jc w:val="both"/>
              <w:rPr>
                <w:rFonts w:ascii="Arial" w:hAnsi="Arial" w:cs="Arial"/>
                <w:bCs/>
                <w:sz w:val="22"/>
                <w:szCs w:val="22"/>
              </w:rPr>
            </w:pPr>
            <w:r w:rsidRPr="0006383A">
              <w:rPr>
                <w:rFonts w:ascii="Arial" w:hAnsi="Arial" w:cs="Arial"/>
                <w:bCs/>
                <w:sz w:val="22"/>
                <w:szCs w:val="22"/>
              </w:rPr>
              <w:t xml:space="preserve">The </w:t>
            </w:r>
            <w:r w:rsidR="00C3745F">
              <w:rPr>
                <w:rFonts w:ascii="Arial" w:hAnsi="Arial" w:cs="Arial"/>
                <w:bCs/>
                <w:sz w:val="22"/>
                <w:szCs w:val="22"/>
              </w:rPr>
              <w:t xml:space="preserve">role of </w:t>
            </w:r>
            <w:r w:rsidRPr="0006383A">
              <w:rPr>
                <w:rFonts w:ascii="Arial" w:hAnsi="Arial" w:cs="Arial"/>
                <w:bCs/>
                <w:sz w:val="22"/>
                <w:szCs w:val="22"/>
              </w:rPr>
              <w:t>Designated</w:t>
            </w:r>
            <w:r w:rsidR="00C3745F">
              <w:rPr>
                <w:rFonts w:ascii="Arial" w:hAnsi="Arial" w:cs="Arial"/>
                <w:bCs/>
                <w:sz w:val="22"/>
                <w:szCs w:val="22"/>
              </w:rPr>
              <w:t xml:space="preserve"> Adult Safeguarding Manager</w:t>
            </w:r>
            <w:r w:rsidRPr="0006383A">
              <w:rPr>
                <w:rFonts w:ascii="Arial" w:hAnsi="Arial" w:cs="Arial"/>
                <w:bCs/>
                <w:sz w:val="22"/>
                <w:szCs w:val="22"/>
              </w:rPr>
              <w:t xml:space="preserve"> (DASM) </w:t>
            </w:r>
            <w:r w:rsidR="00A00AB3">
              <w:rPr>
                <w:rFonts w:ascii="Arial" w:hAnsi="Arial" w:cs="Arial"/>
                <w:bCs/>
                <w:sz w:val="22"/>
                <w:szCs w:val="22"/>
              </w:rPr>
              <w:t xml:space="preserve">has </w:t>
            </w:r>
            <w:r w:rsidRPr="0006383A">
              <w:rPr>
                <w:rFonts w:ascii="Arial" w:hAnsi="Arial" w:cs="Arial"/>
                <w:bCs/>
                <w:sz w:val="22"/>
                <w:szCs w:val="22"/>
              </w:rPr>
              <w:t>been removed</w:t>
            </w:r>
            <w:r w:rsidR="0006383A">
              <w:rPr>
                <w:rFonts w:ascii="Arial" w:hAnsi="Arial" w:cs="Arial"/>
                <w:bCs/>
                <w:sz w:val="22"/>
                <w:szCs w:val="22"/>
              </w:rPr>
              <w:t xml:space="preserve"> nationally </w:t>
            </w:r>
            <w:r w:rsidR="00A00AB3">
              <w:rPr>
                <w:rFonts w:ascii="Arial" w:hAnsi="Arial" w:cs="Arial"/>
                <w:bCs/>
                <w:sz w:val="22"/>
                <w:szCs w:val="22"/>
              </w:rPr>
              <w:t xml:space="preserve">as a statutory </w:t>
            </w:r>
            <w:r w:rsidRPr="0006383A">
              <w:rPr>
                <w:rFonts w:ascii="Arial" w:hAnsi="Arial" w:cs="Arial"/>
                <w:bCs/>
                <w:sz w:val="22"/>
                <w:szCs w:val="22"/>
              </w:rPr>
              <w:t>role</w:t>
            </w:r>
            <w:r w:rsidR="0006383A" w:rsidRPr="0006383A">
              <w:rPr>
                <w:rFonts w:ascii="Arial" w:hAnsi="Arial" w:cs="Arial"/>
                <w:bCs/>
                <w:sz w:val="22"/>
                <w:szCs w:val="22"/>
              </w:rPr>
              <w:t xml:space="preserve">, when the revised </w:t>
            </w:r>
            <w:r w:rsidRPr="0006383A">
              <w:rPr>
                <w:rFonts w:ascii="Arial" w:hAnsi="Arial" w:cs="Arial"/>
                <w:bCs/>
                <w:sz w:val="22"/>
                <w:szCs w:val="22"/>
              </w:rPr>
              <w:t xml:space="preserve">Care Act </w:t>
            </w:r>
            <w:r w:rsidR="0006383A" w:rsidRPr="0006383A">
              <w:rPr>
                <w:rFonts w:ascii="Arial" w:hAnsi="Arial" w:cs="Arial"/>
                <w:bCs/>
                <w:sz w:val="22"/>
                <w:szCs w:val="22"/>
              </w:rPr>
              <w:t xml:space="preserve">guidance </w:t>
            </w:r>
            <w:r w:rsidR="00A00AB3">
              <w:rPr>
                <w:rFonts w:ascii="Arial" w:hAnsi="Arial" w:cs="Arial"/>
                <w:bCs/>
                <w:sz w:val="22"/>
                <w:szCs w:val="22"/>
              </w:rPr>
              <w:t>was</w:t>
            </w:r>
            <w:r w:rsidR="0006383A" w:rsidRPr="0006383A">
              <w:rPr>
                <w:rFonts w:ascii="Arial" w:hAnsi="Arial" w:cs="Arial"/>
                <w:bCs/>
                <w:sz w:val="22"/>
                <w:szCs w:val="22"/>
              </w:rPr>
              <w:t xml:space="preserve"> published.</w:t>
            </w:r>
            <w:r w:rsidRPr="0006383A">
              <w:rPr>
                <w:rFonts w:ascii="Arial" w:hAnsi="Arial" w:cs="Arial"/>
                <w:bCs/>
                <w:sz w:val="22"/>
                <w:szCs w:val="22"/>
              </w:rPr>
              <w:t xml:space="preserve"> </w:t>
            </w:r>
            <w:r w:rsidR="0006383A" w:rsidRPr="0006383A">
              <w:rPr>
                <w:rFonts w:ascii="Arial" w:hAnsi="Arial" w:cs="Arial"/>
                <w:bCs/>
                <w:sz w:val="22"/>
                <w:szCs w:val="22"/>
              </w:rPr>
              <w:t xml:space="preserve">The Care Act (2014) </w:t>
            </w:r>
            <w:r w:rsidRPr="0006383A">
              <w:rPr>
                <w:rFonts w:ascii="Arial" w:hAnsi="Arial" w:cs="Arial"/>
                <w:bCs/>
                <w:sz w:val="22"/>
                <w:szCs w:val="22"/>
              </w:rPr>
              <w:t xml:space="preserve">previously </w:t>
            </w:r>
            <w:r w:rsidR="00A00AB3">
              <w:rPr>
                <w:rFonts w:ascii="Arial" w:hAnsi="Arial" w:cs="Arial"/>
                <w:bCs/>
                <w:sz w:val="22"/>
                <w:szCs w:val="22"/>
              </w:rPr>
              <w:t>required</w:t>
            </w:r>
            <w:r w:rsidRPr="0006383A">
              <w:rPr>
                <w:rFonts w:ascii="Arial" w:hAnsi="Arial" w:cs="Arial"/>
                <w:bCs/>
                <w:sz w:val="22"/>
                <w:szCs w:val="22"/>
              </w:rPr>
              <w:t xml:space="preserve"> all localities to appoint a DASM</w:t>
            </w:r>
            <w:r w:rsidR="0006383A" w:rsidRPr="0006383A">
              <w:rPr>
                <w:rFonts w:ascii="Arial" w:hAnsi="Arial" w:cs="Arial"/>
                <w:bCs/>
                <w:sz w:val="22"/>
                <w:szCs w:val="22"/>
              </w:rPr>
              <w:t xml:space="preserve">, however, following consultation, the </w:t>
            </w:r>
            <w:r w:rsidR="00A00AB3">
              <w:rPr>
                <w:rFonts w:ascii="Arial" w:hAnsi="Arial" w:cs="Arial"/>
                <w:bCs/>
                <w:sz w:val="22"/>
                <w:szCs w:val="22"/>
              </w:rPr>
              <w:t>government felt</w:t>
            </w:r>
            <w:r w:rsidR="0006383A" w:rsidRPr="0006383A">
              <w:rPr>
                <w:rFonts w:ascii="Arial" w:hAnsi="Arial" w:cs="Arial"/>
                <w:bCs/>
                <w:sz w:val="22"/>
                <w:szCs w:val="22"/>
              </w:rPr>
              <w:t xml:space="preserve"> that this would be a duplication of other existing roles. </w:t>
            </w:r>
            <w:r w:rsidRPr="0006383A">
              <w:rPr>
                <w:rFonts w:ascii="Arial" w:hAnsi="Arial" w:cs="Arial"/>
                <w:bCs/>
                <w:sz w:val="22"/>
                <w:szCs w:val="22"/>
              </w:rPr>
              <w:t xml:space="preserve">  </w:t>
            </w:r>
          </w:p>
          <w:p w:rsidR="00A00AB3" w:rsidRDefault="00A00AB3" w:rsidP="005A507A">
            <w:pPr>
              <w:spacing w:line="276" w:lineRule="auto"/>
              <w:jc w:val="both"/>
              <w:rPr>
                <w:rFonts w:ascii="Arial" w:hAnsi="Arial" w:cs="Arial"/>
                <w:bCs/>
                <w:sz w:val="22"/>
                <w:szCs w:val="22"/>
              </w:rPr>
            </w:pPr>
          </w:p>
          <w:p w:rsidR="0006383A" w:rsidRPr="0006383A" w:rsidRDefault="0006383A" w:rsidP="005A507A">
            <w:pPr>
              <w:spacing w:line="276" w:lineRule="auto"/>
              <w:jc w:val="both"/>
              <w:rPr>
                <w:rFonts w:ascii="Arial" w:hAnsi="Arial" w:cs="Arial"/>
                <w:bCs/>
                <w:sz w:val="22"/>
                <w:szCs w:val="22"/>
              </w:rPr>
            </w:pPr>
            <w:r w:rsidRPr="0006383A">
              <w:rPr>
                <w:rFonts w:ascii="Arial" w:hAnsi="Arial" w:cs="Arial"/>
                <w:bCs/>
                <w:sz w:val="22"/>
                <w:szCs w:val="22"/>
              </w:rPr>
              <w:t xml:space="preserve">The </w:t>
            </w:r>
            <w:r w:rsidR="005A507A" w:rsidRPr="0006383A">
              <w:rPr>
                <w:rFonts w:ascii="Arial" w:hAnsi="Arial" w:cs="Arial"/>
                <w:bCs/>
                <w:sz w:val="22"/>
                <w:szCs w:val="22"/>
              </w:rPr>
              <w:t xml:space="preserve">Safeguarding </w:t>
            </w:r>
            <w:proofErr w:type="gramStart"/>
            <w:r w:rsidR="005A507A" w:rsidRPr="0006383A">
              <w:rPr>
                <w:rFonts w:ascii="Arial" w:hAnsi="Arial" w:cs="Arial"/>
                <w:bCs/>
                <w:sz w:val="22"/>
                <w:szCs w:val="22"/>
              </w:rPr>
              <w:t>adults</w:t>
            </w:r>
            <w:proofErr w:type="gramEnd"/>
            <w:r w:rsidR="005A507A" w:rsidRPr="0006383A">
              <w:rPr>
                <w:rFonts w:ascii="Arial" w:hAnsi="Arial" w:cs="Arial"/>
                <w:bCs/>
                <w:sz w:val="22"/>
                <w:szCs w:val="22"/>
              </w:rPr>
              <w:t xml:space="preserve"> board</w:t>
            </w:r>
            <w:r w:rsidRPr="0006383A">
              <w:rPr>
                <w:rFonts w:ascii="Arial" w:hAnsi="Arial" w:cs="Arial"/>
                <w:bCs/>
                <w:sz w:val="22"/>
                <w:szCs w:val="22"/>
              </w:rPr>
              <w:t xml:space="preserve"> is currently without a Chair and discussions are underway to decide a way forward that would make best use of the overarching budget for safeguarding adults and children, with a focus on closer working between the 2 boards and their subgroups. </w:t>
            </w:r>
          </w:p>
          <w:p w:rsidR="00E55E7F" w:rsidRPr="007B57A3" w:rsidRDefault="00E55E7F" w:rsidP="006558BC">
            <w:pPr>
              <w:spacing w:line="276" w:lineRule="auto"/>
              <w:jc w:val="both"/>
              <w:rPr>
                <w:rFonts w:ascii="Arial" w:hAnsi="Arial" w:cs="Arial"/>
                <w:bCs/>
                <w:sz w:val="22"/>
                <w:szCs w:val="22"/>
              </w:rPr>
            </w:pPr>
          </w:p>
          <w:p w:rsidR="006558BC" w:rsidRPr="007B57A3" w:rsidRDefault="00361929" w:rsidP="006558BC">
            <w:pPr>
              <w:spacing w:line="276" w:lineRule="auto"/>
              <w:jc w:val="both"/>
              <w:rPr>
                <w:rFonts w:ascii="Arial" w:hAnsi="Arial" w:cs="Arial"/>
                <w:b/>
                <w:bCs/>
                <w:sz w:val="22"/>
                <w:szCs w:val="22"/>
              </w:rPr>
            </w:pPr>
            <w:r w:rsidRPr="007B57A3">
              <w:rPr>
                <w:rFonts w:ascii="Arial" w:hAnsi="Arial" w:cs="Arial"/>
                <w:b/>
                <w:bCs/>
                <w:sz w:val="22"/>
                <w:szCs w:val="22"/>
              </w:rPr>
              <w:t xml:space="preserve">B. </w:t>
            </w:r>
            <w:r w:rsidR="006558BC" w:rsidRPr="007B57A3">
              <w:rPr>
                <w:rFonts w:ascii="Arial" w:hAnsi="Arial" w:cs="Arial"/>
                <w:b/>
                <w:bCs/>
                <w:sz w:val="22"/>
                <w:szCs w:val="22"/>
              </w:rPr>
              <w:t xml:space="preserve"> Infection Control </w:t>
            </w:r>
          </w:p>
          <w:p w:rsidR="00486F47" w:rsidRPr="00486F47" w:rsidRDefault="00486F47" w:rsidP="00486F47">
            <w:pPr>
              <w:spacing w:line="276" w:lineRule="auto"/>
              <w:jc w:val="both"/>
              <w:rPr>
                <w:rFonts w:ascii="Arial" w:hAnsi="Arial" w:cs="Arial"/>
                <w:bCs/>
                <w:color w:val="FF0000"/>
                <w:sz w:val="22"/>
                <w:szCs w:val="22"/>
              </w:rPr>
            </w:pPr>
          </w:p>
          <w:p w:rsidR="00486F47" w:rsidRPr="00AD5328" w:rsidRDefault="00486F47" w:rsidP="00486F47">
            <w:pPr>
              <w:spacing w:line="276" w:lineRule="auto"/>
              <w:jc w:val="both"/>
              <w:rPr>
                <w:rFonts w:ascii="Arial" w:hAnsi="Arial" w:cs="Arial"/>
                <w:bCs/>
                <w:sz w:val="22"/>
                <w:szCs w:val="22"/>
              </w:rPr>
            </w:pPr>
            <w:r w:rsidRPr="00AD5328">
              <w:rPr>
                <w:rFonts w:ascii="Arial" w:hAnsi="Arial" w:cs="Arial"/>
                <w:bCs/>
                <w:sz w:val="22"/>
                <w:szCs w:val="22"/>
              </w:rPr>
              <w:t xml:space="preserve">C </w:t>
            </w:r>
            <w:proofErr w:type="spellStart"/>
            <w:r w:rsidRPr="00AD5328">
              <w:rPr>
                <w:rFonts w:ascii="Arial" w:hAnsi="Arial" w:cs="Arial"/>
                <w:bCs/>
                <w:sz w:val="22"/>
                <w:szCs w:val="22"/>
              </w:rPr>
              <w:t>Difficile</w:t>
            </w:r>
            <w:proofErr w:type="spellEnd"/>
            <w:r w:rsidR="00AD5328">
              <w:rPr>
                <w:rFonts w:ascii="Arial" w:hAnsi="Arial" w:cs="Arial"/>
                <w:bCs/>
                <w:sz w:val="22"/>
                <w:szCs w:val="22"/>
              </w:rPr>
              <w:t>.</w:t>
            </w:r>
          </w:p>
          <w:p w:rsidR="00486F47" w:rsidRPr="00AD5328" w:rsidRDefault="00486F47" w:rsidP="00486F47">
            <w:pPr>
              <w:spacing w:line="276" w:lineRule="auto"/>
              <w:jc w:val="both"/>
              <w:rPr>
                <w:rFonts w:ascii="Arial" w:hAnsi="Arial" w:cs="Arial"/>
                <w:bCs/>
                <w:sz w:val="22"/>
                <w:szCs w:val="22"/>
              </w:rPr>
            </w:pPr>
          </w:p>
          <w:p w:rsidR="00486F47" w:rsidRPr="00AD5328" w:rsidRDefault="00486F47" w:rsidP="00486F47">
            <w:pPr>
              <w:spacing w:line="276" w:lineRule="auto"/>
              <w:jc w:val="both"/>
              <w:rPr>
                <w:rFonts w:ascii="Arial" w:hAnsi="Arial" w:cs="Arial"/>
                <w:bCs/>
                <w:sz w:val="22"/>
                <w:szCs w:val="22"/>
              </w:rPr>
            </w:pPr>
            <w:r w:rsidRPr="00AD5328">
              <w:rPr>
                <w:rFonts w:ascii="Arial" w:hAnsi="Arial" w:cs="Arial"/>
                <w:bCs/>
                <w:sz w:val="22"/>
                <w:szCs w:val="22"/>
              </w:rPr>
              <w:t>A total of 16 cases have occurred in the period April to September 2015/16 against the annual 2015/16 target of 35, on current trend the forecast position would be 32. Of the 16 cases, 10 were Community acquired infections and the other 6 were Acute.</w:t>
            </w:r>
          </w:p>
          <w:p w:rsidR="00486F47" w:rsidRPr="00AD5328" w:rsidRDefault="00486F47" w:rsidP="00486F47">
            <w:pPr>
              <w:spacing w:line="276" w:lineRule="auto"/>
              <w:jc w:val="both"/>
              <w:rPr>
                <w:rFonts w:ascii="Arial" w:hAnsi="Arial" w:cs="Arial"/>
                <w:bCs/>
                <w:sz w:val="22"/>
                <w:szCs w:val="22"/>
              </w:rPr>
            </w:pPr>
          </w:p>
          <w:p w:rsidR="00486F47" w:rsidRPr="00AD5328" w:rsidRDefault="00486F47" w:rsidP="00486F47">
            <w:pPr>
              <w:spacing w:line="276" w:lineRule="auto"/>
              <w:jc w:val="both"/>
              <w:rPr>
                <w:rFonts w:ascii="Arial" w:hAnsi="Arial" w:cs="Arial"/>
                <w:bCs/>
                <w:sz w:val="22"/>
                <w:szCs w:val="22"/>
              </w:rPr>
            </w:pPr>
            <w:r w:rsidRPr="00AD5328">
              <w:rPr>
                <w:rFonts w:ascii="Arial" w:hAnsi="Arial" w:cs="Arial"/>
                <w:bCs/>
                <w:sz w:val="22"/>
                <w:szCs w:val="22"/>
              </w:rPr>
              <w:t xml:space="preserve">Systems across both primary and secondary care are in place to undertake post infection reviews of all C Diff cases.  C Diff cases are reviewed at the NEL CCG Quality Committee as a standing agenda item. We are continuing to monitor NL&amp;G action plans and Infection Control Policies in the Quality Contracting Committee and </w:t>
            </w:r>
            <w:proofErr w:type="spellStart"/>
            <w:r w:rsidRPr="00AD5328">
              <w:rPr>
                <w:rFonts w:ascii="Arial" w:hAnsi="Arial" w:cs="Arial"/>
                <w:bCs/>
                <w:sz w:val="22"/>
                <w:szCs w:val="22"/>
              </w:rPr>
              <w:t>Yorks</w:t>
            </w:r>
            <w:proofErr w:type="spellEnd"/>
            <w:r w:rsidRPr="00AD5328">
              <w:rPr>
                <w:rFonts w:ascii="Arial" w:hAnsi="Arial" w:cs="Arial"/>
                <w:bCs/>
                <w:sz w:val="22"/>
                <w:szCs w:val="22"/>
              </w:rPr>
              <w:t xml:space="preserve"> and Humber Hospital Acquired Infection Strategy Group </w:t>
            </w:r>
          </w:p>
          <w:p w:rsidR="00486F47" w:rsidRPr="00AD5328" w:rsidRDefault="00486F47" w:rsidP="00486F47">
            <w:pPr>
              <w:spacing w:line="276" w:lineRule="auto"/>
              <w:jc w:val="both"/>
              <w:rPr>
                <w:rFonts w:ascii="Arial" w:hAnsi="Arial" w:cs="Arial"/>
                <w:bCs/>
                <w:sz w:val="22"/>
                <w:szCs w:val="22"/>
              </w:rPr>
            </w:pPr>
          </w:p>
          <w:p w:rsidR="00486F47" w:rsidRPr="00AD5328" w:rsidRDefault="00486F47" w:rsidP="00486F47">
            <w:pPr>
              <w:spacing w:line="276" w:lineRule="auto"/>
              <w:jc w:val="both"/>
              <w:rPr>
                <w:rFonts w:ascii="Arial" w:hAnsi="Arial" w:cs="Arial"/>
                <w:bCs/>
                <w:sz w:val="22"/>
                <w:szCs w:val="22"/>
              </w:rPr>
            </w:pPr>
            <w:r w:rsidRPr="00AD5328">
              <w:rPr>
                <w:rFonts w:ascii="Arial" w:hAnsi="Arial" w:cs="Arial"/>
                <w:bCs/>
                <w:sz w:val="22"/>
                <w:szCs w:val="22"/>
              </w:rPr>
              <w:t>MRSA</w:t>
            </w:r>
          </w:p>
          <w:p w:rsidR="00486F47" w:rsidRPr="00AD5328" w:rsidRDefault="00486F47" w:rsidP="00486F47">
            <w:pPr>
              <w:spacing w:line="276" w:lineRule="auto"/>
              <w:jc w:val="both"/>
              <w:rPr>
                <w:rFonts w:ascii="Arial" w:hAnsi="Arial" w:cs="Arial"/>
                <w:bCs/>
                <w:sz w:val="22"/>
                <w:szCs w:val="22"/>
              </w:rPr>
            </w:pPr>
          </w:p>
          <w:p w:rsidR="001C0128" w:rsidRPr="00AD5328" w:rsidRDefault="00486F47" w:rsidP="00486F47">
            <w:pPr>
              <w:spacing w:line="276" w:lineRule="auto"/>
              <w:jc w:val="both"/>
              <w:rPr>
                <w:rFonts w:ascii="Arial" w:hAnsi="Arial" w:cs="Arial"/>
                <w:bCs/>
                <w:sz w:val="22"/>
                <w:szCs w:val="22"/>
              </w:rPr>
            </w:pPr>
            <w:r w:rsidRPr="00AD5328">
              <w:rPr>
                <w:rFonts w:ascii="Arial" w:hAnsi="Arial" w:cs="Arial"/>
                <w:bCs/>
                <w:sz w:val="22"/>
                <w:szCs w:val="22"/>
              </w:rPr>
              <w:t>We have 2 cases of MRSA in 2015/16, this measure has a zero tolerance as the target</w:t>
            </w:r>
            <w:r w:rsidRPr="00AD5328">
              <w:rPr>
                <w:rFonts w:ascii="Arial" w:hAnsi="Arial" w:cs="Arial"/>
                <w:sz w:val="22"/>
                <w:szCs w:val="22"/>
              </w:rPr>
              <w:t xml:space="preserve"> and as such the 2015/16 target will not be achieved. </w:t>
            </w:r>
            <w:r w:rsidRPr="00AD5328">
              <w:rPr>
                <w:rFonts w:ascii="Arial" w:hAnsi="Arial" w:cs="Arial"/>
                <w:bCs/>
                <w:sz w:val="22"/>
                <w:szCs w:val="22"/>
              </w:rPr>
              <w:t xml:space="preserve">Post Infection Reviews (PIR) </w:t>
            </w:r>
            <w:proofErr w:type="gramStart"/>
            <w:r w:rsidRPr="00AD5328">
              <w:rPr>
                <w:rFonts w:ascii="Arial" w:hAnsi="Arial" w:cs="Arial"/>
                <w:bCs/>
                <w:sz w:val="22"/>
                <w:szCs w:val="22"/>
              </w:rPr>
              <w:t>were</w:t>
            </w:r>
            <w:proofErr w:type="gramEnd"/>
            <w:r w:rsidRPr="00AD5328">
              <w:rPr>
                <w:rFonts w:ascii="Arial" w:hAnsi="Arial" w:cs="Arial"/>
                <w:bCs/>
                <w:sz w:val="22"/>
                <w:szCs w:val="22"/>
              </w:rPr>
              <w:t xml:space="preserve"> undertaken as per guidelines and results sent to NHS England. It was deemed that all procedures were handled correctly.  Action plans are formulated for all cases and are monitored.</w:t>
            </w:r>
          </w:p>
          <w:p w:rsidR="00815FA9" w:rsidRPr="007B57A3" w:rsidRDefault="00815FA9" w:rsidP="00815FA9">
            <w:pPr>
              <w:rPr>
                <w:rFonts w:ascii="Arial" w:hAnsi="Arial" w:cs="Arial"/>
                <w:b/>
                <w:bCs/>
                <w:sz w:val="22"/>
                <w:szCs w:val="22"/>
              </w:rPr>
            </w:pPr>
          </w:p>
          <w:p w:rsidR="00B37AF2" w:rsidRPr="007B57A3" w:rsidRDefault="00361929" w:rsidP="00DA5437">
            <w:pPr>
              <w:spacing w:line="276" w:lineRule="auto"/>
              <w:jc w:val="both"/>
              <w:rPr>
                <w:rFonts w:ascii="Arial" w:hAnsi="Arial" w:cs="Arial"/>
                <w:b/>
                <w:bCs/>
                <w:sz w:val="22"/>
                <w:szCs w:val="22"/>
              </w:rPr>
            </w:pPr>
            <w:r w:rsidRPr="007B57A3">
              <w:rPr>
                <w:rFonts w:ascii="Arial" w:hAnsi="Arial" w:cs="Arial"/>
                <w:b/>
                <w:bCs/>
                <w:sz w:val="22"/>
                <w:szCs w:val="22"/>
              </w:rPr>
              <w:t xml:space="preserve">C. </w:t>
            </w:r>
            <w:r w:rsidR="00DA5437" w:rsidRPr="007B57A3">
              <w:rPr>
                <w:rFonts w:ascii="Arial" w:hAnsi="Arial" w:cs="Arial"/>
                <w:b/>
                <w:bCs/>
                <w:sz w:val="22"/>
                <w:szCs w:val="22"/>
              </w:rPr>
              <w:t xml:space="preserve"> </w:t>
            </w:r>
            <w:r w:rsidR="00B37AF2" w:rsidRPr="007B57A3">
              <w:rPr>
                <w:rFonts w:ascii="Arial" w:hAnsi="Arial" w:cs="Arial"/>
                <w:b/>
                <w:bCs/>
                <w:sz w:val="22"/>
                <w:szCs w:val="22"/>
              </w:rPr>
              <w:t>Serious Untoward Events</w:t>
            </w:r>
            <w:r w:rsidR="00FE7C71" w:rsidRPr="007B57A3">
              <w:rPr>
                <w:rFonts w:ascii="Arial" w:hAnsi="Arial" w:cs="Arial"/>
                <w:b/>
                <w:bCs/>
                <w:sz w:val="22"/>
                <w:szCs w:val="22"/>
              </w:rPr>
              <w:t xml:space="preserve"> </w:t>
            </w:r>
          </w:p>
          <w:p w:rsidR="00D305B9" w:rsidRPr="00D305B9" w:rsidRDefault="00D305B9" w:rsidP="00D305B9">
            <w:pPr>
              <w:spacing w:line="276" w:lineRule="auto"/>
              <w:jc w:val="both"/>
              <w:rPr>
                <w:rFonts w:ascii="Arial" w:eastAsia="Calibri" w:hAnsi="Arial" w:cs="Arial"/>
                <w:color w:val="FF0000"/>
                <w:sz w:val="22"/>
                <w:szCs w:val="22"/>
                <w:lang w:eastAsia="en-US"/>
              </w:rPr>
            </w:pPr>
          </w:p>
          <w:p w:rsidR="00D305B9" w:rsidRPr="00D305B9" w:rsidRDefault="00D305B9" w:rsidP="00D305B9">
            <w:pPr>
              <w:autoSpaceDE w:val="0"/>
              <w:autoSpaceDN w:val="0"/>
              <w:spacing w:line="276" w:lineRule="auto"/>
              <w:jc w:val="both"/>
              <w:rPr>
                <w:rFonts w:ascii="Arial" w:eastAsia="Calibri" w:hAnsi="Arial" w:cs="Arial"/>
                <w:color w:val="000000"/>
                <w:sz w:val="22"/>
                <w:szCs w:val="22"/>
              </w:rPr>
            </w:pPr>
            <w:r w:rsidRPr="00D305B9">
              <w:rPr>
                <w:rFonts w:ascii="Arial" w:eastAsia="Calibri" w:hAnsi="Arial" w:cs="Arial"/>
                <w:color w:val="000000"/>
                <w:sz w:val="22"/>
                <w:szCs w:val="22"/>
              </w:rPr>
              <w:t>NELCCG commission Yorkshire and Humber Commissioning Support to manage the Serious Incident (SI) process working collaboratively where appropriate with North Lincolnshire CCG and Humber CCGs.</w:t>
            </w:r>
          </w:p>
          <w:p w:rsidR="00D305B9" w:rsidRPr="00D305B9" w:rsidRDefault="00D305B9" w:rsidP="00D305B9">
            <w:pPr>
              <w:autoSpaceDE w:val="0"/>
              <w:autoSpaceDN w:val="0"/>
              <w:spacing w:line="276" w:lineRule="auto"/>
              <w:jc w:val="both"/>
              <w:rPr>
                <w:rFonts w:ascii="Arial" w:eastAsia="Calibri" w:hAnsi="Arial" w:cs="Arial"/>
                <w:color w:val="000000"/>
                <w:sz w:val="22"/>
                <w:szCs w:val="22"/>
              </w:rPr>
            </w:pPr>
          </w:p>
          <w:p w:rsidR="00815FA9" w:rsidRDefault="00D305B9" w:rsidP="00D305B9">
            <w:pPr>
              <w:autoSpaceDE w:val="0"/>
              <w:autoSpaceDN w:val="0"/>
              <w:spacing w:line="276" w:lineRule="auto"/>
              <w:jc w:val="both"/>
              <w:rPr>
                <w:rFonts w:ascii="Arial" w:eastAsia="Calibri" w:hAnsi="Arial" w:cs="Arial"/>
                <w:color w:val="000000"/>
                <w:sz w:val="22"/>
                <w:szCs w:val="22"/>
                <w:lang w:eastAsia="en-US"/>
              </w:rPr>
            </w:pPr>
            <w:r w:rsidRPr="00D305B9">
              <w:rPr>
                <w:rFonts w:ascii="Arial" w:eastAsia="Calibri" w:hAnsi="Arial" w:cs="Arial"/>
                <w:color w:val="000000"/>
                <w:sz w:val="22"/>
                <w:szCs w:val="22"/>
              </w:rPr>
              <w:t>The monthly report gives an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 further assurance and scrutiny, this process also oversees the completion of action plans.</w:t>
            </w:r>
            <w:r w:rsidRPr="00D305B9">
              <w:rPr>
                <w:rFonts w:ascii="Arial" w:eastAsia="Calibri" w:hAnsi="Arial" w:cs="Arial"/>
                <w:color w:val="000000"/>
                <w:sz w:val="22"/>
                <w:szCs w:val="22"/>
                <w:lang w:eastAsia="en-US"/>
              </w:rPr>
              <w:t xml:space="preserve"> </w:t>
            </w:r>
          </w:p>
          <w:p w:rsidR="00D305B9" w:rsidRDefault="00D305B9" w:rsidP="00D305B9">
            <w:pPr>
              <w:autoSpaceDE w:val="0"/>
              <w:autoSpaceDN w:val="0"/>
              <w:spacing w:line="276" w:lineRule="auto"/>
              <w:jc w:val="both"/>
              <w:rPr>
                <w:rFonts w:ascii="Arial" w:eastAsia="Calibri" w:hAnsi="Arial" w:cs="Arial"/>
                <w:color w:val="000000"/>
                <w:sz w:val="22"/>
                <w:szCs w:val="22"/>
                <w:lang w:eastAsia="en-US"/>
              </w:rPr>
            </w:pPr>
            <w:r w:rsidRPr="00D305B9">
              <w:rPr>
                <w:rFonts w:ascii="Arial" w:eastAsia="Calibri" w:hAnsi="Arial" w:cs="Arial"/>
                <w:color w:val="000000"/>
                <w:sz w:val="22"/>
                <w:szCs w:val="22"/>
                <w:lang w:eastAsia="en-US"/>
              </w:rPr>
              <w:lastRenderedPageBreak/>
              <w:t>The table below gives an indication of all Serious Incidents reported by NELCCG providers</w:t>
            </w:r>
            <w:r w:rsidR="00C3745F">
              <w:rPr>
                <w:rFonts w:ascii="Arial" w:eastAsia="Calibri" w:hAnsi="Arial" w:cs="Arial"/>
                <w:color w:val="000000"/>
                <w:sz w:val="22"/>
                <w:szCs w:val="22"/>
                <w:lang w:eastAsia="en-US"/>
              </w:rPr>
              <w:t xml:space="preserve"> to date</w:t>
            </w:r>
            <w:r w:rsidRPr="00D305B9">
              <w:rPr>
                <w:rFonts w:ascii="Arial" w:eastAsia="Calibri" w:hAnsi="Arial" w:cs="Arial"/>
                <w:color w:val="000000"/>
                <w:sz w:val="22"/>
                <w:szCs w:val="22"/>
                <w:lang w:eastAsia="en-US"/>
              </w:rPr>
              <w:t>.  The NL&amp;G SI meetings are undertaken as a collaborative approach with NLCCG, ERYCCG and Lincolnshire CCGs the numbers shown below for NL&amp;G include patient</w:t>
            </w:r>
            <w:r>
              <w:rPr>
                <w:rFonts w:ascii="Arial" w:eastAsia="Calibri" w:hAnsi="Arial" w:cs="Arial"/>
                <w:color w:val="000000"/>
                <w:sz w:val="22"/>
                <w:szCs w:val="22"/>
                <w:lang w:eastAsia="en-US"/>
              </w:rPr>
              <w:t xml:space="preserve">s from all </w:t>
            </w:r>
            <w:r w:rsidRPr="00D305B9">
              <w:rPr>
                <w:rFonts w:ascii="Arial" w:eastAsia="Calibri" w:hAnsi="Arial" w:cs="Arial"/>
                <w:color w:val="000000"/>
                <w:sz w:val="22"/>
                <w:szCs w:val="22"/>
                <w:lang w:eastAsia="en-US"/>
              </w:rPr>
              <w:t>areas. The other provider figures are North East Lincolnshire patients only.</w:t>
            </w:r>
          </w:p>
          <w:p w:rsidR="000070CC" w:rsidRDefault="000070CC" w:rsidP="00D305B9">
            <w:pPr>
              <w:autoSpaceDE w:val="0"/>
              <w:autoSpaceDN w:val="0"/>
              <w:spacing w:line="276" w:lineRule="auto"/>
              <w:jc w:val="both"/>
              <w:rPr>
                <w:rFonts w:ascii="Arial" w:eastAsia="Calibri" w:hAnsi="Arial" w:cs="Arial"/>
                <w:color w:val="000000"/>
                <w:sz w:val="22"/>
                <w:szCs w:val="22"/>
                <w:lang w:eastAsia="en-US"/>
              </w:rPr>
            </w:pPr>
          </w:p>
          <w:p w:rsidR="000070CC" w:rsidRDefault="000070CC" w:rsidP="00D305B9">
            <w:pPr>
              <w:autoSpaceDE w:val="0"/>
              <w:autoSpaceDN w:val="0"/>
              <w:spacing w:line="276" w:lineRule="auto"/>
              <w:jc w:val="both"/>
              <w:rPr>
                <w:rFonts w:ascii="Arial" w:eastAsia="Calibri" w:hAnsi="Arial" w:cs="Arial"/>
                <w:color w:val="000000"/>
                <w:sz w:val="22"/>
                <w:szCs w:val="22"/>
                <w:lang w:eastAsia="en-US"/>
              </w:rPr>
            </w:pPr>
            <w:r w:rsidRPr="000070CC">
              <w:rPr>
                <w:rFonts w:ascii="Arial" w:eastAsia="Calibri" w:hAnsi="Arial" w:cs="Arial"/>
                <w:color w:val="000000"/>
                <w:sz w:val="22"/>
                <w:szCs w:val="22"/>
                <w:lang w:eastAsia="en-US"/>
              </w:rPr>
              <w:t>Serious Incidents, all providers, year to date and 14-15 comparative figures</w:t>
            </w:r>
            <w:r>
              <w:rPr>
                <w:rFonts w:ascii="Arial" w:eastAsia="Calibri" w:hAnsi="Arial" w:cs="Arial"/>
                <w:color w:val="000000"/>
                <w:sz w:val="22"/>
                <w:szCs w:val="22"/>
                <w:lang w:eastAsia="en-US"/>
              </w:rPr>
              <w:t>.</w:t>
            </w:r>
          </w:p>
          <w:p w:rsidR="000070CC" w:rsidRDefault="000070CC" w:rsidP="00D305B9">
            <w:pPr>
              <w:autoSpaceDE w:val="0"/>
              <w:autoSpaceDN w:val="0"/>
              <w:spacing w:line="276" w:lineRule="auto"/>
              <w:jc w:val="both"/>
              <w:rPr>
                <w:rFonts w:ascii="Arial" w:eastAsia="Calibri" w:hAnsi="Arial" w:cs="Arial"/>
                <w:color w:val="000000"/>
                <w:sz w:val="22"/>
                <w:szCs w:val="22"/>
                <w:lang w:eastAsia="en-US"/>
              </w:rPr>
            </w:pPr>
          </w:p>
          <w:p w:rsidR="000070CC" w:rsidRPr="000070CC" w:rsidRDefault="000070CC" w:rsidP="000070CC">
            <w:pPr>
              <w:rPr>
                <w:rFonts w:ascii="Arial" w:eastAsia="Calibri" w:hAnsi="Arial" w:cs="Arial"/>
                <w:i/>
                <w:iCs/>
                <w:sz w:val="20"/>
                <w:szCs w:val="20"/>
              </w:rPr>
            </w:pPr>
          </w:p>
          <w:tbl>
            <w:tblPr>
              <w:tblW w:w="9396" w:type="dxa"/>
              <w:jc w:val="center"/>
              <w:tblLayout w:type="fixed"/>
              <w:tblCellMar>
                <w:left w:w="0" w:type="dxa"/>
                <w:right w:w="0" w:type="dxa"/>
              </w:tblCellMar>
              <w:tblLook w:val="04A0" w:firstRow="1" w:lastRow="0" w:firstColumn="1" w:lastColumn="0" w:noHBand="0" w:noVBand="1"/>
            </w:tblPr>
            <w:tblGrid>
              <w:gridCol w:w="3039"/>
              <w:gridCol w:w="788"/>
              <w:gridCol w:w="720"/>
              <w:gridCol w:w="808"/>
              <w:gridCol w:w="765"/>
              <w:gridCol w:w="808"/>
              <w:gridCol w:w="852"/>
              <w:gridCol w:w="808"/>
              <w:gridCol w:w="808"/>
            </w:tblGrid>
            <w:tr w:rsidR="000070CC" w:rsidRPr="000070CC" w:rsidTr="000070CC">
              <w:trPr>
                <w:cantSplit/>
                <w:trHeight w:val="517"/>
                <w:tblHeader/>
                <w:jc w:val="center"/>
              </w:trPr>
              <w:tc>
                <w:tcPr>
                  <w:tcW w:w="3944" w:type="dxa"/>
                  <w:tcBorders>
                    <w:top w:val="nil"/>
                    <w:left w:val="nil"/>
                    <w:bottom w:val="single" w:sz="8" w:space="0" w:color="4F81BD"/>
                    <w:right w:val="nil"/>
                  </w:tcBorders>
                  <w:tcMar>
                    <w:top w:w="0" w:type="dxa"/>
                    <w:left w:w="108" w:type="dxa"/>
                    <w:bottom w:w="0" w:type="dxa"/>
                    <w:right w:w="108" w:type="dxa"/>
                  </w:tcMar>
                </w:tcPr>
                <w:p w:rsidR="000070CC" w:rsidRPr="000070CC" w:rsidRDefault="000070CC" w:rsidP="000070CC">
                  <w:pPr>
                    <w:spacing w:line="276" w:lineRule="auto"/>
                    <w:ind w:left="-709"/>
                    <w:jc w:val="center"/>
                    <w:rPr>
                      <w:rFonts w:ascii="Arial" w:eastAsia="Calibri" w:hAnsi="Arial" w:cs="Arial"/>
                      <w:b/>
                      <w:bCs/>
                      <w:color w:val="FF0000"/>
                      <w:sz w:val="18"/>
                      <w:szCs w:val="18"/>
                    </w:rPr>
                  </w:pPr>
                </w:p>
              </w:tc>
              <w:tc>
                <w:tcPr>
                  <w:tcW w:w="967"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NL&amp;G</w:t>
                  </w:r>
                </w:p>
              </w:tc>
              <w:tc>
                <w:tcPr>
                  <w:tcW w:w="876"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CPG</w:t>
                  </w:r>
                </w:p>
              </w:tc>
              <w:tc>
                <w:tcPr>
                  <w:tcW w:w="992"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proofErr w:type="spellStart"/>
                  <w:r w:rsidRPr="000070CC">
                    <w:rPr>
                      <w:rFonts w:ascii="Arial" w:eastAsia="Calibri" w:hAnsi="Arial" w:cs="Arial"/>
                      <w:b/>
                      <w:bCs/>
                      <w:color w:val="FFFFFF"/>
                      <w:sz w:val="18"/>
                      <w:szCs w:val="18"/>
                    </w:rPr>
                    <w:t>NAViGO</w:t>
                  </w:r>
                  <w:proofErr w:type="spellEnd"/>
                </w:p>
              </w:tc>
              <w:tc>
                <w:tcPr>
                  <w:tcW w:w="935"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HEY</w:t>
                  </w:r>
                </w:p>
              </w:tc>
              <w:tc>
                <w:tcPr>
                  <w:tcW w:w="992"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LPFT</w:t>
                  </w:r>
                </w:p>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CAMHS</w:t>
                  </w:r>
                </w:p>
              </w:tc>
              <w:tc>
                <w:tcPr>
                  <w:tcW w:w="1050"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proofErr w:type="spellStart"/>
                  <w:r w:rsidRPr="000070CC">
                    <w:rPr>
                      <w:rFonts w:ascii="Arial" w:eastAsia="Calibri" w:hAnsi="Arial" w:cs="Arial"/>
                      <w:b/>
                      <w:bCs/>
                      <w:color w:val="FFFFFF"/>
                      <w:sz w:val="18"/>
                      <w:szCs w:val="18"/>
                    </w:rPr>
                    <w:t>Yarb</w:t>
                  </w:r>
                  <w:proofErr w:type="spellEnd"/>
                  <w:r w:rsidRPr="000070CC">
                    <w:rPr>
                      <w:rFonts w:ascii="Arial" w:eastAsia="Calibri" w:hAnsi="Arial" w:cs="Arial"/>
                      <w:b/>
                      <w:bCs/>
                      <w:color w:val="FFFFFF"/>
                      <w:sz w:val="18"/>
                      <w:szCs w:val="18"/>
                    </w:rPr>
                    <w:t>/ Clee</w:t>
                  </w:r>
                </w:p>
              </w:tc>
              <w:tc>
                <w:tcPr>
                  <w:tcW w:w="992"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Core Care Links Ltd</w:t>
                  </w:r>
                </w:p>
              </w:tc>
              <w:tc>
                <w:tcPr>
                  <w:tcW w:w="992"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b/>
                      <w:bCs/>
                      <w:color w:val="FFFFFF"/>
                      <w:sz w:val="18"/>
                      <w:szCs w:val="18"/>
                    </w:rPr>
                  </w:pPr>
                  <w:r w:rsidRPr="000070CC">
                    <w:rPr>
                      <w:rFonts w:ascii="Arial" w:eastAsia="Calibri" w:hAnsi="Arial" w:cs="Arial"/>
                      <w:b/>
                      <w:bCs/>
                      <w:color w:val="FFFFFF"/>
                      <w:sz w:val="18"/>
                      <w:szCs w:val="18"/>
                    </w:rPr>
                    <w:t>Co-</w:t>
                  </w:r>
                  <w:proofErr w:type="spellStart"/>
                  <w:r w:rsidRPr="000070CC">
                    <w:rPr>
                      <w:rFonts w:ascii="Arial" w:eastAsia="Calibri" w:hAnsi="Arial" w:cs="Arial"/>
                      <w:b/>
                      <w:bCs/>
                      <w:color w:val="FFFFFF"/>
                      <w:sz w:val="18"/>
                      <w:szCs w:val="18"/>
                    </w:rPr>
                    <w:t>comm</w:t>
                  </w:r>
                  <w:proofErr w:type="spellEnd"/>
                  <w:r w:rsidRPr="000070CC">
                    <w:rPr>
                      <w:rFonts w:ascii="Arial" w:eastAsia="Calibri" w:hAnsi="Arial" w:cs="Arial"/>
                      <w:b/>
                      <w:bCs/>
                      <w:color w:val="FFFFFF"/>
                      <w:sz w:val="18"/>
                      <w:szCs w:val="18"/>
                    </w:rPr>
                    <w:t xml:space="preserve"> Primary Care</w:t>
                  </w:r>
                </w:p>
              </w:tc>
            </w:tr>
            <w:tr w:rsidR="000070CC" w:rsidRPr="000070CC" w:rsidTr="000070CC">
              <w:trPr>
                <w:cantSplit/>
                <w:trHeight w:val="435"/>
                <w:tblHeader/>
                <w:jc w:val="center"/>
              </w:trPr>
              <w:tc>
                <w:tcPr>
                  <w:tcW w:w="3944"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0070CC" w:rsidRPr="000070CC" w:rsidRDefault="000070CC" w:rsidP="000070CC">
                  <w:pPr>
                    <w:spacing w:line="276" w:lineRule="auto"/>
                    <w:rPr>
                      <w:rFonts w:ascii="Arial" w:eastAsia="Calibri" w:hAnsi="Arial" w:cs="Arial"/>
                      <w:sz w:val="20"/>
                      <w:szCs w:val="20"/>
                    </w:rPr>
                  </w:pPr>
                  <w:r w:rsidRPr="000070CC">
                    <w:rPr>
                      <w:rFonts w:ascii="Arial" w:eastAsia="Calibri" w:hAnsi="Arial" w:cs="Arial"/>
                      <w:sz w:val="20"/>
                      <w:szCs w:val="20"/>
                    </w:rPr>
                    <w:t xml:space="preserve">Serious incidents reported during </w:t>
                  </w:r>
                  <w:r w:rsidRPr="000070CC">
                    <w:rPr>
                      <w:rFonts w:ascii="Arial" w:eastAsia="Calibri" w:hAnsi="Arial" w:cs="Arial"/>
                      <w:sz w:val="20"/>
                      <w:szCs w:val="20"/>
                      <w:u w:val="single"/>
                    </w:rPr>
                    <w:t>2014/15 (total)</w:t>
                  </w:r>
                </w:p>
              </w:tc>
              <w:tc>
                <w:tcPr>
                  <w:tcW w:w="967"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79</w:t>
                  </w:r>
                </w:p>
              </w:tc>
              <w:tc>
                <w:tcPr>
                  <w:tcW w:w="876" w:type="dxa"/>
                  <w:tcBorders>
                    <w:top w:val="nil"/>
                    <w:left w:val="nil"/>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21</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5</w:t>
                  </w:r>
                </w:p>
              </w:tc>
              <w:tc>
                <w:tcPr>
                  <w:tcW w:w="93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1050"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2</w:t>
                  </w:r>
                </w:p>
              </w:tc>
              <w:tc>
                <w:tcPr>
                  <w:tcW w:w="992"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N/A</w:t>
                  </w:r>
                </w:p>
              </w:tc>
            </w:tr>
            <w:tr w:rsidR="000070CC" w:rsidRPr="000070CC" w:rsidTr="000070CC">
              <w:trPr>
                <w:cantSplit/>
                <w:trHeight w:val="435"/>
                <w:tblHeader/>
                <w:jc w:val="center"/>
              </w:trPr>
              <w:tc>
                <w:tcPr>
                  <w:tcW w:w="3944"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0070CC" w:rsidRPr="000070CC" w:rsidRDefault="000070CC" w:rsidP="000070CC">
                  <w:pPr>
                    <w:spacing w:line="276" w:lineRule="auto"/>
                    <w:rPr>
                      <w:rFonts w:ascii="Arial" w:eastAsia="Calibri" w:hAnsi="Arial" w:cs="Arial"/>
                      <w:sz w:val="20"/>
                      <w:szCs w:val="20"/>
                    </w:rPr>
                  </w:pPr>
                  <w:r w:rsidRPr="000070CC">
                    <w:rPr>
                      <w:rFonts w:ascii="Arial" w:eastAsia="Calibri" w:hAnsi="Arial" w:cs="Arial"/>
                      <w:sz w:val="20"/>
                      <w:szCs w:val="20"/>
                    </w:rPr>
                    <w:t xml:space="preserve">Serious incidents reported at this point in </w:t>
                  </w:r>
                  <w:r w:rsidRPr="000070CC">
                    <w:rPr>
                      <w:rFonts w:ascii="Arial" w:eastAsia="Calibri" w:hAnsi="Arial" w:cs="Arial"/>
                      <w:sz w:val="20"/>
                      <w:szCs w:val="20"/>
                      <w:u w:val="single"/>
                    </w:rPr>
                    <w:t>2014/15</w:t>
                  </w:r>
                </w:p>
              </w:tc>
              <w:tc>
                <w:tcPr>
                  <w:tcW w:w="967"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highlight w:val="yellow"/>
                    </w:rPr>
                  </w:pPr>
                  <w:r w:rsidRPr="000070CC">
                    <w:rPr>
                      <w:rFonts w:ascii="Arial" w:eastAsia="Calibri" w:hAnsi="Arial" w:cs="Arial"/>
                      <w:sz w:val="20"/>
                      <w:szCs w:val="20"/>
                    </w:rPr>
                    <w:t>39</w:t>
                  </w:r>
                </w:p>
              </w:tc>
              <w:tc>
                <w:tcPr>
                  <w:tcW w:w="876" w:type="dxa"/>
                  <w:tcBorders>
                    <w:top w:val="nil"/>
                    <w:left w:val="nil"/>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highlight w:val="yellow"/>
                    </w:rPr>
                  </w:pPr>
                  <w:r w:rsidRPr="000070CC">
                    <w:rPr>
                      <w:rFonts w:ascii="Arial" w:eastAsia="Calibri" w:hAnsi="Arial" w:cs="Arial"/>
                      <w:sz w:val="20"/>
                      <w:szCs w:val="20"/>
                    </w:rPr>
                    <w:t>9</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2</w:t>
                  </w:r>
                </w:p>
              </w:tc>
              <w:tc>
                <w:tcPr>
                  <w:tcW w:w="93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1050"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N/A</w:t>
                  </w:r>
                </w:p>
              </w:tc>
            </w:tr>
            <w:tr w:rsidR="000070CC" w:rsidRPr="000070CC" w:rsidTr="000070CC">
              <w:trPr>
                <w:cantSplit/>
                <w:trHeight w:val="435"/>
                <w:tblHeader/>
                <w:jc w:val="center"/>
              </w:trPr>
              <w:tc>
                <w:tcPr>
                  <w:tcW w:w="3944"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0070CC" w:rsidRPr="000070CC" w:rsidRDefault="000070CC" w:rsidP="000070CC">
                  <w:pPr>
                    <w:spacing w:line="276" w:lineRule="auto"/>
                    <w:rPr>
                      <w:rFonts w:ascii="Arial" w:eastAsia="Calibri" w:hAnsi="Arial" w:cs="Arial"/>
                      <w:sz w:val="20"/>
                      <w:szCs w:val="20"/>
                    </w:rPr>
                  </w:pPr>
                  <w:r w:rsidRPr="000070CC">
                    <w:rPr>
                      <w:rFonts w:ascii="Arial" w:eastAsia="Calibri" w:hAnsi="Arial" w:cs="Arial"/>
                      <w:sz w:val="20"/>
                      <w:szCs w:val="20"/>
                    </w:rPr>
                    <w:t xml:space="preserve">Serious incidents logged </w:t>
                  </w:r>
                  <w:r w:rsidRPr="000070CC">
                    <w:rPr>
                      <w:rFonts w:ascii="Arial" w:eastAsia="Calibri" w:hAnsi="Arial" w:cs="Arial"/>
                      <w:sz w:val="20"/>
                      <w:szCs w:val="20"/>
                      <w:u w:val="single"/>
                    </w:rPr>
                    <w:t>YTD 15-16</w:t>
                  </w:r>
                </w:p>
              </w:tc>
              <w:tc>
                <w:tcPr>
                  <w:tcW w:w="967"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16</w:t>
                  </w:r>
                </w:p>
              </w:tc>
              <w:tc>
                <w:tcPr>
                  <w:tcW w:w="876" w:type="dxa"/>
                  <w:tcBorders>
                    <w:top w:val="nil"/>
                    <w:left w:val="nil"/>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5</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6</w:t>
                  </w:r>
                </w:p>
              </w:tc>
              <w:tc>
                <w:tcPr>
                  <w:tcW w:w="93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1</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2</w:t>
                  </w:r>
                </w:p>
              </w:tc>
              <w:tc>
                <w:tcPr>
                  <w:tcW w:w="1050"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2</w:t>
                  </w:r>
                </w:p>
              </w:tc>
              <w:tc>
                <w:tcPr>
                  <w:tcW w:w="992"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1</w:t>
                  </w:r>
                </w:p>
              </w:tc>
            </w:tr>
            <w:tr w:rsidR="000070CC" w:rsidRPr="000070CC" w:rsidTr="000070CC">
              <w:trPr>
                <w:cantSplit/>
                <w:trHeight w:val="435"/>
                <w:tblHeader/>
                <w:jc w:val="center"/>
              </w:trPr>
              <w:tc>
                <w:tcPr>
                  <w:tcW w:w="3944"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0070CC" w:rsidRPr="000070CC" w:rsidRDefault="000070CC" w:rsidP="000070CC">
                  <w:pPr>
                    <w:spacing w:line="276" w:lineRule="auto"/>
                    <w:rPr>
                      <w:rFonts w:ascii="Arial" w:eastAsia="Calibri" w:hAnsi="Arial" w:cs="Arial"/>
                      <w:sz w:val="20"/>
                      <w:szCs w:val="20"/>
                    </w:rPr>
                  </w:pPr>
                  <w:r w:rsidRPr="000070CC">
                    <w:rPr>
                      <w:rFonts w:ascii="Arial" w:eastAsia="Calibri" w:hAnsi="Arial" w:cs="Arial"/>
                      <w:sz w:val="20"/>
                      <w:szCs w:val="20"/>
                    </w:rPr>
                    <w:t>Serious Incidents De Logged YTD 15-16</w:t>
                  </w:r>
                </w:p>
              </w:tc>
              <w:tc>
                <w:tcPr>
                  <w:tcW w:w="967" w:type="dxa"/>
                  <w:tcBorders>
                    <w:top w:val="nil"/>
                    <w:left w:val="nil"/>
                    <w:bottom w:val="single" w:sz="8" w:space="0" w:color="4F81BD"/>
                    <w:right w:val="single" w:sz="8" w:space="0" w:color="548DD4"/>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876" w:type="dxa"/>
                  <w:tcBorders>
                    <w:top w:val="nil"/>
                    <w:left w:val="nil"/>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1</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1</w:t>
                  </w:r>
                </w:p>
              </w:tc>
              <w:tc>
                <w:tcPr>
                  <w:tcW w:w="935"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1050"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single" w:sz="8" w:space="0" w:color="4F81BD"/>
                  </w:tcBorders>
                  <w:tcMar>
                    <w:top w:w="0" w:type="dxa"/>
                    <w:left w:w="108" w:type="dxa"/>
                    <w:bottom w:w="0" w:type="dxa"/>
                    <w:right w:w="108" w:type="dxa"/>
                  </w:tcMa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r>
            <w:tr w:rsidR="000070CC" w:rsidRPr="000070CC" w:rsidTr="000070CC">
              <w:trPr>
                <w:cantSplit/>
                <w:trHeight w:val="75"/>
                <w:tblHeader/>
                <w:jc w:val="center"/>
              </w:trPr>
              <w:tc>
                <w:tcPr>
                  <w:tcW w:w="3944" w:type="dxa"/>
                  <w:tcBorders>
                    <w:top w:val="nil"/>
                    <w:left w:val="single" w:sz="8" w:space="0" w:color="4F81BD"/>
                    <w:bottom w:val="single" w:sz="8" w:space="0" w:color="4F81BD"/>
                    <w:right w:val="nil"/>
                  </w:tcBorders>
                  <w:tcMar>
                    <w:top w:w="0" w:type="dxa"/>
                    <w:left w:w="108" w:type="dxa"/>
                    <w:bottom w:w="0" w:type="dxa"/>
                    <w:right w:w="108" w:type="dxa"/>
                  </w:tcMar>
                </w:tcPr>
                <w:p w:rsidR="000070CC" w:rsidRPr="000070CC" w:rsidRDefault="000070CC" w:rsidP="000070CC">
                  <w:pPr>
                    <w:spacing w:line="276" w:lineRule="auto"/>
                    <w:rPr>
                      <w:rFonts w:ascii="Arial" w:eastAsia="Calibri" w:hAnsi="Arial" w:cs="Arial"/>
                      <w:sz w:val="20"/>
                      <w:szCs w:val="20"/>
                    </w:rPr>
                  </w:pPr>
                </w:p>
              </w:tc>
              <w:tc>
                <w:tcPr>
                  <w:tcW w:w="967"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876"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992"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935"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992"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1050" w:type="dxa"/>
                  <w:tcBorders>
                    <w:top w:val="nil"/>
                    <w:left w:val="nil"/>
                    <w:bottom w:val="single" w:sz="8" w:space="0" w:color="4F81BD"/>
                    <w:right w:val="nil"/>
                  </w:tcBorders>
                  <w:tcMar>
                    <w:top w:w="0" w:type="dxa"/>
                    <w:left w:w="108" w:type="dxa"/>
                    <w:bottom w:w="0" w:type="dxa"/>
                    <w:right w:w="108" w:type="dxa"/>
                  </w:tcMar>
                  <w:vAlign w:val="center"/>
                </w:tcPr>
                <w:p w:rsidR="000070CC" w:rsidRPr="000070CC" w:rsidRDefault="000070CC" w:rsidP="000070CC">
                  <w:pPr>
                    <w:spacing w:line="276" w:lineRule="auto"/>
                    <w:jc w:val="center"/>
                    <w:rPr>
                      <w:rFonts w:ascii="Arial" w:eastAsia="Calibri" w:hAnsi="Arial" w:cs="Arial"/>
                      <w:sz w:val="20"/>
                      <w:szCs w:val="20"/>
                    </w:rPr>
                  </w:pPr>
                </w:p>
              </w:tc>
              <w:tc>
                <w:tcPr>
                  <w:tcW w:w="992" w:type="dxa"/>
                  <w:tcBorders>
                    <w:top w:val="nil"/>
                    <w:left w:val="nil"/>
                    <w:bottom w:val="single" w:sz="8" w:space="0" w:color="4F81BD"/>
                    <w:right w:val="nil"/>
                  </w:tcBorders>
                  <w:tcMar>
                    <w:top w:w="0" w:type="dxa"/>
                    <w:left w:w="108" w:type="dxa"/>
                    <w:bottom w:w="0" w:type="dxa"/>
                    <w:right w:w="108" w:type="dxa"/>
                  </w:tcMar>
                </w:tcPr>
                <w:p w:rsidR="000070CC" w:rsidRPr="000070CC" w:rsidRDefault="000070CC" w:rsidP="000070CC">
                  <w:pPr>
                    <w:spacing w:line="276" w:lineRule="auto"/>
                    <w:jc w:val="center"/>
                    <w:rPr>
                      <w:rFonts w:ascii="Arial" w:eastAsia="Calibri" w:hAnsi="Arial" w:cs="Arial"/>
                      <w:sz w:val="20"/>
                      <w:szCs w:val="20"/>
                    </w:rPr>
                  </w:pPr>
                </w:p>
              </w:tc>
              <w:tc>
                <w:tcPr>
                  <w:tcW w:w="992" w:type="dxa"/>
                  <w:tcBorders>
                    <w:top w:val="nil"/>
                    <w:left w:val="nil"/>
                    <w:bottom w:val="single" w:sz="8" w:space="0" w:color="4F81BD"/>
                    <w:right w:val="nil"/>
                  </w:tcBorders>
                  <w:tcMar>
                    <w:top w:w="0" w:type="dxa"/>
                    <w:left w:w="108" w:type="dxa"/>
                    <w:bottom w:w="0" w:type="dxa"/>
                    <w:right w:w="108" w:type="dxa"/>
                  </w:tcMar>
                </w:tcPr>
                <w:p w:rsidR="000070CC" w:rsidRPr="000070CC" w:rsidRDefault="000070CC" w:rsidP="000070CC">
                  <w:pPr>
                    <w:spacing w:line="276" w:lineRule="auto"/>
                    <w:jc w:val="center"/>
                    <w:rPr>
                      <w:rFonts w:ascii="Arial" w:eastAsia="Calibri" w:hAnsi="Arial" w:cs="Arial"/>
                      <w:sz w:val="20"/>
                      <w:szCs w:val="20"/>
                    </w:rPr>
                  </w:pPr>
                </w:p>
              </w:tc>
            </w:tr>
            <w:tr w:rsidR="000070CC" w:rsidRPr="000070CC" w:rsidTr="000070CC">
              <w:trPr>
                <w:cantSplit/>
                <w:trHeight w:val="435"/>
                <w:tblHeader/>
                <w:jc w:val="center"/>
              </w:trPr>
              <w:tc>
                <w:tcPr>
                  <w:tcW w:w="3944" w:type="dxa"/>
                  <w:tcBorders>
                    <w:top w:val="nil"/>
                    <w:left w:val="single" w:sz="8" w:space="0" w:color="4F81BD"/>
                    <w:bottom w:val="single" w:sz="8" w:space="0" w:color="4F81BD"/>
                    <w:right w:val="single" w:sz="8" w:space="0" w:color="548DD4"/>
                  </w:tcBorders>
                  <w:tcMar>
                    <w:top w:w="0" w:type="dxa"/>
                    <w:left w:w="108" w:type="dxa"/>
                    <w:bottom w:w="0" w:type="dxa"/>
                    <w:right w:w="108" w:type="dxa"/>
                  </w:tcMar>
                  <w:hideMark/>
                </w:tcPr>
                <w:p w:rsidR="000070CC" w:rsidRPr="000070CC" w:rsidRDefault="000070CC" w:rsidP="000070CC">
                  <w:pPr>
                    <w:spacing w:line="276" w:lineRule="auto"/>
                    <w:rPr>
                      <w:rFonts w:ascii="Arial" w:eastAsia="Calibri" w:hAnsi="Arial" w:cs="Arial"/>
                      <w:b/>
                      <w:bCs/>
                      <w:sz w:val="20"/>
                      <w:szCs w:val="20"/>
                    </w:rPr>
                  </w:pPr>
                  <w:r w:rsidRPr="000070CC">
                    <w:rPr>
                      <w:rFonts w:ascii="Arial" w:eastAsia="Calibri" w:hAnsi="Arial" w:cs="Arial"/>
                      <w:b/>
                      <w:bCs/>
                      <w:sz w:val="20"/>
                      <w:szCs w:val="20"/>
                    </w:rPr>
                    <w:t>Never Events (NE) 15-16</w:t>
                  </w:r>
                </w:p>
              </w:tc>
              <w:tc>
                <w:tcPr>
                  <w:tcW w:w="967" w:type="dxa"/>
                  <w:tcBorders>
                    <w:top w:val="nil"/>
                    <w:left w:val="nil"/>
                    <w:bottom w:val="single" w:sz="8" w:space="0" w:color="4F81BD"/>
                    <w:right w:val="single" w:sz="8" w:space="0" w:color="548DD4"/>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3</w:t>
                  </w:r>
                </w:p>
              </w:tc>
              <w:tc>
                <w:tcPr>
                  <w:tcW w:w="876" w:type="dxa"/>
                  <w:tcBorders>
                    <w:top w:val="nil"/>
                    <w:left w:val="nil"/>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35"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1050"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nil"/>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c>
                <w:tcPr>
                  <w:tcW w:w="992" w:type="dxa"/>
                  <w:tcBorders>
                    <w:top w:val="nil"/>
                    <w:left w:val="single" w:sz="8" w:space="0" w:color="548DD4"/>
                    <w:bottom w:val="single" w:sz="8" w:space="0" w:color="4F81BD"/>
                    <w:right w:val="single" w:sz="8" w:space="0" w:color="4F81BD"/>
                  </w:tcBorders>
                  <w:shd w:val="clear" w:color="auto" w:fill="FF0000"/>
                  <w:tcMar>
                    <w:top w:w="0" w:type="dxa"/>
                    <w:left w:w="108" w:type="dxa"/>
                    <w:bottom w:w="0" w:type="dxa"/>
                    <w:right w:w="108" w:type="dxa"/>
                  </w:tcMar>
                  <w:vAlign w:val="center"/>
                  <w:hideMark/>
                </w:tcPr>
                <w:p w:rsidR="000070CC" w:rsidRPr="000070CC" w:rsidRDefault="000070CC" w:rsidP="000070CC">
                  <w:pPr>
                    <w:spacing w:line="276" w:lineRule="auto"/>
                    <w:jc w:val="center"/>
                    <w:rPr>
                      <w:rFonts w:ascii="Arial" w:eastAsia="Calibri" w:hAnsi="Arial" w:cs="Arial"/>
                      <w:sz w:val="20"/>
                      <w:szCs w:val="20"/>
                    </w:rPr>
                  </w:pPr>
                  <w:r w:rsidRPr="000070CC">
                    <w:rPr>
                      <w:rFonts w:ascii="Arial" w:eastAsia="Calibri" w:hAnsi="Arial" w:cs="Arial"/>
                      <w:sz w:val="20"/>
                      <w:szCs w:val="20"/>
                    </w:rPr>
                    <w:t>0</w:t>
                  </w:r>
                </w:p>
              </w:tc>
            </w:tr>
          </w:tbl>
          <w:p w:rsidR="000070CC" w:rsidRPr="000070CC" w:rsidRDefault="000070CC" w:rsidP="000070CC">
            <w:pPr>
              <w:rPr>
                <w:rFonts w:ascii="Calibri" w:eastAsia="Calibri" w:hAnsi="Calibri"/>
                <w:color w:val="1F497D"/>
                <w:sz w:val="22"/>
                <w:szCs w:val="22"/>
                <w:lang w:eastAsia="en-US"/>
              </w:rPr>
            </w:pPr>
          </w:p>
          <w:p w:rsidR="000070CC" w:rsidRPr="000070CC" w:rsidRDefault="000070CC" w:rsidP="000070CC">
            <w:pPr>
              <w:spacing w:line="276" w:lineRule="auto"/>
              <w:jc w:val="both"/>
              <w:rPr>
                <w:rFonts w:ascii="Arial" w:eastAsia="Calibri" w:hAnsi="Arial" w:cs="Arial"/>
                <w:b/>
                <w:sz w:val="22"/>
                <w:szCs w:val="22"/>
                <w:u w:val="single"/>
                <w:lang w:eastAsia="en-US"/>
              </w:rPr>
            </w:pPr>
            <w:r w:rsidRPr="000070CC">
              <w:rPr>
                <w:rFonts w:ascii="Arial" w:eastAsia="Calibri" w:hAnsi="Arial" w:cs="Arial"/>
                <w:b/>
                <w:sz w:val="22"/>
                <w:szCs w:val="22"/>
                <w:u w:val="single"/>
                <w:lang w:eastAsia="en-US"/>
              </w:rPr>
              <w:t>Never Events.</w:t>
            </w:r>
          </w:p>
          <w:p w:rsidR="000070CC" w:rsidRDefault="000070CC" w:rsidP="000070CC">
            <w:pPr>
              <w:spacing w:line="276" w:lineRule="auto"/>
              <w:jc w:val="both"/>
              <w:rPr>
                <w:rFonts w:ascii="Arial" w:eastAsia="Calibri" w:hAnsi="Arial" w:cs="Arial"/>
                <w:sz w:val="22"/>
                <w:szCs w:val="22"/>
                <w:lang w:eastAsia="en-US"/>
              </w:rPr>
            </w:pPr>
          </w:p>
          <w:p w:rsidR="00017A40" w:rsidRPr="00017A40" w:rsidRDefault="00D305B9" w:rsidP="00017A40">
            <w:pPr>
              <w:spacing w:line="276" w:lineRule="auto"/>
              <w:jc w:val="both"/>
              <w:rPr>
                <w:rFonts w:ascii="Arial" w:eastAsia="Calibri" w:hAnsi="Arial" w:cs="Arial"/>
                <w:sz w:val="22"/>
                <w:szCs w:val="22"/>
                <w:lang w:eastAsia="en-US"/>
              </w:rPr>
            </w:pPr>
            <w:r w:rsidRPr="000070CC">
              <w:rPr>
                <w:rFonts w:ascii="Arial" w:eastAsia="Calibri" w:hAnsi="Arial" w:cs="Arial"/>
                <w:sz w:val="22"/>
                <w:szCs w:val="22"/>
                <w:lang w:eastAsia="en-US"/>
              </w:rPr>
              <w:t xml:space="preserve">3x Never Events </w:t>
            </w:r>
            <w:r w:rsidR="000070CC" w:rsidRPr="000070CC">
              <w:rPr>
                <w:rFonts w:ascii="Arial" w:eastAsia="Calibri" w:hAnsi="Arial" w:cs="Arial"/>
                <w:sz w:val="22"/>
                <w:szCs w:val="22"/>
                <w:lang w:eastAsia="en-US"/>
              </w:rPr>
              <w:t xml:space="preserve">– previously reported </w:t>
            </w:r>
            <w:r w:rsidR="00017A40" w:rsidRPr="00017A40">
              <w:rPr>
                <w:rFonts w:ascii="Arial" w:eastAsia="Calibri" w:hAnsi="Arial" w:cs="Arial"/>
                <w:sz w:val="22"/>
                <w:szCs w:val="22"/>
                <w:lang w:eastAsia="en-US"/>
              </w:rPr>
              <w:t>to the CCG Partnership Board</w:t>
            </w:r>
            <w:r w:rsidR="00017A40" w:rsidRPr="000070CC">
              <w:rPr>
                <w:rFonts w:ascii="Arial" w:eastAsia="Calibri" w:hAnsi="Arial" w:cs="Arial"/>
                <w:sz w:val="22"/>
                <w:szCs w:val="22"/>
                <w:lang w:eastAsia="en-US"/>
              </w:rPr>
              <w:t xml:space="preserve"> </w:t>
            </w:r>
            <w:r w:rsidR="00017A40" w:rsidRPr="00017A40">
              <w:rPr>
                <w:rFonts w:ascii="Arial" w:eastAsia="Calibri" w:hAnsi="Arial" w:cs="Arial"/>
                <w:sz w:val="22"/>
                <w:szCs w:val="22"/>
                <w:lang w:eastAsia="en-US"/>
              </w:rPr>
              <w:t>have</w:t>
            </w:r>
            <w:r w:rsidR="00017A40">
              <w:rPr>
                <w:rFonts w:ascii="Arial" w:eastAsia="Calibri" w:hAnsi="Arial" w:cs="Arial"/>
                <w:sz w:val="22"/>
                <w:szCs w:val="22"/>
                <w:lang w:eastAsia="en-US"/>
              </w:rPr>
              <w:t xml:space="preserve"> occurred </w:t>
            </w:r>
            <w:r w:rsidR="00017A40" w:rsidRPr="00017A40">
              <w:rPr>
                <w:rFonts w:ascii="Arial" w:eastAsia="Calibri" w:hAnsi="Arial" w:cs="Arial"/>
                <w:sz w:val="22"/>
                <w:szCs w:val="22"/>
                <w:lang w:eastAsia="en-US"/>
              </w:rPr>
              <w:t xml:space="preserve">to date, 2 occurred in June 15 and 1 in July 15.  </w:t>
            </w:r>
          </w:p>
          <w:p w:rsidR="00017A40" w:rsidRPr="00017A40" w:rsidRDefault="00017A40" w:rsidP="00017A40">
            <w:pPr>
              <w:spacing w:line="276" w:lineRule="auto"/>
              <w:jc w:val="both"/>
              <w:rPr>
                <w:rFonts w:ascii="Arial" w:eastAsia="Calibri" w:hAnsi="Arial" w:cs="Arial"/>
                <w:sz w:val="22"/>
                <w:szCs w:val="22"/>
                <w:lang w:eastAsia="en-US"/>
              </w:rPr>
            </w:pPr>
            <w:r w:rsidRPr="00017A40">
              <w:rPr>
                <w:rFonts w:ascii="Arial" w:eastAsia="Calibri" w:hAnsi="Arial" w:cs="Arial"/>
                <w:sz w:val="22"/>
                <w:szCs w:val="22"/>
                <w:lang w:eastAsia="en-US"/>
              </w:rPr>
              <w:t xml:space="preserve">The reports and action plans for the June incidents were reviewed at the SI meeting on 30/09/15, and the outcome report for the incident that took place in July will be reviewed at the SI meeting on 28/10/15. </w:t>
            </w:r>
          </w:p>
          <w:p w:rsidR="00017A40" w:rsidRDefault="00017A40" w:rsidP="00017A40">
            <w:pPr>
              <w:spacing w:line="276" w:lineRule="auto"/>
              <w:jc w:val="both"/>
              <w:rPr>
                <w:rFonts w:ascii="Arial" w:eastAsia="Calibri" w:hAnsi="Arial" w:cs="Arial"/>
                <w:sz w:val="22"/>
                <w:szCs w:val="22"/>
                <w:lang w:eastAsia="en-US"/>
              </w:rPr>
            </w:pPr>
            <w:r w:rsidRPr="00017A40">
              <w:rPr>
                <w:rFonts w:ascii="Arial" w:eastAsia="Calibri" w:hAnsi="Arial" w:cs="Arial"/>
                <w:sz w:val="22"/>
                <w:szCs w:val="22"/>
                <w:lang w:eastAsia="en-US"/>
              </w:rPr>
              <w:t>No significant risks have been identified in relation to the management of these never events.</w:t>
            </w:r>
          </w:p>
          <w:p w:rsidR="000070CC" w:rsidRPr="000070CC" w:rsidRDefault="000070CC" w:rsidP="000070CC">
            <w:pPr>
              <w:spacing w:line="276" w:lineRule="auto"/>
              <w:jc w:val="both"/>
              <w:rPr>
                <w:rFonts w:ascii="Arial" w:eastAsiaTheme="minorHAnsi" w:hAnsi="Arial" w:cs="Arial"/>
                <w:sz w:val="22"/>
                <w:szCs w:val="22"/>
                <w:lang w:eastAsia="en-US"/>
              </w:rPr>
            </w:pPr>
          </w:p>
          <w:p w:rsidR="002124A8" w:rsidRPr="007B57A3" w:rsidRDefault="002124A8" w:rsidP="00DA5437">
            <w:pPr>
              <w:pStyle w:val="Default"/>
              <w:spacing w:line="276" w:lineRule="auto"/>
              <w:jc w:val="both"/>
              <w:rPr>
                <w:rFonts w:eastAsiaTheme="minorHAnsi"/>
                <w:sz w:val="22"/>
                <w:szCs w:val="22"/>
                <w:lang w:eastAsia="en-US"/>
              </w:rPr>
            </w:pPr>
            <w:bookmarkStart w:id="3" w:name="_MON_1497258249"/>
            <w:bookmarkEnd w:id="3"/>
          </w:p>
          <w:p w:rsidR="001555E0" w:rsidRPr="007B57A3" w:rsidRDefault="00361929" w:rsidP="00CF242E">
            <w:pPr>
              <w:spacing w:line="276" w:lineRule="auto"/>
              <w:jc w:val="both"/>
              <w:rPr>
                <w:rFonts w:ascii="Arial" w:hAnsi="Arial" w:cs="Arial"/>
                <w:b/>
                <w:sz w:val="22"/>
                <w:szCs w:val="22"/>
              </w:rPr>
            </w:pPr>
            <w:r w:rsidRPr="007B57A3">
              <w:rPr>
                <w:rFonts w:ascii="Arial" w:hAnsi="Arial" w:cs="Arial"/>
                <w:b/>
                <w:bCs/>
                <w:sz w:val="22"/>
                <w:szCs w:val="22"/>
              </w:rPr>
              <w:t>D</w:t>
            </w:r>
            <w:r w:rsidR="00CF242E" w:rsidRPr="007B57A3">
              <w:rPr>
                <w:rFonts w:ascii="Arial" w:hAnsi="Arial" w:cs="Arial"/>
                <w:b/>
                <w:bCs/>
                <w:sz w:val="22"/>
                <w:szCs w:val="22"/>
              </w:rPr>
              <w:t>.</w:t>
            </w:r>
            <w:r w:rsidR="00830CC4" w:rsidRPr="007B57A3">
              <w:rPr>
                <w:rFonts w:ascii="Arial" w:hAnsi="Arial" w:cs="Arial"/>
                <w:b/>
                <w:bCs/>
                <w:sz w:val="22"/>
                <w:szCs w:val="22"/>
              </w:rPr>
              <w:t xml:space="preserve">  </w:t>
            </w:r>
            <w:r w:rsidR="001555E0" w:rsidRPr="007B57A3">
              <w:rPr>
                <w:rFonts w:ascii="Arial" w:hAnsi="Arial" w:cs="Arial"/>
                <w:b/>
                <w:sz w:val="22"/>
                <w:szCs w:val="22"/>
              </w:rPr>
              <w:t>Standardised Hospital Mortality Index (SHMI)</w:t>
            </w:r>
          </w:p>
          <w:p w:rsidR="00286A2F" w:rsidRPr="007B57A3" w:rsidRDefault="00286A2F" w:rsidP="00830CC4">
            <w:pPr>
              <w:pStyle w:val="Default"/>
              <w:spacing w:line="276" w:lineRule="auto"/>
              <w:jc w:val="both"/>
              <w:rPr>
                <w:sz w:val="22"/>
                <w:szCs w:val="22"/>
              </w:rPr>
            </w:pPr>
          </w:p>
          <w:p w:rsidR="00645866" w:rsidRDefault="00830CC4" w:rsidP="00830CC4">
            <w:pPr>
              <w:pStyle w:val="Default"/>
              <w:spacing w:line="276" w:lineRule="auto"/>
              <w:jc w:val="both"/>
              <w:rPr>
                <w:sz w:val="22"/>
                <w:szCs w:val="22"/>
              </w:rPr>
            </w:pPr>
            <w:r w:rsidRPr="007B57A3">
              <w:rPr>
                <w:sz w:val="22"/>
                <w:szCs w:val="22"/>
              </w:rPr>
              <w:t xml:space="preserve">The </w:t>
            </w:r>
            <w:r w:rsidRPr="007B57A3">
              <w:rPr>
                <w:bCs/>
                <w:sz w:val="22"/>
                <w:szCs w:val="22"/>
              </w:rPr>
              <w:t>North East Lincolnshire CCG</w:t>
            </w:r>
            <w:r w:rsidRPr="007B57A3">
              <w:rPr>
                <w:sz w:val="22"/>
                <w:szCs w:val="22"/>
              </w:rPr>
              <w:t xml:space="preserve"> Mortality </w:t>
            </w:r>
            <w:r w:rsidR="00C3745F">
              <w:rPr>
                <w:sz w:val="22"/>
                <w:szCs w:val="22"/>
              </w:rPr>
              <w:t xml:space="preserve">Steering </w:t>
            </w:r>
            <w:r w:rsidRPr="007B57A3">
              <w:rPr>
                <w:sz w:val="22"/>
                <w:szCs w:val="22"/>
              </w:rPr>
              <w:t>group continues to meet to focus on mortality and</w:t>
            </w:r>
            <w:r w:rsidR="00286A2F" w:rsidRPr="007B57A3">
              <w:rPr>
                <w:sz w:val="22"/>
                <w:szCs w:val="22"/>
              </w:rPr>
              <w:t xml:space="preserve"> </w:t>
            </w:r>
            <w:r w:rsidR="00722DAB">
              <w:rPr>
                <w:sz w:val="22"/>
                <w:szCs w:val="22"/>
              </w:rPr>
              <w:t>reducing potential years of life lost (PYLL) from causes amenable to healthcare</w:t>
            </w:r>
            <w:r w:rsidR="00301CDC">
              <w:rPr>
                <w:sz w:val="22"/>
                <w:szCs w:val="22"/>
              </w:rPr>
              <w:t>,</w:t>
            </w:r>
            <w:r w:rsidR="00722DAB">
              <w:rPr>
                <w:sz w:val="22"/>
                <w:szCs w:val="22"/>
              </w:rPr>
              <w:t xml:space="preserve"> as part of its Mortality Action Plan. </w:t>
            </w:r>
            <w:r w:rsidR="00AD5328">
              <w:rPr>
                <w:sz w:val="22"/>
                <w:szCs w:val="22"/>
              </w:rPr>
              <w:t>Over the last 2 months, t</w:t>
            </w:r>
            <w:r w:rsidR="00722DAB">
              <w:rPr>
                <w:sz w:val="22"/>
                <w:szCs w:val="22"/>
              </w:rPr>
              <w:t>he existing Mortality Action plan has been reviewed and built upon, and is currently in draft format awaiting discussion at the next</w:t>
            </w:r>
            <w:r w:rsidR="00C3745F">
              <w:rPr>
                <w:sz w:val="22"/>
                <w:szCs w:val="22"/>
              </w:rPr>
              <w:t xml:space="preserve"> CCG</w:t>
            </w:r>
            <w:r w:rsidR="00722DAB">
              <w:rPr>
                <w:sz w:val="22"/>
                <w:szCs w:val="22"/>
              </w:rPr>
              <w:t xml:space="preserve"> Mortality </w:t>
            </w:r>
            <w:r w:rsidR="00C3745F">
              <w:rPr>
                <w:sz w:val="22"/>
                <w:szCs w:val="22"/>
              </w:rPr>
              <w:t xml:space="preserve">Steering </w:t>
            </w:r>
            <w:r w:rsidR="00722DAB">
              <w:rPr>
                <w:sz w:val="22"/>
                <w:szCs w:val="22"/>
              </w:rPr>
              <w:t xml:space="preserve">group. </w:t>
            </w:r>
            <w:r w:rsidR="00301CDC">
              <w:rPr>
                <w:sz w:val="22"/>
                <w:szCs w:val="22"/>
              </w:rPr>
              <w:t xml:space="preserve">The new </w:t>
            </w:r>
            <w:r w:rsidR="00645866">
              <w:rPr>
                <w:sz w:val="22"/>
                <w:szCs w:val="22"/>
              </w:rPr>
              <w:t xml:space="preserve">mortality </w:t>
            </w:r>
            <w:r w:rsidR="00301CDC">
              <w:rPr>
                <w:sz w:val="22"/>
                <w:szCs w:val="22"/>
              </w:rPr>
              <w:t xml:space="preserve">action </w:t>
            </w:r>
            <w:r w:rsidR="00645866">
              <w:rPr>
                <w:sz w:val="22"/>
                <w:szCs w:val="22"/>
              </w:rPr>
              <w:t>plan includes some of the existing local actions set, but also draws on</w:t>
            </w:r>
            <w:r w:rsidR="00301CDC">
              <w:rPr>
                <w:sz w:val="22"/>
                <w:szCs w:val="22"/>
              </w:rPr>
              <w:t xml:space="preserve"> national guidance </w:t>
            </w:r>
            <w:r w:rsidR="00AD5328">
              <w:rPr>
                <w:sz w:val="22"/>
                <w:szCs w:val="22"/>
              </w:rPr>
              <w:t xml:space="preserve">from </w:t>
            </w:r>
            <w:r w:rsidR="00301CDC">
              <w:rPr>
                <w:sz w:val="22"/>
                <w:szCs w:val="22"/>
              </w:rPr>
              <w:t>NHSE (</w:t>
            </w:r>
            <w:r w:rsidR="00645866">
              <w:rPr>
                <w:sz w:val="22"/>
                <w:szCs w:val="22"/>
              </w:rPr>
              <w:t>NHS England 2014:</w:t>
            </w:r>
            <w:r w:rsidR="00645866" w:rsidRPr="00645866">
              <w:rPr>
                <w:sz w:val="22"/>
                <w:szCs w:val="22"/>
              </w:rPr>
              <w:t xml:space="preserve"> Our Ambition to Reduce Premature Mortality: resource to support commissioners in setting a level of ambition</w:t>
            </w:r>
            <w:r w:rsidR="00AD5328">
              <w:rPr>
                <w:sz w:val="22"/>
                <w:szCs w:val="22"/>
              </w:rPr>
              <w:t xml:space="preserve">) to reduce mortality. </w:t>
            </w:r>
            <w:r w:rsidR="00645866">
              <w:rPr>
                <w:sz w:val="22"/>
                <w:szCs w:val="22"/>
              </w:rPr>
              <w:t xml:space="preserve">The CCG Mortality </w:t>
            </w:r>
            <w:r w:rsidR="00C3745F">
              <w:rPr>
                <w:sz w:val="22"/>
                <w:szCs w:val="22"/>
              </w:rPr>
              <w:t xml:space="preserve">Steering </w:t>
            </w:r>
            <w:r w:rsidR="00645866">
              <w:rPr>
                <w:sz w:val="22"/>
                <w:szCs w:val="22"/>
              </w:rPr>
              <w:t xml:space="preserve">Group receives the NLG Mortality Report and a member of the CCG Mortality Group is also a member of the NLG </w:t>
            </w:r>
            <w:r w:rsidR="00AD5328">
              <w:rPr>
                <w:sz w:val="22"/>
                <w:szCs w:val="22"/>
              </w:rPr>
              <w:t xml:space="preserve">Mortality </w:t>
            </w:r>
            <w:r w:rsidR="00645866">
              <w:rPr>
                <w:sz w:val="22"/>
                <w:szCs w:val="22"/>
              </w:rPr>
              <w:t>group.</w:t>
            </w:r>
          </w:p>
          <w:p w:rsidR="00722DAB" w:rsidRDefault="00301CDC" w:rsidP="00830CC4">
            <w:pPr>
              <w:pStyle w:val="Default"/>
              <w:spacing w:line="276" w:lineRule="auto"/>
              <w:jc w:val="both"/>
              <w:rPr>
                <w:sz w:val="22"/>
                <w:szCs w:val="22"/>
              </w:rPr>
            </w:pPr>
            <w:r>
              <w:rPr>
                <w:sz w:val="22"/>
                <w:szCs w:val="22"/>
              </w:rPr>
              <w:t xml:space="preserve"> </w:t>
            </w:r>
          </w:p>
          <w:p w:rsidR="00645866" w:rsidRDefault="00645866" w:rsidP="00830CC4">
            <w:pPr>
              <w:pStyle w:val="Default"/>
              <w:spacing w:line="276" w:lineRule="auto"/>
              <w:jc w:val="both"/>
              <w:rPr>
                <w:sz w:val="22"/>
                <w:szCs w:val="22"/>
              </w:rPr>
            </w:pPr>
            <w:r>
              <w:rPr>
                <w:sz w:val="22"/>
                <w:szCs w:val="22"/>
              </w:rPr>
              <w:t xml:space="preserve">Recent SHMI data shows </w:t>
            </w:r>
            <w:r w:rsidR="00AD5328">
              <w:rPr>
                <w:sz w:val="22"/>
                <w:szCs w:val="22"/>
              </w:rPr>
              <w:t xml:space="preserve">that we are in the “higher than expected range”, </w:t>
            </w:r>
            <w:r>
              <w:rPr>
                <w:sz w:val="22"/>
                <w:szCs w:val="22"/>
              </w:rPr>
              <w:t xml:space="preserve">with an increase in </w:t>
            </w:r>
            <w:r w:rsidR="00C3745F">
              <w:rPr>
                <w:sz w:val="22"/>
                <w:szCs w:val="22"/>
              </w:rPr>
              <w:t xml:space="preserve">deaths in </w:t>
            </w:r>
            <w:r>
              <w:rPr>
                <w:sz w:val="22"/>
                <w:szCs w:val="22"/>
              </w:rPr>
              <w:t>community.  In response to this, the CCG are working with NLG to discuss and agr</w:t>
            </w:r>
            <w:r w:rsidR="00C3745F">
              <w:rPr>
                <w:sz w:val="22"/>
                <w:szCs w:val="22"/>
              </w:rPr>
              <w:t>ee the current position, future</w:t>
            </w:r>
            <w:r>
              <w:rPr>
                <w:sz w:val="22"/>
                <w:szCs w:val="22"/>
              </w:rPr>
              <w:t xml:space="preserve"> communications and how they will be managed, and the potential for much closer working between CCG and NLG where there are obvious areas of </w:t>
            </w:r>
            <w:r>
              <w:rPr>
                <w:sz w:val="22"/>
                <w:szCs w:val="22"/>
              </w:rPr>
              <w:lastRenderedPageBreak/>
              <w:t>interface between hospital and community.</w:t>
            </w:r>
            <w:r w:rsidR="00C3745F">
              <w:rPr>
                <w:sz w:val="22"/>
                <w:szCs w:val="22"/>
              </w:rPr>
              <w:t xml:space="preserve"> See full report to the board re SHMI. </w:t>
            </w:r>
          </w:p>
          <w:p w:rsidR="00ED43BD" w:rsidRDefault="00ED43BD" w:rsidP="00830CC4">
            <w:pPr>
              <w:pStyle w:val="Default"/>
              <w:spacing w:line="276" w:lineRule="auto"/>
              <w:jc w:val="both"/>
              <w:rPr>
                <w:sz w:val="22"/>
                <w:szCs w:val="22"/>
              </w:rPr>
            </w:pPr>
          </w:p>
          <w:p w:rsidR="00ED43BD" w:rsidRDefault="00ED43BD" w:rsidP="00ED43BD">
            <w:pPr>
              <w:rPr>
                <w:rFonts w:ascii="Arial" w:hAnsi="Arial" w:cs="Arial"/>
                <w:color w:val="000000"/>
                <w:sz w:val="22"/>
                <w:szCs w:val="22"/>
              </w:rPr>
            </w:pPr>
            <w:r w:rsidRPr="00FB54B5">
              <w:rPr>
                <w:rFonts w:ascii="Arial" w:hAnsi="Arial" w:cs="Arial"/>
                <w:bCs/>
                <w:noProof/>
                <w:sz w:val="22"/>
                <w:szCs w:val="22"/>
              </w:rPr>
              <w:drawing>
                <wp:anchor distT="0" distB="0" distL="114300" distR="114300" simplePos="0" relativeHeight="251660800" behindDoc="0" locked="0" layoutInCell="1" allowOverlap="1" wp14:anchorId="2A4F7125" wp14:editId="44B47474">
                  <wp:simplePos x="0" y="0"/>
                  <wp:positionH relativeFrom="column">
                    <wp:posOffset>2491105</wp:posOffset>
                  </wp:positionH>
                  <wp:positionV relativeFrom="paragraph">
                    <wp:posOffset>34925</wp:posOffset>
                  </wp:positionV>
                  <wp:extent cx="3657600" cy="1993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866" w:rsidRPr="00FB54B5">
              <w:rPr>
                <w:rFonts w:ascii="Arial" w:hAnsi="Arial" w:cs="Arial"/>
                <w:color w:val="000000"/>
                <w:sz w:val="22"/>
                <w:szCs w:val="22"/>
              </w:rPr>
              <w:t>The</w:t>
            </w:r>
            <w:r w:rsidRPr="00FB54B5">
              <w:rPr>
                <w:rFonts w:ascii="Arial" w:hAnsi="Arial" w:cs="Arial"/>
                <w:color w:val="000000"/>
                <w:sz w:val="22"/>
                <w:szCs w:val="22"/>
              </w:rPr>
              <w:t xml:space="preserve"> latest SHMI position (using the HED system for the period May 2014 to April 2015 is a score of 111.5. This is in the ‘higher than expected’ range, </w:t>
            </w:r>
            <w:r w:rsidRPr="00FB54B5">
              <w:rPr>
                <w:rFonts w:ascii="Arial" w:hAnsi="Arial" w:cs="Arial"/>
                <w:sz w:val="22"/>
                <w:szCs w:val="22"/>
              </w:rPr>
              <w:t>and shows a decrease from the April 2014 to March 2015 position (113.2).  This performance leaves the Trust ranked 120 of the 137 NHS provider organisations included within the mortality data set. Of the three hospitals Grimsby had worse mortality ratings over the period (112.7) compared to Scunthorpe (110.7).</w:t>
            </w:r>
          </w:p>
          <w:p w:rsidR="00ED43BD" w:rsidRDefault="00ED43BD" w:rsidP="00ED43BD">
            <w:pPr>
              <w:pStyle w:val="Default"/>
              <w:spacing w:line="276" w:lineRule="auto"/>
              <w:jc w:val="both"/>
              <w:rPr>
                <w:color w:val="auto"/>
                <w:sz w:val="22"/>
                <w:szCs w:val="22"/>
              </w:rPr>
            </w:pPr>
          </w:p>
          <w:p w:rsidR="001B2AE1" w:rsidRDefault="001B2AE1" w:rsidP="00ED43BD">
            <w:pPr>
              <w:pStyle w:val="Default"/>
              <w:spacing w:line="276" w:lineRule="auto"/>
              <w:jc w:val="both"/>
              <w:rPr>
                <w:color w:val="auto"/>
                <w:sz w:val="22"/>
                <w:szCs w:val="22"/>
              </w:rPr>
            </w:pPr>
            <w:r w:rsidRPr="001B2AE1">
              <w:rPr>
                <w:b/>
                <w:color w:val="auto"/>
                <w:sz w:val="22"/>
                <w:szCs w:val="22"/>
              </w:rPr>
              <w:t xml:space="preserve">E. Key Risks </w:t>
            </w:r>
            <w:r w:rsidR="00FB54B5">
              <w:rPr>
                <w:b/>
                <w:color w:val="auto"/>
                <w:sz w:val="22"/>
                <w:szCs w:val="22"/>
              </w:rPr>
              <w:t>with</w:t>
            </w:r>
            <w:r w:rsidRPr="001B2AE1">
              <w:rPr>
                <w:b/>
                <w:color w:val="auto"/>
                <w:sz w:val="22"/>
                <w:szCs w:val="22"/>
              </w:rPr>
              <w:t xml:space="preserve">in </w:t>
            </w:r>
            <w:r w:rsidR="00484A74">
              <w:rPr>
                <w:b/>
                <w:color w:val="auto"/>
                <w:sz w:val="22"/>
                <w:szCs w:val="22"/>
              </w:rPr>
              <w:t xml:space="preserve">main </w:t>
            </w:r>
            <w:r w:rsidRPr="001B2AE1">
              <w:rPr>
                <w:b/>
                <w:color w:val="auto"/>
                <w:sz w:val="22"/>
                <w:szCs w:val="22"/>
              </w:rPr>
              <w:t>providers</w:t>
            </w:r>
            <w:r>
              <w:rPr>
                <w:color w:val="auto"/>
                <w:sz w:val="22"/>
                <w:szCs w:val="22"/>
              </w:rPr>
              <w:t>.</w:t>
            </w:r>
          </w:p>
          <w:p w:rsidR="001B2AE1" w:rsidRDefault="001B2AE1" w:rsidP="001B2AE1">
            <w:pPr>
              <w:pStyle w:val="Default"/>
              <w:jc w:val="both"/>
              <w:rPr>
                <w:b/>
                <w:sz w:val="22"/>
                <w:szCs w:val="22"/>
                <w:u w:val="single"/>
              </w:rPr>
            </w:pPr>
          </w:p>
          <w:p w:rsidR="001B2AE1" w:rsidRPr="001B2AE1" w:rsidRDefault="001B2AE1" w:rsidP="001B2AE1">
            <w:pPr>
              <w:pStyle w:val="Default"/>
              <w:jc w:val="both"/>
              <w:rPr>
                <w:b/>
                <w:sz w:val="22"/>
                <w:szCs w:val="22"/>
                <w:u w:val="single"/>
              </w:rPr>
            </w:pPr>
            <w:r w:rsidRPr="001B2AE1">
              <w:rPr>
                <w:b/>
                <w:sz w:val="22"/>
                <w:szCs w:val="22"/>
                <w:u w:val="single"/>
              </w:rPr>
              <w:t xml:space="preserve">Key risks </w:t>
            </w:r>
            <w:r w:rsidR="00FB54B5">
              <w:rPr>
                <w:b/>
                <w:sz w:val="22"/>
                <w:szCs w:val="22"/>
                <w:u w:val="single"/>
              </w:rPr>
              <w:t xml:space="preserve">- </w:t>
            </w:r>
            <w:r w:rsidRPr="001B2AE1">
              <w:rPr>
                <w:b/>
                <w:sz w:val="22"/>
                <w:szCs w:val="22"/>
                <w:u w:val="single"/>
              </w:rPr>
              <w:t>NLG</w:t>
            </w:r>
          </w:p>
          <w:p w:rsidR="001B2AE1" w:rsidRDefault="001B2AE1" w:rsidP="001B2AE1">
            <w:pPr>
              <w:pStyle w:val="Default"/>
              <w:jc w:val="both"/>
              <w:rPr>
                <w:sz w:val="22"/>
                <w:szCs w:val="22"/>
                <w:u w:val="single"/>
              </w:rPr>
            </w:pPr>
          </w:p>
          <w:p w:rsidR="001B2AE1" w:rsidRPr="001B2AE1" w:rsidRDefault="001B2AE1" w:rsidP="001B2AE1">
            <w:pPr>
              <w:pStyle w:val="Default"/>
              <w:jc w:val="both"/>
              <w:rPr>
                <w:sz w:val="22"/>
                <w:szCs w:val="22"/>
                <w:u w:val="single"/>
              </w:rPr>
            </w:pPr>
            <w:r w:rsidRPr="001B2AE1">
              <w:rPr>
                <w:sz w:val="22"/>
                <w:szCs w:val="22"/>
                <w:u w:val="single"/>
              </w:rPr>
              <w:t xml:space="preserve">Staffing </w:t>
            </w:r>
          </w:p>
          <w:p w:rsidR="001B2AE1" w:rsidRPr="001B2AE1" w:rsidRDefault="001B2AE1" w:rsidP="001B2AE1">
            <w:pPr>
              <w:pStyle w:val="Default"/>
              <w:jc w:val="both"/>
              <w:rPr>
                <w:sz w:val="22"/>
                <w:szCs w:val="22"/>
              </w:rPr>
            </w:pPr>
            <w:r w:rsidRPr="001B2AE1">
              <w:rPr>
                <w:sz w:val="22"/>
                <w:szCs w:val="22"/>
              </w:rPr>
              <w:t xml:space="preserve">The Trust continues to report challenges with staffing (Medical and Nursing staff), specifically the declining position in relation to vacancy rates and difficulties training international nurses. The Trust continues to expand its international recruitment drive.  </w:t>
            </w:r>
          </w:p>
          <w:p w:rsidR="001B2AE1" w:rsidRPr="001B2AE1" w:rsidRDefault="001B2AE1" w:rsidP="001B2AE1">
            <w:pPr>
              <w:pStyle w:val="Default"/>
              <w:jc w:val="both"/>
              <w:rPr>
                <w:sz w:val="22"/>
                <w:szCs w:val="22"/>
              </w:rPr>
            </w:pPr>
          </w:p>
          <w:p w:rsidR="001B2AE1" w:rsidRPr="001B2AE1" w:rsidRDefault="001B2AE1" w:rsidP="001B2AE1">
            <w:pPr>
              <w:pStyle w:val="Default"/>
              <w:jc w:val="both"/>
              <w:rPr>
                <w:sz w:val="22"/>
                <w:szCs w:val="22"/>
                <w:u w:val="single"/>
              </w:rPr>
            </w:pPr>
            <w:r w:rsidRPr="001B2AE1">
              <w:rPr>
                <w:sz w:val="22"/>
                <w:szCs w:val="22"/>
                <w:u w:val="single"/>
              </w:rPr>
              <w:t>NICE guidance</w:t>
            </w:r>
          </w:p>
          <w:p w:rsidR="001B2AE1" w:rsidRPr="001B2AE1" w:rsidRDefault="001B2AE1" w:rsidP="001B2AE1">
            <w:pPr>
              <w:pStyle w:val="Default"/>
              <w:jc w:val="both"/>
              <w:rPr>
                <w:sz w:val="22"/>
                <w:szCs w:val="22"/>
              </w:rPr>
            </w:pPr>
            <w:r w:rsidRPr="001B2AE1">
              <w:rPr>
                <w:sz w:val="22"/>
                <w:szCs w:val="22"/>
              </w:rPr>
              <w:t xml:space="preserve">The target is 90% compliance by March 2015, </w:t>
            </w:r>
            <w:r w:rsidR="00DC5A71">
              <w:rPr>
                <w:sz w:val="22"/>
                <w:szCs w:val="22"/>
              </w:rPr>
              <w:t xml:space="preserve">however </w:t>
            </w:r>
            <w:r w:rsidRPr="001B2AE1">
              <w:rPr>
                <w:sz w:val="22"/>
                <w:szCs w:val="22"/>
              </w:rPr>
              <w:t xml:space="preserve">this was not achieved and the target has </w:t>
            </w:r>
            <w:r w:rsidR="00DC5A71">
              <w:rPr>
                <w:sz w:val="22"/>
                <w:szCs w:val="22"/>
              </w:rPr>
              <w:t xml:space="preserve">now </w:t>
            </w:r>
            <w:r w:rsidRPr="001B2AE1">
              <w:rPr>
                <w:sz w:val="22"/>
                <w:szCs w:val="22"/>
              </w:rPr>
              <w:t xml:space="preserve">been amended to March 2016. </w:t>
            </w:r>
            <w:r w:rsidR="00DC5A71" w:rsidRPr="00DC5A71">
              <w:rPr>
                <w:sz w:val="22"/>
                <w:szCs w:val="22"/>
              </w:rPr>
              <w:t xml:space="preserve">The Trust was fully compliant with 82.3% of NICE guidelines as at 30/09/15. </w:t>
            </w:r>
            <w:r w:rsidR="00DC5A71">
              <w:rPr>
                <w:sz w:val="22"/>
                <w:szCs w:val="22"/>
              </w:rPr>
              <w:t xml:space="preserve">The </w:t>
            </w:r>
            <w:r w:rsidRPr="001B2AE1">
              <w:rPr>
                <w:sz w:val="22"/>
                <w:szCs w:val="22"/>
              </w:rPr>
              <w:t>Quality manager at NL&amp;G is the Trusts Lead on NICE</w:t>
            </w:r>
            <w:r w:rsidR="00C3745F">
              <w:rPr>
                <w:sz w:val="22"/>
                <w:szCs w:val="22"/>
              </w:rPr>
              <w:t xml:space="preserve"> and</w:t>
            </w:r>
            <w:r w:rsidR="00DC5A71">
              <w:rPr>
                <w:sz w:val="22"/>
                <w:szCs w:val="22"/>
              </w:rPr>
              <w:t xml:space="preserve"> </w:t>
            </w:r>
            <w:r w:rsidRPr="001B2AE1">
              <w:rPr>
                <w:sz w:val="22"/>
                <w:szCs w:val="22"/>
              </w:rPr>
              <w:t xml:space="preserve">has reported an improvement in performance over the last 2 months. The biggest challenge relates to the Medicine Health Group, </w:t>
            </w:r>
            <w:r w:rsidR="00C3745F">
              <w:rPr>
                <w:sz w:val="22"/>
                <w:szCs w:val="22"/>
              </w:rPr>
              <w:t xml:space="preserve">and </w:t>
            </w:r>
            <w:r w:rsidRPr="001B2AE1">
              <w:rPr>
                <w:sz w:val="22"/>
                <w:szCs w:val="22"/>
              </w:rPr>
              <w:t xml:space="preserve">Medicine has just undergone a restructure. </w:t>
            </w:r>
          </w:p>
          <w:p w:rsidR="001B2AE1" w:rsidRPr="001B2AE1" w:rsidRDefault="001B2AE1" w:rsidP="001B2AE1">
            <w:pPr>
              <w:pStyle w:val="Default"/>
              <w:jc w:val="both"/>
              <w:rPr>
                <w:sz w:val="22"/>
                <w:szCs w:val="22"/>
              </w:rPr>
            </w:pPr>
          </w:p>
          <w:p w:rsidR="001B2AE1" w:rsidRPr="001B2AE1" w:rsidRDefault="001B2AE1" w:rsidP="001B2AE1">
            <w:pPr>
              <w:pStyle w:val="Default"/>
              <w:jc w:val="both"/>
              <w:rPr>
                <w:sz w:val="22"/>
                <w:szCs w:val="22"/>
                <w:u w:val="single"/>
              </w:rPr>
            </w:pPr>
            <w:r w:rsidRPr="001B2AE1">
              <w:rPr>
                <w:sz w:val="22"/>
                <w:szCs w:val="22"/>
                <w:u w:val="single"/>
              </w:rPr>
              <w:t>Re-opened Complaints</w:t>
            </w:r>
          </w:p>
          <w:p w:rsidR="001B2AE1" w:rsidRPr="001B2AE1" w:rsidRDefault="001B2AE1" w:rsidP="001B2AE1">
            <w:pPr>
              <w:pStyle w:val="Default"/>
              <w:jc w:val="both"/>
              <w:rPr>
                <w:sz w:val="22"/>
                <w:szCs w:val="22"/>
              </w:rPr>
            </w:pPr>
            <w:r w:rsidRPr="001B2AE1">
              <w:rPr>
                <w:sz w:val="22"/>
                <w:szCs w:val="22"/>
              </w:rPr>
              <w:t xml:space="preserve">The number of re-opened complaints is high but the Trust feels that they may need to review the process, </w:t>
            </w:r>
            <w:r w:rsidR="000C53A0">
              <w:rPr>
                <w:sz w:val="22"/>
                <w:szCs w:val="22"/>
              </w:rPr>
              <w:t xml:space="preserve">and </w:t>
            </w:r>
            <w:r w:rsidRPr="001B2AE1">
              <w:rPr>
                <w:sz w:val="22"/>
                <w:szCs w:val="22"/>
              </w:rPr>
              <w:t xml:space="preserve">may be closing the complaints too early as patients often seek additional information that necessitates the compliant being re-opened. The Trust doesn’t feel that the high figure is reflective of activity/patient experience. </w:t>
            </w:r>
          </w:p>
          <w:p w:rsidR="001B2AE1" w:rsidRPr="001B2AE1" w:rsidRDefault="001B2AE1" w:rsidP="001B2AE1">
            <w:pPr>
              <w:pStyle w:val="Default"/>
              <w:jc w:val="both"/>
              <w:rPr>
                <w:sz w:val="22"/>
                <w:szCs w:val="22"/>
              </w:rPr>
            </w:pPr>
          </w:p>
          <w:p w:rsidR="001B2AE1" w:rsidRPr="00FB54B5" w:rsidRDefault="001B2AE1" w:rsidP="00ED43BD">
            <w:pPr>
              <w:pStyle w:val="Default"/>
              <w:spacing w:line="276" w:lineRule="auto"/>
              <w:jc w:val="both"/>
              <w:rPr>
                <w:b/>
                <w:color w:val="auto"/>
                <w:sz w:val="22"/>
                <w:szCs w:val="22"/>
                <w:u w:val="single"/>
              </w:rPr>
            </w:pPr>
            <w:r w:rsidRPr="00FB54B5">
              <w:rPr>
                <w:b/>
                <w:color w:val="auto"/>
                <w:sz w:val="22"/>
                <w:szCs w:val="22"/>
                <w:u w:val="single"/>
              </w:rPr>
              <w:t>Key risks</w:t>
            </w:r>
            <w:r w:rsidR="00FB54B5" w:rsidRPr="00FB54B5">
              <w:rPr>
                <w:b/>
                <w:color w:val="auto"/>
                <w:sz w:val="22"/>
                <w:szCs w:val="22"/>
                <w:u w:val="single"/>
              </w:rPr>
              <w:t xml:space="preserve"> -</w:t>
            </w:r>
            <w:r w:rsidRPr="00FB54B5">
              <w:rPr>
                <w:b/>
                <w:color w:val="auto"/>
                <w:sz w:val="22"/>
                <w:szCs w:val="22"/>
                <w:u w:val="single"/>
              </w:rPr>
              <w:t xml:space="preserve"> HEYH.</w:t>
            </w:r>
          </w:p>
          <w:p w:rsidR="00FB54B5" w:rsidRDefault="00FB54B5" w:rsidP="001B2AE1">
            <w:pPr>
              <w:pStyle w:val="Default"/>
              <w:jc w:val="both"/>
              <w:rPr>
                <w:sz w:val="22"/>
                <w:szCs w:val="22"/>
                <w:u w:val="single"/>
              </w:rPr>
            </w:pPr>
          </w:p>
          <w:p w:rsidR="001B2AE1" w:rsidRPr="00FB54B5" w:rsidRDefault="001B2AE1" w:rsidP="001B2AE1">
            <w:pPr>
              <w:pStyle w:val="Default"/>
              <w:jc w:val="both"/>
              <w:rPr>
                <w:sz w:val="22"/>
                <w:szCs w:val="22"/>
                <w:u w:val="single"/>
              </w:rPr>
            </w:pPr>
            <w:r w:rsidRPr="00FB54B5">
              <w:rPr>
                <w:sz w:val="22"/>
                <w:szCs w:val="22"/>
                <w:u w:val="single"/>
              </w:rPr>
              <w:t>Management of serious incidents</w:t>
            </w:r>
          </w:p>
          <w:p w:rsidR="001B2AE1" w:rsidRPr="001B2AE1" w:rsidRDefault="001B2AE1" w:rsidP="001B2AE1">
            <w:pPr>
              <w:pStyle w:val="Default"/>
              <w:jc w:val="both"/>
              <w:rPr>
                <w:sz w:val="22"/>
                <w:szCs w:val="22"/>
              </w:rPr>
            </w:pPr>
          </w:p>
          <w:p w:rsidR="001B2AE1" w:rsidRPr="001B2AE1" w:rsidRDefault="001B2AE1" w:rsidP="001B2AE1">
            <w:pPr>
              <w:pStyle w:val="Default"/>
              <w:jc w:val="both"/>
              <w:rPr>
                <w:sz w:val="22"/>
                <w:szCs w:val="22"/>
              </w:rPr>
            </w:pPr>
            <w:r w:rsidRPr="001B2AE1">
              <w:rPr>
                <w:sz w:val="22"/>
                <w:szCs w:val="22"/>
              </w:rPr>
              <w:t>Concerns continue to be raised by Commissioners in relation to the Trusts management and monitoring of serious incidents, specifically serious incidents relating to the following:</w:t>
            </w:r>
          </w:p>
          <w:p w:rsidR="001B2AE1" w:rsidRPr="001B2AE1" w:rsidRDefault="001B2AE1" w:rsidP="001B2AE1">
            <w:pPr>
              <w:pStyle w:val="Default"/>
              <w:numPr>
                <w:ilvl w:val="0"/>
                <w:numId w:val="36"/>
              </w:numPr>
              <w:jc w:val="both"/>
              <w:rPr>
                <w:sz w:val="22"/>
                <w:szCs w:val="22"/>
              </w:rPr>
            </w:pPr>
            <w:r w:rsidRPr="001B2AE1">
              <w:rPr>
                <w:sz w:val="22"/>
                <w:szCs w:val="22"/>
              </w:rPr>
              <w:t>Deteriorating patients</w:t>
            </w:r>
          </w:p>
          <w:p w:rsidR="001B2AE1" w:rsidRPr="001B2AE1" w:rsidRDefault="001B2AE1" w:rsidP="001B2AE1">
            <w:pPr>
              <w:pStyle w:val="Default"/>
              <w:numPr>
                <w:ilvl w:val="0"/>
                <w:numId w:val="36"/>
              </w:numPr>
              <w:jc w:val="both"/>
              <w:rPr>
                <w:sz w:val="22"/>
                <w:szCs w:val="22"/>
              </w:rPr>
            </w:pPr>
            <w:r w:rsidRPr="001B2AE1">
              <w:rPr>
                <w:sz w:val="22"/>
                <w:szCs w:val="22"/>
              </w:rPr>
              <w:t>Pressure ulcers (grades 3 &amp; 4 pressure ulcers that led to significant harm to the patient. The Trust has reported 7 x SI’s relating to pressure ulcers since 01/04/15, the Trust has reported issues with staff awareness, leadership on the wads and medical rounds)</w:t>
            </w:r>
          </w:p>
          <w:p w:rsidR="001B2AE1" w:rsidRPr="001B2AE1" w:rsidRDefault="001B2AE1" w:rsidP="001B2AE1">
            <w:pPr>
              <w:pStyle w:val="Default"/>
              <w:numPr>
                <w:ilvl w:val="0"/>
                <w:numId w:val="36"/>
              </w:numPr>
              <w:jc w:val="both"/>
              <w:rPr>
                <w:sz w:val="22"/>
                <w:szCs w:val="22"/>
              </w:rPr>
            </w:pPr>
            <w:r w:rsidRPr="001B2AE1">
              <w:rPr>
                <w:sz w:val="22"/>
                <w:szCs w:val="22"/>
              </w:rPr>
              <w:t>Maternity services</w:t>
            </w:r>
          </w:p>
          <w:p w:rsidR="001B2AE1" w:rsidRPr="001B2AE1" w:rsidRDefault="001B2AE1" w:rsidP="001B2AE1">
            <w:pPr>
              <w:pStyle w:val="Default"/>
              <w:numPr>
                <w:ilvl w:val="0"/>
                <w:numId w:val="36"/>
              </w:numPr>
              <w:jc w:val="both"/>
              <w:rPr>
                <w:sz w:val="22"/>
                <w:szCs w:val="22"/>
              </w:rPr>
            </w:pPr>
            <w:r w:rsidRPr="001B2AE1">
              <w:rPr>
                <w:sz w:val="22"/>
                <w:szCs w:val="22"/>
              </w:rPr>
              <w:t>A&amp;E (N.B. The SI’s were deemed to be of sufficient risk that Hull CCG requested urgent assurance from the Trust immediately after the incidents took place)</w:t>
            </w:r>
          </w:p>
          <w:p w:rsidR="001B2AE1" w:rsidRPr="001B2AE1" w:rsidRDefault="001B2AE1" w:rsidP="001B2AE1">
            <w:pPr>
              <w:pStyle w:val="Default"/>
              <w:jc w:val="both"/>
              <w:rPr>
                <w:sz w:val="22"/>
                <w:szCs w:val="22"/>
              </w:rPr>
            </w:pPr>
          </w:p>
          <w:p w:rsidR="001B2AE1" w:rsidRPr="001B2AE1" w:rsidRDefault="001B2AE1" w:rsidP="001B2AE1">
            <w:pPr>
              <w:pStyle w:val="Default"/>
              <w:jc w:val="both"/>
              <w:rPr>
                <w:sz w:val="22"/>
                <w:szCs w:val="22"/>
              </w:rPr>
            </w:pPr>
            <w:r w:rsidRPr="001B2AE1">
              <w:rPr>
                <w:sz w:val="22"/>
                <w:szCs w:val="22"/>
              </w:rPr>
              <w:t>Commissioners have identified recurrences of serious incidents, suggesting that the Trust has not effectively learned from these SI</w:t>
            </w:r>
            <w:r w:rsidR="00484A74">
              <w:rPr>
                <w:sz w:val="22"/>
                <w:szCs w:val="22"/>
              </w:rPr>
              <w:t>’s,</w:t>
            </w:r>
            <w:r w:rsidRPr="001B2AE1">
              <w:rPr>
                <w:sz w:val="22"/>
                <w:szCs w:val="22"/>
              </w:rPr>
              <w:t xml:space="preserve"> and Commissioners have also identified concerns regarding the timeliness of completion of SI investigations and reporting of SI</w:t>
            </w:r>
            <w:r w:rsidR="00484A74">
              <w:rPr>
                <w:sz w:val="22"/>
                <w:szCs w:val="22"/>
              </w:rPr>
              <w:t>’</w:t>
            </w:r>
            <w:r w:rsidRPr="001B2AE1">
              <w:rPr>
                <w:sz w:val="22"/>
                <w:szCs w:val="22"/>
              </w:rPr>
              <w:t xml:space="preserve">s.  </w:t>
            </w:r>
            <w:r w:rsidRPr="001B2AE1">
              <w:rPr>
                <w:sz w:val="22"/>
                <w:szCs w:val="22"/>
              </w:rPr>
              <w:lastRenderedPageBreak/>
              <w:t xml:space="preserve">NHS Hull CCG and ERYCCG have drafted a joint letter to the Trust highlighting the key areas of concern re management of serious incidents. </w:t>
            </w:r>
          </w:p>
          <w:p w:rsidR="001B2AE1" w:rsidRPr="001B2AE1" w:rsidRDefault="001B2AE1" w:rsidP="001B2AE1">
            <w:pPr>
              <w:pStyle w:val="Default"/>
              <w:jc w:val="both"/>
              <w:rPr>
                <w:sz w:val="22"/>
                <w:szCs w:val="22"/>
              </w:rPr>
            </w:pPr>
          </w:p>
          <w:p w:rsidR="001B2AE1" w:rsidRPr="001B2AE1" w:rsidRDefault="001B2AE1" w:rsidP="001B2AE1">
            <w:pPr>
              <w:pStyle w:val="Default"/>
              <w:jc w:val="both"/>
              <w:rPr>
                <w:sz w:val="22"/>
                <w:szCs w:val="22"/>
                <w:u w:val="single"/>
              </w:rPr>
            </w:pPr>
            <w:r w:rsidRPr="001B2AE1">
              <w:rPr>
                <w:sz w:val="22"/>
                <w:szCs w:val="22"/>
                <w:u w:val="single"/>
              </w:rPr>
              <w:t>Nurse Staffing Risks</w:t>
            </w:r>
          </w:p>
          <w:p w:rsidR="001B2AE1" w:rsidRPr="00484A74" w:rsidRDefault="001B2AE1" w:rsidP="00484A74">
            <w:pPr>
              <w:pStyle w:val="Default"/>
              <w:jc w:val="both"/>
              <w:rPr>
                <w:sz w:val="22"/>
                <w:szCs w:val="22"/>
              </w:rPr>
            </w:pPr>
            <w:r w:rsidRPr="001B2AE1">
              <w:rPr>
                <w:sz w:val="22"/>
                <w:szCs w:val="22"/>
              </w:rPr>
              <w:t xml:space="preserve">Commissioners note that the staff vacancy rate is low but staff turnover is relatively high, this raises questions regarding whether the Trusts establishment is accurate. The Trust is reviewing this and has agreed to provide an update at the HEY CQF meeting </w:t>
            </w:r>
            <w:r w:rsidR="00017A40">
              <w:rPr>
                <w:sz w:val="22"/>
                <w:szCs w:val="22"/>
              </w:rPr>
              <w:t xml:space="preserve">later </w:t>
            </w:r>
            <w:r w:rsidRPr="001B2AE1">
              <w:rPr>
                <w:sz w:val="22"/>
                <w:szCs w:val="22"/>
              </w:rPr>
              <w:t xml:space="preserve">in November 15. </w:t>
            </w:r>
            <w:r w:rsidRPr="001B2AE1">
              <w:rPr>
                <w:color w:val="auto"/>
                <w:sz w:val="22"/>
                <w:szCs w:val="22"/>
              </w:rPr>
              <w:t>Commissioners asked the Trust to clarify whether any themes or trends have been identified between staffing levels and incidents, including any risks identified as a result of this correlation.</w:t>
            </w:r>
          </w:p>
          <w:p w:rsidR="00463727" w:rsidRDefault="00463727" w:rsidP="001B2AE1">
            <w:pPr>
              <w:pStyle w:val="Default"/>
              <w:spacing w:line="276" w:lineRule="auto"/>
              <w:jc w:val="both"/>
              <w:rPr>
                <w:color w:val="auto"/>
                <w:sz w:val="22"/>
                <w:szCs w:val="22"/>
              </w:rPr>
            </w:pPr>
          </w:p>
          <w:p w:rsidR="00463727" w:rsidRPr="00FB54B5" w:rsidRDefault="00FB54B5" w:rsidP="001B2AE1">
            <w:pPr>
              <w:pStyle w:val="Default"/>
              <w:spacing w:line="276" w:lineRule="auto"/>
              <w:jc w:val="both"/>
              <w:rPr>
                <w:b/>
                <w:color w:val="auto"/>
                <w:sz w:val="22"/>
                <w:szCs w:val="22"/>
                <w:u w:val="single"/>
              </w:rPr>
            </w:pPr>
            <w:r w:rsidRPr="00FB54B5">
              <w:rPr>
                <w:b/>
                <w:color w:val="auto"/>
                <w:sz w:val="22"/>
                <w:szCs w:val="22"/>
                <w:u w:val="single"/>
              </w:rPr>
              <w:t xml:space="preserve">Key Risks - </w:t>
            </w:r>
            <w:r w:rsidR="00463727" w:rsidRPr="00FB54B5">
              <w:rPr>
                <w:b/>
                <w:color w:val="auto"/>
                <w:sz w:val="22"/>
                <w:szCs w:val="22"/>
                <w:u w:val="single"/>
              </w:rPr>
              <w:t>EMAS.</w:t>
            </w:r>
          </w:p>
          <w:p w:rsidR="00FB54B5" w:rsidRDefault="00FB54B5" w:rsidP="001B2AE1">
            <w:pPr>
              <w:pStyle w:val="Default"/>
              <w:spacing w:line="276" w:lineRule="auto"/>
              <w:jc w:val="both"/>
              <w:rPr>
                <w:color w:val="auto"/>
                <w:sz w:val="22"/>
                <w:szCs w:val="22"/>
              </w:rPr>
            </w:pPr>
          </w:p>
          <w:p w:rsidR="00C77873" w:rsidRPr="00C77873" w:rsidRDefault="00FB54B5" w:rsidP="00C77873">
            <w:pPr>
              <w:pStyle w:val="Default"/>
              <w:spacing w:line="276" w:lineRule="auto"/>
              <w:jc w:val="both"/>
              <w:rPr>
                <w:color w:val="auto"/>
                <w:sz w:val="22"/>
                <w:szCs w:val="22"/>
              </w:rPr>
            </w:pPr>
            <w:r>
              <w:rPr>
                <w:color w:val="auto"/>
                <w:sz w:val="22"/>
                <w:szCs w:val="22"/>
              </w:rPr>
              <w:t>Delays in clinical handover</w:t>
            </w:r>
            <w:r w:rsidR="00C77873">
              <w:rPr>
                <w:color w:val="auto"/>
                <w:sz w:val="22"/>
                <w:szCs w:val="22"/>
              </w:rPr>
              <w:t xml:space="preserve">. </w:t>
            </w:r>
            <w:r w:rsidR="00C77873" w:rsidRPr="00C77873">
              <w:rPr>
                <w:color w:val="auto"/>
                <w:sz w:val="22"/>
                <w:szCs w:val="22"/>
              </w:rPr>
              <w:t>There are clinical handover delays</w:t>
            </w:r>
            <w:r w:rsidR="00EB7857">
              <w:rPr>
                <w:color w:val="auto"/>
                <w:sz w:val="22"/>
                <w:szCs w:val="22"/>
              </w:rPr>
              <w:t>/breaches</w:t>
            </w:r>
            <w:r w:rsidR="00C77873" w:rsidRPr="00C77873">
              <w:rPr>
                <w:color w:val="auto"/>
                <w:sz w:val="22"/>
                <w:szCs w:val="22"/>
              </w:rPr>
              <w:t>, from ambulance staff to NLG A&amp;E staff</w:t>
            </w:r>
            <w:r w:rsidR="00EB7857">
              <w:rPr>
                <w:color w:val="auto"/>
                <w:sz w:val="22"/>
                <w:szCs w:val="22"/>
              </w:rPr>
              <w:t xml:space="preserve">, </w:t>
            </w:r>
            <w:r w:rsidR="00C77873" w:rsidRPr="00C77873">
              <w:rPr>
                <w:color w:val="auto"/>
                <w:sz w:val="22"/>
                <w:szCs w:val="22"/>
              </w:rPr>
              <w:t xml:space="preserve">and this is affecting performance reported by EMAS. There is a need to understand </w:t>
            </w:r>
            <w:r w:rsidR="0045701C">
              <w:rPr>
                <w:color w:val="auto"/>
                <w:sz w:val="22"/>
                <w:szCs w:val="22"/>
              </w:rPr>
              <w:t xml:space="preserve">and address </w:t>
            </w:r>
            <w:r w:rsidR="00C3745F">
              <w:rPr>
                <w:color w:val="auto"/>
                <w:sz w:val="22"/>
                <w:szCs w:val="22"/>
              </w:rPr>
              <w:t xml:space="preserve">this </w:t>
            </w:r>
            <w:r w:rsidR="00C77873" w:rsidRPr="00C77873">
              <w:rPr>
                <w:color w:val="auto"/>
                <w:sz w:val="22"/>
                <w:szCs w:val="22"/>
              </w:rPr>
              <w:t xml:space="preserve">in preparation for winter. </w:t>
            </w:r>
            <w:r w:rsidR="0045701C">
              <w:rPr>
                <w:color w:val="auto"/>
                <w:sz w:val="22"/>
                <w:szCs w:val="22"/>
              </w:rPr>
              <w:t>A</w:t>
            </w:r>
            <w:r w:rsidR="0045701C" w:rsidRPr="00C77873">
              <w:rPr>
                <w:color w:val="auto"/>
                <w:sz w:val="22"/>
                <w:szCs w:val="22"/>
              </w:rPr>
              <w:t xml:space="preserve"> joint letter will be sent on behalf of the Lead Commissioners to all CCG’s Accountable Officers and S</w:t>
            </w:r>
            <w:r w:rsidR="0045701C">
              <w:rPr>
                <w:color w:val="auto"/>
                <w:sz w:val="22"/>
                <w:szCs w:val="22"/>
              </w:rPr>
              <w:t xml:space="preserve">ystems </w:t>
            </w:r>
            <w:r w:rsidR="0045701C" w:rsidRPr="00C77873">
              <w:rPr>
                <w:color w:val="auto"/>
                <w:sz w:val="22"/>
                <w:szCs w:val="22"/>
              </w:rPr>
              <w:t>R</w:t>
            </w:r>
            <w:r w:rsidR="0045701C">
              <w:rPr>
                <w:color w:val="auto"/>
                <w:sz w:val="22"/>
                <w:szCs w:val="22"/>
              </w:rPr>
              <w:t xml:space="preserve">esilience </w:t>
            </w:r>
            <w:r w:rsidR="0045701C" w:rsidRPr="00C77873">
              <w:rPr>
                <w:color w:val="auto"/>
                <w:sz w:val="22"/>
                <w:szCs w:val="22"/>
              </w:rPr>
              <w:t>G</w:t>
            </w:r>
            <w:r w:rsidR="0045701C">
              <w:rPr>
                <w:color w:val="auto"/>
                <w:sz w:val="22"/>
                <w:szCs w:val="22"/>
              </w:rPr>
              <w:t>roup</w:t>
            </w:r>
            <w:r w:rsidR="0045701C" w:rsidRPr="00C77873">
              <w:rPr>
                <w:color w:val="auto"/>
                <w:sz w:val="22"/>
                <w:szCs w:val="22"/>
              </w:rPr>
              <w:t xml:space="preserve"> </w:t>
            </w:r>
            <w:r w:rsidR="00EB7857">
              <w:rPr>
                <w:color w:val="auto"/>
                <w:sz w:val="22"/>
                <w:szCs w:val="22"/>
              </w:rPr>
              <w:t>chairs outlining the impact of h</w:t>
            </w:r>
            <w:r w:rsidR="0045701C" w:rsidRPr="00C77873">
              <w:rPr>
                <w:color w:val="auto"/>
                <w:sz w:val="22"/>
                <w:szCs w:val="22"/>
              </w:rPr>
              <w:t>a</w:t>
            </w:r>
            <w:r w:rsidR="00EB7857">
              <w:rPr>
                <w:color w:val="auto"/>
                <w:sz w:val="22"/>
                <w:szCs w:val="22"/>
              </w:rPr>
              <w:t>ndover d</w:t>
            </w:r>
            <w:r w:rsidR="0045701C" w:rsidRPr="00C77873">
              <w:rPr>
                <w:color w:val="auto"/>
                <w:sz w:val="22"/>
                <w:szCs w:val="22"/>
              </w:rPr>
              <w:t>elays from a patient risk perspective</w:t>
            </w:r>
            <w:r w:rsidR="0045701C">
              <w:rPr>
                <w:color w:val="auto"/>
                <w:sz w:val="22"/>
                <w:szCs w:val="22"/>
              </w:rPr>
              <w:t>.</w:t>
            </w:r>
            <w:r w:rsidR="00EB7857" w:rsidRPr="0045701C">
              <w:rPr>
                <w:color w:val="auto"/>
                <w:sz w:val="22"/>
                <w:szCs w:val="22"/>
              </w:rPr>
              <w:t xml:space="preserve"> </w:t>
            </w:r>
            <w:r w:rsidR="00EB7857" w:rsidRPr="00C77873">
              <w:rPr>
                <w:color w:val="auto"/>
                <w:sz w:val="22"/>
                <w:szCs w:val="22"/>
              </w:rPr>
              <w:t>NHS England is encouraging Commissioners to impose financial sanctions</w:t>
            </w:r>
            <w:r w:rsidR="00EB7857">
              <w:rPr>
                <w:color w:val="auto"/>
                <w:sz w:val="22"/>
                <w:szCs w:val="22"/>
              </w:rPr>
              <w:t xml:space="preserve"> and </w:t>
            </w:r>
            <w:r w:rsidR="00EB7857" w:rsidRPr="0045701C">
              <w:rPr>
                <w:color w:val="auto"/>
                <w:sz w:val="22"/>
                <w:szCs w:val="22"/>
              </w:rPr>
              <w:t>NL&amp;G has cha</w:t>
            </w:r>
            <w:r w:rsidR="00EB7857">
              <w:rPr>
                <w:color w:val="auto"/>
                <w:sz w:val="22"/>
                <w:szCs w:val="22"/>
              </w:rPr>
              <w:t xml:space="preserve">llenged this, saying </w:t>
            </w:r>
            <w:r w:rsidR="00EB7857" w:rsidRPr="0045701C">
              <w:rPr>
                <w:color w:val="auto"/>
                <w:sz w:val="22"/>
                <w:szCs w:val="22"/>
              </w:rPr>
              <w:t xml:space="preserve">that the </w:t>
            </w:r>
            <w:r w:rsidR="00EB7857">
              <w:rPr>
                <w:color w:val="auto"/>
                <w:sz w:val="22"/>
                <w:szCs w:val="22"/>
              </w:rPr>
              <w:t xml:space="preserve">breach </w:t>
            </w:r>
            <w:r w:rsidR="00EB7857" w:rsidRPr="0045701C">
              <w:rPr>
                <w:color w:val="auto"/>
                <w:sz w:val="22"/>
                <w:szCs w:val="22"/>
              </w:rPr>
              <w:t>data was not validated</w:t>
            </w:r>
            <w:r w:rsidR="00EB7857">
              <w:rPr>
                <w:color w:val="auto"/>
                <w:sz w:val="22"/>
                <w:szCs w:val="22"/>
              </w:rPr>
              <w:t xml:space="preserve">. </w:t>
            </w:r>
            <w:r w:rsidR="00EB7857" w:rsidRPr="0045701C">
              <w:rPr>
                <w:color w:val="auto"/>
                <w:sz w:val="22"/>
                <w:szCs w:val="22"/>
              </w:rPr>
              <w:t>However, EMAS is in the process of implementing a new electronic clinical handover system, which digitally records the time of handover</w:t>
            </w:r>
            <w:r w:rsidR="00EB7857">
              <w:rPr>
                <w:color w:val="auto"/>
                <w:sz w:val="22"/>
                <w:szCs w:val="22"/>
              </w:rPr>
              <w:t>, and i</w:t>
            </w:r>
            <w:r w:rsidR="00EB7857" w:rsidRPr="0045701C">
              <w:rPr>
                <w:color w:val="auto"/>
                <w:sz w:val="22"/>
                <w:szCs w:val="22"/>
              </w:rPr>
              <w:t xml:space="preserve">s expected </w:t>
            </w:r>
            <w:r w:rsidR="00EB7857">
              <w:rPr>
                <w:color w:val="auto"/>
                <w:sz w:val="22"/>
                <w:szCs w:val="22"/>
              </w:rPr>
              <w:t xml:space="preserve">to address </w:t>
            </w:r>
            <w:r w:rsidR="00EB7857" w:rsidRPr="0045701C">
              <w:rPr>
                <w:color w:val="auto"/>
                <w:sz w:val="22"/>
                <w:szCs w:val="22"/>
              </w:rPr>
              <w:t xml:space="preserve">any </w:t>
            </w:r>
            <w:r w:rsidR="00EB7857">
              <w:rPr>
                <w:color w:val="auto"/>
                <w:sz w:val="22"/>
                <w:szCs w:val="22"/>
              </w:rPr>
              <w:t xml:space="preserve">current </w:t>
            </w:r>
            <w:r w:rsidR="00EB7857" w:rsidRPr="0045701C">
              <w:rPr>
                <w:color w:val="auto"/>
                <w:sz w:val="22"/>
                <w:szCs w:val="22"/>
              </w:rPr>
              <w:t>validation issues</w:t>
            </w:r>
            <w:r w:rsidR="00EB7857">
              <w:rPr>
                <w:color w:val="auto"/>
                <w:sz w:val="22"/>
                <w:szCs w:val="22"/>
              </w:rPr>
              <w:t xml:space="preserve">. </w:t>
            </w:r>
            <w:r w:rsidR="00C77873" w:rsidRPr="00C77873">
              <w:rPr>
                <w:color w:val="auto"/>
                <w:sz w:val="22"/>
                <w:szCs w:val="22"/>
              </w:rPr>
              <w:t>NLG have been asked to re</w:t>
            </w:r>
            <w:r w:rsidR="00EB7857">
              <w:rPr>
                <w:color w:val="auto"/>
                <w:sz w:val="22"/>
                <w:szCs w:val="22"/>
              </w:rPr>
              <w:t>port b</w:t>
            </w:r>
            <w:r w:rsidR="00484A74">
              <w:rPr>
                <w:color w:val="auto"/>
                <w:sz w:val="22"/>
                <w:szCs w:val="22"/>
              </w:rPr>
              <w:t>ack to the next Quality Contract R</w:t>
            </w:r>
            <w:r w:rsidR="00C77873" w:rsidRPr="00C77873">
              <w:rPr>
                <w:color w:val="auto"/>
                <w:sz w:val="22"/>
                <w:szCs w:val="22"/>
              </w:rPr>
              <w:t>eview meeting</w:t>
            </w:r>
            <w:r w:rsidR="00EB7857">
              <w:rPr>
                <w:color w:val="auto"/>
                <w:sz w:val="22"/>
                <w:szCs w:val="22"/>
              </w:rPr>
              <w:t xml:space="preserve"> </w:t>
            </w:r>
            <w:r w:rsidR="00C77873" w:rsidRPr="00C77873">
              <w:rPr>
                <w:color w:val="auto"/>
                <w:sz w:val="22"/>
                <w:szCs w:val="22"/>
              </w:rPr>
              <w:t xml:space="preserve">the impact upon patients and how they </w:t>
            </w:r>
            <w:r w:rsidR="00EB7857">
              <w:rPr>
                <w:color w:val="auto"/>
                <w:sz w:val="22"/>
                <w:szCs w:val="22"/>
              </w:rPr>
              <w:t xml:space="preserve">are working to </w:t>
            </w:r>
            <w:r w:rsidR="00C77873" w:rsidRPr="00C77873">
              <w:rPr>
                <w:color w:val="auto"/>
                <w:sz w:val="22"/>
                <w:szCs w:val="22"/>
              </w:rPr>
              <w:t xml:space="preserve">address this issue with EMAS. </w:t>
            </w:r>
          </w:p>
          <w:p w:rsidR="00484A74" w:rsidRDefault="00484A74" w:rsidP="00ED43BD">
            <w:pPr>
              <w:pStyle w:val="Default"/>
              <w:spacing w:line="276" w:lineRule="auto"/>
              <w:jc w:val="both"/>
              <w:rPr>
                <w:color w:val="auto"/>
                <w:sz w:val="22"/>
                <w:szCs w:val="22"/>
              </w:rPr>
            </w:pPr>
          </w:p>
          <w:p w:rsidR="0022758E" w:rsidRPr="007B57A3" w:rsidRDefault="0022758E" w:rsidP="00ED43BD">
            <w:pPr>
              <w:pStyle w:val="Default"/>
              <w:spacing w:line="276" w:lineRule="auto"/>
              <w:jc w:val="both"/>
              <w:rPr>
                <w:color w:val="auto"/>
                <w:sz w:val="22"/>
                <w:szCs w:val="22"/>
              </w:rPr>
            </w:pPr>
          </w:p>
          <w:p w:rsidR="00ED43BD" w:rsidRDefault="00ED43BD" w:rsidP="00ED43BD">
            <w:pPr>
              <w:jc w:val="both"/>
              <w:rPr>
                <w:rFonts w:ascii="Arial" w:hAnsi="Arial" w:cs="Arial"/>
                <w:b/>
                <w:sz w:val="22"/>
                <w:szCs w:val="22"/>
              </w:rPr>
            </w:pPr>
            <w:r w:rsidRPr="007B57A3">
              <w:rPr>
                <w:rFonts w:ascii="Arial" w:hAnsi="Arial" w:cs="Arial"/>
                <w:b/>
                <w:sz w:val="22"/>
                <w:szCs w:val="22"/>
              </w:rPr>
              <w:t>3. Patient and Client Experience</w:t>
            </w:r>
          </w:p>
          <w:p w:rsidR="00ED43BD" w:rsidRPr="007B57A3" w:rsidRDefault="00ED43BD" w:rsidP="00ED43BD">
            <w:pPr>
              <w:jc w:val="both"/>
              <w:rPr>
                <w:rFonts w:ascii="Arial" w:hAnsi="Arial" w:cs="Arial"/>
                <w:b/>
                <w:sz w:val="22"/>
                <w:szCs w:val="22"/>
              </w:rPr>
            </w:pPr>
          </w:p>
          <w:p w:rsidR="0058164C" w:rsidRDefault="00ED43BD" w:rsidP="0058164C">
            <w:pPr>
              <w:spacing w:after="200" w:line="276" w:lineRule="auto"/>
              <w:jc w:val="both"/>
              <w:rPr>
                <w:rFonts w:ascii="Arial" w:eastAsiaTheme="minorHAnsi" w:hAnsi="Arial" w:cs="Arial"/>
                <w:b/>
                <w:sz w:val="22"/>
                <w:szCs w:val="22"/>
                <w:lang w:eastAsia="en-US"/>
              </w:rPr>
            </w:pPr>
            <w:r w:rsidRPr="007B57A3">
              <w:rPr>
                <w:rFonts w:ascii="Arial" w:eastAsiaTheme="minorHAnsi" w:hAnsi="Arial" w:cs="Arial"/>
                <w:b/>
                <w:sz w:val="22"/>
                <w:szCs w:val="22"/>
                <w:lang w:eastAsia="en-US"/>
              </w:rPr>
              <w:t>Friends and Family Test (FFT)</w:t>
            </w:r>
            <w:r w:rsidR="0058164C">
              <w:rPr>
                <w:rFonts w:ascii="Arial" w:eastAsiaTheme="minorHAnsi" w:hAnsi="Arial" w:cs="Arial"/>
                <w:b/>
                <w:sz w:val="22"/>
                <w:szCs w:val="22"/>
                <w:lang w:eastAsia="en-US"/>
              </w:rPr>
              <w:t xml:space="preserve"> </w:t>
            </w:r>
          </w:p>
          <w:p w:rsidR="0058164C" w:rsidRPr="0058164C" w:rsidRDefault="0058164C" w:rsidP="0058164C">
            <w:pPr>
              <w:spacing w:after="200" w:line="276" w:lineRule="auto"/>
              <w:jc w:val="both"/>
              <w:rPr>
                <w:rFonts w:ascii="Arial" w:eastAsiaTheme="minorHAnsi" w:hAnsi="Arial" w:cs="Arial"/>
                <w:sz w:val="22"/>
                <w:szCs w:val="22"/>
                <w:lang w:eastAsia="en-US"/>
              </w:rPr>
            </w:pPr>
            <w:r w:rsidRPr="0058164C">
              <w:rPr>
                <w:rFonts w:ascii="Arial" w:eastAsiaTheme="minorHAnsi" w:hAnsi="Arial" w:cs="Arial"/>
                <w:sz w:val="22"/>
                <w:szCs w:val="22"/>
                <w:lang w:eastAsia="en-US"/>
              </w:rPr>
              <w:t xml:space="preserve">The NHS Friends and Family Test (FFT) </w:t>
            </w:r>
            <w:proofErr w:type="gramStart"/>
            <w:r w:rsidRPr="0058164C">
              <w:rPr>
                <w:rFonts w:ascii="Arial" w:eastAsiaTheme="minorHAnsi" w:hAnsi="Arial" w:cs="Arial"/>
                <w:sz w:val="22"/>
                <w:szCs w:val="22"/>
                <w:lang w:eastAsia="en-US"/>
              </w:rPr>
              <w:t>was</w:t>
            </w:r>
            <w:proofErr w:type="gramEnd"/>
            <w:r w:rsidRPr="0058164C">
              <w:rPr>
                <w:rFonts w:ascii="Arial" w:eastAsiaTheme="minorHAnsi" w:hAnsi="Arial" w:cs="Arial"/>
                <w:sz w:val="22"/>
                <w:szCs w:val="22"/>
                <w:lang w:eastAsia="en-US"/>
              </w:rPr>
              <w:t xml:space="preserve"> created to help service providers and commissioners understand whether their patients are happy with the service provided, or where improvements are needed. It is a quick and anonymous way for patients to provide their views on the care or treatment they have received by answering one simple question:</w:t>
            </w:r>
          </w:p>
          <w:p w:rsidR="00ED43BD" w:rsidRDefault="0058164C" w:rsidP="00ED43BD">
            <w:pPr>
              <w:spacing w:after="200" w:line="276" w:lineRule="auto"/>
              <w:jc w:val="both"/>
              <w:rPr>
                <w:rFonts w:ascii="Arial" w:eastAsiaTheme="minorHAnsi" w:hAnsi="Arial" w:cs="Arial"/>
                <w:i/>
                <w:sz w:val="22"/>
                <w:szCs w:val="22"/>
                <w:lang w:eastAsia="en-US"/>
              </w:rPr>
            </w:pPr>
            <w:r w:rsidRPr="0058164C">
              <w:rPr>
                <w:rFonts w:ascii="Arial" w:eastAsiaTheme="minorHAnsi" w:hAnsi="Arial" w:cs="Arial"/>
                <w:i/>
                <w:sz w:val="22"/>
                <w:szCs w:val="22"/>
                <w:lang w:eastAsia="en-US"/>
              </w:rPr>
              <w:t>“How likely are you to recommend our service to your friends and family if they needed similar care or treatment?”</w:t>
            </w:r>
          </w:p>
          <w:p w:rsidR="008B1BAB" w:rsidRPr="008B1BAB" w:rsidRDefault="008B1BAB" w:rsidP="00ED43BD">
            <w:pPr>
              <w:spacing w:after="200" w:line="276" w:lineRule="auto"/>
              <w:jc w:val="both"/>
              <w:rPr>
                <w:rFonts w:ascii="Arial" w:eastAsiaTheme="minorHAnsi" w:hAnsi="Arial" w:cs="Arial"/>
                <w:sz w:val="22"/>
                <w:szCs w:val="22"/>
                <w:lang w:eastAsia="en-US"/>
              </w:rPr>
            </w:pPr>
            <w:r w:rsidRPr="008B1BAB">
              <w:rPr>
                <w:rFonts w:ascii="Arial" w:eastAsiaTheme="minorHAnsi" w:hAnsi="Arial" w:cs="Arial"/>
                <w:sz w:val="22"/>
                <w:szCs w:val="22"/>
                <w:lang w:eastAsia="en-US"/>
              </w:rPr>
              <w:t>See below some results from FFT.</w:t>
            </w:r>
          </w:p>
          <w:tbl>
            <w:tblPr>
              <w:tblpPr w:leftFromText="180" w:rightFromText="180" w:vertAnchor="text" w:horzAnchor="margin" w:tblpXSpec="right" w:tblpY="12"/>
              <w:tblW w:w="5180" w:type="dxa"/>
              <w:tblLayout w:type="fixed"/>
              <w:tblLook w:val="04A0" w:firstRow="1" w:lastRow="0" w:firstColumn="1" w:lastColumn="0" w:noHBand="0" w:noVBand="1"/>
            </w:tblPr>
            <w:tblGrid>
              <w:gridCol w:w="2680"/>
              <w:gridCol w:w="854"/>
              <w:gridCol w:w="854"/>
              <w:gridCol w:w="792"/>
            </w:tblGrid>
            <w:tr w:rsidR="00ED43BD" w:rsidTr="0018499A">
              <w:trPr>
                <w:trHeight w:val="219"/>
              </w:trPr>
              <w:tc>
                <w:tcPr>
                  <w:tcW w:w="2680" w:type="dxa"/>
                  <w:vMerge w:val="restart"/>
                  <w:tcBorders>
                    <w:top w:val="single" w:sz="8" w:space="0" w:color="787878"/>
                    <w:left w:val="single" w:sz="8" w:space="0" w:color="787878"/>
                    <w:bottom w:val="single" w:sz="8" w:space="0" w:color="78786E"/>
                    <w:right w:val="single" w:sz="8" w:space="0" w:color="787878"/>
                  </w:tcBorders>
                  <w:shd w:val="clear" w:color="000000" w:fill="DCDCDC"/>
                  <w:vAlign w:val="bottom"/>
                  <w:hideMark/>
                </w:tcPr>
                <w:p w:rsidR="00ED43BD" w:rsidRDefault="00ED43BD" w:rsidP="0018499A">
                  <w:pPr>
                    <w:rPr>
                      <w:rFonts w:ascii="Verdana" w:hAnsi="Verdana" w:cs="Calibri"/>
                      <w:b/>
                      <w:bCs/>
                      <w:color w:val="000000"/>
                      <w:sz w:val="16"/>
                      <w:szCs w:val="16"/>
                    </w:rPr>
                  </w:pPr>
                  <w:r>
                    <w:rPr>
                      <w:rFonts w:ascii="Verdana" w:hAnsi="Verdana" w:cs="Calibri"/>
                      <w:b/>
                      <w:bCs/>
                      <w:color w:val="000000"/>
                      <w:sz w:val="16"/>
                      <w:szCs w:val="16"/>
                    </w:rPr>
                    <w:t>Indicator</w:t>
                  </w:r>
                </w:p>
              </w:tc>
              <w:tc>
                <w:tcPr>
                  <w:tcW w:w="2500" w:type="dxa"/>
                  <w:gridSpan w:val="3"/>
                  <w:tcBorders>
                    <w:top w:val="single" w:sz="8" w:space="0" w:color="787878"/>
                    <w:left w:val="nil"/>
                    <w:bottom w:val="single" w:sz="8" w:space="0" w:color="787878"/>
                    <w:right w:val="single" w:sz="8" w:space="0" w:color="787878"/>
                  </w:tcBorders>
                  <w:shd w:val="clear" w:color="000000" w:fill="DCDCDC"/>
                  <w:vAlign w:val="bottom"/>
                  <w:hideMark/>
                </w:tcPr>
                <w:p w:rsidR="00ED43BD" w:rsidRDefault="00ED43BD" w:rsidP="0018499A">
                  <w:pPr>
                    <w:jc w:val="center"/>
                    <w:rPr>
                      <w:rFonts w:ascii="Verdana" w:hAnsi="Verdana" w:cs="Calibri"/>
                      <w:b/>
                      <w:bCs/>
                      <w:color w:val="000000"/>
                      <w:sz w:val="16"/>
                      <w:szCs w:val="16"/>
                    </w:rPr>
                  </w:pPr>
                  <w:r>
                    <w:rPr>
                      <w:rFonts w:ascii="Verdana" w:hAnsi="Verdana" w:cs="Calibri"/>
                      <w:b/>
                      <w:bCs/>
                      <w:color w:val="000000"/>
                      <w:sz w:val="16"/>
                      <w:szCs w:val="16"/>
                    </w:rPr>
                    <w:t>2015/16</w:t>
                  </w:r>
                </w:p>
              </w:tc>
            </w:tr>
            <w:tr w:rsidR="00ED43BD" w:rsidTr="0018499A">
              <w:trPr>
                <w:trHeight w:val="219"/>
              </w:trPr>
              <w:tc>
                <w:tcPr>
                  <w:tcW w:w="2680" w:type="dxa"/>
                  <w:vMerge/>
                  <w:tcBorders>
                    <w:top w:val="single" w:sz="8" w:space="0" w:color="787878"/>
                    <w:left w:val="single" w:sz="8" w:space="0" w:color="787878"/>
                    <w:bottom w:val="single" w:sz="8" w:space="0" w:color="78786E"/>
                    <w:right w:val="single" w:sz="8" w:space="0" w:color="787878"/>
                  </w:tcBorders>
                  <w:vAlign w:val="center"/>
                  <w:hideMark/>
                </w:tcPr>
                <w:p w:rsidR="00ED43BD" w:rsidRDefault="00ED43BD" w:rsidP="0018499A">
                  <w:pPr>
                    <w:rPr>
                      <w:rFonts w:ascii="Verdana" w:hAnsi="Verdana" w:cs="Calibri"/>
                      <w:b/>
                      <w:bCs/>
                      <w:color w:val="000000"/>
                      <w:sz w:val="16"/>
                      <w:szCs w:val="16"/>
                    </w:rPr>
                  </w:pPr>
                </w:p>
              </w:tc>
              <w:tc>
                <w:tcPr>
                  <w:tcW w:w="854" w:type="dxa"/>
                  <w:tcBorders>
                    <w:top w:val="nil"/>
                    <w:left w:val="nil"/>
                    <w:bottom w:val="single" w:sz="8" w:space="0" w:color="787878"/>
                    <w:right w:val="single" w:sz="8" w:space="0" w:color="787878"/>
                  </w:tcBorders>
                  <w:shd w:val="clear" w:color="000000" w:fill="DCDCDC"/>
                  <w:vAlign w:val="bottom"/>
                  <w:hideMark/>
                </w:tcPr>
                <w:p w:rsidR="00ED43BD" w:rsidRDefault="00ED43BD" w:rsidP="0018499A">
                  <w:pPr>
                    <w:jc w:val="center"/>
                    <w:rPr>
                      <w:rFonts w:ascii="Verdana" w:hAnsi="Verdana" w:cs="Calibri"/>
                      <w:b/>
                      <w:bCs/>
                      <w:color w:val="000000"/>
                      <w:sz w:val="16"/>
                      <w:szCs w:val="16"/>
                    </w:rPr>
                  </w:pPr>
                  <w:r>
                    <w:rPr>
                      <w:rFonts w:ascii="Verdana" w:hAnsi="Verdana" w:cs="Calibri"/>
                      <w:b/>
                      <w:bCs/>
                      <w:color w:val="000000"/>
                      <w:sz w:val="16"/>
                      <w:szCs w:val="16"/>
                    </w:rPr>
                    <w:t>Target</w:t>
                  </w:r>
                </w:p>
              </w:tc>
              <w:tc>
                <w:tcPr>
                  <w:tcW w:w="854" w:type="dxa"/>
                  <w:tcBorders>
                    <w:top w:val="nil"/>
                    <w:left w:val="nil"/>
                    <w:bottom w:val="single" w:sz="8" w:space="0" w:color="787878"/>
                    <w:right w:val="single" w:sz="8" w:space="0" w:color="787878"/>
                  </w:tcBorders>
                  <w:shd w:val="clear" w:color="000000" w:fill="DCDCDC"/>
                  <w:vAlign w:val="bottom"/>
                  <w:hideMark/>
                </w:tcPr>
                <w:p w:rsidR="00ED43BD" w:rsidRDefault="00ED43BD" w:rsidP="0018499A">
                  <w:pPr>
                    <w:jc w:val="center"/>
                    <w:rPr>
                      <w:rFonts w:ascii="Verdana" w:hAnsi="Verdana" w:cs="Calibri"/>
                      <w:b/>
                      <w:bCs/>
                      <w:color w:val="000000"/>
                      <w:sz w:val="16"/>
                      <w:szCs w:val="16"/>
                    </w:rPr>
                  </w:pPr>
                  <w:r>
                    <w:rPr>
                      <w:rFonts w:ascii="Verdana" w:hAnsi="Verdana" w:cs="Calibri"/>
                      <w:b/>
                      <w:bCs/>
                      <w:color w:val="000000"/>
                      <w:sz w:val="16"/>
                      <w:szCs w:val="16"/>
                    </w:rPr>
                    <w:t>Value</w:t>
                  </w:r>
                </w:p>
              </w:tc>
              <w:tc>
                <w:tcPr>
                  <w:tcW w:w="792" w:type="dxa"/>
                  <w:tcBorders>
                    <w:top w:val="nil"/>
                    <w:left w:val="nil"/>
                    <w:bottom w:val="single" w:sz="8" w:space="0" w:color="787878"/>
                    <w:right w:val="single" w:sz="8" w:space="0" w:color="787878"/>
                  </w:tcBorders>
                  <w:shd w:val="clear" w:color="000000" w:fill="DCDCDC"/>
                  <w:vAlign w:val="bottom"/>
                  <w:hideMark/>
                </w:tcPr>
                <w:p w:rsidR="00ED43BD" w:rsidRDefault="00ED43BD" w:rsidP="0018499A">
                  <w:pPr>
                    <w:jc w:val="center"/>
                    <w:rPr>
                      <w:rFonts w:ascii="Verdana" w:hAnsi="Verdana" w:cs="Calibri"/>
                      <w:b/>
                      <w:bCs/>
                      <w:color w:val="000000"/>
                      <w:sz w:val="16"/>
                      <w:szCs w:val="16"/>
                    </w:rPr>
                  </w:pPr>
                  <w:r>
                    <w:rPr>
                      <w:rFonts w:ascii="Verdana" w:hAnsi="Verdana" w:cs="Calibri"/>
                      <w:b/>
                      <w:bCs/>
                      <w:color w:val="000000"/>
                      <w:sz w:val="16"/>
                      <w:szCs w:val="16"/>
                    </w:rPr>
                    <w:t>Status</w:t>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Ambulance - % Who would recommend 'PTS' service</w:t>
                  </w:r>
                </w:p>
              </w:tc>
              <w:tc>
                <w:tcPr>
                  <w:tcW w:w="854" w:type="dxa"/>
                  <w:tcBorders>
                    <w:top w:val="single" w:sz="8" w:space="0" w:color="78786E"/>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90.42%</w:t>
                  </w:r>
                </w:p>
              </w:tc>
              <w:tc>
                <w:tcPr>
                  <w:tcW w:w="854" w:type="dxa"/>
                  <w:tcBorders>
                    <w:top w:val="single" w:sz="8" w:space="0" w:color="78786E"/>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95.42%</w:t>
                  </w:r>
                </w:p>
              </w:tc>
              <w:tc>
                <w:tcPr>
                  <w:tcW w:w="792" w:type="dxa"/>
                  <w:tcBorders>
                    <w:top w:val="single" w:sz="8" w:space="0" w:color="78786E"/>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1824" behindDoc="0" locked="0" layoutInCell="1" allowOverlap="1" wp14:anchorId="24CA0382" wp14:editId="74F5544F">
                        <wp:simplePos x="0" y="0"/>
                        <wp:positionH relativeFrom="column">
                          <wp:posOffset>0</wp:posOffset>
                        </wp:positionH>
                        <wp:positionV relativeFrom="paragraph">
                          <wp:posOffset>0</wp:posOffset>
                        </wp:positionV>
                        <wp:extent cx="233045" cy="189865"/>
                        <wp:effectExtent l="0" t="0" r="0" b="635"/>
                        <wp:wrapNone/>
                        <wp:docPr id="5" name="Picture 5"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5"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Ambulance - % Who would recommend 'SAT' service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94.27%</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96.08%</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2848" behindDoc="0" locked="0" layoutInCell="1" allowOverlap="1" wp14:anchorId="02B062D9" wp14:editId="43CCD3F5">
                        <wp:simplePos x="0" y="0"/>
                        <wp:positionH relativeFrom="column">
                          <wp:posOffset>0</wp:posOffset>
                        </wp:positionH>
                        <wp:positionV relativeFrom="paragraph">
                          <wp:posOffset>0</wp:posOffset>
                        </wp:positionV>
                        <wp:extent cx="233045" cy="189865"/>
                        <wp:effectExtent l="0" t="0" r="0" b="635"/>
                        <wp:wrapNone/>
                        <wp:docPr id="13" name="Picture 13"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6"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AAE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88.10%</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84.23%</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3872" behindDoc="0" locked="0" layoutInCell="1" allowOverlap="1" wp14:anchorId="23EC2F88" wp14:editId="36E83080">
                        <wp:simplePos x="0" y="0"/>
                        <wp:positionH relativeFrom="column">
                          <wp:posOffset>0</wp:posOffset>
                        </wp:positionH>
                        <wp:positionV relativeFrom="paragraph">
                          <wp:posOffset>0</wp:posOffset>
                        </wp:positionV>
                        <wp:extent cx="233045" cy="180975"/>
                        <wp:effectExtent l="0" t="0" r="0" b="9525"/>
                        <wp:wrapNone/>
                        <wp:docPr id="14" name="Picture 14"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29" name="Picture 12" descr="https://www.covalentcpm.com/lowRes/big_yellow_triang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Inpatient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95.73%</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96.17%</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4896" behindDoc="0" locked="0" layoutInCell="1" allowOverlap="1" wp14:anchorId="04996BE8" wp14:editId="0CCD48C0">
                        <wp:simplePos x="0" y="0"/>
                        <wp:positionH relativeFrom="column">
                          <wp:posOffset>0</wp:posOffset>
                        </wp:positionH>
                        <wp:positionV relativeFrom="paragraph">
                          <wp:posOffset>0</wp:posOffset>
                        </wp:positionV>
                        <wp:extent cx="233045" cy="189865"/>
                        <wp:effectExtent l="0" t="0" r="0" b="635"/>
                        <wp:wrapNone/>
                        <wp:docPr id="15" name="Picture 15"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2"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Outpatient -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92.20%</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89.21%</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5920" behindDoc="0" locked="0" layoutInCell="1" allowOverlap="1" wp14:anchorId="3A6C9A55" wp14:editId="73698BA3">
                        <wp:simplePos x="0" y="0"/>
                        <wp:positionH relativeFrom="column">
                          <wp:posOffset>0</wp:posOffset>
                        </wp:positionH>
                        <wp:positionV relativeFrom="paragraph">
                          <wp:posOffset>0</wp:posOffset>
                        </wp:positionV>
                        <wp:extent cx="233045" cy="180975"/>
                        <wp:effectExtent l="0" t="0" r="0" b="9525"/>
                        <wp:wrapNone/>
                        <wp:docPr id="16" name="Picture 16"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33" name="Picture 12" descr="https://www.covalentcpm.com/lowRes/big_yellow_triang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Community (CPG)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95.32%</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95.80%</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6944" behindDoc="0" locked="0" layoutInCell="1" allowOverlap="1" wp14:anchorId="331EE779" wp14:editId="43A2DF27">
                        <wp:simplePos x="0" y="0"/>
                        <wp:positionH relativeFrom="column">
                          <wp:posOffset>0</wp:posOffset>
                        </wp:positionH>
                        <wp:positionV relativeFrom="paragraph">
                          <wp:posOffset>0</wp:posOffset>
                        </wp:positionV>
                        <wp:extent cx="233045" cy="189865"/>
                        <wp:effectExtent l="0" t="0" r="0" b="635"/>
                        <wp:wrapNone/>
                        <wp:docPr id="17" name="Picture 17"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5"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lastRenderedPageBreak/>
                    <w:t>FFT - MH % Who would recommend service (NAVIGO)</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87.35%</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93.85%</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7968" behindDoc="0" locked="0" layoutInCell="1" allowOverlap="1" wp14:anchorId="5A57BEF9" wp14:editId="73462E32">
                        <wp:simplePos x="0" y="0"/>
                        <wp:positionH relativeFrom="column">
                          <wp:posOffset>0</wp:posOffset>
                        </wp:positionH>
                        <wp:positionV relativeFrom="paragraph">
                          <wp:posOffset>0</wp:posOffset>
                        </wp:positionV>
                        <wp:extent cx="233045" cy="189865"/>
                        <wp:effectExtent l="0" t="0" r="0" b="635"/>
                        <wp:wrapNone/>
                        <wp:docPr id="18" name="Picture 18"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6"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Maternity - Combined % Who would recommend</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95.64%</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91.78%</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68992" behindDoc="0" locked="0" layoutInCell="1" allowOverlap="1" wp14:anchorId="666728E6" wp14:editId="1E98FFC2">
                        <wp:simplePos x="0" y="0"/>
                        <wp:positionH relativeFrom="column">
                          <wp:posOffset>0</wp:posOffset>
                        </wp:positionH>
                        <wp:positionV relativeFrom="paragraph">
                          <wp:posOffset>0</wp:posOffset>
                        </wp:positionV>
                        <wp:extent cx="233045" cy="180975"/>
                        <wp:effectExtent l="0" t="0" r="0" b="9525"/>
                        <wp:wrapNone/>
                        <wp:docPr id="19" name="Picture 19"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39" name="Picture 12" descr="https://www.covalentcpm.com/lowRes/big_yellow_triang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Employee score</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77.89%</w:t>
                  </w:r>
                </w:p>
              </w:tc>
              <w:tc>
                <w:tcPr>
                  <w:tcW w:w="854"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50.31%</w:t>
                  </w:r>
                </w:p>
              </w:tc>
              <w:tc>
                <w:tcPr>
                  <w:tcW w:w="792"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0016" behindDoc="0" locked="0" layoutInCell="1" allowOverlap="1" wp14:anchorId="6E988725" wp14:editId="6C859631">
                        <wp:simplePos x="0" y="0"/>
                        <wp:positionH relativeFrom="column">
                          <wp:posOffset>0</wp:posOffset>
                        </wp:positionH>
                        <wp:positionV relativeFrom="paragraph">
                          <wp:posOffset>0</wp:posOffset>
                        </wp:positionV>
                        <wp:extent cx="233045" cy="233045"/>
                        <wp:effectExtent l="0" t="0" r="0" b="0"/>
                        <wp:wrapNone/>
                        <wp:docPr id="20" name="Picture 20"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42"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rsidR="00ED43BD" w:rsidRPr="008B1BAB" w:rsidRDefault="00ED43BD" w:rsidP="00ED43BD">
            <w:pPr>
              <w:rPr>
                <w:rFonts w:ascii="Arial" w:eastAsia="Verdana" w:hAnsi="Arial" w:cs="Arial"/>
                <w:b/>
                <w:i/>
                <w:color w:val="000000"/>
                <w:sz w:val="20"/>
                <w:szCs w:val="20"/>
              </w:rPr>
            </w:pPr>
            <w:r w:rsidRPr="008B1BAB">
              <w:rPr>
                <w:rFonts w:ascii="Arial" w:eastAsia="Verdana" w:hAnsi="Arial" w:cs="Arial"/>
                <w:b/>
                <w:i/>
                <w:color w:val="000000"/>
                <w:sz w:val="20"/>
                <w:szCs w:val="20"/>
              </w:rPr>
              <w:t>‘% Who would recommend service’</w:t>
            </w:r>
          </w:p>
          <w:p w:rsidR="00ED43BD" w:rsidRPr="008B1BAB" w:rsidRDefault="00ED43BD" w:rsidP="00ED43BD">
            <w:pPr>
              <w:rPr>
                <w:rFonts w:ascii="Arial" w:eastAsia="Verdana" w:hAnsi="Arial" w:cs="Arial"/>
                <w:color w:val="000000"/>
                <w:sz w:val="20"/>
                <w:szCs w:val="20"/>
              </w:rPr>
            </w:pPr>
            <w:r w:rsidRPr="008B1BAB">
              <w:rPr>
                <w:rFonts w:ascii="Arial" w:eastAsia="Verdana" w:hAnsi="Arial" w:cs="Arial"/>
                <w:color w:val="000000"/>
                <w:sz w:val="20"/>
                <w:szCs w:val="20"/>
              </w:rPr>
              <w:t xml:space="preserve">There are a number of new Friends and Family Test measures which are now reported on including; Ambulance, Outpatient, Community and Mental Health.  </w:t>
            </w:r>
          </w:p>
          <w:p w:rsidR="00ED43BD" w:rsidRPr="008B1BAB" w:rsidRDefault="00ED43BD" w:rsidP="00ED43BD">
            <w:pPr>
              <w:rPr>
                <w:rFonts w:ascii="Arial" w:eastAsia="Verdana" w:hAnsi="Arial" w:cs="Arial"/>
                <w:color w:val="000000"/>
                <w:sz w:val="20"/>
                <w:szCs w:val="20"/>
              </w:rPr>
            </w:pPr>
          </w:p>
          <w:p w:rsidR="00ED43BD" w:rsidRPr="008B1BAB" w:rsidRDefault="00ED43BD" w:rsidP="00776D38">
            <w:pPr>
              <w:rPr>
                <w:rFonts w:ascii="Arial" w:eastAsia="Verdana" w:hAnsi="Arial" w:cs="Arial"/>
                <w:color w:val="000000"/>
                <w:sz w:val="20"/>
                <w:szCs w:val="20"/>
              </w:rPr>
            </w:pPr>
            <w:r w:rsidRPr="008B1BAB">
              <w:rPr>
                <w:rFonts w:ascii="Arial" w:eastAsia="Verdana" w:hAnsi="Arial" w:cs="Arial"/>
                <w:color w:val="000000"/>
                <w:sz w:val="20"/>
                <w:szCs w:val="20"/>
              </w:rPr>
              <w:t>The year to date performance shows we are below target for A&amp;E, Outpatient, Maternity and Staff who would recommend service but above target for Ambulance, Inpatient, Community and Mental Health when looking at how others are performing nationally.</w:t>
            </w:r>
          </w:p>
          <w:p w:rsidR="00ED43BD" w:rsidRPr="008B1BAB" w:rsidRDefault="00ED43BD" w:rsidP="00ED43BD">
            <w:pPr>
              <w:spacing w:after="200" w:line="276" w:lineRule="auto"/>
              <w:jc w:val="both"/>
              <w:rPr>
                <w:rFonts w:ascii="Arial" w:eastAsiaTheme="minorHAnsi" w:hAnsi="Arial" w:cs="Arial"/>
                <w:sz w:val="22"/>
                <w:szCs w:val="22"/>
                <w:lang w:eastAsia="en-US"/>
              </w:rPr>
            </w:pPr>
          </w:p>
          <w:tbl>
            <w:tblPr>
              <w:tblpPr w:leftFromText="180" w:rightFromText="180" w:vertAnchor="text" w:horzAnchor="margin" w:tblpXSpec="right" w:tblpY="31"/>
              <w:tblW w:w="5206" w:type="dxa"/>
              <w:tblLayout w:type="fixed"/>
              <w:tblLook w:val="04A0" w:firstRow="1" w:lastRow="0" w:firstColumn="1" w:lastColumn="0" w:noHBand="0" w:noVBand="1"/>
            </w:tblPr>
            <w:tblGrid>
              <w:gridCol w:w="2694"/>
              <w:gridCol w:w="850"/>
              <w:gridCol w:w="817"/>
              <w:gridCol w:w="845"/>
            </w:tblGrid>
            <w:tr w:rsidR="00ED43BD" w:rsidRPr="008B1BAB" w:rsidTr="0018499A">
              <w:trPr>
                <w:trHeight w:val="189"/>
              </w:trPr>
              <w:tc>
                <w:tcPr>
                  <w:tcW w:w="2694" w:type="dxa"/>
                  <w:vMerge w:val="restart"/>
                  <w:tcBorders>
                    <w:top w:val="single" w:sz="8" w:space="0" w:color="787878"/>
                    <w:left w:val="single" w:sz="8" w:space="0" w:color="787878"/>
                    <w:bottom w:val="single" w:sz="8" w:space="0" w:color="78786E"/>
                    <w:right w:val="single" w:sz="8" w:space="0" w:color="787878"/>
                  </w:tcBorders>
                  <w:shd w:val="clear" w:color="000000" w:fill="DCDCDC"/>
                  <w:vAlign w:val="bottom"/>
                  <w:hideMark/>
                </w:tcPr>
                <w:p w:rsidR="00ED43BD" w:rsidRPr="008B1BAB" w:rsidRDefault="00ED43BD" w:rsidP="0018499A">
                  <w:pPr>
                    <w:rPr>
                      <w:rFonts w:ascii="Verdana" w:hAnsi="Verdana" w:cs="Calibri"/>
                      <w:b/>
                      <w:bCs/>
                      <w:color w:val="000000"/>
                      <w:sz w:val="16"/>
                      <w:szCs w:val="16"/>
                    </w:rPr>
                  </w:pPr>
                  <w:r w:rsidRPr="008B1BAB">
                    <w:rPr>
                      <w:rFonts w:ascii="Verdana" w:hAnsi="Verdana" w:cs="Calibri"/>
                      <w:b/>
                      <w:bCs/>
                      <w:color w:val="000000"/>
                      <w:sz w:val="16"/>
                      <w:szCs w:val="16"/>
                    </w:rPr>
                    <w:t>Indicator</w:t>
                  </w:r>
                </w:p>
              </w:tc>
              <w:tc>
                <w:tcPr>
                  <w:tcW w:w="2512" w:type="dxa"/>
                  <w:gridSpan w:val="3"/>
                  <w:tcBorders>
                    <w:top w:val="single" w:sz="8" w:space="0" w:color="787878"/>
                    <w:left w:val="nil"/>
                    <w:bottom w:val="single" w:sz="8" w:space="0" w:color="787878"/>
                    <w:right w:val="single" w:sz="8" w:space="0" w:color="787878"/>
                  </w:tcBorders>
                  <w:shd w:val="clear" w:color="000000" w:fill="DCDCDC"/>
                  <w:vAlign w:val="bottom"/>
                  <w:hideMark/>
                </w:tcPr>
                <w:p w:rsidR="00ED43BD" w:rsidRPr="008B1BAB" w:rsidRDefault="00ED43BD" w:rsidP="0018499A">
                  <w:pPr>
                    <w:jc w:val="center"/>
                    <w:rPr>
                      <w:rFonts w:ascii="Verdana" w:hAnsi="Verdana" w:cs="Calibri"/>
                      <w:b/>
                      <w:bCs/>
                      <w:color w:val="000000"/>
                      <w:sz w:val="16"/>
                      <w:szCs w:val="16"/>
                    </w:rPr>
                  </w:pPr>
                  <w:r w:rsidRPr="008B1BAB">
                    <w:rPr>
                      <w:rFonts w:ascii="Verdana" w:hAnsi="Verdana" w:cs="Calibri"/>
                      <w:b/>
                      <w:bCs/>
                      <w:color w:val="000000"/>
                      <w:sz w:val="16"/>
                      <w:szCs w:val="16"/>
                    </w:rPr>
                    <w:t>2015/16</w:t>
                  </w:r>
                </w:p>
              </w:tc>
            </w:tr>
            <w:tr w:rsidR="00ED43BD" w:rsidRPr="008B1BAB" w:rsidTr="0018499A">
              <w:trPr>
                <w:trHeight w:val="189"/>
              </w:trPr>
              <w:tc>
                <w:tcPr>
                  <w:tcW w:w="2694" w:type="dxa"/>
                  <w:vMerge/>
                  <w:tcBorders>
                    <w:top w:val="single" w:sz="8" w:space="0" w:color="787878"/>
                    <w:left w:val="single" w:sz="8" w:space="0" w:color="787878"/>
                    <w:bottom w:val="single" w:sz="8" w:space="0" w:color="78786E"/>
                    <w:right w:val="single" w:sz="8" w:space="0" w:color="787878"/>
                  </w:tcBorders>
                  <w:vAlign w:val="center"/>
                  <w:hideMark/>
                </w:tcPr>
                <w:p w:rsidR="00ED43BD" w:rsidRPr="008B1BAB" w:rsidRDefault="00ED43BD" w:rsidP="0018499A">
                  <w:pPr>
                    <w:rPr>
                      <w:rFonts w:ascii="Verdana" w:hAnsi="Verdana" w:cs="Calibri"/>
                      <w:b/>
                      <w:bCs/>
                      <w:color w:val="000000"/>
                      <w:sz w:val="16"/>
                      <w:szCs w:val="16"/>
                    </w:rPr>
                  </w:pPr>
                </w:p>
              </w:tc>
              <w:tc>
                <w:tcPr>
                  <w:tcW w:w="850" w:type="dxa"/>
                  <w:tcBorders>
                    <w:top w:val="nil"/>
                    <w:left w:val="nil"/>
                    <w:bottom w:val="single" w:sz="8" w:space="0" w:color="787878"/>
                    <w:right w:val="single" w:sz="8" w:space="0" w:color="787878"/>
                  </w:tcBorders>
                  <w:shd w:val="clear" w:color="000000" w:fill="DCDCDC"/>
                  <w:vAlign w:val="bottom"/>
                  <w:hideMark/>
                </w:tcPr>
                <w:p w:rsidR="00ED43BD" w:rsidRPr="008B1BAB" w:rsidRDefault="00ED43BD" w:rsidP="0018499A">
                  <w:pPr>
                    <w:jc w:val="center"/>
                    <w:rPr>
                      <w:rFonts w:ascii="Verdana" w:hAnsi="Verdana" w:cs="Calibri"/>
                      <w:b/>
                      <w:bCs/>
                      <w:color w:val="000000"/>
                      <w:sz w:val="16"/>
                      <w:szCs w:val="16"/>
                    </w:rPr>
                  </w:pPr>
                  <w:r w:rsidRPr="008B1BAB">
                    <w:rPr>
                      <w:rFonts w:ascii="Verdana" w:hAnsi="Verdana" w:cs="Calibri"/>
                      <w:b/>
                      <w:bCs/>
                      <w:color w:val="000000"/>
                      <w:sz w:val="16"/>
                      <w:szCs w:val="16"/>
                    </w:rPr>
                    <w:t>Target</w:t>
                  </w:r>
                </w:p>
              </w:tc>
              <w:tc>
                <w:tcPr>
                  <w:tcW w:w="817" w:type="dxa"/>
                  <w:tcBorders>
                    <w:top w:val="nil"/>
                    <w:left w:val="nil"/>
                    <w:bottom w:val="single" w:sz="8" w:space="0" w:color="787878"/>
                    <w:right w:val="single" w:sz="8" w:space="0" w:color="787878"/>
                  </w:tcBorders>
                  <w:shd w:val="clear" w:color="000000" w:fill="DCDCDC"/>
                  <w:vAlign w:val="bottom"/>
                  <w:hideMark/>
                </w:tcPr>
                <w:p w:rsidR="00ED43BD" w:rsidRPr="008B1BAB" w:rsidRDefault="00ED43BD" w:rsidP="0018499A">
                  <w:pPr>
                    <w:jc w:val="center"/>
                    <w:rPr>
                      <w:rFonts w:ascii="Verdana" w:hAnsi="Verdana" w:cs="Calibri"/>
                      <w:b/>
                      <w:bCs/>
                      <w:color w:val="000000"/>
                      <w:sz w:val="16"/>
                      <w:szCs w:val="16"/>
                    </w:rPr>
                  </w:pPr>
                  <w:r w:rsidRPr="008B1BAB">
                    <w:rPr>
                      <w:rFonts w:ascii="Verdana" w:hAnsi="Verdana" w:cs="Calibri"/>
                      <w:b/>
                      <w:bCs/>
                      <w:color w:val="000000"/>
                      <w:sz w:val="16"/>
                      <w:szCs w:val="16"/>
                    </w:rPr>
                    <w:t>Value</w:t>
                  </w:r>
                </w:p>
              </w:tc>
              <w:tc>
                <w:tcPr>
                  <w:tcW w:w="845" w:type="dxa"/>
                  <w:tcBorders>
                    <w:top w:val="nil"/>
                    <w:left w:val="nil"/>
                    <w:bottom w:val="single" w:sz="8" w:space="0" w:color="787878"/>
                    <w:right w:val="single" w:sz="8" w:space="0" w:color="787878"/>
                  </w:tcBorders>
                  <w:shd w:val="clear" w:color="000000" w:fill="DCDCDC"/>
                  <w:vAlign w:val="bottom"/>
                  <w:hideMark/>
                </w:tcPr>
                <w:p w:rsidR="00ED43BD" w:rsidRPr="008B1BAB" w:rsidRDefault="00ED43BD" w:rsidP="0018499A">
                  <w:pPr>
                    <w:jc w:val="center"/>
                    <w:rPr>
                      <w:rFonts w:ascii="Verdana" w:hAnsi="Verdana" w:cs="Calibri"/>
                      <w:b/>
                      <w:bCs/>
                      <w:color w:val="000000"/>
                      <w:sz w:val="16"/>
                      <w:szCs w:val="16"/>
                    </w:rPr>
                  </w:pPr>
                  <w:r w:rsidRPr="008B1BAB">
                    <w:rPr>
                      <w:rFonts w:ascii="Verdana" w:hAnsi="Verdana" w:cs="Calibri"/>
                      <w:b/>
                      <w:bCs/>
                      <w:color w:val="000000"/>
                      <w:sz w:val="16"/>
                      <w:szCs w:val="16"/>
                    </w:rPr>
                    <w:t>Status</w:t>
                  </w:r>
                </w:p>
              </w:tc>
            </w:tr>
            <w:tr w:rsidR="00ED43BD" w:rsidRPr="008B1BAB"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Ambulance Response (PTS)</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0.46%</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0.80%</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1040" behindDoc="0" locked="0" layoutInCell="1" allowOverlap="1" wp14:anchorId="5BDFCA76" wp14:editId="33670A07">
                        <wp:simplePos x="0" y="0"/>
                        <wp:positionH relativeFrom="column">
                          <wp:posOffset>0</wp:posOffset>
                        </wp:positionH>
                        <wp:positionV relativeFrom="paragraph">
                          <wp:posOffset>0</wp:posOffset>
                        </wp:positionV>
                        <wp:extent cx="233045" cy="189865"/>
                        <wp:effectExtent l="0" t="0" r="0" b="635"/>
                        <wp:wrapNone/>
                        <wp:docPr id="21" name="Picture 21"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7"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RPr="008B1BAB"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Ambulance Response (SAT)</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0.17%</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0.82%</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2064" behindDoc="0" locked="0" layoutInCell="1" allowOverlap="1" wp14:anchorId="12F87D5F" wp14:editId="61EE5C48">
                        <wp:simplePos x="0" y="0"/>
                        <wp:positionH relativeFrom="column">
                          <wp:posOffset>0</wp:posOffset>
                        </wp:positionH>
                        <wp:positionV relativeFrom="paragraph">
                          <wp:posOffset>0</wp:posOffset>
                        </wp:positionV>
                        <wp:extent cx="233045" cy="189865"/>
                        <wp:effectExtent l="0" t="0" r="0" b="635"/>
                        <wp:wrapNone/>
                        <wp:docPr id="22" name="Picture 22"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8"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AAE Response (NLAG)</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14.81</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13.1%</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3088" behindDoc="0" locked="0" layoutInCell="1" allowOverlap="1" wp14:anchorId="10572DE5" wp14:editId="7B8867B4">
                        <wp:simplePos x="0" y="0"/>
                        <wp:positionH relativeFrom="column">
                          <wp:posOffset>0</wp:posOffset>
                        </wp:positionH>
                        <wp:positionV relativeFrom="paragraph">
                          <wp:posOffset>0</wp:posOffset>
                        </wp:positionV>
                        <wp:extent cx="233045" cy="233045"/>
                        <wp:effectExtent l="0" t="0" r="0" b="0"/>
                        <wp:wrapNone/>
                        <wp:docPr id="23" name="Picture 23"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0"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Inpatient Response (NLAG)</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27.0%</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19.8%</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4112" behindDoc="0" locked="0" layoutInCell="1" allowOverlap="1" wp14:anchorId="412AEC9D" wp14:editId="26C426B1">
                        <wp:simplePos x="0" y="0"/>
                        <wp:positionH relativeFrom="column">
                          <wp:posOffset>0</wp:posOffset>
                        </wp:positionH>
                        <wp:positionV relativeFrom="paragraph">
                          <wp:posOffset>0</wp:posOffset>
                        </wp:positionV>
                        <wp:extent cx="233045" cy="233045"/>
                        <wp:effectExtent l="0" t="0" r="0" b="0"/>
                        <wp:wrapNone/>
                        <wp:docPr id="24" name="Picture 24"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1"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Outpatient Response</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5.86%</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0.74%</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5136" behindDoc="0" locked="0" layoutInCell="1" allowOverlap="1" wp14:anchorId="486E2E5B" wp14:editId="45F528B5">
                        <wp:simplePos x="0" y="0"/>
                        <wp:positionH relativeFrom="column">
                          <wp:posOffset>0</wp:posOffset>
                        </wp:positionH>
                        <wp:positionV relativeFrom="paragraph">
                          <wp:posOffset>0</wp:posOffset>
                        </wp:positionV>
                        <wp:extent cx="233045" cy="233045"/>
                        <wp:effectExtent l="0" t="0" r="0" b="0"/>
                        <wp:wrapNone/>
                        <wp:docPr id="25" name="Picture 25"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4"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Community Response (CPG)</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3.55%</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1.45%</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7184" behindDoc="0" locked="0" layoutInCell="1" allowOverlap="1" wp14:anchorId="1097CBB4" wp14:editId="2A6E76BC">
                        <wp:simplePos x="0" y="0"/>
                        <wp:positionH relativeFrom="column">
                          <wp:posOffset>0</wp:posOffset>
                        </wp:positionH>
                        <wp:positionV relativeFrom="paragraph">
                          <wp:posOffset>0</wp:posOffset>
                        </wp:positionV>
                        <wp:extent cx="233045" cy="233045"/>
                        <wp:effectExtent l="0" t="0" r="0" b="0"/>
                        <wp:wrapNone/>
                        <wp:docPr id="26" name="Picture 26"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8"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MH Response (NAVIGO)</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2.41%</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13.4%</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6160" behindDoc="0" locked="0" layoutInCell="1" allowOverlap="1" wp14:anchorId="2635D19F" wp14:editId="79B77968">
                        <wp:simplePos x="0" y="0"/>
                        <wp:positionH relativeFrom="column">
                          <wp:posOffset>0</wp:posOffset>
                        </wp:positionH>
                        <wp:positionV relativeFrom="paragraph">
                          <wp:posOffset>0</wp:posOffset>
                        </wp:positionV>
                        <wp:extent cx="233045" cy="189865"/>
                        <wp:effectExtent l="0" t="0" r="0" b="635"/>
                        <wp:wrapNone/>
                        <wp:docPr id="27" name="Picture 27"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7" name="Picture 8" descr="https://www.covalentcpm.com/lowRes/big_green_circle.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ED43BD" w:rsidTr="0018499A">
              <w:trPr>
                <w:trHeight w:val="243"/>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ED43BD" w:rsidRPr="008B1BAB" w:rsidRDefault="00ED43BD" w:rsidP="0018499A">
                  <w:pPr>
                    <w:rPr>
                      <w:rFonts w:ascii="Verdana" w:hAnsi="Verdana" w:cs="Calibri"/>
                      <w:color w:val="000000"/>
                      <w:sz w:val="16"/>
                      <w:szCs w:val="16"/>
                    </w:rPr>
                  </w:pPr>
                  <w:r w:rsidRPr="008B1BAB">
                    <w:rPr>
                      <w:rFonts w:ascii="Verdana" w:hAnsi="Verdana" w:cs="Calibri"/>
                      <w:color w:val="000000"/>
                      <w:sz w:val="16"/>
                      <w:szCs w:val="16"/>
                    </w:rPr>
                    <w:t>FFT - Maternity Response (NLAG) Birth</w:t>
                  </w:r>
                </w:p>
              </w:tc>
              <w:tc>
                <w:tcPr>
                  <w:tcW w:w="850"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22.7%</w:t>
                  </w:r>
                </w:p>
              </w:tc>
              <w:tc>
                <w:tcPr>
                  <w:tcW w:w="817"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color w:val="000000"/>
                      <w:sz w:val="16"/>
                      <w:szCs w:val="16"/>
                    </w:rPr>
                    <w:t>10.0%</w:t>
                  </w:r>
                </w:p>
              </w:tc>
              <w:tc>
                <w:tcPr>
                  <w:tcW w:w="845" w:type="dxa"/>
                  <w:tcBorders>
                    <w:top w:val="nil"/>
                    <w:left w:val="nil"/>
                    <w:bottom w:val="single" w:sz="8" w:space="0" w:color="78786E"/>
                    <w:right w:val="single" w:sz="8" w:space="0" w:color="78786E"/>
                  </w:tcBorders>
                  <w:shd w:val="clear" w:color="000000" w:fill="FFFFFF"/>
                  <w:vAlign w:val="bottom"/>
                  <w:hideMark/>
                </w:tcPr>
                <w:p w:rsidR="00ED43BD" w:rsidRPr="008B1BAB" w:rsidRDefault="00ED43BD" w:rsidP="0018499A">
                  <w:pPr>
                    <w:jc w:val="center"/>
                    <w:rPr>
                      <w:rFonts w:ascii="Verdana" w:hAnsi="Verdana" w:cs="Calibri"/>
                      <w:color w:val="000000"/>
                      <w:sz w:val="16"/>
                      <w:szCs w:val="16"/>
                    </w:rPr>
                  </w:pPr>
                  <w:r w:rsidRPr="008B1BAB">
                    <w:rPr>
                      <w:rFonts w:ascii="Verdana" w:hAnsi="Verdana" w:cs="Calibri"/>
                      <w:noProof/>
                      <w:color w:val="000000"/>
                      <w:sz w:val="16"/>
                      <w:szCs w:val="16"/>
                    </w:rPr>
                    <w:drawing>
                      <wp:anchor distT="0" distB="0" distL="114300" distR="114300" simplePos="0" relativeHeight="251678208" behindDoc="0" locked="0" layoutInCell="1" allowOverlap="1" wp14:anchorId="2CA56803" wp14:editId="6094086A">
                        <wp:simplePos x="0" y="0"/>
                        <wp:positionH relativeFrom="column">
                          <wp:posOffset>0</wp:posOffset>
                        </wp:positionH>
                        <wp:positionV relativeFrom="paragraph">
                          <wp:posOffset>0</wp:posOffset>
                        </wp:positionV>
                        <wp:extent cx="233045" cy="233045"/>
                        <wp:effectExtent l="0" t="0" r="0" b="0"/>
                        <wp:wrapNone/>
                        <wp:docPr id="28" name="Picture 28"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40" name="Picture 13" descr="https://www.covalentcpm.com/lowRes/big_red_octagon.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rsidR="00ED43BD" w:rsidRPr="008B1BAB" w:rsidRDefault="00ED43BD" w:rsidP="00ED43BD">
            <w:pPr>
              <w:rPr>
                <w:rFonts w:ascii="Arial" w:eastAsia="Verdana" w:hAnsi="Arial" w:cs="Arial"/>
                <w:b/>
                <w:i/>
                <w:color w:val="000000"/>
                <w:sz w:val="20"/>
                <w:szCs w:val="20"/>
              </w:rPr>
            </w:pPr>
            <w:r w:rsidRPr="008B1BAB">
              <w:rPr>
                <w:rFonts w:ascii="Arial" w:eastAsia="Verdana" w:hAnsi="Arial" w:cs="Arial"/>
                <w:b/>
                <w:i/>
                <w:color w:val="000000"/>
                <w:sz w:val="20"/>
                <w:szCs w:val="20"/>
              </w:rPr>
              <w:t>‘Response rates’</w:t>
            </w:r>
          </w:p>
          <w:p w:rsidR="00ED43BD" w:rsidRDefault="00ED43BD" w:rsidP="00ED43BD">
            <w:pPr>
              <w:rPr>
                <w:rFonts w:ascii="Arial" w:eastAsia="Verdana" w:hAnsi="Arial" w:cs="Arial"/>
                <w:color w:val="000000"/>
                <w:sz w:val="20"/>
                <w:szCs w:val="20"/>
              </w:rPr>
            </w:pPr>
            <w:r w:rsidRPr="008B1BAB">
              <w:rPr>
                <w:rFonts w:ascii="Arial" w:eastAsia="Verdana" w:hAnsi="Arial" w:cs="Arial"/>
                <w:color w:val="000000"/>
                <w:sz w:val="20"/>
                <w:szCs w:val="20"/>
              </w:rPr>
              <w:t>In respect of response rate currently year to date we are below target for A&amp;E, Inpatient, Outpatient, Community and Maternity (Birth) when looking at how others are performing nationally.</w:t>
            </w:r>
          </w:p>
          <w:p w:rsidR="00ED43BD" w:rsidRDefault="00ED43BD" w:rsidP="00ED43BD">
            <w:pPr>
              <w:spacing w:after="200" w:line="276" w:lineRule="auto"/>
              <w:jc w:val="both"/>
              <w:rPr>
                <w:rFonts w:ascii="Arial" w:eastAsiaTheme="minorHAnsi" w:hAnsi="Arial" w:cs="Arial"/>
                <w:sz w:val="22"/>
                <w:szCs w:val="22"/>
                <w:lang w:eastAsia="en-US"/>
              </w:rPr>
            </w:pPr>
          </w:p>
          <w:p w:rsidR="00ED43BD" w:rsidRDefault="00ED43BD" w:rsidP="00830CC4">
            <w:pPr>
              <w:pStyle w:val="Default"/>
              <w:spacing w:line="276" w:lineRule="auto"/>
              <w:jc w:val="both"/>
              <w:rPr>
                <w:rFonts w:eastAsiaTheme="minorHAnsi"/>
                <w:color w:val="auto"/>
                <w:sz w:val="22"/>
                <w:szCs w:val="22"/>
                <w:lang w:eastAsia="en-US"/>
              </w:rPr>
            </w:pPr>
          </w:p>
          <w:p w:rsidR="00EF676B" w:rsidRDefault="00EF676B" w:rsidP="00830CC4">
            <w:pPr>
              <w:pStyle w:val="Default"/>
              <w:spacing w:line="276" w:lineRule="auto"/>
              <w:jc w:val="both"/>
              <w:rPr>
                <w:sz w:val="22"/>
                <w:szCs w:val="22"/>
              </w:rPr>
            </w:pPr>
          </w:p>
          <w:p w:rsidR="00C3745F" w:rsidRDefault="00C3745F" w:rsidP="008B1BAB">
            <w:pPr>
              <w:spacing w:after="200" w:line="276" w:lineRule="auto"/>
              <w:jc w:val="both"/>
              <w:rPr>
                <w:rFonts w:ascii="Arial" w:eastAsiaTheme="minorHAnsi" w:hAnsi="Arial" w:cs="Arial"/>
                <w:sz w:val="22"/>
                <w:szCs w:val="22"/>
                <w:lang w:eastAsia="en-US"/>
              </w:rPr>
            </w:pPr>
          </w:p>
          <w:p w:rsidR="00C3745F" w:rsidRDefault="00C3745F" w:rsidP="008B1BAB">
            <w:pPr>
              <w:spacing w:after="200" w:line="276" w:lineRule="auto"/>
              <w:jc w:val="both"/>
              <w:rPr>
                <w:rFonts w:ascii="Arial" w:eastAsiaTheme="minorHAnsi" w:hAnsi="Arial" w:cs="Arial"/>
                <w:sz w:val="22"/>
                <w:szCs w:val="22"/>
                <w:lang w:eastAsia="en-US"/>
              </w:rPr>
            </w:pPr>
          </w:p>
          <w:p w:rsidR="00C3745F" w:rsidRDefault="00C3745F" w:rsidP="008B1BAB">
            <w:pPr>
              <w:spacing w:after="200" w:line="276" w:lineRule="auto"/>
              <w:jc w:val="both"/>
              <w:rPr>
                <w:rFonts w:ascii="Arial" w:eastAsiaTheme="minorHAnsi" w:hAnsi="Arial" w:cs="Arial"/>
                <w:sz w:val="22"/>
                <w:szCs w:val="22"/>
                <w:lang w:eastAsia="en-US"/>
              </w:rPr>
            </w:pPr>
          </w:p>
          <w:p w:rsidR="008B1BAB" w:rsidRPr="008B1BAB" w:rsidRDefault="008B1BAB" w:rsidP="008B1BAB">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Commissioners have used </w:t>
            </w:r>
            <w:r w:rsidRPr="008B1BAB">
              <w:rPr>
                <w:rFonts w:ascii="Arial" w:eastAsiaTheme="minorHAnsi" w:hAnsi="Arial" w:cs="Arial"/>
                <w:sz w:val="22"/>
                <w:szCs w:val="22"/>
                <w:lang w:eastAsia="en-US"/>
              </w:rPr>
              <w:t>two approaches with</w:t>
            </w:r>
            <w:r>
              <w:rPr>
                <w:rFonts w:ascii="Arial" w:eastAsiaTheme="minorHAnsi" w:hAnsi="Arial" w:cs="Arial"/>
                <w:sz w:val="22"/>
                <w:szCs w:val="22"/>
                <w:lang w:eastAsia="en-US"/>
              </w:rPr>
              <w:t xml:space="preserve"> NLG and with HEYH </w:t>
            </w:r>
            <w:r w:rsidRPr="008B1BAB">
              <w:rPr>
                <w:rFonts w:ascii="Arial" w:eastAsiaTheme="minorHAnsi" w:hAnsi="Arial" w:cs="Arial"/>
                <w:sz w:val="22"/>
                <w:szCs w:val="22"/>
                <w:lang w:eastAsia="en-US"/>
              </w:rPr>
              <w:t xml:space="preserve">to monitor FFT issues; firstly, via the Trusts CQUIN scheme and secondly, via the Trusts contract management process. </w:t>
            </w:r>
            <w:r>
              <w:rPr>
                <w:rFonts w:ascii="Arial" w:eastAsiaTheme="minorHAnsi" w:hAnsi="Arial" w:cs="Arial"/>
                <w:sz w:val="22"/>
                <w:szCs w:val="22"/>
                <w:lang w:eastAsia="en-US"/>
              </w:rPr>
              <w:t>H</w:t>
            </w:r>
            <w:r w:rsidRPr="008B1BAB">
              <w:rPr>
                <w:rFonts w:ascii="Arial" w:eastAsiaTheme="minorHAnsi" w:hAnsi="Arial" w:cs="Arial"/>
                <w:sz w:val="22"/>
                <w:szCs w:val="22"/>
                <w:lang w:eastAsia="en-US"/>
              </w:rPr>
              <w:t xml:space="preserve">owever the uptake of FFT in both NLG and HEYH, and across all provider departments, does not meet the benchmark set by the national average of 27.6%.  In addition, we currently have limited information to understand what difference or what impact FFT makes in terms of quality of services and care within provider organisations. </w:t>
            </w:r>
          </w:p>
          <w:p w:rsidR="008B1BAB" w:rsidRPr="008B1BAB" w:rsidRDefault="008B1BAB" w:rsidP="008B1BAB">
            <w:pPr>
              <w:spacing w:after="200" w:line="276" w:lineRule="auto"/>
              <w:jc w:val="both"/>
              <w:rPr>
                <w:rFonts w:ascii="Arial" w:eastAsiaTheme="minorHAnsi" w:hAnsi="Arial" w:cs="Arial"/>
                <w:sz w:val="22"/>
                <w:szCs w:val="22"/>
                <w:lang w:eastAsia="en-US"/>
              </w:rPr>
            </w:pPr>
            <w:r w:rsidRPr="008B1BAB">
              <w:rPr>
                <w:rFonts w:ascii="Arial" w:eastAsiaTheme="minorHAnsi" w:hAnsi="Arial" w:cs="Arial"/>
                <w:sz w:val="22"/>
                <w:szCs w:val="22"/>
                <w:lang w:eastAsia="en-US"/>
              </w:rPr>
              <w:t xml:space="preserve">As a CCG we have other additional methods of seeking patient experience and feedback which provide alternative sources of information but currently react to issues rather than seeking out assurance in identified strategic areas.   </w:t>
            </w:r>
          </w:p>
          <w:p w:rsidR="00776D38" w:rsidRPr="007B57A3" w:rsidRDefault="008B1BAB" w:rsidP="00830CC4">
            <w:pPr>
              <w:spacing w:after="200" w:line="276" w:lineRule="auto"/>
              <w:jc w:val="both"/>
              <w:rPr>
                <w:rFonts w:ascii="Arial" w:eastAsiaTheme="minorHAnsi" w:hAnsi="Arial" w:cs="Arial"/>
                <w:sz w:val="22"/>
                <w:szCs w:val="22"/>
                <w:lang w:eastAsia="en-US"/>
              </w:rPr>
            </w:pPr>
            <w:r w:rsidRPr="00EF676B">
              <w:rPr>
                <w:rFonts w:ascii="Arial" w:eastAsiaTheme="minorHAnsi" w:hAnsi="Arial" w:cs="Arial"/>
                <w:sz w:val="22"/>
                <w:szCs w:val="22"/>
                <w:lang w:eastAsia="en-US"/>
              </w:rPr>
              <w:t xml:space="preserve">Going forward, </w:t>
            </w:r>
            <w:r w:rsidR="00EF676B" w:rsidRPr="00EF676B">
              <w:rPr>
                <w:rFonts w:ascii="Arial" w:eastAsiaTheme="minorHAnsi" w:hAnsi="Arial" w:cs="Arial"/>
                <w:sz w:val="22"/>
                <w:szCs w:val="22"/>
                <w:lang w:eastAsia="en-US"/>
              </w:rPr>
              <w:t xml:space="preserve">it is recommended that the Quality Committee, through the development of a Quality Strategy for the CCG, define all methods that should be adopted for collating patient experience and feedback from all providers and not just NLG and HEYH, including site visits which would include speaking to service users present at the time.  The strategy should define how this information would be used </w:t>
            </w:r>
            <w:r w:rsidR="00EF676B">
              <w:rPr>
                <w:rFonts w:ascii="Arial" w:eastAsiaTheme="minorHAnsi" w:hAnsi="Arial" w:cs="Arial"/>
                <w:sz w:val="22"/>
                <w:szCs w:val="22"/>
                <w:lang w:eastAsia="en-US"/>
              </w:rPr>
              <w:t xml:space="preserve">by the CCG and how providers define what difference the feedback has made. </w:t>
            </w:r>
          </w:p>
        </w:tc>
      </w:tr>
      <w:tr w:rsidR="000F5290" w:rsidRPr="007B57A3" w:rsidTr="002124A8">
        <w:trPr>
          <w:trHeight w:val="57"/>
        </w:trPr>
        <w:tc>
          <w:tcPr>
            <w:tcW w:w="9180" w:type="dxa"/>
            <w:gridSpan w:val="2"/>
            <w:shd w:val="clear" w:color="auto" w:fill="auto"/>
          </w:tcPr>
          <w:p w:rsidR="000F5290" w:rsidRPr="007B57A3" w:rsidRDefault="000F5290" w:rsidP="00DA5437">
            <w:pPr>
              <w:spacing w:line="276" w:lineRule="auto"/>
              <w:jc w:val="both"/>
              <w:rPr>
                <w:rFonts w:ascii="Arial" w:hAnsi="Arial" w:cs="Arial"/>
                <w:bCs/>
                <w:sz w:val="22"/>
                <w:szCs w:val="22"/>
              </w:rPr>
            </w:pPr>
          </w:p>
        </w:tc>
      </w:tr>
    </w:tbl>
    <w:p w:rsidR="00A03A97" w:rsidRPr="002B4829"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2B4829" w:rsidTr="00DD7564">
        <w:trPr>
          <w:trHeight w:val="787"/>
        </w:trPr>
        <w:tc>
          <w:tcPr>
            <w:tcW w:w="9889" w:type="dxa"/>
            <w:gridSpan w:val="3"/>
            <w:shd w:val="clear" w:color="auto" w:fill="auto"/>
          </w:tcPr>
          <w:p w:rsidR="006A2E19" w:rsidRPr="002B4829" w:rsidRDefault="006A2E19" w:rsidP="00DA5437">
            <w:pPr>
              <w:spacing w:line="276" w:lineRule="auto"/>
              <w:jc w:val="both"/>
              <w:rPr>
                <w:rFonts w:ascii="Arial" w:hAnsi="Arial" w:cs="Arial"/>
                <w:b/>
                <w:bCs/>
                <w:sz w:val="22"/>
                <w:szCs w:val="22"/>
              </w:rPr>
            </w:pPr>
          </w:p>
          <w:p w:rsidR="006A2E19" w:rsidRPr="002B4829" w:rsidRDefault="006A2E19" w:rsidP="00DA5437">
            <w:pPr>
              <w:spacing w:line="276" w:lineRule="auto"/>
              <w:jc w:val="both"/>
              <w:rPr>
                <w:rFonts w:ascii="Arial" w:hAnsi="Arial" w:cs="Arial"/>
                <w:b/>
                <w:bCs/>
                <w:sz w:val="22"/>
                <w:szCs w:val="22"/>
              </w:rPr>
            </w:pPr>
            <w:r w:rsidRPr="002B4829">
              <w:rPr>
                <w:rFonts w:ascii="Arial" w:hAnsi="Arial" w:cs="Arial"/>
                <w:b/>
                <w:bCs/>
                <w:sz w:val="22"/>
                <w:szCs w:val="22"/>
              </w:rPr>
              <w:t xml:space="preserve">RECOMMENDATIONS (R) AND ACTIONS (A) FOR AGREEMENT </w:t>
            </w:r>
          </w:p>
          <w:p w:rsidR="00AF1211" w:rsidRPr="002B4829" w:rsidRDefault="00AF1211" w:rsidP="00DA5437">
            <w:pPr>
              <w:spacing w:line="276" w:lineRule="auto"/>
              <w:jc w:val="both"/>
              <w:rPr>
                <w:rFonts w:ascii="Arial" w:hAnsi="Arial" w:cs="Arial"/>
                <w:b/>
                <w:bCs/>
                <w:sz w:val="22"/>
                <w:szCs w:val="22"/>
              </w:rPr>
            </w:pPr>
          </w:p>
        </w:tc>
      </w:tr>
      <w:tr w:rsidR="00DD689C" w:rsidRPr="002B4829" w:rsidTr="00DD7564">
        <w:trPr>
          <w:trHeight w:val="370"/>
        </w:trPr>
        <w:tc>
          <w:tcPr>
            <w:tcW w:w="658" w:type="dxa"/>
            <w:shd w:val="clear" w:color="auto" w:fill="auto"/>
          </w:tcPr>
          <w:p w:rsidR="00DD689C" w:rsidRPr="002B4829" w:rsidRDefault="00DD689C" w:rsidP="00DA5437">
            <w:pPr>
              <w:spacing w:line="276" w:lineRule="auto"/>
              <w:jc w:val="both"/>
              <w:rPr>
                <w:rFonts w:ascii="Arial" w:hAnsi="Arial" w:cs="Arial"/>
                <w:bCs/>
                <w:sz w:val="22"/>
                <w:szCs w:val="22"/>
              </w:rPr>
            </w:pPr>
          </w:p>
        </w:tc>
        <w:tc>
          <w:tcPr>
            <w:tcW w:w="6820" w:type="dxa"/>
            <w:shd w:val="clear" w:color="auto" w:fill="auto"/>
          </w:tcPr>
          <w:p w:rsidR="00DD689C" w:rsidRDefault="00EA2B4C" w:rsidP="00A44E34">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w:t>
            </w:r>
            <w:r w:rsidR="00A44E34">
              <w:rPr>
                <w:rFonts w:ascii="Arial" w:hAnsi="Arial" w:cs="Arial"/>
                <w:bCs/>
                <w:sz w:val="22"/>
                <w:szCs w:val="22"/>
              </w:rPr>
              <w:t>.</w:t>
            </w:r>
          </w:p>
          <w:p w:rsidR="00A44E34" w:rsidRPr="002B4829" w:rsidRDefault="00A44E34" w:rsidP="00A44E34">
            <w:pPr>
              <w:spacing w:line="276" w:lineRule="auto"/>
              <w:jc w:val="both"/>
              <w:rPr>
                <w:rFonts w:ascii="Arial" w:hAnsi="Arial" w:cs="Arial"/>
                <w:bCs/>
                <w:sz w:val="22"/>
                <w:szCs w:val="22"/>
              </w:rPr>
            </w:pPr>
          </w:p>
        </w:tc>
        <w:tc>
          <w:tcPr>
            <w:tcW w:w="2411" w:type="dxa"/>
            <w:shd w:val="clear" w:color="auto" w:fill="auto"/>
          </w:tcPr>
          <w:p w:rsidR="00DD689C" w:rsidRPr="002B4829"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2B4829" w:rsidTr="00434960">
        <w:trPr>
          <w:trHeight w:val="822"/>
          <w:tblHeader/>
        </w:trPr>
        <w:tc>
          <w:tcPr>
            <w:tcW w:w="720"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2B4829"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Yes/No</w:t>
            </w:r>
            <w:r w:rsidRPr="002B4829">
              <w:rPr>
                <w:rFonts w:ascii="Arial" w:hAnsi="Arial" w:cs="Arial"/>
                <w:b/>
                <w:sz w:val="22"/>
                <w:szCs w:val="22"/>
              </w:rPr>
              <w:br/>
            </w:r>
          </w:p>
        </w:tc>
        <w:tc>
          <w:tcPr>
            <w:tcW w:w="3118" w:type="dxa"/>
            <w:shd w:val="clear" w:color="auto" w:fill="C0C0C0"/>
            <w:vAlign w:val="center"/>
          </w:tcPr>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Comments</w:t>
            </w: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document take account of and meet the requirements of the following:</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Mental Capacity Act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CCG  Equality Impact Assessment</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Human Rights Act 1998</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Health and Safety at Work Act 1974</w:t>
            </w:r>
          </w:p>
        </w:tc>
        <w:tc>
          <w:tcPr>
            <w:tcW w:w="1134" w:type="dxa"/>
            <w:shd w:val="clear" w:color="auto" w:fill="auto"/>
          </w:tcPr>
          <w:p w:rsidR="00434960" w:rsidRPr="002B4829" w:rsidRDefault="00CF242E" w:rsidP="00434960">
            <w:pPr>
              <w:spacing w:before="80" w:after="80"/>
              <w:jc w:val="center"/>
              <w:rPr>
                <w:rFonts w:ascii="Arial" w:hAnsi="Arial" w:cs="Arial"/>
                <w:sz w:val="22"/>
                <w:szCs w:val="22"/>
              </w:rPr>
            </w:pPr>
            <w:r>
              <w:rPr>
                <w:rFonts w:ascii="Arial" w:hAnsi="Arial" w:cs="Arial"/>
                <w:sz w:val="22"/>
                <w:szCs w:val="22"/>
              </w:rPr>
              <w:t>n/a</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Freedom of Information Act 2000 / Data Protection Act 1998</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report have regard of the principles and values of the NHS Constitution?</w:t>
            </w:r>
          </w:p>
          <w:p w:rsidR="00434960" w:rsidRPr="002B4829" w:rsidRDefault="008E4105" w:rsidP="00434960">
            <w:pPr>
              <w:spacing w:before="80" w:after="80"/>
              <w:rPr>
                <w:rFonts w:ascii="Arial" w:hAnsi="Arial" w:cs="Arial"/>
                <w:sz w:val="22"/>
                <w:szCs w:val="22"/>
              </w:rPr>
            </w:pPr>
            <w:hyperlink r:id="rId14" w:history="1">
              <w:r w:rsidR="00434960" w:rsidRPr="002B4829">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5"/>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05" w:rsidRDefault="008E4105">
      <w:r>
        <w:separator/>
      </w:r>
    </w:p>
  </w:endnote>
  <w:endnote w:type="continuationSeparator" w:id="0">
    <w:p w:rsidR="008E4105" w:rsidRDefault="008E4105">
      <w:r>
        <w:continuationSeparator/>
      </w:r>
    </w:p>
  </w:endnote>
  <w:endnote w:type="continuationNotice" w:id="1">
    <w:p w:rsidR="008E4105" w:rsidRDefault="008E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7F3D4C" w:rsidRDefault="007F3D4C">
        <w:pPr>
          <w:pStyle w:val="Footer"/>
          <w:jc w:val="right"/>
        </w:pPr>
        <w:r>
          <w:fldChar w:fldCharType="begin"/>
        </w:r>
        <w:r>
          <w:instrText xml:space="preserve"> PAGE   \* MERGEFORMAT </w:instrText>
        </w:r>
        <w:r>
          <w:fldChar w:fldCharType="separate"/>
        </w:r>
        <w:r w:rsidR="001C46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05" w:rsidRDefault="008E4105">
      <w:r>
        <w:separator/>
      </w:r>
    </w:p>
  </w:footnote>
  <w:footnote w:type="continuationSeparator" w:id="0">
    <w:p w:rsidR="008E4105" w:rsidRDefault="008E4105">
      <w:r>
        <w:continuationSeparator/>
      </w:r>
    </w:p>
  </w:footnote>
  <w:footnote w:type="continuationNotice" w:id="1">
    <w:p w:rsidR="008E4105" w:rsidRDefault="008E41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E5F67"/>
    <w:multiLevelType w:val="hybridMultilevel"/>
    <w:tmpl w:val="77AC5D4C"/>
    <w:lvl w:ilvl="0" w:tplc="560A4FA2">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9C464E4"/>
    <w:multiLevelType w:val="hybridMultilevel"/>
    <w:tmpl w:val="79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A1852"/>
    <w:multiLevelType w:val="hybridMultilevel"/>
    <w:tmpl w:val="94D675B2"/>
    <w:lvl w:ilvl="0" w:tplc="D57C80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F2064"/>
    <w:multiLevelType w:val="hybridMultilevel"/>
    <w:tmpl w:val="C226E2C6"/>
    <w:lvl w:ilvl="0" w:tplc="A90CE0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2">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B00EA"/>
    <w:multiLevelType w:val="hybridMultilevel"/>
    <w:tmpl w:val="FB9C1AA2"/>
    <w:lvl w:ilvl="0" w:tplc="4AD05E46">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F15D06"/>
    <w:multiLevelType w:val="hybridMultilevel"/>
    <w:tmpl w:val="DB8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A72CB8"/>
    <w:multiLevelType w:val="hybridMultilevel"/>
    <w:tmpl w:val="845665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1E628C"/>
    <w:multiLevelType w:val="multilevel"/>
    <w:tmpl w:val="A19A2A52"/>
    <w:lvl w:ilvl="0">
      <w:start w:val="1"/>
      <w:numFmt w:val="decimal"/>
      <w:lvlText w:val="%1."/>
      <w:lvlJc w:val="left"/>
      <w:pPr>
        <w:ind w:left="6456" w:hanging="360"/>
      </w:pPr>
    </w:lvl>
    <w:lvl w:ilvl="1">
      <w:start w:val="1"/>
      <w:numFmt w:val="decimal"/>
      <w:lvlText w:val="%2."/>
      <w:lvlJc w:val="left"/>
      <w:pPr>
        <w:ind w:left="999" w:hanging="432"/>
      </w:p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95157A"/>
    <w:multiLevelType w:val="hybridMultilevel"/>
    <w:tmpl w:val="18C0FBE6"/>
    <w:lvl w:ilvl="0" w:tplc="9D880C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2">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A74D9"/>
    <w:multiLevelType w:val="hybridMultilevel"/>
    <w:tmpl w:val="F0B2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0"/>
  </w:num>
  <w:num w:numId="4">
    <w:abstractNumId w:val="39"/>
  </w:num>
  <w:num w:numId="5">
    <w:abstractNumId w:val="29"/>
  </w:num>
  <w:num w:numId="6">
    <w:abstractNumId w:val="35"/>
  </w:num>
  <w:num w:numId="7">
    <w:abstractNumId w:val="4"/>
  </w:num>
  <w:num w:numId="8">
    <w:abstractNumId w:val="28"/>
  </w:num>
  <w:num w:numId="9">
    <w:abstractNumId w:val="31"/>
  </w:num>
  <w:num w:numId="10">
    <w:abstractNumId w:val="7"/>
  </w:num>
  <w:num w:numId="11">
    <w:abstractNumId w:val="14"/>
  </w:num>
  <w:num w:numId="12">
    <w:abstractNumId w:val="34"/>
  </w:num>
  <w:num w:numId="13">
    <w:abstractNumId w:val="24"/>
  </w:num>
  <w:num w:numId="14">
    <w:abstractNumId w:val="2"/>
  </w:num>
  <w:num w:numId="15">
    <w:abstractNumId w:val="26"/>
  </w:num>
  <w:num w:numId="16">
    <w:abstractNumId w:val="15"/>
  </w:num>
  <w:num w:numId="17">
    <w:abstractNumId w:val="30"/>
  </w:num>
  <w:num w:numId="18">
    <w:abstractNumId w:val="25"/>
  </w:num>
  <w:num w:numId="19">
    <w:abstractNumId w:val="36"/>
  </w:num>
  <w:num w:numId="20">
    <w:abstractNumId w:val="13"/>
  </w:num>
  <w:num w:numId="21">
    <w:abstractNumId w:val="12"/>
  </w:num>
  <w:num w:numId="22">
    <w:abstractNumId w:val="21"/>
  </w:num>
  <w:num w:numId="23">
    <w:abstractNumId w:val="6"/>
  </w:num>
  <w:num w:numId="24">
    <w:abstractNumId w:val="11"/>
  </w:num>
  <w:num w:numId="25">
    <w:abstractNumId w:val="18"/>
  </w:num>
  <w:num w:numId="26">
    <w:abstractNumId w:val="27"/>
  </w:num>
  <w:num w:numId="27">
    <w:abstractNumId w:val="17"/>
  </w:num>
  <w:num w:numId="28">
    <w:abstractNumId w:val="37"/>
  </w:num>
  <w:num w:numId="29">
    <w:abstractNumId w:val="8"/>
  </w:num>
  <w:num w:numId="30">
    <w:abstractNumId w:val="32"/>
  </w:num>
  <w:num w:numId="31">
    <w:abstractNumId w:val="9"/>
  </w:num>
  <w:num w:numId="32">
    <w:abstractNumId w:val="20"/>
  </w:num>
  <w:num w:numId="33">
    <w:abstractNumId w:val="10"/>
  </w:num>
  <w:num w:numId="3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5"/>
  </w:num>
  <w:num w:numId="37">
    <w:abstractNumId w:val="19"/>
  </w:num>
  <w:num w:numId="38">
    <w:abstractNumId w:val="16"/>
  </w:num>
  <w:num w:numId="39">
    <w:abstractNumId w:val="23"/>
  </w:num>
  <w:num w:numId="4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4C8"/>
    <w:rsid w:val="00002EFA"/>
    <w:rsid w:val="00005597"/>
    <w:rsid w:val="000070CC"/>
    <w:rsid w:val="000115E6"/>
    <w:rsid w:val="00015F2C"/>
    <w:rsid w:val="000165FE"/>
    <w:rsid w:val="00017A40"/>
    <w:rsid w:val="00017A77"/>
    <w:rsid w:val="00020184"/>
    <w:rsid w:val="0003526D"/>
    <w:rsid w:val="00037302"/>
    <w:rsid w:val="00040145"/>
    <w:rsid w:val="00050A68"/>
    <w:rsid w:val="0005217F"/>
    <w:rsid w:val="00053013"/>
    <w:rsid w:val="000553ED"/>
    <w:rsid w:val="00060BE3"/>
    <w:rsid w:val="00062ABA"/>
    <w:rsid w:val="0006383A"/>
    <w:rsid w:val="00067D66"/>
    <w:rsid w:val="000804F5"/>
    <w:rsid w:val="00086901"/>
    <w:rsid w:val="00091E11"/>
    <w:rsid w:val="000920DD"/>
    <w:rsid w:val="00095E6B"/>
    <w:rsid w:val="00095FED"/>
    <w:rsid w:val="000B1D82"/>
    <w:rsid w:val="000B1EEB"/>
    <w:rsid w:val="000B4521"/>
    <w:rsid w:val="000B71BF"/>
    <w:rsid w:val="000C440F"/>
    <w:rsid w:val="000C53A0"/>
    <w:rsid w:val="000E4269"/>
    <w:rsid w:val="000F5290"/>
    <w:rsid w:val="00101E52"/>
    <w:rsid w:val="00105599"/>
    <w:rsid w:val="00105BD8"/>
    <w:rsid w:val="00112B21"/>
    <w:rsid w:val="001154A6"/>
    <w:rsid w:val="00120909"/>
    <w:rsid w:val="001209C1"/>
    <w:rsid w:val="00124B07"/>
    <w:rsid w:val="00132B3D"/>
    <w:rsid w:val="00136A3D"/>
    <w:rsid w:val="00136C3A"/>
    <w:rsid w:val="00146F56"/>
    <w:rsid w:val="0015293E"/>
    <w:rsid w:val="001555E0"/>
    <w:rsid w:val="00157684"/>
    <w:rsid w:val="00157D2B"/>
    <w:rsid w:val="00160342"/>
    <w:rsid w:val="00171A6A"/>
    <w:rsid w:val="00176D4A"/>
    <w:rsid w:val="00180D44"/>
    <w:rsid w:val="00180DA6"/>
    <w:rsid w:val="00185707"/>
    <w:rsid w:val="00187F17"/>
    <w:rsid w:val="00190670"/>
    <w:rsid w:val="00193741"/>
    <w:rsid w:val="00197B68"/>
    <w:rsid w:val="001A4E90"/>
    <w:rsid w:val="001B2AE1"/>
    <w:rsid w:val="001B3A86"/>
    <w:rsid w:val="001B6258"/>
    <w:rsid w:val="001C0128"/>
    <w:rsid w:val="001C46B8"/>
    <w:rsid w:val="001D06EA"/>
    <w:rsid w:val="001D6104"/>
    <w:rsid w:val="001D78A2"/>
    <w:rsid w:val="001E773A"/>
    <w:rsid w:val="001F0095"/>
    <w:rsid w:val="001F21BE"/>
    <w:rsid w:val="001F59F0"/>
    <w:rsid w:val="001F6597"/>
    <w:rsid w:val="00200CED"/>
    <w:rsid w:val="0020798A"/>
    <w:rsid w:val="002124A8"/>
    <w:rsid w:val="00213BC1"/>
    <w:rsid w:val="002141E5"/>
    <w:rsid w:val="00216C8C"/>
    <w:rsid w:val="0022758E"/>
    <w:rsid w:val="00231A40"/>
    <w:rsid w:val="00231D43"/>
    <w:rsid w:val="00235F12"/>
    <w:rsid w:val="00236888"/>
    <w:rsid w:val="00246031"/>
    <w:rsid w:val="00246D3A"/>
    <w:rsid w:val="002510A1"/>
    <w:rsid w:val="0025514C"/>
    <w:rsid w:val="00256406"/>
    <w:rsid w:val="00261AB5"/>
    <w:rsid w:val="002626F4"/>
    <w:rsid w:val="0026660D"/>
    <w:rsid w:val="00266CB0"/>
    <w:rsid w:val="00266FF1"/>
    <w:rsid w:val="002700D2"/>
    <w:rsid w:val="00285B93"/>
    <w:rsid w:val="00285C31"/>
    <w:rsid w:val="00286998"/>
    <w:rsid w:val="00286A2F"/>
    <w:rsid w:val="00292B28"/>
    <w:rsid w:val="00294FCD"/>
    <w:rsid w:val="002A2A33"/>
    <w:rsid w:val="002A3C39"/>
    <w:rsid w:val="002A651D"/>
    <w:rsid w:val="002B4829"/>
    <w:rsid w:val="002B63BC"/>
    <w:rsid w:val="002C17C1"/>
    <w:rsid w:val="002C5522"/>
    <w:rsid w:val="002D417E"/>
    <w:rsid w:val="002E26B9"/>
    <w:rsid w:val="002E7820"/>
    <w:rsid w:val="002F30C8"/>
    <w:rsid w:val="002F445D"/>
    <w:rsid w:val="002F47B6"/>
    <w:rsid w:val="002F5936"/>
    <w:rsid w:val="00301655"/>
    <w:rsid w:val="00301CDC"/>
    <w:rsid w:val="00303B76"/>
    <w:rsid w:val="00312796"/>
    <w:rsid w:val="003225BA"/>
    <w:rsid w:val="00326AB8"/>
    <w:rsid w:val="00333257"/>
    <w:rsid w:val="0034307E"/>
    <w:rsid w:val="00357080"/>
    <w:rsid w:val="00361929"/>
    <w:rsid w:val="00363C1F"/>
    <w:rsid w:val="0036628F"/>
    <w:rsid w:val="00366F7D"/>
    <w:rsid w:val="00380FCF"/>
    <w:rsid w:val="003813D8"/>
    <w:rsid w:val="00384979"/>
    <w:rsid w:val="00394F30"/>
    <w:rsid w:val="003A0027"/>
    <w:rsid w:val="003A03CB"/>
    <w:rsid w:val="003A2C04"/>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337A4"/>
    <w:rsid w:val="00434363"/>
    <w:rsid w:val="00434960"/>
    <w:rsid w:val="0043664F"/>
    <w:rsid w:val="00441951"/>
    <w:rsid w:val="00441E7A"/>
    <w:rsid w:val="00446F94"/>
    <w:rsid w:val="00447394"/>
    <w:rsid w:val="00450490"/>
    <w:rsid w:val="0045487B"/>
    <w:rsid w:val="00454EA5"/>
    <w:rsid w:val="00456662"/>
    <w:rsid w:val="0045701C"/>
    <w:rsid w:val="00457AAE"/>
    <w:rsid w:val="00460038"/>
    <w:rsid w:val="004623CA"/>
    <w:rsid w:val="00462810"/>
    <w:rsid w:val="00463727"/>
    <w:rsid w:val="00463C23"/>
    <w:rsid w:val="00464A6D"/>
    <w:rsid w:val="00466602"/>
    <w:rsid w:val="00470088"/>
    <w:rsid w:val="00470C33"/>
    <w:rsid w:val="004710E4"/>
    <w:rsid w:val="004756D3"/>
    <w:rsid w:val="004822A5"/>
    <w:rsid w:val="00484A74"/>
    <w:rsid w:val="00486F47"/>
    <w:rsid w:val="00490D15"/>
    <w:rsid w:val="004A5EE0"/>
    <w:rsid w:val="004A69F6"/>
    <w:rsid w:val="004A75B1"/>
    <w:rsid w:val="004B29A9"/>
    <w:rsid w:val="004B4F56"/>
    <w:rsid w:val="004C0DE3"/>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164C"/>
    <w:rsid w:val="005847E8"/>
    <w:rsid w:val="00585083"/>
    <w:rsid w:val="0058666A"/>
    <w:rsid w:val="00587A7C"/>
    <w:rsid w:val="00587B25"/>
    <w:rsid w:val="00591E40"/>
    <w:rsid w:val="00593311"/>
    <w:rsid w:val="005973A0"/>
    <w:rsid w:val="005A36F7"/>
    <w:rsid w:val="005A507A"/>
    <w:rsid w:val="005A625B"/>
    <w:rsid w:val="005C497F"/>
    <w:rsid w:val="005E01FA"/>
    <w:rsid w:val="005E2E6B"/>
    <w:rsid w:val="005F0C84"/>
    <w:rsid w:val="005F11AA"/>
    <w:rsid w:val="005F195A"/>
    <w:rsid w:val="0060216B"/>
    <w:rsid w:val="00604967"/>
    <w:rsid w:val="00607C7F"/>
    <w:rsid w:val="006203A2"/>
    <w:rsid w:val="006227EF"/>
    <w:rsid w:val="00625124"/>
    <w:rsid w:val="00625DB6"/>
    <w:rsid w:val="00633741"/>
    <w:rsid w:val="00645866"/>
    <w:rsid w:val="006468ED"/>
    <w:rsid w:val="006558BC"/>
    <w:rsid w:val="006569A3"/>
    <w:rsid w:val="00657CC2"/>
    <w:rsid w:val="00664815"/>
    <w:rsid w:val="006657C5"/>
    <w:rsid w:val="00666DDD"/>
    <w:rsid w:val="0067295A"/>
    <w:rsid w:val="00675C73"/>
    <w:rsid w:val="0068471B"/>
    <w:rsid w:val="0068496F"/>
    <w:rsid w:val="00686660"/>
    <w:rsid w:val="0069645B"/>
    <w:rsid w:val="0069733F"/>
    <w:rsid w:val="006A2E19"/>
    <w:rsid w:val="006A788A"/>
    <w:rsid w:val="006A7D61"/>
    <w:rsid w:val="006B301F"/>
    <w:rsid w:val="006B7C64"/>
    <w:rsid w:val="006C03B7"/>
    <w:rsid w:val="006C1DEF"/>
    <w:rsid w:val="006C2A88"/>
    <w:rsid w:val="006C5536"/>
    <w:rsid w:val="006D2FBF"/>
    <w:rsid w:val="006D535E"/>
    <w:rsid w:val="006E2F1F"/>
    <w:rsid w:val="006E77B2"/>
    <w:rsid w:val="006F1162"/>
    <w:rsid w:val="006F2D41"/>
    <w:rsid w:val="006F45C7"/>
    <w:rsid w:val="006F5C8A"/>
    <w:rsid w:val="006F7B59"/>
    <w:rsid w:val="0070365F"/>
    <w:rsid w:val="00704AA3"/>
    <w:rsid w:val="00710714"/>
    <w:rsid w:val="0071408A"/>
    <w:rsid w:val="00716CAF"/>
    <w:rsid w:val="00722DAB"/>
    <w:rsid w:val="00730C39"/>
    <w:rsid w:val="007315E3"/>
    <w:rsid w:val="0073457C"/>
    <w:rsid w:val="007351D1"/>
    <w:rsid w:val="00736E79"/>
    <w:rsid w:val="00740BB8"/>
    <w:rsid w:val="00752F56"/>
    <w:rsid w:val="00752FD6"/>
    <w:rsid w:val="007542CB"/>
    <w:rsid w:val="007559C0"/>
    <w:rsid w:val="00762B55"/>
    <w:rsid w:val="00765D56"/>
    <w:rsid w:val="007673BA"/>
    <w:rsid w:val="0077428E"/>
    <w:rsid w:val="00775657"/>
    <w:rsid w:val="00775E08"/>
    <w:rsid w:val="00776A1C"/>
    <w:rsid w:val="00776D38"/>
    <w:rsid w:val="00777C4C"/>
    <w:rsid w:val="007818CA"/>
    <w:rsid w:val="007927F8"/>
    <w:rsid w:val="007943EA"/>
    <w:rsid w:val="007A1CE6"/>
    <w:rsid w:val="007A356A"/>
    <w:rsid w:val="007A7384"/>
    <w:rsid w:val="007B20A8"/>
    <w:rsid w:val="007B2FB2"/>
    <w:rsid w:val="007B57A3"/>
    <w:rsid w:val="007C1372"/>
    <w:rsid w:val="007C7176"/>
    <w:rsid w:val="007D3224"/>
    <w:rsid w:val="007D373C"/>
    <w:rsid w:val="007D4325"/>
    <w:rsid w:val="007D696B"/>
    <w:rsid w:val="007E2B49"/>
    <w:rsid w:val="007E34FA"/>
    <w:rsid w:val="007E5418"/>
    <w:rsid w:val="007E6A63"/>
    <w:rsid w:val="007F26DD"/>
    <w:rsid w:val="007F3D4C"/>
    <w:rsid w:val="007F5413"/>
    <w:rsid w:val="00801DD4"/>
    <w:rsid w:val="008024D1"/>
    <w:rsid w:val="008032FA"/>
    <w:rsid w:val="00803AA5"/>
    <w:rsid w:val="00812DE5"/>
    <w:rsid w:val="00815FA9"/>
    <w:rsid w:val="008254CA"/>
    <w:rsid w:val="00826DB8"/>
    <w:rsid w:val="00830CC4"/>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1BAB"/>
    <w:rsid w:val="008B3714"/>
    <w:rsid w:val="008C70FB"/>
    <w:rsid w:val="008D12EA"/>
    <w:rsid w:val="008D6A39"/>
    <w:rsid w:val="008E206C"/>
    <w:rsid w:val="008E4105"/>
    <w:rsid w:val="008F140F"/>
    <w:rsid w:val="008F200B"/>
    <w:rsid w:val="008F677B"/>
    <w:rsid w:val="00902940"/>
    <w:rsid w:val="00905151"/>
    <w:rsid w:val="00907378"/>
    <w:rsid w:val="009112DF"/>
    <w:rsid w:val="00911859"/>
    <w:rsid w:val="009119AD"/>
    <w:rsid w:val="0091688E"/>
    <w:rsid w:val="00920543"/>
    <w:rsid w:val="00923556"/>
    <w:rsid w:val="009269E7"/>
    <w:rsid w:val="009306C6"/>
    <w:rsid w:val="00936BC2"/>
    <w:rsid w:val="00936C71"/>
    <w:rsid w:val="009377E9"/>
    <w:rsid w:val="0094097A"/>
    <w:rsid w:val="009415CF"/>
    <w:rsid w:val="00946B7B"/>
    <w:rsid w:val="00960460"/>
    <w:rsid w:val="00961032"/>
    <w:rsid w:val="009615DA"/>
    <w:rsid w:val="009646FA"/>
    <w:rsid w:val="00973430"/>
    <w:rsid w:val="00975B74"/>
    <w:rsid w:val="009846C1"/>
    <w:rsid w:val="00995D16"/>
    <w:rsid w:val="009A0C1E"/>
    <w:rsid w:val="009B25F1"/>
    <w:rsid w:val="009B32B5"/>
    <w:rsid w:val="009B3884"/>
    <w:rsid w:val="009C1493"/>
    <w:rsid w:val="009C33D4"/>
    <w:rsid w:val="009C4945"/>
    <w:rsid w:val="009C6E24"/>
    <w:rsid w:val="009D14DD"/>
    <w:rsid w:val="009D4815"/>
    <w:rsid w:val="009E0D79"/>
    <w:rsid w:val="009E7323"/>
    <w:rsid w:val="009F1269"/>
    <w:rsid w:val="00A00AB3"/>
    <w:rsid w:val="00A01B48"/>
    <w:rsid w:val="00A03A97"/>
    <w:rsid w:val="00A07691"/>
    <w:rsid w:val="00A07A07"/>
    <w:rsid w:val="00A07D22"/>
    <w:rsid w:val="00A1183A"/>
    <w:rsid w:val="00A14275"/>
    <w:rsid w:val="00A17708"/>
    <w:rsid w:val="00A20848"/>
    <w:rsid w:val="00A23803"/>
    <w:rsid w:val="00A2612F"/>
    <w:rsid w:val="00A31B98"/>
    <w:rsid w:val="00A33560"/>
    <w:rsid w:val="00A33B01"/>
    <w:rsid w:val="00A35F42"/>
    <w:rsid w:val="00A40291"/>
    <w:rsid w:val="00A44E34"/>
    <w:rsid w:val="00A45F00"/>
    <w:rsid w:val="00A531CD"/>
    <w:rsid w:val="00A646B0"/>
    <w:rsid w:val="00A66F25"/>
    <w:rsid w:val="00A70583"/>
    <w:rsid w:val="00A74848"/>
    <w:rsid w:val="00A773EC"/>
    <w:rsid w:val="00A77DA9"/>
    <w:rsid w:val="00A839E9"/>
    <w:rsid w:val="00A83BD9"/>
    <w:rsid w:val="00A860CA"/>
    <w:rsid w:val="00A862EF"/>
    <w:rsid w:val="00A873BF"/>
    <w:rsid w:val="00A87ACE"/>
    <w:rsid w:val="00A9668F"/>
    <w:rsid w:val="00A96FB0"/>
    <w:rsid w:val="00AB262D"/>
    <w:rsid w:val="00AB2796"/>
    <w:rsid w:val="00AC13A0"/>
    <w:rsid w:val="00AC47AF"/>
    <w:rsid w:val="00AC54D3"/>
    <w:rsid w:val="00AC5C4C"/>
    <w:rsid w:val="00AC7BB2"/>
    <w:rsid w:val="00AD4952"/>
    <w:rsid w:val="00AD4F09"/>
    <w:rsid w:val="00AD5328"/>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D6929"/>
    <w:rsid w:val="00BE2812"/>
    <w:rsid w:val="00BE6E0D"/>
    <w:rsid w:val="00BE7009"/>
    <w:rsid w:val="00BF300A"/>
    <w:rsid w:val="00BF4C1F"/>
    <w:rsid w:val="00BF64D8"/>
    <w:rsid w:val="00C053D3"/>
    <w:rsid w:val="00C0569D"/>
    <w:rsid w:val="00C07D8B"/>
    <w:rsid w:val="00C11E56"/>
    <w:rsid w:val="00C12393"/>
    <w:rsid w:val="00C13505"/>
    <w:rsid w:val="00C20949"/>
    <w:rsid w:val="00C3745F"/>
    <w:rsid w:val="00C43E07"/>
    <w:rsid w:val="00C523B4"/>
    <w:rsid w:val="00C52D50"/>
    <w:rsid w:val="00C628C9"/>
    <w:rsid w:val="00C703B6"/>
    <w:rsid w:val="00C72CB3"/>
    <w:rsid w:val="00C74EC1"/>
    <w:rsid w:val="00C7588E"/>
    <w:rsid w:val="00C77873"/>
    <w:rsid w:val="00C85824"/>
    <w:rsid w:val="00C86CC4"/>
    <w:rsid w:val="00C965C4"/>
    <w:rsid w:val="00CA3315"/>
    <w:rsid w:val="00CA64C1"/>
    <w:rsid w:val="00CA6EC9"/>
    <w:rsid w:val="00CB1B56"/>
    <w:rsid w:val="00CB4EE8"/>
    <w:rsid w:val="00CC6E1E"/>
    <w:rsid w:val="00CD079D"/>
    <w:rsid w:val="00CD2622"/>
    <w:rsid w:val="00CD319C"/>
    <w:rsid w:val="00CD4F1D"/>
    <w:rsid w:val="00CD54A8"/>
    <w:rsid w:val="00CE07E5"/>
    <w:rsid w:val="00CE160D"/>
    <w:rsid w:val="00CF242E"/>
    <w:rsid w:val="00CF258F"/>
    <w:rsid w:val="00CF5F75"/>
    <w:rsid w:val="00D00EFA"/>
    <w:rsid w:val="00D1598D"/>
    <w:rsid w:val="00D25017"/>
    <w:rsid w:val="00D25A2E"/>
    <w:rsid w:val="00D271AC"/>
    <w:rsid w:val="00D305B9"/>
    <w:rsid w:val="00D3494B"/>
    <w:rsid w:val="00D35D4A"/>
    <w:rsid w:val="00D41C63"/>
    <w:rsid w:val="00D450C3"/>
    <w:rsid w:val="00D4597C"/>
    <w:rsid w:val="00D52206"/>
    <w:rsid w:val="00D6242A"/>
    <w:rsid w:val="00D655CC"/>
    <w:rsid w:val="00D6660C"/>
    <w:rsid w:val="00D67619"/>
    <w:rsid w:val="00D76A89"/>
    <w:rsid w:val="00D803BA"/>
    <w:rsid w:val="00D91037"/>
    <w:rsid w:val="00D921A3"/>
    <w:rsid w:val="00DA5437"/>
    <w:rsid w:val="00DA584B"/>
    <w:rsid w:val="00DA6818"/>
    <w:rsid w:val="00DA7509"/>
    <w:rsid w:val="00DA75DE"/>
    <w:rsid w:val="00DC2203"/>
    <w:rsid w:val="00DC3218"/>
    <w:rsid w:val="00DC46DB"/>
    <w:rsid w:val="00DC5A71"/>
    <w:rsid w:val="00DD1E33"/>
    <w:rsid w:val="00DD27F1"/>
    <w:rsid w:val="00DD3E42"/>
    <w:rsid w:val="00DD689C"/>
    <w:rsid w:val="00DD7564"/>
    <w:rsid w:val="00DE6E0E"/>
    <w:rsid w:val="00DF00F8"/>
    <w:rsid w:val="00DF2F49"/>
    <w:rsid w:val="00DF3185"/>
    <w:rsid w:val="00DF3E42"/>
    <w:rsid w:val="00DF47C7"/>
    <w:rsid w:val="00E056CB"/>
    <w:rsid w:val="00E15C04"/>
    <w:rsid w:val="00E24870"/>
    <w:rsid w:val="00E2557D"/>
    <w:rsid w:val="00E320A8"/>
    <w:rsid w:val="00E43FD9"/>
    <w:rsid w:val="00E4499A"/>
    <w:rsid w:val="00E46EFA"/>
    <w:rsid w:val="00E47C0B"/>
    <w:rsid w:val="00E50ED4"/>
    <w:rsid w:val="00E5159C"/>
    <w:rsid w:val="00E538AF"/>
    <w:rsid w:val="00E550FE"/>
    <w:rsid w:val="00E55E7F"/>
    <w:rsid w:val="00E56F95"/>
    <w:rsid w:val="00E617F9"/>
    <w:rsid w:val="00E62B1C"/>
    <w:rsid w:val="00E62F21"/>
    <w:rsid w:val="00E67668"/>
    <w:rsid w:val="00E7471C"/>
    <w:rsid w:val="00E75A46"/>
    <w:rsid w:val="00E857C3"/>
    <w:rsid w:val="00E86728"/>
    <w:rsid w:val="00E921F2"/>
    <w:rsid w:val="00E92F81"/>
    <w:rsid w:val="00E94BFF"/>
    <w:rsid w:val="00E9685C"/>
    <w:rsid w:val="00EA1089"/>
    <w:rsid w:val="00EA285F"/>
    <w:rsid w:val="00EA2B4C"/>
    <w:rsid w:val="00EA2CFC"/>
    <w:rsid w:val="00EB6E0A"/>
    <w:rsid w:val="00EB7857"/>
    <w:rsid w:val="00EC03DC"/>
    <w:rsid w:val="00ED0665"/>
    <w:rsid w:val="00ED2BBB"/>
    <w:rsid w:val="00ED43BD"/>
    <w:rsid w:val="00ED44C9"/>
    <w:rsid w:val="00ED5835"/>
    <w:rsid w:val="00ED6017"/>
    <w:rsid w:val="00EF1A15"/>
    <w:rsid w:val="00EF303F"/>
    <w:rsid w:val="00EF3C43"/>
    <w:rsid w:val="00EF524B"/>
    <w:rsid w:val="00EF676B"/>
    <w:rsid w:val="00F008CD"/>
    <w:rsid w:val="00F03783"/>
    <w:rsid w:val="00F05335"/>
    <w:rsid w:val="00F06421"/>
    <w:rsid w:val="00F12864"/>
    <w:rsid w:val="00F12DB0"/>
    <w:rsid w:val="00F3113F"/>
    <w:rsid w:val="00F32730"/>
    <w:rsid w:val="00F3308A"/>
    <w:rsid w:val="00F333A5"/>
    <w:rsid w:val="00F3716D"/>
    <w:rsid w:val="00F37D18"/>
    <w:rsid w:val="00F40B1F"/>
    <w:rsid w:val="00F45C7E"/>
    <w:rsid w:val="00F51B57"/>
    <w:rsid w:val="00F524C7"/>
    <w:rsid w:val="00F55731"/>
    <w:rsid w:val="00F55EFB"/>
    <w:rsid w:val="00F63B44"/>
    <w:rsid w:val="00F6631C"/>
    <w:rsid w:val="00F768A3"/>
    <w:rsid w:val="00F85FD3"/>
    <w:rsid w:val="00F906E5"/>
    <w:rsid w:val="00F9086D"/>
    <w:rsid w:val="00F9292B"/>
    <w:rsid w:val="00FA3BC7"/>
    <w:rsid w:val="00FB10F2"/>
    <w:rsid w:val="00FB3252"/>
    <w:rsid w:val="00FB47ED"/>
    <w:rsid w:val="00FB4DB6"/>
    <w:rsid w:val="00FB548E"/>
    <w:rsid w:val="00FB54B5"/>
    <w:rsid w:val="00FB69A8"/>
    <w:rsid w:val="00FB7D2A"/>
    <w:rsid w:val="00FC2818"/>
    <w:rsid w:val="00FC3546"/>
    <w:rsid w:val="00FC4B83"/>
    <w:rsid w:val="00FC6262"/>
    <w:rsid w:val="00FD0CF4"/>
    <w:rsid w:val="00FD11B5"/>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 w:type="paragraph" w:styleId="FootnoteText">
    <w:name w:val="footnote text"/>
    <w:basedOn w:val="Normal"/>
    <w:link w:val="FootnoteTextChar"/>
    <w:rsid w:val="00E62F21"/>
    <w:rPr>
      <w:sz w:val="20"/>
      <w:szCs w:val="20"/>
    </w:rPr>
  </w:style>
  <w:style w:type="character" w:customStyle="1" w:styleId="FootnoteTextChar">
    <w:name w:val="Footnote Text Char"/>
    <w:basedOn w:val="DefaultParagraphFont"/>
    <w:link w:val="FootnoteText"/>
    <w:rsid w:val="00E62F21"/>
  </w:style>
  <w:style w:type="character" w:styleId="FootnoteReference">
    <w:name w:val="footnote reference"/>
    <w:basedOn w:val="DefaultParagraphFont"/>
    <w:uiPriority w:val="99"/>
    <w:unhideWhenUsed/>
    <w:rsid w:val="00E62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15295897">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222543">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179732195">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8741773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849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www.covalentcpm.com/lowRes/big_red_octagon.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covalentcpm.com/lowRes/big_yellow_triangle.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www.covalentcpm.com/lowRes/big_green_circle.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gov.uk/en/Publicationsandstatistics/Publications/PublicationsPolicyAndGuidance/DH_113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13FB-8DB0-4284-9989-C3E5D81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14834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2015-11-10T10:48:00Z</dcterms:created>
  <dcterms:modified xsi:type="dcterms:W3CDTF">2015-11-10T10:48:00Z</dcterms:modified>
</cp:coreProperties>
</file>