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Attachment</w:t>
                            </w:r>
                            <w:r w:rsidR="00CE0ECB">
                              <w:rPr>
                                <w:rFonts w:ascii="Arial" w:hAnsi="Arial" w:cs="Arial"/>
                                <w:sz w:val="32"/>
                                <w:szCs w:val="32"/>
                              </w:rPr>
                              <w:t xml:space="preserve"> 1</w:t>
                            </w:r>
                            <w:r w:rsidR="005F39E6">
                              <w:rPr>
                                <w:rFonts w:ascii="Arial" w:hAnsi="Arial" w:cs="Arial"/>
                                <w:sz w:val="32"/>
                                <w:szCs w:val="32"/>
                              </w:rPr>
                              <w:t>4</w:t>
                            </w:r>
                            <w:r>
                              <w:rPr>
                                <w:rFonts w:ascii="Arial" w:hAnsi="Arial" w:cs="Arial"/>
                                <w:sz w:val="32"/>
                                <w:szCs w:val="32"/>
                              </w:rPr>
                              <w:t xml:space="preserve">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Attachment</w:t>
                      </w:r>
                      <w:r w:rsidR="00CE0ECB">
                        <w:rPr>
                          <w:rFonts w:ascii="Arial" w:hAnsi="Arial" w:cs="Arial"/>
                          <w:sz w:val="32"/>
                          <w:szCs w:val="32"/>
                        </w:rPr>
                        <w:t xml:space="preserve"> 1</w:t>
                      </w:r>
                      <w:r w:rsidR="005F39E6">
                        <w:rPr>
                          <w:rFonts w:ascii="Arial" w:hAnsi="Arial" w:cs="Arial"/>
                          <w:sz w:val="32"/>
                          <w:szCs w:val="32"/>
                        </w:rPr>
                        <w:t>4</w:t>
                      </w:r>
                      <w:r>
                        <w:rPr>
                          <w:rFonts w:ascii="Arial" w:hAnsi="Arial" w:cs="Arial"/>
                          <w:sz w:val="32"/>
                          <w:szCs w:val="32"/>
                        </w:rPr>
                        <w:t xml:space="preserve"> </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2E0FE3" w:rsidP="00D43881">
            <w:pPr>
              <w:rPr>
                <w:rFonts w:ascii="Arial" w:hAnsi="Arial" w:cs="Arial"/>
                <w:bCs/>
                <w:sz w:val="22"/>
                <w:szCs w:val="22"/>
              </w:rPr>
            </w:pPr>
            <w:r>
              <w:rPr>
                <w:rFonts w:ascii="Arial" w:hAnsi="Arial" w:cs="Arial"/>
                <w:bCs/>
                <w:sz w:val="22"/>
                <w:szCs w:val="22"/>
              </w:rPr>
              <w:t>12</w:t>
            </w:r>
            <w:r w:rsidRPr="002E0FE3">
              <w:rPr>
                <w:rFonts w:ascii="Arial" w:hAnsi="Arial" w:cs="Arial"/>
                <w:bCs/>
                <w:sz w:val="22"/>
                <w:szCs w:val="22"/>
                <w:vertAlign w:val="superscript"/>
              </w:rPr>
              <w:t>th</w:t>
            </w:r>
            <w:r>
              <w:rPr>
                <w:rFonts w:ascii="Arial" w:hAnsi="Arial" w:cs="Arial"/>
                <w:bCs/>
                <w:sz w:val="22"/>
                <w:szCs w:val="22"/>
              </w:rPr>
              <w:t xml:space="preserve"> November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C419CB" w:rsidP="009306C6">
            <w:pPr>
              <w:rPr>
                <w:rFonts w:ascii="Arial" w:hAnsi="Arial" w:cs="Arial"/>
                <w:bCs/>
                <w:sz w:val="22"/>
                <w:szCs w:val="22"/>
              </w:rPr>
            </w:pPr>
            <w:r>
              <w:rPr>
                <w:rFonts w:ascii="Arial" w:hAnsi="Arial" w:cs="Arial"/>
                <w:bCs/>
                <w:sz w:val="22"/>
                <w:szCs w:val="22"/>
              </w:rPr>
              <w:t>To keep the Partnership B</w:t>
            </w:r>
            <w:r w:rsidR="006F0207">
              <w:rPr>
                <w:rFonts w:ascii="Arial" w:hAnsi="Arial" w:cs="Arial"/>
                <w:bCs/>
                <w:sz w:val="22"/>
                <w:szCs w:val="22"/>
              </w:rPr>
              <w:t>oard up to date on key pieces of work undert</w:t>
            </w:r>
            <w:r>
              <w:rPr>
                <w:rFonts w:ascii="Arial" w:hAnsi="Arial" w:cs="Arial"/>
                <w:bCs/>
                <w:sz w:val="22"/>
                <w:szCs w:val="22"/>
              </w:rPr>
              <w:t>aken by the CCG in relation to c</w:t>
            </w:r>
            <w:r w:rsidR="006F0207">
              <w:rPr>
                <w:rFonts w:ascii="Arial" w:hAnsi="Arial" w:cs="Arial"/>
                <w:bCs/>
                <w:sz w:val="22"/>
                <w:szCs w:val="22"/>
              </w:rPr>
              <w:t>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C419CB" w:rsidP="006F0207">
            <w:pPr>
              <w:rPr>
                <w:rFonts w:ascii="Arial" w:hAnsi="Arial" w:cs="Arial"/>
                <w:bCs/>
                <w:sz w:val="22"/>
                <w:szCs w:val="22"/>
              </w:rPr>
            </w:pPr>
            <w:r>
              <w:rPr>
                <w:rFonts w:ascii="Arial" w:hAnsi="Arial" w:cs="Arial"/>
                <w:bCs/>
                <w:sz w:val="22"/>
                <w:szCs w:val="22"/>
              </w:rPr>
              <w:t xml:space="preserve">The </w:t>
            </w:r>
            <w:r w:rsidR="006F0207">
              <w:rPr>
                <w:rFonts w:ascii="Arial" w:hAnsi="Arial" w:cs="Arial"/>
                <w:bCs/>
                <w:sz w:val="22"/>
                <w:szCs w:val="22"/>
              </w:rPr>
              <w:t>CCG is</w:t>
            </w:r>
            <w:r w:rsidR="00805F65">
              <w:rPr>
                <w:rFonts w:ascii="Arial" w:hAnsi="Arial" w:cs="Arial"/>
                <w:bCs/>
                <w:sz w:val="22"/>
                <w:szCs w:val="22"/>
              </w:rPr>
              <w:t xml:space="preserve"> a</w:t>
            </w:r>
            <w:r w:rsidR="006F0207">
              <w:rPr>
                <w:rFonts w:ascii="Arial" w:hAnsi="Arial" w:cs="Arial"/>
                <w:bCs/>
                <w:sz w:val="22"/>
                <w:szCs w:val="22"/>
              </w:rPr>
              <w:t xml:space="preserve"> commissioning organisation and as such the </w:t>
            </w:r>
            <w:r>
              <w:rPr>
                <w:rFonts w:ascii="Arial" w:hAnsi="Arial" w:cs="Arial"/>
                <w:bCs/>
                <w:sz w:val="22"/>
                <w:szCs w:val="22"/>
              </w:rPr>
              <w:t xml:space="preserve">Partnership </w:t>
            </w:r>
            <w:r w:rsidR="006F0207">
              <w:rPr>
                <w:rFonts w:ascii="Arial" w:hAnsi="Arial" w:cs="Arial"/>
                <w:bCs/>
                <w:sz w:val="22"/>
                <w:szCs w:val="22"/>
              </w:rPr>
              <w:t xml:space="preserve">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C419CB" w:rsidP="00FA6C46">
            <w:pPr>
              <w:jc w:val="both"/>
              <w:rPr>
                <w:rFonts w:ascii="Arial" w:hAnsi="Arial" w:cs="Arial"/>
                <w:bCs/>
                <w:sz w:val="22"/>
                <w:szCs w:val="22"/>
              </w:rPr>
            </w:pPr>
            <w:r>
              <w:rPr>
                <w:rFonts w:ascii="Arial" w:hAnsi="Arial" w:cs="Arial"/>
                <w:bCs/>
                <w:sz w:val="22"/>
                <w:szCs w:val="22"/>
              </w:rPr>
              <w:t>That the P</w:t>
            </w:r>
            <w:r w:rsidR="006F0207">
              <w:rPr>
                <w:rFonts w:ascii="Arial" w:hAnsi="Arial" w:cs="Arial"/>
                <w:bCs/>
                <w:sz w:val="22"/>
                <w:szCs w:val="22"/>
              </w:rPr>
              <w:t xml:space="preserve">artnership Board is aware of the key actions being undertaken in relation to </w:t>
            </w:r>
            <w:r w:rsidR="00FA6C46">
              <w:rPr>
                <w:rFonts w:ascii="Arial" w:hAnsi="Arial" w:cs="Arial"/>
                <w:bCs/>
                <w:sz w:val="22"/>
                <w:szCs w:val="22"/>
              </w:rPr>
              <w:t xml:space="preserve">commissioning and </w:t>
            </w:r>
            <w:r w:rsidR="006F0207">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5F39E6"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2E0FE3">
        <w:rPr>
          <w:rFonts w:ascii="Arial" w:hAnsi="Arial" w:cs="Arial"/>
          <w:b/>
          <w:bCs/>
          <w:sz w:val="22"/>
          <w:szCs w:val="22"/>
        </w:rPr>
        <w:t>November</w:t>
      </w:r>
      <w:r w:rsidR="008742B5">
        <w:rPr>
          <w:rFonts w:ascii="Arial" w:hAnsi="Arial" w:cs="Arial"/>
          <w:b/>
          <w:bCs/>
          <w:sz w:val="22"/>
          <w:szCs w:val="22"/>
        </w:rPr>
        <w:t xml:space="preserve"> </w:t>
      </w:r>
      <w:r w:rsidR="00AC0416">
        <w:rPr>
          <w:rFonts w:ascii="Arial" w:hAnsi="Arial" w:cs="Arial"/>
          <w:b/>
          <w:bCs/>
          <w:sz w:val="22"/>
          <w:szCs w:val="22"/>
        </w:rPr>
        <w:t>2015</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
    <w:p w:rsidR="00F35EA9" w:rsidRDefault="00C419CB" w:rsidP="00F35EA9">
      <w:pPr>
        <w:pStyle w:val="ListParagraph"/>
        <w:numPr>
          <w:ilvl w:val="0"/>
          <w:numId w:val="37"/>
        </w:numPr>
        <w:rPr>
          <w:rFonts w:ascii="Arial" w:hAnsi="Arial" w:cs="Arial"/>
          <w:bCs/>
        </w:rPr>
      </w:pPr>
      <w:r>
        <w:rPr>
          <w:rFonts w:ascii="Arial" w:hAnsi="Arial" w:cs="Arial"/>
          <w:b/>
          <w:bCs/>
        </w:rPr>
        <w:t>Procurement Upda</w:t>
      </w:r>
      <w:r w:rsidR="00F35EA9" w:rsidRPr="00DE0846">
        <w:rPr>
          <w:rFonts w:ascii="Arial" w:hAnsi="Arial" w:cs="Arial"/>
          <w:b/>
          <w:bCs/>
        </w:rPr>
        <w:t>te</w:t>
      </w:r>
      <w:r w:rsidR="00CF17D1" w:rsidRPr="00DE0846">
        <w:rPr>
          <w:rFonts w:ascii="Arial" w:hAnsi="Arial" w:cs="Arial"/>
          <w:b/>
          <w:bCs/>
        </w:rPr>
        <w:t>s</w:t>
      </w:r>
      <w:r w:rsidR="00F35EA9" w:rsidRPr="00DE0846">
        <w:rPr>
          <w:rFonts w:ascii="Arial" w:hAnsi="Arial" w:cs="Arial"/>
          <w:bCs/>
        </w:rPr>
        <w:t>:</w:t>
      </w:r>
    </w:p>
    <w:p w:rsidR="00C419CB" w:rsidRDefault="00C419CB" w:rsidP="00C419CB">
      <w:pPr>
        <w:pStyle w:val="ListParagraph"/>
        <w:rPr>
          <w:rFonts w:ascii="Arial" w:hAnsi="Arial" w:cs="Arial"/>
          <w:bCs/>
        </w:rPr>
      </w:pPr>
    </w:p>
    <w:p w:rsidR="00A06289" w:rsidRDefault="002E0FE3" w:rsidP="002E0FE3">
      <w:pPr>
        <w:ind w:left="720"/>
        <w:rPr>
          <w:rFonts w:ascii="Arial" w:hAnsi="Arial" w:cs="Arial"/>
          <w:bCs/>
        </w:rPr>
      </w:pPr>
      <w:r w:rsidRPr="00C419CB">
        <w:rPr>
          <w:rFonts w:ascii="Arial" w:hAnsi="Arial" w:cs="Arial"/>
          <w:bCs/>
          <w:u w:val="single"/>
        </w:rPr>
        <w:t>Patient Transport Services</w:t>
      </w:r>
      <w:r>
        <w:rPr>
          <w:rFonts w:ascii="Arial" w:hAnsi="Arial" w:cs="Arial"/>
          <w:bCs/>
        </w:rPr>
        <w:t>:</w:t>
      </w:r>
    </w:p>
    <w:p w:rsidR="002E0FE3" w:rsidRDefault="002E0FE3" w:rsidP="002E0FE3">
      <w:pPr>
        <w:ind w:left="720"/>
        <w:rPr>
          <w:rFonts w:ascii="Arial" w:hAnsi="Arial" w:cs="Arial"/>
          <w:bCs/>
        </w:rPr>
      </w:pPr>
      <w:r>
        <w:rPr>
          <w:rFonts w:ascii="Arial" w:hAnsi="Arial" w:cs="Arial"/>
          <w:bCs/>
        </w:rPr>
        <w:t xml:space="preserve">The service specification </w:t>
      </w:r>
      <w:r w:rsidR="00E22AC0">
        <w:rPr>
          <w:rFonts w:ascii="Arial" w:hAnsi="Arial" w:cs="Arial"/>
          <w:bCs/>
        </w:rPr>
        <w:t xml:space="preserve">for non-emergency patient transport </w:t>
      </w:r>
      <w:r>
        <w:rPr>
          <w:rFonts w:ascii="Arial" w:hAnsi="Arial" w:cs="Arial"/>
          <w:bCs/>
        </w:rPr>
        <w:t>has been agreed by both NEL &amp; NL CCG and will</w:t>
      </w:r>
      <w:r w:rsidR="00E22AC0">
        <w:rPr>
          <w:rFonts w:ascii="Arial" w:hAnsi="Arial" w:cs="Arial"/>
          <w:bCs/>
        </w:rPr>
        <w:t xml:space="preserve"> be going out for procurement</w:t>
      </w:r>
      <w:r>
        <w:rPr>
          <w:rFonts w:ascii="Arial" w:hAnsi="Arial" w:cs="Arial"/>
          <w:bCs/>
        </w:rPr>
        <w:t xml:space="preserve"> this month, led by the Y</w:t>
      </w:r>
      <w:r w:rsidR="00E22AC0">
        <w:rPr>
          <w:rFonts w:ascii="Arial" w:hAnsi="Arial" w:cs="Arial"/>
          <w:bCs/>
        </w:rPr>
        <w:t xml:space="preserve">orkshire &amp; </w:t>
      </w:r>
      <w:r>
        <w:rPr>
          <w:rFonts w:ascii="Arial" w:hAnsi="Arial" w:cs="Arial"/>
          <w:bCs/>
        </w:rPr>
        <w:t>H</w:t>
      </w:r>
      <w:r w:rsidR="00E22AC0">
        <w:rPr>
          <w:rFonts w:ascii="Arial" w:hAnsi="Arial" w:cs="Arial"/>
          <w:bCs/>
        </w:rPr>
        <w:t xml:space="preserve">umber </w:t>
      </w:r>
      <w:r>
        <w:rPr>
          <w:rFonts w:ascii="Arial" w:hAnsi="Arial" w:cs="Arial"/>
          <w:bCs/>
        </w:rPr>
        <w:t>C</w:t>
      </w:r>
      <w:r w:rsidR="00E22AC0">
        <w:rPr>
          <w:rFonts w:ascii="Arial" w:hAnsi="Arial" w:cs="Arial"/>
          <w:bCs/>
        </w:rPr>
        <w:t xml:space="preserve">ommissioning </w:t>
      </w:r>
      <w:r>
        <w:rPr>
          <w:rFonts w:ascii="Arial" w:hAnsi="Arial" w:cs="Arial"/>
          <w:bCs/>
        </w:rPr>
        <w:t>S</w:t>
      </w:r>
      <w:r w:rsidR="00E22AC0">
        <w:rPr>
          <w:rFonts w:ascii="Arial" w:hAnsi="Arial" w:cs="Arial"/>
          <w:bCs/>
        </w:rPr>
        <w:t>upport</w:t>
      </w:r>
      <w:r>
        <w:rPr>
          <w:rFonts w:ascii="Arial" w:hAnsi="Arial" w:cs="Arial"/>
          <w:bCs/>
        </w:rPr>
        <w:t xml:space="preserve"> procurement team. There has been active engagement with respective CCG communities with feedback incorporated into the bidding process.</w:t>
      </w:r>
    </w:p>
    <w:p w:rsidR="002E0FE3" w:rsidRDefault="002E0FE3" w:rsidP="002E0FE3">
      <w:pPr>
        <w:ind w:left="720"/>
        <w:rPr>
          <w:rFonts w:ascii="Arial" w:hAnsi="Arial" w:cs="Arial"/>
          <w:bCs/>
        </w:rPr>
      </w:pPr>
      <w:r>
        <w:rPr>
          <w:rFonts w:ascii="Arial" w:hAnsi="Arial" w:cs="Arial"/>
          <w:bCs/>
        </w:rPr>
        <w:t>The expected award date is Feb/ March 2016 with a go live date for the provider of 1</w:t>
      </w:r>
      <w:r w:rsidRPr="002E0FE3">
        <w:rPr>
          <w:rFonts w:ascii="Arial" w:hAnsi="Arial" w:cs="Arial"/>
          <w:bCs/>
          <w:vertAlign w:val="superscript"/>
        </w:rPr>
        <w:t>st</w:t>
      </w:r>
      <w:r>
        <w:rPr>
          <w:rFonts w:ascii="Arial" w:hAnsi="Arial" w:cs="Arial"/>
          <w:bCs/>
        </w:rPr>
        <w:t xml:space="preserve"> October 2016. </w:t>
      </w:r>
    </w:p>
    <w:p w:rsidR="002E0FE3" w:rsidRDefault="002E0FE3" w:rsidP="002E0FE3">
      <w:pPr>
        <w:ind w:left="720"/>
        <w:rPr>
          <w:rFonts w:ascii="Arial" w:hAnsi="Arial" w:cs="Arial"/>
          <w:bCs/>
        </w:rPr>
      </w:pPr>
    </w:p>
    <w:p w:rsidR="00E721C8" w:rsidRPr="00E22AC0" w:rsidRDefault="00E721C8" w:rsidP="002E0FE3">
      <w:pPr>
        <w:ind w:left="720"/>
        <w:rPr>
          <w:rFonts w:ascii="Arial" w:hAnsi="Arial" w:cs="Arial"/>
          <w:bCs/>
          <w:u w:val="single"/>
        </w:rPr>
      </w:pPr>
      <w:r w:rsidRPr="00E22AC0">
        <w:rPr>
          <w:rFonts w:ascii="Arial" w:hAnsi="Arial" w:cs="Arial"/>
          <w:bCs/>
          <w:u w:val="single"/>
        </w:rPr>
        <w:t>GP Out of Hours</w:t>
      </w:r>
    </w:p>
    <w:p w:rsidR="00621FE0" w:rsidRDefault="00E721C8" w:rsidP="002E0FE3">
      <w:pPr>
        <w:ind w:left="720"/>
        <w:rPr>
          <w:rFonts w:ascii="Arial" w:hAnsi="Arial" w:cs="Arial"/>
          <w:bCs/>
        </w:rPr>
      </w:pPr>
      <w:r>
        <w:rPr>
          <w:rFonts w:ascii="Arial" w:hAnsi="Arial" w:cs="Arial"/>
          <w:bCs/>
        </w:rPr>
        <w:t xml:space="preserve">The GP Urgent care contract incorporating GP </w:t>
      </w:r>
      <w:proofErr w:type="gramStart"/>
      <w:r>
        <w:rPr>
          <w:rFonts w:ascii="Arial" w:hAnsi="Arial" w:cs="Arial"/>
          <w:bCs/>
        </w:rPr>
        <w:t>Out</w:t>
      </w:r>
      <w:proofErr w:type="gramEnd"/>
      <w:r>
        <w:rPr>
          <w:rFonts w:ascii="Arial" w:hAnsi="Arial" w:cs="Arial"/>
          <w:bCs/>
        </w:rPr>
        <w:t xml:space="preserve"> of Hours and GP A&amp;E front Ending will</w:t>
      </w:r>
      <w:r w:rsidR="00656DFA">
        <w:rPr>
          <w:rFonts w:ascii="Arial" w:hAnsi="Arial" w:cs="Arial"/>
          <w:bCs/>
        </w:rPr>
        <w:t xml:space="preserve"> expire at the end of the financial year, the contract has previously been extended and so cannot be further extended without going through a formal procurement process.  </w:t>
      </w:r>
    </w:p>
    <w:p w:rsidR="00621FE0" w:rsidRDefault="00621FE0" w:rsidP="002E0FE3">
      <w:pPr>
        <w:ind w:left="720"/>
        <w:rPr>
          <w:rFonts w:ascii="Arial" w:hAnsi="Arial" w:cs="Arial"/>
          <w:bCs/>
        </w:rPr>
      </w:pPr>
    </w:p>
    <w:p w:rsidR="00621FE0" w:rsidRDefault="00621FE0" w:rsidP="002E0FE3">
      <w:pPr>
        <w:ind w:left="720"/>
        <w:rPr>
          <w:rFonts w:ascii="Arial" w:hAnsi="Arial" w:cs="Arial"/>
          <w:bCs/>
        </w:rPr>
      </w:pPr>
      <w:r>
        <w:rPr>
          <w:rFonts w:ascii="Arial" w:hAnsi="Arial" w:cs="Arial"/>
          <w:bCs/>
        </w:rPr>
        <w:t>CCC were therefore asked to consider the most appropriate way to procure the service recognising the need for collaborative / partnership working with the other urgent and emergency care providers as part of the overall transformation of urgent and emergency care.  During the discussion at CCC i</w:t>
      </w:r>
      <w:r w:rsidR="00656DFA">
        <w:rPr>
          <w:rFonts w:ascii="Arial" w:hAnsi="Arial" w:cs="Arial"/>
          <w:bCs/>
        </w:rPr>
        <w:t xml:space="preserve">t </w:t>
      </w:r>
      <w:r>
        <w:rPr>
          <w:rFonts w:ascii="Arial" w:hAnsi="Arial" w:cs="Arial"/>
          <w:bCs/>
        </w:rPr>
        <w:t>was agreed</w:t>
      </w:r>
      <w:r w:rsidR="00656DFA">
        <w:rPr>
          <w:rFonts w:ascii="Arial" w:hAnsi="Arial" w:cs="Arial"/>
          <w:bCs/>
        </w:rPr>
        <w:t xml:space="preserve"> that one of the </w:t>
      </w:r>
      <w:r>
        <w:rPr>
          <w:rFonts w:ascii="Arial" w:hAnsi="Arial" w:cs="Arial"/>
          <w:bCs/>
        </w:rPr>
        <w:t xml:space="preserve">significant </w:t>
      </w:r>
      <w:r w:rsidR="00656DFA">
        <w:rPr>
          <w:rFonts w:ascii="Arial" w:hAnsi="Arial" w:cs="Arial"/>
          <w:bCs/>
        </w:rPr>
        <w:t>strengths of the current service was the use of local GPs</w:t>
      </w:r>
      <w:r>
        <w:rPr>
          <w:rFonts w:ascii="Arial" w:hAnsi="Arial" w:cs="Arial"/>
          <w:bCs/>
        </w:rPr>
        <w:t>, and it was therefore agreed that a discussion should take place with practices locally to see if there was any appetite for them to come together to deliver the out of hours service for their registered population.  It was agreed that whilst this option was explored the contracts team would continue to d</w:t>
      </w:r>
      <w:r w:rsidR="006F5938">
        <w:rPr>
          <w:rFonts w:ascii="Arial" w:hAnsi="Arial" w:cs="Arial"/>
          <w:bCs/>
        </w:rPr>
        <w:t>evelop the procurement timeline.</w:t>
      </w:r>
    </w:p>
    <w:p w:rsidR="006F5938" w:rsidRDefault="006F5938" w:rsidP="002E0FE3">
      <w:pPr>
        <w:ind w:left="720"/>
        <w:rPr>
          <w:rFonts w:ascii="Arial" w:hAnsi="Arial" w:cs="Arial"/>
          <w:bCs/>
        </w:rPr>
      </w:pPr>
    </w:p>
    <w:p w:rsidR="002E0FE3" w:rsidRDefault="006F5938" w:rsidP="002E0FE3">
      <w:pPr>
        <w:ind w:left="720"/>
        <w:rPr>
          <w:rFonts w:ascii="Arial" w:hAnsi="Arial" w:cs="Arial"/>
          <w:bCs/>
        </w:rPr>
      </w:pPr>
      <w:r>
        <w:rPr>
          <w:rFonts w:ascii="Arial" w:hAnsi="Arial" w:cs="Arial"/>
          <w:bCs/>
        </w:rPr>
        <w:t>The outcome of the discussion with the GPs and the agreement of next steps will be taken to the Care contracting Committee on the 11</w:t>
      </w:r>
      <w:r w:rsidRPr="006F5938">
        <w:rPr>
          <w:rFonts w:ascii="Arial" w:hAnsi="Arial" w:cs="Arial"/>
          <w:bCs/>
          <w:vertAlign w:val="superscript"/>
        </w:rPr>
        <w:t>th</w:t>
      </w:r>
      <w:r>
        <w:rPr>
          <w:rFonts w:ascii="Arial" w:hAnsi="Arial" w:cs="Arial"/>
          <w:bCs/>
        </w:rPr>
        <w:t xml:space="preserve"> November.</w:t>
      </w:r>
    </w:p>
    <w:p w:rsidR="006F5938" w:rsidRDefault="006F5938" w:rsidP="002E0FE3">
      <w:pPr>
        <w:ind w:left="720"/>
        <w:rPr>
          <w:rFonts w:ascii="Arial" w:hAnsi="Arial" w:cs="Arial"/>
          <w:bCs/>
        </w:rPr>
      </w:pPr>
    </w:p>
    <w:p w:rsidR="006F5938" w:rsidRPr="006F5938" w:rsidRDefault="006F5938" w:rsidP="002E0FE3">
      <w:pPr>
        <w:ind w:left="720"/>
        <w:rPr>
          <w:rFonts w:ascii="Arial" w:hAnsi="Arial" w:cs="Arial"/>
          <w:bCs/>
          <w:u w:val="single"/>
        </w:rPr>
      </w:pPr>
      <w:r w:rsidRPr="006F5938">
        <w:rPr>
          <w:rFonts w:ascii="Arial" w:hAnsi="Arial" w:cs="Arial"/>
          <w:bCs/>
          <w:u w:val="single"/>
        </w:rPr>
        <w:t>Laundry Service</w:t>
      </w:r>
    </w:p>
    <w:p w:rsidR="00E807B2" w:rsidRDefault="006F5938" w:rsidP="002E0FE3">
      <w:pPr>
        <w:ind w:left="720"/>
        <w:rPr>
          <w:rFonts w:ascii="Arial" w:hAnsi="Arial" w:cs="Arial"/>
          <w:bCs/>
        </w:rPr>
      </w:pPr>
      <w:r>
        <w:rPr>
          <w:rFonts w:ascii="Arial" w:hAnsi="Arial" w:cs="Arial"/>
          <w:bCs/>
        </w:rPr>
        <w:t>The provider of the laundry service</w:t>
      </w:r>
      <w:r w:rsidR="00034767">
        <w:rPr>
          <w:rFonts w:ascii="Arial" w:hAnsi="Arial" w:cs="Arial"/>
          <w:bCs/>
        </w:rPr>
        <w:t xml:space="preserve"> for 13 individuals</w:t>
      </w:r>
      <w:r>
        <w:rPr>
          <w:rFonts w:ascii="Arial" w:hAnsi="Arial" w:cs="Arial"/>
          <w:bCs/>
        </w:rPr>
        <w:t xml:space="preserve"> informed the CCG of their intention to exit the contract</w:t>
      </w:r>
      <w:r w:rsidR="00034767">
        <w:rPr>
          <w:rFonts w:ascii="Arial" w:hAnsi="Arial" w:cs="Arial"/>
          <w:bCs/>
        </w:rPr>
        <w:t xml:space="preserve"> at the end of the required notice period.</w:t>
      </w:r>
    </w:p>
    <w:p w:rsidR="00034767" w:rsidRDefault="00034767" w:rsidP="002E0FE3">
      <w:pPr>
        <w:ind w:left="720"/>
        <w:rPr>
          <w:rFonts w:ascii="Arial" w:hAnsi="Arial" w:cs="Arial"/>
          <w:bCs/>
        </w:rPr>
      </w:pPr>
      <w:r>
        <w:rPr>
          <w:rFonts w:ascii="Arial" w:hAnsi="Arial" w:cs="Arial"/>
          <w:bCs/>
        </w:rPr>
        <w:t>Due to the size of the service and the timeframe within with a replacement provider needed to be secured Expressions of Interest to provide the service have been sought from relevant providers.</w:t>
      </w:r>
    </w:p>
    <w:p w:rsidR="006D0DE2" w:rsidRPr="006D0DE2" w:rsidRDefault="006D0DE2" w:rsidP="00E807B2">
      <w:pPr>
        <w:rPr>
          <w:rFonts w:ascii="Arial" w:hAnsi="Arial" w:cs="Arial"/>
          <w:bCs/>
        </w:rPr>
      </w:pPr>
    </w:p>
    <w:p w:rsidR="00A06289" w:rsidRPr="00A1275B" w:rsidRDefault="00D253CF" w:rsidP="00A1275B">
      <w:pPr>
        <w:pStyle w:val="ListParagraph"/>
        <w:numPr>
          <w:ilvl w:val="0"/>
          <w:numId w:val="37"/>
        </w:numPr>
        <w:rPr>
          <w:rFonts w:ascii="Arial" w:hAnsi="Arial" w:cs="Arial"/>
          <w:bCs/>
        </w:rPr>
      </w:pPr>
      <w:r w:rsidRPr="00A1275B">
        <w:rPr>
          <w:rFonts w:ascii="Arial" w:hAnsi="Arial" w:cs="Arial"/>
          <w:b/>
          <w:bCs/>
        </w:rPr>
        <w:t>Contracts:</w:t>
      </w:r>
      <w:r w:rsidRPr="00A1275B">
        <w:rPr>
          <w:rFonts w:ascii="Arial" w:hAnsi="Arial" w:cs="Arial"/>
          <w:bCs/>
        </w:rPr>
        <w:br/>
      </w:r>
      <w:r w:rsidR="00A1275B" w:rsidRPr="00A1275B">
        <w:rPr>
          <w:rFonts w:ascii="Arial" w:hAnsi="Arial" w:cs="Arial"/>
          <w:bCs/>
        </w:rPr>
        <w:tab/>
      </w:r>
    </w:p>
    <w:p w:rsidR="00034767" w:rsidRDefault="00A1275B" w:rsidP="00A1275B">
      <w:pPr>
        <w:pStyle w:val="ListParagraph"/>
        <w:rPr>
          <w:rFonts w:ascii="Arial" w:hAnsi="Arial" w:cs="Arial"/>
          <w:bCs/>
        </w:rPr>
      </w:pPr>
      <w:r>
        <w:rPr>
          <w:rFonts w:ascii="Arial" w:hAnsi="Arial" w:cs="Arial"/>
          <w:bCs/>
        </w:rPr>
        <w:t xml:space="preserve">The CCG will be starting to review its main NHS contracts </w:t>
      </w:r>
      <w:r w:rsidR="00034767">
        <w:rPr>
          <w:rFonts w:ascii="Arial" w:hAnsi="Arial" w:cs="Arial"/>
          <w:bCs/>
        </w:rPr>
        <w:t xml:space="preserve">this month in preparation for the 2016/17 </w:t>
      </w:r>
      <w:r>
        <w:rPr>
          <w:rFonts w:ascii="Arial" w:hAnsi="Arial" w:cs="Arial"/>
          <w:bCs/>
        </w:rPr>
        <w:t>contract round.</w:t>
      </w:r>
      <w:r w:rsidR="00034767">
        <w:rPr>
          <w:rFonts w:ascii="Arial" w:hAnsi="Arial" w:cs="Arial"/>
          <w:bCs/>
        </w:rPr>
        <w:t xml:space="preserve"> </w:t>
      </w:r>
      <w:r>
        <w:rPr>
          <w:rFonts w:ascii="Arial" w:hAnsi="Arial" w:cs="Arial"/>
          <w:bCs/>
        </w:rPr>
        <w:t xml:space="preserve"> The CCG </w:t>
      </w:r>
      <w:r w:rsidR="00034767">
        <w:rPr>
          <w:rFonts w:ascii="Arial" w:hAnsi="Arial" w:cs="Arial"/>
          <w:bCs/>
        </w:rPr>
        <w:t xml:space="preserve">is </w:t>
      </w:r>
      <w:r>
        <w:rPr>
          <w:rFonts w:ascii="Arial" w:hAnsi="Arial" w:cs="Arial"/>
          <w:bCs/>
        </w:rPr>
        <w:t xml:space="preserve">working with NL CCG and providers locally </w:t>
      </w:r>
      <w:r w:rsidR="00034767">
        <w:rPr>
          <w:rFonts w:ascii="Arial" w:hAnsi="Arial" w:cs="Arial"/>
          <w:bCs/>
        </w:rPr>
        <w:t xml:space="preserve">as part of </w:t>
      </w:r>
      <w:r>
        <w:rPr>
          <w:rFonts w:ascii="Arial" w:hAnsi="Arial" w:cs="Arial"/>
          <w:bCs/>
        </w:rPr>
        <w:t xml:space="preserve">Healthy Lives Healthy Futures (HLHF) </w:t>
      </w:r>
      <w:r w:rsidR="00034767">
        <w:rPr>
          <w:rFonts w:ascii="Arial" w:hAnsi="Arial" w:cs="Arial"/>
          <w:bCs/>
        </w:rPr>
        <w:t xml:space="preserve">to </w:t>
      </w:r>
      <w:r>
        <w:rPr>
          <w:rFonts w:ascii="Arial" w:hAnsi="Arial" w:cs="Arial"/>
          <w:bCs/>
        </w:rPr>
        <w:t>model</w:t>
      </w:r>
      <w:r w:rsidR="00034767">
        <w:rPr>
          <w:rFonts w:ascii="Arial" w:hAnsi="Arial" w:cs="Arial"/>
          <w:bCs/>
        </w:rPr>
        <w:t xml:space="preserve"> through the impact of planned service changes on activity and cost.</w:t>
      </w:r>
      <w:r>
        <w:rPr>
          <w:rFonts w:ascii="Arial" w:hAnsi="Arial" w:cs="Arial"/>
          <w:bCs/>
        </w:rPr>
        <w:t xml:space="preserve"> </w:t>
      </w:r>
    </w:p>
    <w:p w:rsidR="00E21331" w:rsidRDefault="00E21331" w:rsidP="00A1275B">
      <w:pPr>
        <w:pStyle w:val="ListParagraph"/>
        <w:rPr>
          <w:rFonts w:ascii="Arial" w:hAnsi="Arial" w:cs="Arial"/>
          <w:bCs/>
        </w:rPr>
      </w:pPr>
    </w:p>
    <w:p w:rsidR="00E21331" w:rsidRDefault="00E21331" w:rsidP="00A1275B">
      <w:pPr>
        <w:pStyle w:val="ListParagraph"/>
        <w:rPr>
          <w:rFonts w:ascii="Arial" w:hAnsi="Arial" w:cs="Arial"/>
          <w:bCs/>
        </w:rPr>
      </w:pPr>
      <w:r>
        <w:rPr>
          <w:rFonts w:ascii="Arial" w:hAnsi="Arial" w:cs="Arial"/>
          <w:bCs/>
        </w:rPr>
        <w:lastRenderedPageBreak/>
        <w:t xml:space="preserve">CQUINs and Key Performance Indicators will be reviewed to ensure that they reflect local requirements and the national planning guidance expected to be published in December. </w:t>
      </w:r>
    </w:p>
    <w:p w:rsidR="00034767" w:rsidRPr="00E21331" w:rsidRDefault="00034767" w:rsidP="00A1275B">
      <w:pPr>
        <w:pStyle w:val="ListParagraph"/>
        <w:rPr>
          <w:rFonts w:ascii="Arial" w:hAnsi="Arial" w:cs="Arial"/>
          <w:bCs/>
        </w:rPr>
      </w:pPr>
    </w:p>
    <w:p w:rsidR="008C64A8" w:rsidRPr="00E21331" w:rsidRDefault="008C64A8" w:rsidP="00E21331">
      <w:pPr>
        <w:ind w:left="709"/>
        <w:rPr>
          <w:rFonts w:ascii="Arial" w:hAnsi="Arial" w:cs="Arial"/>
          <w:bCs/>
          <w:u w:val="single"/>
        </w:rPr>
      </w:pPr>
      <w:r w:rsidRPr="00E21331">
        <w:rPr>
          <w:rFonts w:ascii="Arial" w:hAnsi="Arial" w:cs="Arial"/>
          <w:bCs/>
          <w:u w:val="single"/>
        </w:rPr>
        <w:t>Yorkshire &amp; Humber C</w:t>
      </w:r>
      <w:r w:rsidR="00E21331" w:rsidRPr="00E21331">
        <w:rPr>
          <w:rFonts w:ascii="Arial" w:hAnsi="Arial" w:cs="Arial"/>
          <w:bCs/>
          <w:u w:val="single"/>
        </w:rPr>
        <w:t xml:space="preserve">ommissioning </w:t>
      </w:r>
      <w:r w:rsidRPr="00E21331">
        <w:rPr>
          <w:rFonts w:ascii="Arial" w:hAnsi="Arial" w:cs="Arial"/>
          <w:bCs/>
          <w:u w:val="single"/>
        </w:rPr>
        <w:t>S</w:t>
      </w:r>
      <w:r w:rsidR="00E21331" w:rsidRPr="00E21331">
        <w:rPr>
          <w:rFonts w:ascii="Arial" w:hAnsi="Arial" w:cs="Arial"/>
          <w:bCs/>
          <w:u w:val="single"/>
        </w:rPr>
        <w:t>upport (YHCS)</w:t>
      </w:r>
    </w:p>
    <w:p w:rsidR="008C64A8" w:rsidRPr="00E21331" w:rsidRDefault="008C64A8" w:rsidP="00E21331">
      <w:pPr>
        <w:ind w:left="709"/>
        <w:rPr>
          <w:rFonts w:ascii="Arial" w:hAnsi="Arial" w:cs="Arial"/>
          <w:bCs/>
        </w:rPr>
      </w:pPr>
    </w:p>
    <w:p w:rsidR="00E21331" w:rsidRPr="00E21331" w:rsidRDefault="00E21331" w:rsidP="00E21331">
      <w:pPr>
        <w:pStyle w:val="ListParagraph"/>
        <w:ind w:left="709"/>
        <w:rPr>
          <w:rFonts w:ascii="Arial" w:hAnsi="Arial" w:cs="Arial"/>
          <w:bCs/>
        </w:rPr>
      </w:pPr>
      <w:r w:rsidRPr="00E21331">
        <w:rPr>
          <w:rFonts w:ascii="Arial" w:hAnsi="Arial" w:cs="Arial"/>
          <w:bCs/>
        </w:rPr>
        <w:t xml:space="preserve">YHCS learnt in early 2015 that they had been unsuccessful in their bid to gain a place on the national lead provider framework and will therefore cease to exist as a stand-alone organisation after March 2016. The CCG currently buys £1.6m worth of services from YHCS, including GP IT, HR, business intelligence, communications and engagement.  </w:t>
      </w:r>
    </w:p>
    <w:p w:rsidR="00E21331" w:rsidRPr="00E21331" w:rsidRDefault="00E21331" w:rsidP="00E21331">
      <w:pPr>
        <w:ind w:left="709"/>
        <w:rPr>
          <w:rFonts w:ascii="Arial" w:hAnsi="Arial" w:cs="Arial"/>
          <w:bCs/>
        </w:rPr>
      </w:pPr>
    </w:p>
    <w:p w:rsidR="00E21331" w:rsidRPr="00E21331" w:rsidRDefault="00E21331" w:rsidP="00E21331">
      <w:pPr>
        <w:ind w:left="709"/>
        <w:rPr>
          <w:rFonts w:ascii="Arial" w:hAnsi="Arial" w:cs="Arial"/>
          <w:bCs/>
        </w:rPr>
      </w:pPr>
      <w:r w:rsidRPr="00E21331">
        <w:rPr>
          <w:rFonts w:ascii="Arial" w:hAnsi="Arial" w:cs="Arial"/>
          <w:bCs/>
        </w:rPr>
        <w:t xml:space="preserve">The CCG has reviewed all the services it currently buys from YHCS to assess whether to bring the services in-house (Do), to Share the services with other CCGs (staff would be employed by one CCG and shared with another), or to continue to Buy them in either via the Lead Provider framework or the wider market following a procurement. </w:t>
      </w:r>
    </w:p>
    <w:p w:rsidR="00E21331" w:rsidRPr="00EF4750" w:rsidRDefault="00E21331" w:rsidP="00E21331">
      <w:pPr>
        <w:ind w:left="426"/>
        <w:rPr>
          <w:rFonts w:ascii="Arial" w:hAnsi="Arial" w:cs="Arial"/>
          <w:bCs/>
        </w:rPr>
      </w:pPr>
    </w:p>
    <w:p w:rsidR="003750AC" w:rsidRDefault="00B01792" w:rsidP="00334F23">
      <w:pPr>
        <w:ind w:left="720"/>
        <w:rPr>
          <w:rFonts w:ascii="Arial" w:hAnsi="Arial" w:cs="Arial"/>
          <w:bCs/>
        </w:rPr>
      </w:pPr>
      <w:r>
        <w:rPr>
          <w:rFonts w:ascii="Arial" w:hAnsi="Arial" w:cs="Arial"/>
          <w:bCs/>
        </w:rPr>
        <w:t>B</w:t>
      </w:r>
      <w:r w:rsidR="00334F23">
        <w:rPr>
          <w:rFonts w:ascii="Arial" w:hAnsi="Arial" w:cs="Arial"/>
          <w:bCs/>
        </w:rPr>
        <w:t>usiness cas</w:t>
      </w:r>
      <w:r>
        <w:rPr>
          <w:rFonts w:ascii="Arial" w:hAnsi="Arial" w:cs="Arial"/>
          <w:bCs/>
        </w:rPr>
        <w:t>es for the</w:t>
      </w:r>
      <w:r w:rsidR="00E21331">
        <w:rPr>
          <w:rFonts w:ascii="Arial" w:hAnsi="Arial" w:cs="Arial"/>
          <w:bCs/>
        </w:rPr>
        <w:t xml:space="preserve"> services to be shared with NL CCG have been approved and as a result 8 staff </w:t>
      </w:r>
      <w:proofErr w:type="gramStart"/>
      <w:r w:rsidR="00E21331">
        <w:rPr>
          <w:rFonts w:ascii="Arial" w:hAnsi="Arial" w:cs="Arial"/>
          <w:bCs/>
        </w:rPr>
        <w:t>will</w:t>
      </w:r>
      <w:proofErr w:type="gramEnd"/>
      <w:r w:rsidR="00E21331">
        <w:rPr>
          <w:rFonts w:ascii="Arial" w:hAnsi="Arial" w:cs="Arial"/>
          <w:bCs/>
        </w:rPr>
        <w:t xml:space="preserve"> TUPE transfer to the CCG in December to deliver the services that NEL CCG will be hosting going forward.  The areas that NEL will be sharing and hosting are</w:t>
      </w:r>
      <w:r>
        <w:rPr>
          <w:rFonts w:ascii="Arial" w:hAnsi="Arial" w:cs="Arial"/>
          <w:bCs/>
        </w:rPr>
        <w:t xml:space="preserve"> Provider M</w:t>
      </w:r>
      <w:r w:rsidR="00334F23">
        <w:rPr>
          <w:rFonts w:ascii="Arial" w:hAnsi="Arial" w:cs="Arial"/>
          <w:bCs/>
        </w:rPr>
        <w:t>anagement</w:t>
      </w:r>
      <w:r>
        <w:rPr>
          <w:rFonts w:ascii="Arial" w:hAnsi="Arial" w:cs="Arial"/>
          <w:bCs/>
        </w:rPr>
        <w:t>, and Communications &amp; Engagement</w:t>
      </w:r>
      <w:r w:rsidR="003750AC">
        <w:rPr>
          <w:rFonts w:ascii="Arial" w:hAnsi="Arial" w:cs="Arial"/>
          <w:bCs/>
        </w:rPr>
        <w:t>. North Lincolnshire CCG will be sharing and hosting the Quality, Risk, Serious Incident management, Freedom of Information and Programme Management functions on behalf of both CCGs.</w:t>
      </w:r>
    </w:p>
    <w:p w:rsidR="003750AC" w:rsidRDefault="003750AC" w:rsidP="00334F23">
      <w:pPr>
        <w:ind w:left="720"/>
        <w:rPr>
          <w:rFonts w:ascii="Arial" w:hAnsi="Arial" w:cs="Arial"/>
          <w:bCs/>
        </w:rPr>
      </w:pPr>
    </w:p>
    <w:p w:rsidR="00605D42" w:rsidRDefault="003750AC" w:rsidP="00334F23">
      <w:pPr>
        <w:ind w:left="720"/>
        <w:rPr>
          <w:rFonts w:ascii="Arial" w:hAnsi="Arial" w:cs="Arial"/>
          <w:bCs/>
        </w:rPr>
      </w:pPr>
      <w:r>
        <w:rPr>
          <w:rFonts w:ascii="Arial" w:hAnsi="Arial" w:cs="Arial"/>
          <w:bCs/>
        </w:rPr>
        <w:t xml:space="preserve">For </w:t>
      </w:r>
      <w:r w:rsidR="00605D42">
        <w:rPr>
          <w:rFonts w:ascii="Arial" w:hAnsi="Arial" w:cs="Arial"/>
          <w:bCs/>
        </w:rPr>
        <w:t>th</w:t>
      </w:r>
      <w:r>
        <w:rPr>
          <w:rFonts w:ascii="Arial" w:hAnsi="Arial" w:cs="Arial"/>
          <w:bCs/>
        </w:rPr>
        <w:t>e services</w:t>
      </w:r>
      <w:r w:rsidR="00605D42">
        <w:rPr>
          <w:rFonts w:ascii="Arial" w:hAnsi="Arial" w:cs="Arial"/>
          <w:bCs/>
        </w:rPr>
        <w:t xml:space="preserve"> </w:t>
      </w:r>
      <w:r>
        <w:rPr>
          <w:rFonts w:ascii="Arial" w:hAnsi="Arial" w:cs="Arial"/>
          <w:bCs/>
        </w:rPr>
        <w:t xml:space="preserve">that </w:t>
      </w:r>
      <w:r w:rsidR="00605D42">
        <w:rPr>
          <w:rFonts w:ascii="Arial" w:hAnsi="Arial" w:cs="Arial"/>
          <w:bCs/>
        </w:rPr>
        <w:t>we are procuring</w:t>
      </w:r>
      <w:r>
        <w:rPr>
          <w:rFonts w:ascii="Arial" w:hAnsi="Arial" w:cs="Arial"/>
          <w:bCs/>
        </w:rPr>
        <w:t xml:space="preserve"> via the </w:t>
      </w:r>
      <w:r w:rsidR="004F7E52">
        <w:rPr>
          <w:rFonts w:ascii="Arial" w:hAnsi="Arial" w:cs="Arial"/>
          <w:bCs/>
        </w:rPr>
        <w:t>Local Procurement Framework (LPF)</w:t>
      </w:r>
      <w:r w:rsidR="00605D42">
        <w:rPr>
          <w:rFonts w:ascii="Arial" w:hAnsi="Arial" w:cs="Arial"/>
          <w:bCs/>
        </w:rPr>
        <w:t xml:space="preserve">, Medicines Management, Individual Funding Requests, </w:t>
      </w:r>
      <w:r w:rsidR="00AA3167">
        <w:rPr>
          <w:rFonts w:ascii="Arial" w:hAnsi="Arial" w:cs="Arial"/>
          <w:bCs/>
        </w:rPr>
        <w:t xml:space="preserve">HR, corporate </w:t>
      </w:r>
      <w:r w:rsidR="00605D42">
        <w:rPr>
          <w:rFonts w:ascii="Arial" w:hAnsi="Arial" w:cs="Arial"/>
          <w:bCs/>
        </w:rPr>
        <w:t xml:space="preserve">IT &amp; GPIT, bids have been received and evaluation has commenced.   </w:t>
      </w:r>
      <w:r w:rsidR="00AA3167">
        <w:rPr>
          <w:rFonts w:ascii="Arial" w:hAnsi="Arial" w:cs="Arial"/>
          <w:bCs/>
        </w:rPr>
        <w:t>The remaining</w:t>
      </w:r>
      <w:r w:rsidR="00605D42">
        <w:rPr>
          <w:rFonts w:ascii="Arial" w:hAnsi="Arial" w:cs="Arial"/>
          <w:bCs/>
        </w:rPr>
        <w:t xml:space="preserve"> key milestones</w:t>
      </w:r>
      <w:r w:rsidR="00AA3167">
        <w:rPr>
          <w:rFonts w:ascii="Arial" w:hAnsi="Arial" w:cs="Arial"/>
          <w:bCs/>
        </w:rPr>
        <w:t xml:space="preserve"> are as follows: </w:t>
      </w:r>
      <w:r w:rsidR="00605D42">
        <w:rPr>
          <w:rFonts w:ascii="Arial" w:hAnsi="Arial" w:cs="Arial"/>
          <w:bCs/>
        </w:rPr>
        <w:t xml:space="preserve"> </w:t>
      </w:r>
    </w:p>
    <w:p w:rsidR="00605D42" w:rsidRDefault="00605D42" w:rsidP="00605D42"/>
    <w:p w:rsidR="00605D42" w:rsidRPr="00AA3167" w:rsidRDefault="00605D42" w:rsidP="00AA3167">
      <w:pPr>
        <w:numPr>
          <w:ilvl w:val="0"/>
          <w:numId w:val="40"/>
        </w:numPr>
        <w:tabs>
          <w:tab w:val="left" w:pos="993"/>
        </w:tabs>
        <w:ind w:left="993" w:hanging="284"/>
        <w:rPr>
          <w:rFonts w:ascii="Arial" w:hAnsi="Arial" w:cs="Arial"/>
        </w:rPr>
      </w:pPr>
      <w:r w:rsidRPr="00AA3167">
        <w:rPr>
          <w:rFonts w:ascii="Arial" w:hAnsi="Arial" w:cs="Arial"/>
        </w:rPr>
        <w:t>9 &amp; 10</w:t>
      </w:r>
      <w:r w:rsidRPr="00AA3167">
        <w:rPr>
          <w:rFonts w:ascii="Arial" w:hAnsi="Arial" w:cs="Arial"/>
          <w:vertAlign w:val="superscript"/>
        </w:rPr>
        <w:t>th</w:t>
      </w:r>
      <w:r w:rsidRPr="00AA3167">
        <w:rPr>
          <w:rFonts w:ascii="Arial" w:hAnsi="Arial" w:cs="Arial"/>
        </w:rPr>
        <w:t xml:space="preserve"> November – bidder presentations to be held </w:t>
      </w:r>
    </w:p>
    <w:p w:rsidR="00605D42" w:rsidRPr="00AA3167" w:rsidRDefault="00605D42" w:rsidP="00AA3167">
      <w:pPr>
        <w:numPr>
          <w:ilvl w:val="0"/>
          <w:numId w:val="40"/>
        </w:numPr>
        <w:tabs>
          <w:tab w:val="left" w:pos="993"/>
        </w:tabs>
        <w:ind w:left="993" w:hanging="284"/>
        <w:rPr>
          <w:rFonts w:ascii="Arial" w:hAnsi="Arial" w:cs="Arial"/>
          <w:bCs/>
        </w:rPr>
      </w:pPr>
      <w:r w:rsidRPr="00AA3167">
        <w:rPr>
          <w:rFonts w:ascii="Arial" w:hAnsi="Arial" w:cs="Arial"/>
        </w:rPr>
        <w:t xml:space="preserve">17 November (12 noon). Deadline for submitting qualitative evaluation. </w:t>
      </w:r>
    </w:p>
    <w:p w:rsidR="00AA3167" w:rsidRPr="00AA3167" w:rsidRDefault="00AA3167" w:rsidP="00AA3167">
      <w:pPr>
        <w:numPr>
          <w:ilvl w:val="0"/>
          <w:numId w:val="40"/>
        </w:numPr>
        <w:tabs>
          <w:tab w:val="left" w:pos="993"/>
        </w:tabs>
        <w:ind w:left="993" w:hanging="284"/>
        <w:rPr>
          <w:rFonts w:ascii="Arial" w:hAnsi="Arial" w:cs="Arial"/>
          <w:bCs/>
        </w:rPr>
      </w:pPr>
      <w:r w:rsidRPr="00AA3167">
        <w:rPr>
          <w:rFonts w:ascii="Arial" w:hAnsi="Arial" w:cs="Arial"/>
        </w:rPr>
        <w:t>27</w:t>
      </w:r>
      <w:r w:rsidRPr="00AA3167">
        <w:rPr>
          <w:rFonts w:ascii="Arial" w:hAnsi="Arial" w:cs="Arial"/>
          <w:vertAlign w:val="superscript"/>
        </w:rPr>
        <w:t>th</w:t>
      </w:r>
      <w:r w:rsidRPr="00AA3167">
        <w:rPr>
          <w:rFonts w:ascii="Arial" w:hAnsi="Arial" w:cs="Arial"/>
        </w:rPr>
        <w:t xml:space="preserve"> November – identification of preferred bidder &amp; commencement of standstill period</w:t>
      </w:r>
    </w:p>
    <w:p w:rsidR="00AA3167" w:rsidRPr="00AA3167" w:rsidRDefault="00AA3167" w:rsidP="00AA3167">
      <w:pPr>
        <w:numPr>
          <w:ilvl w:val="0"/>
          <w:numId w:val="40"/>
        </w:numPr>
        <w:tabs>
          <w:tab w:val="left" w:pos="993"/>
        </w:tabs>
        <w:ind w:left="993" w:hanging="284"/>
        <w:rPr>
          <w:rFonts w:ascii="Arial" w:hAnsi="Arial" w:cs="Arial"/>
          <w:bCs/>
        </w:rPr>
      </w:pPr>
      <w:r w:rsidRPr="00AA3167">
        <w:rPr>
          <w:rFonts w:ascii="Arial" w:hAnsi="Arial" w:cs="Arial"/>
        </w:rPr>
        <w:t>Mid December (target date 14</w:t>
      </w:r>
      <w:r w:rsidRPr="00AA3167">
        <w:rPr>
          <w:rFonts w:ascii="Arial" w:hAnsi="Arial" w:cs="Arial"/>
          <w:vertAlign w:val="superscript"/>
        </w:rPr>
        <w:t>th</w:t>
      </w:r>
      <w:r w:rsidRPr="00AA3167">
        <w:rPr>
          <w:rFonts w:ascii="Arial" w:hAnsi="Arial" w:cs="Arial"/>
        </w:rPr>
        <w:t xml:space="preserve"> December) notification of successful bidder to CCGs </w:t>
      </w:r>
    </w:p>
    <w:p w:rsidR="00AA3167" w:rsidRPr="00AA3167" w:rsidRDefault="00AA3167" w:rsidP="00AA3167">
      <w:pPr>
        <w:numPr>
          <w:ilvl w:val="0"/>
          <w:numId w:val="40"/>
        </w:numPr>
        <w:tabs>
          <w:tab w:val="left" w:pos="993"/>
        </w:tabs>
        <w:ind w:left="993" w:hanging="284"/>
        <w:rPr>
          <w:rFonts w:ascii="Arial" w:hAnsi="Arial" w:cs="Arial"/>
          <w:bCs/>
        </w:rPr>
      </w:pPr>
      <w:r w:rsidRPr="00AA3167">
        <w:rPr>
          <w:rFonts w:ascii="Arial" w:hAnsi="Arial" w:cs="Arial"/>
        </w:rPr>
        <w:t xml:space="preserve">Jan to March mobilisation &amp; contract commencement  </w:t>
      </w:r>
    </w:p>
    <w:p w:rsidR="00AA3167" w:rsidRDefault="00AA3167" w:rsidP="00AA3167">
      <w:pPr>
        <w:tabs>
          <w:tab w:val="left" w:pos="993"/>
        </w:tabs>
        <w:rPr>
          <w:rFonts w:ascii="Arial" w:hAnsi="Arial" w:cs="Arial"/>
        </w:rPr>
      </w:pPr>
    </w:p>
    <w:p w:rsidR="00AA3167" w:rsidRDefault="00AA3167" w:rsidP="00AA3167">
      <w:pPr>
        <w:tabs>
          <w:tab w:val="left" w:pos="993"/>
        </w:tabs>
        <w:rPr>
          <w:rFonts w:ascii="Arial" w:hAnsi="Arial" w:cs="Arial"/>
        </w:rPr>
      </w:pPr>
    </w:p>
    <w:p w:rsidR="00AA3167" w:rsidRPr="002C5F66" w:rsidRDefault="002C5F66" w:rsidP="002C5F66">
      <w:pPr>
        <w:pStyle w:val="ListParagraph"/>
        <w:tabs>
          <w:tab w:val="left" w:pos="426"/>
        </w:tabs>
        <w:ind w:left="709" w:hanging="425"/>
        <w:rPr>
          <w:rFonts w:ascii="Arial" w:hAnsi="Arial" w:cs="Arial"/>
          <w:bCs/>
        </w:rPr>
      </w:pPr>
      <w:r>
        <w:rPr>
          <w:rFonts w:ascii="Arial" w:hAnsi="Arial" w:cs="Arial"/>
          <w:bCs/>
        </w:rPr>
        <w:t>3.</w:t>
      </w:r>
      <w:r w:rsidRPr="002C5F66">
        <w:rPr>
          <w:rFonts w:ascii="Arial" w:hAnsi="Arial" w:cs="Arial"/>
          <w:b/>
          <w:bCs/>
        </w:rPr>
        <w:t xml:space="preserve">  </w:t>
      </w:r>
      <w:r w:rsidR="00AA3167" w:rsidRPr="002C5F66">
        <w:rPr>
          <w:rFonts w:ascii="Arial" w:hAnsi="Arial" w:cs="Arial"/>
          <w:b/>
          <w:bCs/>
        </w:rPr>
        <w:t>Commissioning update</w:t>
      </w:r>
    </w:p>
    <w:p w:rsidR="00AA3167" w:rsidRDefault="00AA3167" w:rsidP="00AA3167">
      <w:pPr>
        <w:ind w:firstLine="360"/>
        <w:rPr>
          <w:rFonts w:ascii="Arial" w:hAnsi="Arial" w:cs="Arial"/>
          <w:bCs/>
          <w:u w:val="single"/>
        </w:rPr>
      </w:pPr>
    </w:p>
    <w:p w:rsidR="00BA6556" w:rsidRDefault="00BA6556" w:rsidP="002C5F66">
      <w:pPr>
        <w:ind w:left="709"/>
        <w:rPr>
          <w:rFonts w:ascii="Arial" w:hAnsi="Arial" w:cs="Arial"/>
          <w:bCs/>
          <w:u w:val="single"/>
        </w:rPr>
      </w:pPr>
      <w:r>
        <w:rPr>
          <w:rFonts w:ascii="Arial" w:hAnsi="Arial" w:cs="Arial"/>
          <w:bCs/>
          <w:u w:val="single"/>
        </w:rPr>
        <w:t>Support to Care Homes and those with the most complex care needs</w:t>
      </w:r>
    </w:p>
    <w:p w:rsidR="00BA6556" w:rsidRDefault="00BA6556" w:rsidP="002C5F66">
      <w:pPr>
        <w:ind w:left="709"/>
        <w:rPr>
          <w:rFonts w:ascii="Arial" w:hAnsi="Arial" w:cs="Arial"/>
          <w:bCs/>
        </w:rPr>
      </w:pPr>
    </w:p>
    <w:p w:rsidR="00BA6556" w:rsidRDefault="00BA6556" w:rsidP="002C5F66">
      <w:pPr>
        <w:ind w:left="709"/>
        <w:rPr>
          <w:rFonts w:ascii="Arial" w:hAnsi="Arial" w:cs="Arial"/>
          <w:bCs/>
        </w:rPr>
      </w:pPr>
      <w:r>
        <w:rPr>
          <w:rFonts w:ascii="Arial" w:hAnsi="Arial" w:cs="Arial"/>
          <w:bCs/>
        </w:rPr>
        <w:t xml:space="preserve">Following an initial meeting held to enable council of members to better understand the detailed requirements of the support to care homes and those with the most complex care needs service specification, it was agreed that a smaller design and </w:t>
      </w:r>
      <w:proofErr w:type="gramStart"/>
      <w:r>
        <w:rPr>
          <w:rFonts w:ascii="Arial" w:hAnsi="Arial" w:cs="Arial"/>
          <w:bCs/>
        </w:rPr>
        <w:t>implementation  group</w:t>
      </w:r>
      <w:proofErr w:type="gramEnd"/>
      <w:r>
        <w:rPr>
          <w:rFonts w:ascii="Arial" w:hAnsi="Arial" w:cs="Arial"/>
          <w:bCs/>
        </w:rPr>
        <w:t xml:space="preserve"> has been established to meet to determine the most effective way to deliver the service and achieve the outcomes. </w:t>
      </w:r>
    </w:p>
    <w:p w:rsidR="00BA6556" w:rsidRDefault="00BA6556" w:rsidP="002C5F66">
      <w:pPr>
        <w:ind w:left="709"/>
        <w:rPr>
          <w:rFonts w:ascii="Arial" w:hAnsi="Arial" w:cs="Arial"/>
          <w:bCs/>
        </w:rPr>
      </w:pPr>
    </w:p>
    <w:p w:rsidR="00BA6556" w:rsidRDefault="00BA6556" w:rsidP="002C5F66">
      <w:pPr>
        <w:ind w:left="709"/>
        <w:rPr>
          <w:rFonts w:ascii="Arial" w:hAnsi="Arial" w:cs="Arial"/>
          <w:bCs/>
        </w:rPr>
      </w:pPr>
      <w:r>
        <w:rPr>
          <w:rFonts w:ascii="Arial" w:hAnsi="Arial" w:cs="Arial"/>
          <w:bCs/>
        </w:rPr>
        <w:lastRenderedPageBreak/>
        <w:t>The design and implementation group has had its first meeting and has started to identify the individual elements that would need to be in place to successfully deliver the service.  It has agreed that at its next meeting it will review all of the services that are in place that may impact</w:t>
      </w:r>
      <w:r w:rsidR="002C5F66">
        <w:rPr>
          <w:rFonts w:ascii="Arial" w:hAnsi="Arial" w:cs="Arial"/>
          <w:bCs/>
        </w:rPr>
        <w:t xml:space="preserve"> / overlap with this service with a view to reducing duplication and maximising existing resources.</w:t>
      </w:r>
      <w:r>
        <w:rPr>
          <w:rFonts w:ascii="Arial" w:hAnsi="Arial" w:cs="Arial"/>
          <w:bCs/>
        </w:rPr>
        <w:t xml:space="preserve"> </w:t>
      </w:r>
    </w:p>
    <w:p w:rsidR="00BA6556" w:rsidRDefault="00BA6556" w:rsidP="002C5F66">
      <w:pPr>
        <w:ind w:left="709"/>
        <w:rPr>
          <w:rFonts w:ascii="Arial" w:hAnsi="Arial" w:cs="Arial"/>
          <w:bCs/>
        </w:rPr>
      </w:pPr>
    </w:p>
    <w:p w:rsidR="00BA6556" w:rsidRDefault="00BA6556" w:rsidP="002C5F66">
      <w:pPr>
        <w:ind w:left="709"/>
        <w:rPr>
          <w:rFonts w:ascii="Arial" w:hAnsi="Arial" w:cs="Arial"/>
          <w:bCs/>
          <w:u w:val="single"/>
        </w:rPr>
      </w:pPr>
      <w:r>
        <w:rPr>
          <w:rFonts w:ascii="Arial" w:hAnsi="Arial" w:cs="Arial"/>
          <w:bCs/>
        </w:rPr>
        <w:t xml:space="preserve">  </w:t>
      </w:r>
    </w:p>
    <w:p w:rsidR="00AA3167" w:rsidRPr="00894997" w:rsidRDefault="00AA3167" w:rsidP="002C5F66">
      <w:pPr>
        <w:ind w:left="709"/>
        <w:rPr>
          <w:rFonts w:ascii="Arial" w:hAnsi="Arial" w:cs="Arial"/>
          <w:bCs/>
          <w:u w:val="single"/>
        </w:rPr>
      </w:pPr>
      <w:r w:rsidRPr="00894997">
        <w:rPr>
          <w:rFonts w:ascii="Arial" w:hAnsi="Arial" w:cs="Arial"/>
          <w:bCs/>
          <w:u w:val="single"/>
        </w:rPr>
        <w:t>Strategic Commissioning Intentions</w:t>
      </w:r>
    </w:p>
    <w:p w:rsidR="00AA3167" w:rsidRDefault="00AA3167" w:rsidP="002C5F66">
      <w:pPr>
        <w:ind w:left="709"/>
        <w:rPr>
          <w:rFonts w:ascii="Arial" w:hAnsi="Arial" w:cs="Arial"/>
          <w:bCs/>
        </w:rPr>
      </w:pPr>
    </w:p>
    <w:p w:rsidR="00AA3167" w:rsidRPr="007D2587" w:rsidRDefault="00AA3167" w:rsidP="002C5F66">
      <w:pPr>
        <w:pStyle w:val="ListParagraph"/>
        <w:ind w:left="709"/>
        <w:rPr>
          <w:rFonts w:ascii="Arial" w:hAnsi="Arial" w:cs="Arial"/>
        </w:rPr>
      </w:pPr>
      <w:r w:rsidRPr="007D2587">
        <w:rPr>
          <w:rFonts w:ascii="Arial" w:hAnsi="Arial" w:cs="Arial"/>
        </w:rPr>
        <w:t>The CCG is</w:t>
      </w:r>
      <w:r w:rsidR="00F47B19">
        <w:rPr>
          <w:rFonts w:ascii="Arial" w:hAnsi="Arial" w:cs="Arial"/>
        </w:rPr>
        <w:t xml:space="preserve"> continuing to develop its</w:t>
      </w:r>
      <w:r w:rsidRPr="007D2587">
        <w:rPr>
          <w:rFonts w:ascii="Arial" w:hAnsi="Arial" w:cs="Arial"/>
        </w:rPr>
        <w:t xml:space="preserve"> high level commissioning intentions, to help shape and inform the strategic direction of services within North East Lincolnshire, as well as the proposals that are developed as part of the Healthy Lives Healthy Futures work. </w:t>
      </w:r>
    </w:p>
    <w:p w:rsidR="00AA3167" w:rsidRDefault="00AA3167" w:rsidP="002C5F66">
      <w:pPr>
        <w:pStyle w:val="ListParagraph"/>
        <w:ind w:left="709"/>
        <w:rPr>
          <w:rFonts w:ascii="Arial" w:hAnsi="Arial" w:cs="Arial"/>
          <w:sz w:val="22"/>
          <w:szCs w:val="22"/>
        </w:rPr>
      </w:pPr>
    </w:p>
    <w:p w:rsidR="00AA3167" w:rsidRPr="00F47B19" w:rsidRDefault="00AA3167" w:rsidP="002C5F66">
      <w:pPr>
        <w:autoSpaceDE w:val="0"/>
        <w:autoSpaceDN w:val="0"/>
        <w:ind w:left="709"/>
        <w:rPr>
          <w:rFonts w:ascii="Arial" w:hAnsi="Arial" w:cs="Arial"/>
        </w:rPr>
      </w:pPr>
      <w:r w:rsidRPr="00EF4750">
        <w:rPr>
          <w:rFonts w:ascii="Arial" w:hAnsi="Arial" w:cs="Arial"/>
        </w:rPr>
        <w:t>The Strategic commissioning intentions will be developed in line with the existing vision for North East Lincolnshire – ‘To deliver to the people of North East Lincolnshire the best possible independent healthy living through joined up solutions’ – and will build upon the work already started as part of the Commissioner Requested Services, as presented previously to the Partnership Board.</w:t>
      </w:r>
      <w:r w:rsidRPr="00F47B19">
        <w:rPr>
          <w:rFonts w:ascii="Arial" w:hAnsi="Arial" w:cs="Arial"/>
        </w:rPr>
        <w:t xml:space="preserve"> </w:t>
      </w:r>
    </w:p>
    <w:p w:rsidR="00AA3167" w:rsidRPr="00EF4750" w:rsidRDefault="00AA3167" w:rsidP="002C5F66">
      <w:pPr>
        <w:ind w:left="709"/>
        <w:rPr>
          <w:rFonts w:ascii="Arial" w:hAnsi="Arial" w:cs="Arial"/>
        </w:rPr>
      </w:pPr>
    </w:p>
    <w:p w:rsidR="00F47B19" w:rsidRDefault="00F47B19" w:rsidP="002C5F66">
      <w:pPr>
        <w:ind w:left="709"/>
        <w:rPr>
          <w:rFonts w:ascii="Arial" w:hAnsi="Arial" w:cs="Arial"/>
        </w:rPr>
      </w:pPr>
      <w:r>
        <w:rPr>
          <w:rFonts w:ascii="Arial" w:hAnsi="Arial" w:cs="Arial"/>
        </w:rPr>
        <w:t>Once developed t</w:t>
      </w:r>
      <w:r w:rsidR="00AA3167" w:rsidRPr="00EF4750">
        <w:rPr>
          <w:rFonts w:ascii="Arial" w:hAnsi="Arial" w:cs="Arial"/>
        </w:rPr>
        <w:t xml:space="preserve">he strategic commissioning intentions will </w:t>
      </w:r>
      <w:r>
        <w:rPr>
          <w:rFonts w:ascii="Arial" w:hAnsi="Arial" w:cs="Arial"/>
        </w:rPr>
        <w:t>inform the decisions around what services can be delivered locally in a safe, cost effective way, to the quality standard required by the CCG, and which services may need to be delivered from a location outside of NEL in order to achieve the required quality and access to services to maximise outcomes for individuals.</w:t>
      </w:r>
    </w:p>
    <w:p w:rsidR="00AA3167" w:rsidRDefault="00AA3167" w:rsidP="002C5F66">
      <w:pPr>
        <w:ind w:left="709"/>
        <w:rPr>
          <w:rFonts w:ascii="Arial" w:hAnsi="Arial" w:cs="Arial"/>
        </w:rPr>
      </w:pPr>
    </w:p>
    <w:p w:rsidR="00F47B19" w:rsidRDefault="00F47B19" w:rsidP="002C5F66">
      <w:pPr>
        <w:ind w:left="709"/>
        <w:rPr>
          <w:rFonts w:ascii="Arial" w:hAnsi="Arial" w:cs="Arial"/>
        </w:rPr>
      </w:pPr>
      <w:r>
        <w:rPr>
          <w:rFonts w:ascii="Arial" w:hAnsi="Arial" w:cs="Arial"/>
        </w:rPr>
        <w:t xml:space="preserve">A series of meetings and workshops have been held to shape and inform the commissioning intentions and the output from that </w:t>
      </w:r>
      <w:r w:rsidR="007B396E">
        <w:rPr>
          <w:rFonts w:ascii="Arial" w:hAnsi="Arial" w:cs="Arial"/>
        </w:rPr>
        <w:t>is now being used to produce a final draft set of commissioning intentions for review by the CCGs Clinical leads on the 19</w:t>
      </w:r>
      <w:r w:rsidR="007B396E" w:rsidRPr="007B396E">
        <w:rPr>
          <w:rFonts w:ascii="Arial" w:hAnsi="Arial" w:cs="Arial"/>
          <w:vertAlign w:val="superscript"/>
        </w:rPr>
        <w:t>th</w:t>
      </w:r>
      <w:r w:rsidR="007B396E">
        <w:rPr>
          <w:rFonts w:ascii="Arial" w:hAnsi="Arial" w:cs="Arial"/>
        </w:rPr>
        <w:t xml:space="preserve"> November, with the intention of then presenting them to the Council of Members in December.</w:t>
      </w:r>
    </w:p>
    <w:p w:rsidR="007B396E" w:rsidRDefault="007B396E" w:rsidP="002C5F66">
      <w:pPr>
        <w:ind w:left="709"/>
        <w:rPr>
          <w:rFonts w:ascii="Arial" w:hAnsi="Arial" w:cs="Arial"/>
        </w:rPr>
      </w:pPr>
    </w:p>
    <w:p w:rsidR="007B396E" w:rsidRDefault="007B396E" w:rsidP="002C5F66">
      <w:pPr>
        <w:ind w:left="709"/>
        <w:rPr>
          <w:rFonts w:ascii="Arial" w:hAnsi="Arial" w:cs="Arial"/>
        </w:rPr>
      </w:pPr>
      <w:r>
        <w:rPr>
          <w:rFonts w:ascii="Arial" w:hAnsi="Arial" w:cs="Arial"/>
        </w:rPr>
        <w:t xml:space="preserve">Events with Neighbouring CCGs are also taking place to share the emerging commissioning intentions to identify areas of consistency and difference.   </w:t>
      </w:r>
    </w:p>
    <w:p w:rsidR="007B396E" w:rsidRDefault="007B396E" w:rsidP="002C5F66">
      <w:pPr>
        <w:ind w:left="709"/>
        <w:rPr>
          <w:rFonts w:ascii="Arial" w:hAnsi="Arial" w:cs="Arial"/>
        </w:rPr>
      </w:pPr>
    </w:p>
    <w:p w:rsidR="007B396E" w:rsidRDefault="007B396E" w:rsidP="002C5F66">
      <w:pPr>
        <w:ind w:left="709"/>
        <w:rPr>
          <w:rFonts w:ascii="Arial" w:hAnsi="Arial" w:cs="Arial"/>
        </w:rPr>
      </w:pPr>
      <w:r>
        <w:rPr>
          <w:rFonts w:ascii="Arial" w:hAnsi="Arial" w:cs="Arial"/>
        </w:rPr>
        <w:t>The commissioning intentions will inform the community plan that is to be produced for submission to Monitor and NHS England prior to Christmas.</w:t>
      </w:r>
    </w:p>
    <w:p w:rsidR="007B396E" w:rsidRDefault="007B396E" w:rsidP="002C5F66">
      <w:pPr>
        <w:ind w:left="709"/>
        <w:rPr>
          <w:rFonts w:ascii="Arial" w:hAnsi="Arial" w:cs="Arial"/>
        </w:rPr>
      </w:pPr>
    </w:p>
    <w:p w:rsidR="007B396E" w:rsidRPr="00EF4750" w:rsidRDefault="007B396E" w:rsidP="002C5F66">
      <w:pPr>
        <w:ind w:left="709"/>
        <w:rPr>
          <w:rFonts w:ascii="Arial" w:hAnsi="Arial" w:cs="Arial"/>
        </w:rPr>
      </w:pPr>
    </w:p>
    <w:p w:rsidR="00AA3167" w:rsidRPr="00AA3167" w:rsidRDefault="00AA3167" w:rsidP="002C5F66">
      <w:pPr>
        <w:tabs>
          <w:tab w:val="left" w:pos="993"/>
        </w:tabs>
        <w:ind w:left="709"/>
        <w:rPr>
          <w:rFonts w:ascii="Arial" w:hAnsi="Arial" w:cs="Arial"/>
          <w:bCs/>
        </w:rPr>
      </w:pPr>
    </w:p>
    <w:p w:rsidR="00B01792" w:rsidRPr="00DE0846" w:rsidRDefault="004F7E52" w:rsidP="002C5F66">
      <w:pPr>
        <w:ind w:left="709"/>
        <w:rPr>
          <w:rFonts w:ascii="Arial" w:hAnsi="Arial" w:cs="Arial"/>
          <w:bCs/>
        </w:rPr>
      </w:pPr>
      <w:r>
        <w:rPr>
          <w:rFonts w:ascii="Arial" w:hAnsi="Arial" w:cs="Arial"/>
          <w:bCs/>
        </w:rPr>
        <w:t xml:space="preserve"> </w:t>
      </w:r>
    </w:p>
    <w:p w:rsidR="00092A27" w:rsidRPr="00DE0846" w:rsidRDefault="00092A27" w:rsidP="002C5F66">
      <w:pPr>
        <w:ind w:left="709"/>
        <w:rPr>
          <w:rFonts w:ascii="Arial" w:hAnsi="Arial" w:cs="Arial"/>
          <w:bCs/>
        </w:rPr>
      </w:pPr>
    </w:p>
    <w:p w:rsidR="006F0207" w:rsidRPr="00DE0846" w:rsidRDefault="006F0207" w:rsidP="002C5F66">
      <w:pPr>
        <w:ind w:left="709"/>
        <w:rPr>
          <w:rFonts w:ascii="Arial" w:hAnsi="Arial" w:cs="Arial"/>
          <w:bCs/>
        </w:rPr>
      </w:pPr>
    </w:p>
    <w:sectPr w:rsidR="006F0207" w:rsidRPr="00DE0846"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D5" w:rsidRDefault="004C7FD5">
      <w:r>
        <w:separator/>
      </w:r>
    </w:p>
  </w:endnote>
  <w:endnote w:type="continuationSeparator" w:id="0">
    <w:p w:rsidR="004C7FD5" w:rsidRDefault="004C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3B2EB84E" wp14:editId="0A615750">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35F5CC5" wp14:editId="0C76E110">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D5" w:rsidRDefault="004C7FD5">
      <w:r>
        <w:separator/>
      </w:r>
    </w:p>
  </w:footnote>
  <w:footnote w:type="continuationSeparator" w:id="0">
    <w:p w:rsidR="004C7FD5" w:rsidRDefault="004C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738DB"/>
    <w:multiLevelType w:val="hybridMultilevel"/>
    <w:tmpl w:val="ABC2D9F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8">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4919AD"/>
    <w:multiLevelType w:val="hybridMultilevel"/>
    <w:tmpl w:val="4A0ABB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5">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EFC01E1"/>
    <w:multiLevelType w:val="hybridMultilevel"/>
    <w:tmpl w:val="23A0F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0">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D903D8"/>
    <w:multiLevelType w:val="hybridMultilevel"/>
    <w:tmpl w:val="C830708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6A6117"/>
    <w:multiLevelType w:val="hybridMultilevel"/>
    <w:tmpl w:val="FD8A49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0"/>
  </w:num>
  <w:num w:numId="4">
    <w:abstractNumId w:val="39"/>
  </w:num>
  <w:num w:numId="5">
    <w:abstractNumId w:val="27"/>
  </w:num>
  <w:num w:numId="6">
    <w:abstractNumId w:val="34"/>
  </w:num>
  <w:num w:numId="7">
    <w:abstractNumId w:val="5"/>
  </w:num>
  <w:num w:numId="8">
    <w:abstractNumId w:val="26"/>
  </w:num>
  <w:num w:numId="9">
    <w:abstractNumId w:val="29"/>
  </w:num>
  <w:num w:numId="10">
    <w:abstractNumId w:val="8"/>
  </w:num>
  <w:num w:numId="11">
    <w:abstractNumId w:val="16"/>
  </w:num>
  <w:num w:numId="12">
    <w:abstractNumId w:val="32"/>
  </w:num>
  <w:num w:numId="13">
    <w:abstractNumId w:val="23"/>
  </w:num>
  <w:num w:numId="14">
    <w:abstractNumId w:val="2"/>
  </w:num>
  <w:num w:numId="15">
    <w:abstractNumId w:val="25"/>
  </w:num>
  <w:num w:numId="16">
    <w:abstractNumId w:val="17"/>
  </w:num>
  <w:num w:numId="17">
    <w:abstractNumId w:val="28"/>
  </w:num>
  <w:num w:numId="18">
    <w:abstractNumId w:val="24"/>
  </w:num>
  <w:num w:numId="19">
    <w:abstractNumId w:val="35"/>
  </w:num>
  <w:num w:numId="20">
    <w:abstractNumId w:val="14"/>
  </w:num>
  <w:num w:numId="21">
    <w:abstractNumId w:val="11"/>
  </w:num>
  <w:num w:numId="22">
    <w:abstractNumId w:val="19"/>
  </w:num>
  <w:num w:numId="23">
    <w:abstractNumId w:val="6"/>
  </w:num>
  <w:num w:numId="24">
    <w:abstractNumId w:val="1"/>
  </w:num>
  <w:num w:numId="25">
    <w:abstractNumId w:val="33"/>
  </w:num>
  <w:num w:numId="26">
    <w:abstractNumId w:val="12"/>
  </w:num>
  <w:num w:numId="27">
    <w:abstractNumId w:val="15"/>
  </w:num>
  <w:num w:numId="28">
    <w:abstractNumId w:val="30"/>
  </w:num>
  <w:num w:numId="29">
    <w:abstractNumId w:val="36"/>
  </w:num>
  <w:num w:numId="30">
    <w:abstractNumId w:val="13"/>
  </w:num>
  <w:num w:numId="31">
    <w:abstractNumId w:val="41"/>
  </w:num>
  <w:num w:numId="32">
    <w:abstractNumId w:val="9"/>
  </w:num>
  <w:num w:numId="33">
    <w:abstractNumId w:val="37"/>
  </w:num>
  <w:num w:numId="34">
    <w:abstractNumId w:val="22"/>
  </w:num>
  <w:num w:numId="35">
    <w:abstractNumId w:val="18"/>
  </w:num>
  <w:num w:numId="36">
    <w:abstractNumId w:val="3"/>
  </w:num>
  <w:num w:numId="37">
    <w:abstractNumId w:val="38"/>
  </w:num>
  <w:num w:numId="38">
    <w:abstractNumId w:val="20"/>
  </w:num>
  <w:num w:numId="39">
    <w:abstractNumId w:val="40"/>
  </w:num>
  <w:num w:numId="40">
    <w:abstractNumId w:val="21"/>
  </w:num>
  <w:num w:numId="41">
    <w:abstractNumId w:val="10"/>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4767"/>
    <w:rsid w:val="0003526D"/>
    <w:rsid w:val="00050A68"/>
    <w:rsid w:val="00053013"/>
    <w:rsid w:val="000553ED"/>
    <w:rsid w:val="00060BE3"/>
    <w:rsid w:val="00062ABA"/>
    <w:rsid w:val="00067D66"/>
    <w:rsid w:val="000804F5"/>
    <w:rsid w:val="00083AC5"/>
    <w:rsid w:val="00086901"/>
    <w:rsid w:val="0009122D"/>
    <w:rsid w:val="00091E11"/>
    <w:rsid w:val="000920DD"/>
    <w:rsid w:val="00092A27"/>
    <w:rsid w:val="00095E6B"/>
    <w:rsid w:val="000B1D82"/>
    <w:rsid w:val="000B1EEB"/>
    <w:rsid w:val="000B3544"/>
    <w:rsid w:val="000B4521"/>
    <w:rsid w:val="000C13F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C5F66"/>
    <w:rsid w:val="002E0FE3"/>
    <w:rsid w:val="002E26B9"/>
    <w:rsid w:val="002E7820"/>
    <w:rsid w:val="002F445D"/>
    <w:rsid w:val="002F47B6"/>
    <w:rsid w:val="00301655"/>
    <w:rsid w:val="00303B76"/>
    <w:rsid w:val="00312796"/>
    <w:rsid w:val="00316D7E"/>
    <w:rsid w:val="003225BA"/>
    <w:rsid w:val="00326AB8"/>
    <w:rsid w:val="00334F23"/>
    <w:rsid w:val="0034307E"/>
    <w:rsid w:val="00363C1F"/>
    <w:rsid w:val="0036628F"/>
    <w:rsid w:val="00366F7D"/>
    <w:rsid w:val="003750AC"/>
    <w:rsid w:val="00380FCF"/>
    <w:rsid w:val="00384979"/>
    <w:rsid w:val="00394F30"/>
    <w:rsid w:val="003A03CB"/>
    <w:rsid w:val="003B0A06"/>
    <w:rsid w:val="003B299C"/>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4DFB"/>
    <w:rsid w:val="00447394"/>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C7FD5"/>
    <w:rsid w:val="004D0321"/>
    <w:rsid w:val="004D7118"/>
    <w:rsid w:val="004E7A80"/>
    <w:rsid w:val="004F2E71"/>
    <w:rsid w:val="004F3209"/>
    <w:rsid w:val="004F64DF"/>
    <w:rsid w:val="004F7E52"/>
    <w:rsid w:val="005109BE"/>
    <w:rsid w:val="00517C3A"/>
    <w:rsid w:val="00522E5B"/>
    <w:rsid w:val="0052360E"/>
    <w:rsid w:val="00532C2C"/>
    <w:rsid w:val="00541F74"/>
    <w:rsid w:val="005460DB"/>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5F39E6"/>
    <w:rsid w:val="0060216B"/>
    <w:rsid w:val="00604967"/>
    <w:rsid w:val="00605D42"/>
    <w:rsid w:val="00607C7F"/>
    <w:rsid w:val="006203A2"/>
    <w:rsid w:val="00621FE0"/>
    <w:rsid w:val="00625124"/>
    <w:rsid w:val="00633EDD"/>
    <w:rsid w:val="006468ED"/>
    <w:rsid w:val="006569A3"/>
    <w:rsid w:val="00656DFA"/>
    <w:rsid w:val="00657CC2"/>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45C7"/>
    <w:rsid w:val="006F5938"/>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B396E"/>
    <w:rsid w:val="007C1372"/>
    <w:rsid w:val="007C7176"/>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6289"/>
    <w:rsid w:val="00A07A07"/>
    <w:rsid w:val="00A1183A"/>
    <w:rsid w:val="00A1275B"/>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A3167"/>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1792"/>
    <w:rsid w:val="00B02EF5"/>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6556"/>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419CB"/>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0ECB"/>
    <w:rsid w:val="00CE160D"/>
    <w:rsid w:val="00CF17D1"/>
    <w:rsid w:val="00CF258F"/>
    <w:rsid w:val="00CF5F75"/>
    <w:rsid w:val="00D00EFA"/>
    <w:rsid w:val="00D15A2C"/>
    <w:rsid w:val="00D25017"/>
    <w:rsid w:val="00D253CF"/>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0846"/>
    <w:rsid w:val="00DE6E0E"/>
    <w:rsid w:val="00DF00F8"/>
    <w:rsid w:val="00DF3185"/>
    <w:rsid w:val="00DF3E42"/>
    <w:rsid w:val="00E01CE4"/>
    <w:rsid w:val="00E135D3"/>
    <w:rsid w:val="00E21331"/>
    <w:rsid w:val="00E22AC0"/>
    <w:rsid w:val="00E24870"/>
    <w:rsid w:val="00E2557D"/>
    <w:rsid w:val="00E320A8"/>
    <w:rsid w:val="00E43FD9"/>
    <w:rsid w:val="00E46EFA"/>
    <w:rsid w:val="00E47C0B"/>
    <w:rsid w:val="00E5159C"/>
    <w:rsid w:val="00E538AF"/>
    <w:rsid w:val="00E5472C"/>
    <w:rsid w:val="00E550FE"/>
    <w:rsid w:val="00E617F9"/>
    <w:rsid w:val="00E67668"/>
    <w:rsid w:val="00E721C8"/>
    <w:rsid w:val="00E7471C"/>
    <w:rsid w:val="00E75A46"/>
    <w:rsid w:val="00E807B2"/>
    <w:rsid w:val="00E857C3"/>
    <w:rsid w:val="00E863C2"/>
    <w:rsid w:val="00E921F2"/>
    <w:rsid w:val="00E94BFF"/>
    <w:rsid w:val="00E96028"/>
    <w:rsid w:val="00E9685C"/>
    <w:rsid w:val="00EA1089"/>
    <w:rsid w:val="00EA285F"/>
    <w:rsid w:val="00EB6E0A"/>
    <w:rsid w:val="00EC03DC"/>
    <w:rsid w:val="00EC6A3B"/>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47B19"/>
    <w:rsid w:val="00F51B57"/>
    <w:rsid w:val="00F524C7"/>
    <w:rsid w:val="00F55731"/>
    <w:rsid w:val="00F55EFB"/>
    <w:rsid w:val="00F6631C"/>
    <w:rsid w:val="00F768A3"/>
    <w:rsid w:val="00F76D30"/>
    <w:rsid w:val="00F80178"/>
    <w:rsid w:val="00F85FD3"/>
    <w:rsid w:val="00F906E5"/>
    <w:rsid w:val="00F9086D"/>
    <w:rsid w:val="00F9292B"/>
    <w:rsid w:val="00F971CA"/>
    <w:rsid w:val="00F979D8"/>
    <w:rsid w:val="00FA3BC7"/>
    <w:rsid w:val="00FA6C46"/>
    <w:rsid w:val="00FA7E52"/>
    <w:rsid w:val="00FB10F2"/>
    <w:rsid w:val="00FB193C"/>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 w:val="00FF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88349214">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3490-428B-47FD-9648-BA3A4B86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8588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3</cp:revision>
  <cp:lastPrinted>2015-11-03T10:39:00Z</cp:lastPrinted>
  <dcterms:created xsi:type="dcterms:W3CDTF">2015-11-06T08:41:00Z</dcterms:created>
  <dcterms:modified xsi:type="dcterms:W3CDTF">2015-11-06T09:31:00Z</dcterms:modified>
</cp:coreProperties>
</file>