
<file path=[Content_Types].xml><?xml version="1.0" encoding="utf-8"?>
<Types xmlns="http://schemas.openxmlformats.org/package/2006/content-types">
  <Default Extension="png" ContentType="image/png"/>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A763E" w:rsidRPr="002B4829" w:rsidRDefault="001D78A2" w:rsidP="00BA763E">
      <w:pPr>
        <w:pStyle w:val="Header"/>
        <w:jc w:val="right"/>
        <w:rPr>
          <w:noProof/>
        </w:rPr>
      </w:pPr>
      <w:r w:rsidRPr="002B4829">
        <w:rPr>
          <w:noProof/>
        </w:rPr>
        <w:drawing>
          <wp:inline distT="0" distB="0" distL="0" distR="0" wp14:anchorId="26F58466" wp14:editId="33E4F82D">
            <wp:extent cx="1114425" cy="447675"/>
            <wp:effectExtent l="0" t="0" r="9525" b="9525"/>
            <wp:docPr id="1" name="Picture 2" descr="Description: http://upload.wikimedia.org/wikipedia/commons/0/0b/NHS-logo.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scription: http://upload.wikimedia.org/wikipedia/commons/0/0b/NHS-logo.jpg"/>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114425" cy="447675"/>
                    </a:xfrm>
                    <a:prstGeom prst="rect">
                      <a:avLst/>
                    </a:prstGeom>
                    <a:noFill/>
                    <a:ln>
                      <a:noFill/>
                    </a:ln>
                  </pic:spPr>
                </pic:pic>
              </a:graphicData>
            </a:graphic>
          </wp:inline>
        </w:drawing>
      </w:r>
    </w:p>
    <w:p w:rsidR="00BA763E" w:rsidRPr="002B4829" w:rsidRDefault="00BA763E" w:rsidP="00DA5437">
      <w:pPr>
        <w:pStyle w:val="Heading1"/>
        <w:ind w:left="5760"/>
      </w:pPr>
      <w:r w:rsidRPr="002B4829">
        <w:t>North East Lincolnshire CCG</w:t>
      </w:r>
    </w:p>
    <w:p w:rsidR="005F11AA" w:rsidRPr="002B4829" w:rsidRDefault="00DC3218" w:rsidP="00DA5437">
      <w:pPr>
        <w:pStyle w:val="Header"/>
        <w:spacing w:line="276" w:lineRule="auto"/>
        <w:jc w:val="right"/>
        <w:rPr>
          <w:b/>
          <w:color w:val="365F91"/>
        </w:rPr>
      </w:pPr>
      <w:r w:rsidRPr="002B4829">
        <w:rPr>
          <w:rFonts w:ascii="Arial" w:hAnsi="Arial" w:cs="Arial"/>
          <w:b/>
          <w:noProof/>
          <w:sz w:val="52"/>
          <w:szCs w:val="52"/>
        </w:rPr>
        <mc:AlternateContent>
          <mc:Choice Requires="wps">
            <w:drawing>
              <wp:anchor distT="0" distB="0" distL="114300" distR="114300" simplePos="0" relativeHeight="251657728" behindDoc="0" locked="0" layoutInCell="1" allowOverlap="1" wp14:anchorId="721195E2" wp14:editId="27B00081">
                <wp:simplePos x="0" y="0"/>
                <wp:positionH relativeFrom="column">
                  <wp:posOffset>-114300</wp:posOffset>
                </wp:positionH>
                <wp:positionV relativeFrom="paragraph">
                  <wp:posOffset>57150</wp:posOffset>
                </wp:positionV>
                <wp:extent cx="2286000" cy="342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0" cy="342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8024D1" w:rsidRPr="00DD7564" w:rsidRDefault="00826DB8" w:rsidP="00DD689C">
                            <w:pPr>
                              <w:rPr>
                                <w:rFonts w:ascii="Arial" w:hAnsi="Arial" w:cs="Arial"/>
                                <w:sz w:val="32"/>
                                <w:szCs w:val="32"/>
                              </w:rPr>
                            </w:pPr>
                            <w:r>
                              <w:rPr>
                                <w:rFonts w:ascii="Arial" w:hAnsi="Arial" w:cs="Arial"/>
                                <w:sz w:val="32"/>
                                <w:szCs w:val="32"/>
                              </w:rPr>
                              <w:t>Attachment 08</w:t>
                            </w:r>
                            <w:bookmarkStart w:id="0" w:name="_GoBack"/>
                            <w:bookmarkEnd w:id="0"/>
                          </w:p>
                          <w:p w:rsidR="008024D1" w:rsidRDefault="008024D1" w:rsidP="00DD689C">
                            <w:pPr>
                              <w:rPr>
                                <w:sz w:val="3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9pt;margin-top:4.5pt;width:180pt;height:2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CHryxgwIAAA8FAAAOAAAAZHJzL2Uyb0RvYy54bWysVO1u2yAU/T9p74D4n/pjThpbdaomXaZJ&#10;3YfU7gEI4BjNBgYkdlft3XeBJE03TZqm5YcD3Mu5H+dcrq7HvkN7bqxQssbZRYoRl1QxIbc1/vKw&#10;nswxso5IRjoleY0fucXXi9evrgZd8Vy1qmPcIACRthp0jVvndJUklra8J/ZCaS7B2CjTEwdbs02Y&#10;IQOg912Sp+ksGZRh2ijKrYXT22jEi4DfNJy6T01juUNdjSE3F74mfDf+myyuSLU1RLeCHtIg/5BF&#10;T4SEoCeoW+II2hnxG1QvqFFWNe6Cqj5RTSMoDzVANVn6SzX3LdE81ALNsfrUJvv/YOnH/WeDBKtx&#10;jpEkPVD0wEeHlmpEue/OoG0FTvca3NwIx8ByqNTqO0W/WiTVqiVyy2+MUUPLCYPsMn8zObsacawH&#10;2QwfFIMwZOdUABob0/vWQTMQoANLjydmfCoUDvN8PktTMFGwvSnyEtY+BKmOt7Wx7h1XPfKLGhtg&#10;PqCT/Z110fXo4oNZ1Qm2Fl0XNma7WXUG7QmoZB1+B/QXbp30zlL5axExnkCSEMPbfLqB9acyy4t0&#10;mZeT9Wx+OSnWxXRSXqbzSZqVy3KWFmVxu/7hE8yKqhWMcXknJD8qMCv+juHDLETtBA2iocblNJ9G&#10;iv5YJPTStzNW8aLIXjgYyE70NZ6fnEjliX0rGVwglSOii+vkZfqBEOjB8T90JcjAMx814MbNCChe&#10;GxvFHkEQRgFfQC28IrBolfmO0QATWWP7bUcMx6h7L0FUZVYUfoTDpphe5rAx55bNuYVIClA1dhjF&#10;5crFsd9pI7YtRIoyluoGhNiIoJHnrA7yhakLxRxeCD/W5/vg9fyOLX4CAAD//wMAUEsDBBQABgAI&#10;AAAAIQCphn5Y3gAAAAgBAAAPAAAAZHJzL2Rvd25yZXYueG1sTI/NbsJADITvlfoOKyP1UsGGnwZI&#10;46C2UqteoTyAk5gkIrsbZRcS3r7uqZxsa0bjb9LdaFp15d43ziLMZxEotoUrG1shHH8+pxtQPpAt&#10;qXWWEW7sYZc9PqSUlG6we74eQqUkxPqEEOoQukRrX9RsyM9cx1a0k+sNBTn7Spc9DRJuWr2Iolgb&#10;aqx8qKnjj5qL8+FiEE7fw/PLdsi/wnG9X8Xv1Kxzd0N8moxvr6ACj+HfDH/4gg6ZMOXuYkuvWoTp&#10;fCNdAsJWhujL1UKWHCFeRqCzVN8XyH4BAAD//wMAUEsBAi0AFAAGAAgAAAAhALaDOJL+AAAA4QEA&#10;ABMAAAAAAAAAAAAAAAAAAAAAAFtDb250ZW50X1R5cGVzXS54bWxQSwECLQAUAAYACAAAACEAOP0h&#10;/9YAAACUAQAACwAAAAAAAAAAAAAAAAAvAQAAX3JlbHMvLnJlbHNQSwECLQAUAAYACAAAACEAgh68&#10;sYMCAAAPBQAADgAAAAAAAAAAAAAAAAAuAgAAZHJzL2Uyb0RvYy54bWxQSwECLQAUAAYACAAAACEA&#10;qYZ+WN4AAAAIAQAADwAAAAAAAAAAAAAAAADdBAAAZHJzL2Rvd25yZXYueG1sUEsFBgAAAAAEAAQA&#10;8wAAAOgFAAAAAA==&#10;" stroked="f">
                <v:textbox>
                  <w:txbxContent>
                    <w:p w:rsidR="008024D1" w:rsidRPr="00DD7564" w:rsidRDefault="00826DB8" w:rsidP="00DD689C">
                      <w:pPr>
                        <w:rPr>
                          <w:rFonts w:ascii="Arial" w:hAnsi="Arial" w:cs="Arial"/>
                          <w:sz w:val="32"/>
                          <w:szCs w:val="32"/>
                        </w:rPr>
                      </w:pPr>
                      <w:r>
                        <w:rPr>
                          <w:rFonts w:ascii="Arial" w:hAnsi="Arial" w:cs="Arial"/>
                          <w:sz w:val="32"/>
                          <w:szCs w:val="32"/>
                        </w:rPr>
                        <w:t>Attachment 08</w:t>
                      </w:r>
                      <w:bookmarkStart w:id="1" w:name="_GoBack"/>
                      <w:bookmarkEnd w:id="1"/>
                    </w:p>
                    <w:p w:rsidR="008024D1" w:rsidRDefault="008024D1" w:rsidP="00DD689C">
                      <w:pPr>
                        <w:rPr>
                          <w:sz w:val="36"/>
                        </w:rPr>
                      </w:pPr>
                    </w:p>
                  </w:txbxContent>
                </v:textbox>
              </v:shape>
            </w:pict>
          </mc:Fallback>
        </mc:AlternateContent>
      </w:r>
    </w:p>
    <w:p w:rsidR="00DD689C" w:rsidRPr="002B4829" w:rsidRDefault="00DD689C" w:rsidP="00DA5437">
      <w:pPr>
        <w:spacing w:line="276" w:lineRule="auto"/>
        <w:jc w:val="right"/>
        <w:rPr>
          <w:rFonts w:ascii="Arial" w:hAnsi="Arial" w:cs="Arial"/>
          <w:b/>
          <w:sz w:val="28"/>
          <w:szCs w:val="28"/>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028"/>
        <w:gridCol w:w="7861"/>
      </w:tblGrid>
      <w:tr w:rsidR="00DD689C" w:rsidRPr="002B4829" w:rsidTr="00DD7564">
        <w:tc>
          <w:tcPr>
            <w:tcW w:w="2028" w:type="dxa"/>
            <w:shd w:val="clear" w:color="auto" w:fill="auto"/>
          </w:tcPr>
          <w:p w:rsidR="00DD689C" w:rsidRPr="002B4829"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2B4829" w:rsidRDefault="00DD689C" w:rsidP="00DA5437">
            <w:pPr>
              <w:spacing w:line="276" w:lineRule="auto"/>
              <w:jc w:val="both"/>
              <w:rPr>
                <w:rFonts w:ascii="Arial" w:hAnsi="Arial" w:cs="Arial"/>
                <w:b/>
                <w:bCs/>
                <w:sz w:val="22"/>
                <w:szCs w:val="22"/>
              </w:rPr>
            </w:pPr>
          </w:p>
        </w:tc>
      </w:tr>
      <w:tr w:rsidR="00DD689C" w:rsidRPr="002B4829" w:rsidTr="00DD7564">
        <w:tc>
          <w:tcPr>
            <w:tcW w:w="2028" w:type="dxa"/>
            <w:shd w:val="clear" w:color="auto" w:fill="auto"/>
          </w:tcPr>
          <w:p w:rsidR="00DD689C" w:rsidRPr="002B4829" w:rsidRDefault="00DD689C" w:rsidP="00DA5437">
            <w:pPr>
              <w:spacing w:line="276" w:lineRule="auto"/>
              <w:jc w:val="both"/>
              <w:rPr>
                <w:rFonts w:ascii="Arial" w:hAnsi="Arial" w:cs="Arial"/>
                <w:b/>
                <w:bCs/>
                <w:sz w:val="22"/>
                <w:szCs w:val="22"/>
              </w:rPr>
            </w:pPr>
            <w:r w:rsidRPr="002B4829">
              <w:rPr>
                <w:rFonts w:ascii="Arial" w:hAnsi="Arial" w:cs="Arial"/>
                <w:b/>
                <w:bCs/>
                <w:sz w:val="22"/>
                <w:szCs w:val="22"/>
              </w:rPr>
              <w:t>Report to:</w:t>
            </w:r>
          </w:p>
          <w:p w:rsidR="00DD689C" w:rsidRPr="002B4829"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2B4829" w:rsidRDefault="007E6A63" w:rsidP="00DA5437">
            <w:pPr>
              <w:spacing w:line="276" w:lineRule="auto"/>
              <w:jc w:val="both"/>
              <w:rPr>
                <w:rFonts w:ascii="Arial" w:hAnsi="Arial" w:cs="Arial"/>
                <w:bCs/>
                <w:sz w:val="22"/>
                <w:szCs w:val="22"/>
              </w:rPr>
            </w:pPr>
            <w:r w:rsidRPr="002B4829">
              <w:rPr>
                <w:rFonts w:ascii="Arial" w:hAnsi="Arial" w:cs="Arial"/>
                <w:bCs/>
                <w:sz w:val="22"/>
                <w:szCs w:val="22"/>
              </w:rPr>
              <w:t xml:space="preserve">NEL </w:t>
            </w:r>
            <w:r w:rsidR="007927F8" w:rsidRPr="002B4829">
              <w:rPr>
                <w:rFonts w:ascii="Arial" w:hAnsi="Arial" w:cs="Arial"/>
                <w:bCs/>
                <w:sz w:val="22"/>
                <w:szCs w:val="22"/>
              </w:rPr>
              <w:t xml:space="preserve">CCG </w:t>
            </w:r>
            <w:r w:rsidR="00A531CD" w:rsidRPr="002B4829">
              <w:rPr>
                <w:rFonts w:ascii="Arial" w:hAnsi="Arial" w:cs="Arial"/>
                <w:bCs/>
                <w:sz w:val="22"/>
                <w:szCs w:val="22"/>
              </w:rPr>
              <w:t>Partnership Board</w:t>
            </w:r>
          </w:p>
        </w:tc>
      </w:tr>
      <w:tr w:rsidR="00DD689C" w:rsidRPr="002B4829" w:rsidTr="00DD7564">
        <w:tc>
          <w:tcPr>
            <w:tcW w:w="2028" w:type="dxa"/>
            <w:shd w:val="clear" w:color="auto" w:fill="auto"/>
          </w:tcPr>
          <w:p w:rsidR="00DD689C" w:rsidRPr="002B4829" w:rsidRDefault="00DD689C" w:rsidP="00DA5437">
            <w:pPr>
              <w:spacing w:line="276" w:lineRule="auto"/>
              <w:jc w:val="both"/>
              <w:rPr>
                <w:rFonts w:ascii="Arial" w:hAnsi="Arial" w:cs="Arial"/>
                <w:b/>
                <w:bCs/>
                <w:sz w:val="22"/>
                <w:szCs w:val="22"/>
              </w:rPr>
            </w:pPr>
            <w:r w:rsidRPr="002B4829">
              <w:rPr>
                <w:rFonts w:ascii="Arial" w:hAnsi="Arial" w:cs="Arial"/>
                <w:b/>
                <w:bCs/>
                <w:sz w:val="22"/>
                <w:szCs w:val="22"/>
              </w:rPr>
              <w:t>Presented by:</w:t>
            </w:r>
          </w:p>
          <w:p w:rsidR="00DD689C" w:rsidRPr="002B4829"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2B4829" w:rsidRDefault="00FB3252" w:rsidP="00DA5437">
            <w:pPr>
              <w:spacing w:line="276" w:lineRule="auto"/>
              <w:jc w:val="both"/>
              <w:rPr>
                <w:rFonts w:ascii="Arial" w:hAnsi="Arial" w:cs="Arial"/>
                <w:bCs/>
                <w:sz w:val="22"/>
                <w:szCs w:val="22"/>
              </w:rPr>
            </w:pPr>
            <w:r w:rsidRPr="002B4829">
              <w:rPr>
                <w:rFonts w:ascii="Arial" w:hAnsi="Arial" w:cs="Arial"/>
                <w:bCs/>
                <w:sz w:val="22"/>
                <w:szCs w:val="22"/>
              </w:rPr>
              <w:t>Cathy Kennedy</w:t>
            </w:r>
          </w:p>
        </w:tc>
      </w:tr>
      <w:tr w:rsidR="00DD689C" w:rsidRPr="002B4829" w:rsidTr="00DD7564">
        <w:tc>
          <w:tcPr>
            <w:tcW w:w="2028" w:type="dxa"/>
            <w:shd w:val="clear" w:color="auto" w:fill="auto"/>
          </w:tcPr>
          <w:p w:rsidR="00DD689C" w:rsidRPr="002B4829" w:rsidRDefault="00DD689C" w:rsidP="00DA5437">
            <w:pPr>
              <w:spacing w:line="276" w:lineRule="auto"/>
              <w:jc w:val="both"/>
              <w:rPr>
                <w:rFonts w:ascii="Arial" w:hAnsi="Arial" w:cs="Arial"/>
                <w:b/>
                <w:bCs/>
                <w:sz w:val="22"/>
                <w:szCs w:val="22"/>
              </w:rPr>
            </w:pPr>
            <w:r w:rsidRPr="002B4829">
              <w:rPr>
                <w:rFonts w:ascii="Arial" w:hAnsi="Arial" w:cs="Arial"/>
                <w:b/>
                <w:bCs/>
                <w:sz w:val="22"/>
                <w:szCs w:val="22"/>
              </w:rPr>
              <w:t>Date of Meeting:</w:t>
            </w:r>
          </w:p>
          <w:p w:rsidR="00DD689C" w:rsidRPr="002B4829"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2B4829" w:rsidRDefault="00F12DB0" w:rsidP="00DA5437">
            <w:pPr>
              <w:spacing w:line="276" w:lineRule="auto"/>
              <w:jc w:val="both"/>
              <w:rPr>
                <w:rFonts w:ascii="Arial" w:hAnsi="Arial" w:cs="Arial"/>
                <w:bCs/>
                <w:sz w:val="22"/>
                <w:szCs w:val="22"/>
              </w:rPr>
            </w:pPr>
            <w:r w:rsidRPr="002B4829">
              <w:rPr>
                <w:rFonts w:ascii="Arial" w:hAnsi="Arial" w:cs="Arial"/>
                <w:bCs/>
                <w:sz w:val="22"/>
                <w:szCs w:val="22"/>
              </w:rPr>
              <w:t xml:space="preserve">14 May </w:t>
            </w:r>
            <w:r w:rsidR="00FE7C71" w:rsidRPr="002B4829">
              <w:rPr>
                <w:rFonts w:ascii="Arial" w:hAnsi="Arial" w:cs="Arial"/>
                <w:bCs/>
                <w:sz w:val="22"/>
                <w:szCs w:val="22"/>
              </w:rPr>
              <w:t xml:space="preserve"> 2015</w:t>
            </w:r>
          </w:p>
        </w:tc>
      </w:tr>
      <w:tr w:rsidR="00DD689C" w:rsidRPr="002B4829" w:rsidTr="00DD7564">
        <w:trPr>
          <w:trHeight w:val="438"/>
        </w:trPr>
        <w:tc>
          <w:tcPr>
            <w:tcW w:w="2028" w:type="dxa"/>
            <w:shd w:val="clear" w:color="auto" w:fill="auto"/>
          </w:tcPr>
          <w:p w:rsidR="00DD689C" w:rsidRPr="002B4829" w:rsidRDefault="00DD689C" w:rsidP="00DA5437">
            <w:pPr>
              <w:spacing w:line="276" w:lineRule="auto"/>
              <w:jc w:val="both"/>
              <w:rPr>
                <w:rFonts w:ascii="Arial" w:hAnsi="Arial" w:cs="Arial"/>
                <w:b/>
                <w:bCs/>
                <w:sz w:val="22"/>
                <w:szCs w:val="22"/>
              </w:rPr>
            </w:pPr>
            <w:r w:rsidRPr="002B4829">
              <w:rPr>
                <w:rFonts w:ascii="Arial" w:hAnsi="Arial" w:cs="Arial"/>
                <w:b/>
                <w:bCs/>
                <w:sz w:val="22"/>
                <w:szCs w:val="22"/>
              </w:rPr>
              <w:t>Subject:</w:t>
            </w:r>
          </w:p>
          <w:p w:rsidR="00DD689C" w:rsidRPr="002B4829"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2B4829" w:rsidRDefault="002F30C8" w:rsidP="00DA5437">
            <w:pPr>
              <w:spacing w:line="276" w:lineRule="auto"/>
              <w:jc w:val="both"/>
              <w:rPr>
                <w:rFonts w:ascii="Arial" w:hAnsi="Arial" w:cs="Arial"/>
                <w:bCs/>
                <w:sz w:val="22"/>
                <w:szCs w:val="22"/>
              </w:rPr>
            </w:pPr>
            <w:r w:rsidRPr="002B4829">
              <w:rPr>
                <w:rFonts w:ascii="Arial" w:hAnsi="Arial" w:cs="Arial"/>
                <w:bCs/>
                <w:sz w:val="22"/>
                <w:szCs w:val="22"/>
              </w:rPr>
              <w:t xml:space="preserve">Quality Report - </w:t>
            </w:r>
            <w:r w:rsidR="00C11E56" w:rsidRPr="002B4829">
              <w:rPr>
                <w:rFonts w:ascii="Arial" w:hAnsi="Arial" w:cs="Arial"/>
                <w:bCs/>
                <w:sz w:val="22"/>
                <w:szCs w:val="22"/>
              </w:rPr>
              <w:t>Clinical Quality Committee</w:t>
            </w:r>
          </w:p>
        </w:tc>
      </w:tr>
      <w:tr w:rsidR="00DD689C" w:rsidRPr="002B4829" w:rsidTr="00DD7564">
        <w:tc>
          <w:tcPr>
            <w:tcW w:w="2028" w:type="dxa"/>
            <w:shd w:val="clear" w:color="auto" w:fill="auto"/>
          </w:tcPr>
          <w:p w:rsidR="00DD689C" w:rsidRPr="002B4829" w:rsidRDefault="00DD689C" w:rsidP="00DA5437">
            <w:pPr>
              <w:spacing w:line="276" w:lineRule="auto"/>
              <w:jc w:val="both"/>
              <w:rPr>
                <w:rFonts w:ascii="Arial" w:hAnsi="Arial" w:cs="Arial"/>
                <w:b/>
                <w:bCs/>
                <w:sz w:val="22"/>
                <w:szCs w:val="22"/>
              </w:rPr>
            </w:pPr>
            <w:r w:rsidRPr="002B4829">
              <w:rPr>
                <w:rFonts w:ascii="Arial" w:hAnsi="Arial" w:cs="Arial"/>
                <w:b/>
                <w:bCs/>
                <w:sz w:val="22"/>
                <w:szCs w:val="22"/>
              </w:rPr>
              <w:t>Status:</w:t>
            </w:r>
          </w:p>
          <w:p w:rsidR="00DD689C" w:rsidRPr="002B4829" w:rsidRDefault="00DD689C" w:rsidP="00DA5437">
            <w:pPr>
              <w:spacing w:line="276" w:lineRule="auto"/>
              <w:jc w:val="both"/>
              <w:rPr>
                <w:rFonts w:ascii="Arial" w:hAnsi="Arial" w:cs="Arial"/>
                <w:b/>
                <w:bCs/>
                <w:sz w:val="22"/>
                <w:szCs w:val="22"/>
              </w:rPr>
            </w:pPr>
          </w:p>
        </w:tc>
        <w:tc>
          <w:tcPr>
            <w:tcW w:w="7861" w:type="dxa"/>
            <w:shd w:val="clear" w:color="auto" w:fill="auto"/>
          </w:tcPr>
          <w:p w:rsidR="00DD689C" w:rsidRPr="002B4829" w:rsidRDefault="006227EF" w:rsidP="006227EF">
            <w:pPr>
              <w:spacing w:before="60" w:line="276" w:lineRule="auto"/>
              <w:jc w:val="both"/>
              <w:rPr>
                <w:rFonts w:ascii="Arial" w:hAnsi="Arial" w:cs="Arial"/>
                <w:sz w:val="22"/>
                <w:szCs w:val="22"/>
              </w:rPr>
            </w:pPr>
            <w:r w:rsidRPr="002B4829">
              <w:rPr>
                <w:rFonts w:ascii="Arial" w:hAnsi="Arial" w:cs="Arial"/>
                <w:sz w:val="22"/>
                <w:szCs w:val="22"/>
              </w:rPr>
              <w:fldChar w:fldCharType="begin">
                <w:ffData>
                  <w:name w:val=""/>
                  <w:enabled/>
                  <w:calcOnExit w:val="0"/>
                  <w:checkBox>
                    <w:sizeAuto/>
                    <w:default w:val="1"/>
                  </w:checkBox>
                </w:ffData>
              </w:fldChar>
            </w:r>
            <w:r w:rsidRPr="002B4829">
              <w:rPr>
                <w:rFonts w:ascii="Arial" w:hAnsi="Arial" w:cs="Arial"/>
                <w:sz w:val="22"/>
                <w:szCs w:val="22"/>
              </w:rPr>
              <w:instrText xml:space="preserve"> FORMCHECKBOX </w:instrText>
            </w:r>
            <w:r w:rsidRPr="002B4829">
              <w:rPr>
                <w:rFonts w:ascii="Arial" w:hAnsi="Arial" w:cs="Arial"/>
                <w:sz w:val="22"/>
                <w:szCs w:val="22"/>
              </w:rPr>
            </w:r>
            <w:r w:rsidRPr="002B4829">
              <w:rPr>
                <w:rFonts w:ascii="Arial" w:hAnsi="Arial" w:cs="Arial"/>
                <w:sz w:val="22"/>
                <w:szCs w:val="22"/>
              </w:rPr>
              <w:fldChar w:fldCharType="end"/>
            </w:r>
            <w:r w:rsidR="00DD689C" w:rsidRPr="002B4829">
              <w:rPr>
                <w:rFonts w:ascii="Arial" w:hAnsi="Arial" w:cs="Arial"/>
                <w:sz w:val="22"/>
                <w:szCs w:val="22"/>
              </w:rPr>
              <w:t xml:space="preserve"> OPEN</w:t>
            </w:r>
            <w:r w:rsidR="00DD689C" w:rsidRPr="002B4829">
              <w:rPr>
                <w:rFonts w:ascii="Arial" w:hAnsi="Arial" w:cs="Arial"/>
                <w:sz w:val="22"/>
                <w:szCs w:val="22"/>
              </w:rPr>
              <w:tab/>
              <w:t xml:space="preserve">           </w:t>
            </w:r>
            <w:r w:rsidR="00DD689C" w:rsidRPr="002B4829">
              <w:rPr>
                <w:rFonts w:ascii="Arial" w:hAnsi="Arial" w:cs="Arial"/>
                <w:sz w:val="22"/>
                <w:szCs w:val="22"/>
              </w:rPr>
              <w:fldChar w:fldCharType="begin">
                <w:ffData>
                  <w:name w:val="Check8"/>
                  <w:enabled/>
                  <w:calcOnExit w:val="0"/>
                  <w:checkBox>
                    <w:sizeAuto/>
                    <w:default w:val="0"/>
                  </w:checkBox>
                </w:ffData>
              </w:fldChar>
            </w:r>
            <w:bookmarkStart w:id="2" w:name="Check8"/>
            <w:r w:rsidR="00DD689C" w:rsidRPr="002B4829">
              <w:rPr>
                <w:rFonts w:ascii="Arial" w:hAnsi="Arial" w:cs="Arial"/>
                <w:sz w:val="22"/>
                <w:szCs w:val="22"/>
              </w:rPr>
              <w:instrText xml:space="preserve"> FORMCHECKBOX </w:instrText>
            </w:r>
            <w:r w:rsidR="00DD689C" w:rsidRPr="002B4829">
              <w:rPr>
                <w:rFonts w:ascii="Arial" w:hAnsi="Arial" w:cs="Arial"/>
                <w:sz w:val="22"/>
                <w:szCs w:val="22"/>
              </w:rPr>
            </w:r>
            <w:r w:rsidR="00DD689C" w:rsidRPr="002B4829">
              <w:rPr>
                <w:rFonts w:ascii="Arial" w:hAnsi="Arial" w:cs="Arial"/>
                <w:sz w:val="22"/>
                <w:szCs w:val="22"/>
              </w:rPr>
              <w:fldChar w:fldCharType="end"/>
            </w:r>
            <w:bookmarkEnd w:id="2"/>
            <w:r w:rsidR="00DD689C" w:rsidRPr="002B4829">
              <w:rPr>
                <w:rFonts w:ascii="Arial" w:hAnsi="Arial" w:cs="Arial"/>
                <w:sz w:val="22"/>
                <w:szCs w:val="22"/>
              </w:rPr>
              <w:t xml:space="preserve"> CLOSED</w:t>
            </w:r>
          </w:p>
        </w:tc>
      </w:tr>
      <w:tr w:rsidR="00DD689C" w:rsidRPr="002B4829" w:rsidTr="00DD7564">
        <w:tc>
          <w:tcPr>
            <w:tcW w:w="2028" w:type="dxa"/>
            <w:shd w:val="clear" w:color="auto" w:fill="auto"/>
          </w:tcPr>
          <w:p w:rsidR="00DD689C" w:rsidRPr="002B4829" w:rsidRDefault="00DD689C" w:rsidP="00DA5437">
            <w:pPr>
              <w:spacing w:line="276" w:lineRule="auto"/>
              <w:jc w:val="both"/>
              <w:rPr>
                <w:rFonts w:ascii="Arial" w:hAnsi="Arial" w:cs="Arial"/>
                <w:b/>
                <w:bCs/>
                <w:sz w:val="22"/>
                <w:szCs w:val="22"/>
              </w:rPr>
            </w:pPr>
            <w:r w:rsidRPr="002B4829">
              <w:rPr>
                <w:rFonts w:ascii="Arial" w:hAnsi="Arial" w:cs="Arial"/>
                <w:b/>
                <w:bCs/>
                <w:sz w:val="22"/>
                <w:szCs w:val="22"/>
              </w:rPr>
              <w:t>Agenda Section:</w:t>
            </w:r>
          </w:p>
        </w:tc>
        <w:bookmarkStart w:id="3" w:name="Check4"/>
        <w:tc>
          <w:tcPr>
            <w:tcW w:w="7861" w:type="dxa"/>
            <w:shd w:val="clear" w:color="auto" w:fill="auto"/>
          </w:tcPr>
          <w:p w:rsidR="00DD689C" w:rsidRPr="002B4829" w:rsidRDefault="006227EF" w:rsidP="006227EF">
            <w:pPr>
              <w:spacing w:before="60" w:line="276" w:lineRule="auto"/>
              <w:jc w:val="both"/>
              <w:rPr>
                <w:rFonts w:ascii="Arial" w:hAnsi="Arial" w:cs="Arial"/>
                <w:sz w:val="22"/>
                <w:szCs w:val="22"/>
              </w:rPr>
            </w:pPr>
            <w:r w:rsidRPr="002B4829">
              <w:rPr>
                <w:rFonts w:ascii="Arial" w:hAnsi="Arial" w:cs="Arial"/>
                <w:sz w:val="22"/>
                <w:szCs w:val="22"/>
              </w:rPr>
              <w:fldChar w:fldCharType="begin">
                <w:ffData>
                  <w:name w:val="Check4"/>
                  <w:enabled/>
                  <w:calcOnExit w:val="0"/>
                  <w:checkBox>
                    <w:sizeAuto/>
                    <w:default w:val="1"/>
                  </w:checkBox>
                </w:ffData>
              </w:fldChar>
            </w:r>
            <w:r w:rsidRPr="002B4829">
              <w:rPr>
                <w:rFonts w:ascii="Arial" w:hAnsi="Arial" w:cs="Arial"/>
                <w:sz w:val="22"/>
                <w:szCs w:val="22"/>
              </w:rPr>
              <w:instrText xml:space="preserve"> FORMCHECKBOX </w:instrText>
            </w:r>
            <w:r w:rsidRPr="002B4829">
              <w:rPr>
                <w:rFonts w:ascii="Arial" w:hAnsi="Arial" w:cs="Arial"/>
                <w:sz w:val="22"/>
                <w:szCs w:val="22"/>
              </w:rPr>
            </w:r>
            <w:r w:rsidRPr="002B4829">
              <w:rPr>
                <w:rFonts w:ascii="Arial" w:hAnsi="Arial" w:cs="Arial"/>
                <w:sz w:val="22"/>
                <w:szCs w:val="22"/>
              </w:rPr>
              <w:fldChar w:fldCharType="end"/>
            </w:r>
            <w:bookmarkEnd w:id="3"/>
            <w:r w:rsidR="00DD689C" w:rsidRPr="002B4829">
              <w:rPr>
                <w:rFonts w:ascii="Arial" w:hAnsi="Arial" w:cs="Arial"/>
                <w:sz w:val="22"/>
                <w:szCs w:val="22"/>
              </w:rPr>
              <w:t xml:space="preserve"> STRATEGY</w:t>
            </w:r>
            <w:r w:rsidR="00DD7564" w:rsidRPr="002B4829">
              <w:rPr>
                <w:rFonts w:ascii="Arial" w:hAnsi="Arial" w:cs="Arial"/>
                <w:sz w:val="22"/>
                <w:szCs w:val="22"/>
              </w:rPr>
              <w:tab/>
            </w:r>
            <w:r w:rsidRPr="002B4829">
              <w:rPr>
                <w:rFonts w:ascii="Arial" w:hAnsi="Arial" w:cs="Arial"/>
                <w:sz w:val="22"/>
                <w:szCs w:val="22"/>
              </w:rPr>
              <w:fldChar w:fldCharType="begin">
                <w:ffData>
                  <w:name w:val=""/>
                  <w:enabled/>
                  <w:calcOnExit w:val="0"/>
                  <w:checkBox>
                    <w:sizeAuto/>
                    <w:default w:val="1"/>
                  </w:checkBox>
                </w:ffData>
              </w:fldChar>
            </w:r>
            <w:r w:rsidRPr="002B4829">
              <w:rPr>
                <w:rFonts w:ascii="Arial" w:hAnsi="Arial" w:cs="Arial"/>
                <w:sz w:val="22"/>
                <w:szCs w:val="22"/>
              </w:rPr>
              <w:instrText xml:space="preserve"> FORMCHECKBOX </w:instrText>
            </w:r>
            <w:r w:rsidRPr="002B4829">
              <w:rPr>
                <w:rFonts w:ascii="Arial" w:hAnsi="Arial" w:cs="Arial"/>
                <w:sz w:val="22"/>
                <w:szCs w:val="22"/>
              </w:rPr>
            </w:r>
            <w:r w:rsidRPr="002B4829">
              <w:rPr>
                <w:rFonts w:ascii="Arial" w:hAnsi="Arial" w:cs="Arial"/>
                <w:sz w:val="22"/>
                <w:szCs w:val="22"/>
              </w:rPr>
              <w:fldChar w:fldCharType="end"/>
            </w:r>
            <w:r w:rsidR="00DD689C" w:rsidRPr="002B4829">
              <w:rPr>
                <w:rFonts w:ascii="Arial" w:hAnsi="Arial" w:cs="Arial"/>
                <w:sz w:val="22"/>
                <w:szCs w:val="22"/>
              </w:rPr>
              <w:t xml:space="preserve"> COMMISSIONING</w:t>
            </w:r>
            <w:r w:rsidR="00DD7564" w:rsidRPr="002B4829">
              <w:rPr>
                <w:rFonts w:ascii="Arial" w:hAnsi="Arial" w:cs="Arial"/>
                <w:sz w:val="22"/>
                <w:szCs w:val="22"/>
              </w:rPr>
              <w:t xml:space="preserve">    </w:t>
            </w:r>
            <w:r w:rsidRPr="002B4829">
              <w:rPr>
                <w:rFonts w:ascii="Arial" w:hAnsi="Arial" w:cs="Arial"/>
                <w:sz w:val="22"/>
                <w:szCs w:val="22"/>
              </w:rPr>
              <w:fldChar w:fldCharType="begin">
                <w:ffData>
                  <w:name w:val=""/>
                  <w:enabled/>
                  <w:calcOnExit w:val="0"/>
                  <w:checkBox>
                    <w:sizeAuto/>
                    <w:default w:val="1"/>
                  </w:checkBox>
                </w:ffData>
              </w:fldChar>
            </w:r>
            <w:r w:rsidRPr="002B4829">
              <w:rPr>
                <w:rFonts w:ascii="Arial" w:hAnsi="Arial" w:cs="Arial"/>
                <w:sz w:val="22"/>
                <w:szCs w:val="22"/>
              </w:rPr>
              <w:instrText xml:space="preserve"> FORMCHECKBOX </w:instrText>
            </w:r>
            <w:r w:rsidRPr="002B4829">
              <w:rPr>
                <w:rFonts w:ascii="Arial" w:hAnsi="Arial" w:cs="Arial"/>
                <w:sz w:val="22"/>
                <w:szCs w:val="22"/>
              </w:rPr>
            </w:r>
            <w:r w:rsidRPr="002B4829">
              <w:rPr>
                <w:rFonts w:ascii="Arial" w:hAnsi="Arial" w:cs="Arial"/>
                <w:sz w:val="22"/>
                <w:szCs w:val="22"/>
              </w:rPr>
              <w:fldChar w:fldCharType="end"/>
            </w:r>
            <w:r w:rsidRPr="002B4829">
              <w:rPr>
                <w:rFonts w:ascii="Arial" w:hAnsi="Arial" w:cs="Arial"/>
                <w:sz w:val="22"/>
                <w:szCs w:val="22"/>
              </w:rPr>
              <w:t xml:space="preserve"> </w:t>
            </w:r>
            <w:r w:rsidR="00DD689C" w:rsidRPr="002B4829">
              <w:rPr>
                <w:rFonts w:ascii="Arial" w:hAnsi="Arial" w:cs="Arial"/>
                <w:sz w:val="22"/>
                <w:szCs w:val="22"/>
              </w:rPr>
              <w:t>OPERATIONAL ISSUES</w:t>
            </w:r>
          </w:p>
        </w:tc>
      </w:tr>
    </w:tbl>
    <w:p w:rsidR="00DD689C" w:rsidRPr="002B4829" w:rsidRDefault="00DD689C" w:rsidP="00DA5437">
      <w:pPr>
        <w:spacing w:line="276" w:lineRule="auto"/>
        <w:jc w:val="both"/>
        <w:rPr>
          <w:rFonts w:ascii="Arial" w:hAnsi="Arial" w:cs="Arial"/>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2B4829" w:rsidTr="00DD7564">
        <w:tc>
          <w:tcPr>
            <w:tcW w:w="2868" w:type="dxa"/>
            <w:shd w:val="clear" w:color="auto" w:fill="auto"/>
          </w:tcPr>
          <w:p w:rsidR="00DD689C" w:rsidRPr="002B4829" w:rsidRDefault="00DD689C" w:rsidP="00DA5437">
            <w:pPr>
              <w:spacing w:line="276" w:lineRule="auto"/>
              <w:jc w:val="both"/>
              <w:rPr>
                <w:rFonts w:ascii="Arial" w:hAnsi="Arial" w:cs="Arial"/>
                <w:b/>
                <w:bCs/>
                <w:sz w:val="22"/>
                <w:szCs w:val="22"/>
              </w:rPr>
            </w:pPr>
          </w:p>
          <w:p w:rsidR="00DD689C" w:rsidRPr="002B4829" w:rsidRDefault="00DD689C" w:rsidP="00DA5437">
            <w:pPr>
              <w:spacing w:line="276" w:lineRule="auto"/>
              <w:jc w:val="both"/>
              <w:rPr>
                <w:rFonts w:ascii="Arial" w:hAnsi="Arial" w:cs="Arial"/>
                <w:b/>
                <w:bCs/>
                <w:sz w:val="22"/>
                <w:szCs w:val="22"/>
              </w:rPr>
            </w:pPr>
            <w:r w:rsidRPr="002B4829">
              <w:rPr>
                <w:rFonts w:ascii="Arial" w:hAnsi="Arial" w:cs="Arial"/>
                <w:b/>
                <w:bCs/>
                <w:sz w:val="22"/>
                <w:szCs w:val="22"/>
              </w:rPr>
              <w:t>OBJECT OF REPORT</w:t>
            </w:r>
          </w:p>
        </w:tc>
        <w:tc>
          <w:tcPr>
            <w:tcW w:w="7021" w:type="dxa"/>
            <w:shd w:val="clear" w:color="auto" w:fill="auto"/>
          </w:tcPr>
          <w:p w:rsidR="00B170EF" w:rsidRPr="002B4829" w:rsidRDefault="00B170EF" w:rsidP="00DA5437">
            <w:pPr>
              <w:spacing w:line="276" w:lineRule="auto"/>
              <w:jc w:val="both"/>
              <w:rPr>
                <w:rFonts w:ascii="Arial" w:hAnsi="Arial" w:cs="Arial"/>
                <w:b/>
                <w:bCs/>
                <w:sz w:val="22"/>
                <w:szCs w:val="22"/>
              </w:rPr>
            </w:pPr>
          </w:p>
          <w:p w:rsidR="00B170EF" w:rsidRPr="002B4829" w:rsidRDefault="00B170EF" w:rsidP="00DA5437">
            <w:pPr>
              <w:spacing w:line="276" w:lineRule="auto"/>
              <w:jc w:val="both"/>
              <w:rPr>
                <w:rFonts w:ascii="Arial" w:hAnsi="Arial" w:cs="Arial"/>
                <w:b/>
                <w:bCs/>
                <w:sz w:val="22"/>
                <w:szCs w:val="22"/>
              </w:rPr>
            </w:pPr>
          </w:p>
          <w:p w:rsidR="00DD689C" w:rsidRPr="002B4829" w:rsidRDefault="00DD689C" w:rsidP="00DA5437">
            <w:pPr>
              <w:spacing w:line="276" w:lineRule="auto"/>
              <w:jc w:val="both"/>
              <w:rPr>
                <w:rFonts w:ascii="Arial" w:hAnsi="Arial" w:cs="Arial"/>
                <w:sz w:val="22"/>
                <w:szCs w:val="22"/>
              </w:rPr>
            </w:pPr>
          </w:p>
        </w:tc>
      </w:tr>
      <w:tr w:rsidR="00DD689C" w:rsidRPr="002B4829" w:rsidTr="00DD7564">
        <w:trPr>
          <w:trHeight w:val="856"/>
        </w:trPr>
        <w:tc>
          <w:tcPr>
            <w:tcW w:w="9889" w:type="dxa"/>
            <w:gridSpan w:val="2"/>
            <w:shd w:val="clear" w:color="auto" w:fill="auto"/>
          </w:tcPr>
          <w:p w:rsidR="00DA5437" w:rsidRPr="002B4829" w:rsidRDefault="00DA5437" w:rsidP="00DA5437">
            <w:pPr>
              <w:autoSpaceDE w:val="0"/>
              <w:autoSpaceDN w:val="0"/>
              <w:adjustRightInd w:val="0"/>
              <w:jc w:val="both"/>
              <w:rPr>
                <w:rFonts w:ascii="Arial" w:eastAsiaTheme="minorHAnsi" w:hAnsi="Arial" w:cs="Arial"/>
                <w:color w:val="000000"/>
                <w:sz w:val="22"/>
                <w:szCs w:val="22"/>
                <w:lang w:eastAsia="en-US"/>
              </w:rPr>
            </w:pPr>
            <w:r w:rsidRPr="002B4829">
              <w:rPr>
                <w:rFonts w:ascii="Arial" w:eastAsiaTheme="minorHAnsi" w:hAnsi="Arial" w:cs="Arial"/>
                <w:color w:val="000000"/>
                <w:sz w:val="22"/>
                <w:szCs w:val="22"/>
                <w:lang w:eastAsia="en-US"/>
              </w:rPr>
              <w:t>The report informs the Partnership Board about the quality and safety of the services it commissions and in doing so provides assurance that North East Lincolnshire CCG is fulfilling its responsibility and commitment to commission safe and effective services</w:t>
            </w:r>
            <w:r w:rsidR="002F5936" w:rsidRPr="002B4829">
              <w:rPr>
                <w:rFonts w:ascii="Arial" w:eastAsiaTheme="minorHAnsi" w:hAnsi="Arial" w:cs="Arial"/>
                <w:color w:val="000000"/>
                <w:sz w:val="22"/>
                <w:szCs w:val="22"/>
                <w:lang w:eastAsia="en-US"/>
              </w:rPr>
              <w:t xml:space="preserve"> that meet</w:t>
            </w:r>
            <w:r w:rsidRPr="002B4829">
              <w:rPr>
                <w:rFonts w:ascii="Arial" w:eastAsiaTheme="minorHAnsi" w:hAnsi="Arial" w:cs="Arial"/>
                <w:color w:val="000000"/>
                <w:sz w:val="22"/>
                <w:szCs w:val="22"/>
                <w:lang w:eastAsia="en-US"/>
              </w:rPr>
              <w:t xml:space="preserve"> the needs of the population of North East Lincolnshire. </w:t>
            </w:r>
          </w:p>
          <w:p w:rsidR="00DD7564" w:rsidRPr="002B4829" w:rsidRDefault="00DD7564" w:rsidP="00DA5437">
            <w:pPr>
              <w:spacing w:line="276" w:lineRule="auto"/>
              <w:jc w:val="both"/>
              <w:rPr>
                <w:rFonts w:ascii="Arial" w:hAnsi="Arial"/>
              </w:rPr>
            </w:pPr>
          </w:p>
        </w:tc>
      </w:tr>
    </w:tbl>
    <w:p w:rsidR="00DD689C" w:rsidRPr="002B4829" w:rsidRDefault="00DD689C"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2868"/>
        <w:gridCol w:w="7021"/>
      </w:tblGrid>
      <w:tr w:rsidR="00DD689C" w:rsidRPr="002B4829" w:rsidTr="00DD7564">
        <w:tc>
          <w:tcPr>
            <w:tcW w:w="2868" w:type="dxa"/>
            <w:shd w:val="clear" w:color="auto" w:fill="auto"/>
          </w:tcPr>
          <w:p w:rsidR="00DD689C" w:rsidRPr="002B4829" w:rsidRDefault="00DD689C" w:rsidP="00DA5437">
            <w:pPr>
              <w:spacing w:line="276" w:lineRule="auto"/>
              <w:jc w:val="both"/>
              <w:rPr>
                <w:rFonts w:ascii="Arial" w:hAnsi="Arial" w:cs="Arial"/>
                <w:b/>
                <w:bCs/>
                <w:sz w:val="22"/>
                <w:szCs w:val="22"/>
              </w:rPr>
            </w:pPr>
          </w:p>
          <w:p w:rsidR="00DD689C" w:rsidRPr="002B4829" w:rsidRDefault="00DD689C" w:rsidP="00DA5437">
            <w:pPr>
              <w:spacing w:line="276" w:lineRule="auto"/>
              <w:jc w:val="both"/>
              <w:rPr>
                <w:rFonts w:ascii="Arial" w:hAnsi="Arial" w:cs="Arial"/>
                <w:b/>
                <w:bCs/>
                <w:sz w:val="22"/>
                <w:szCs w:val="22"/>
              </w:rPr>
            </w:pPr>
            <w:r w:rsidRPr="002B4829">
              <w:rPr>
                <w:rFonts w:ascii="Arial" w:hAnsi="Arial" w:cs="Arial"/>
                <w:b/>
                <w:bCs/>
                <w:sz w:val="22"/>
                <w:szCs w:val="22"/>
              </w:rPr>
              <w:t>STRATEGY</w:t>
            </w:r>
            <w:r w:rsidR="00C11E56" w:rsidRPr="002B4829">
              <w:rPr>
                <w:rFonts w:ascii="Arial" w:hAnsi="Arial" w:cs="Arial"/>
                <w:b/>
                <w:bCs/>
                <w:sz w:val="22"/>
                <w:szCs w:val="22"/>
              </w:rPr>
              <w:t xml:space="preserve">                          </w:t>
            </w:r>
          </w:p>
        </w:tc>
        <w:tc>
          <w:tcPr>
            <w:tcW w:w="7021" w:type="dxa"/>
            <w:shd w:val="clear" w:color="auto" w:fill="auto"/>
          </w:tcPr>
          <w:p w:rsidR="00DD689C" w:rsidRPr="002B4829" w:rsidRDefault="00DD689C" w:rsidP="00DA5437">
            <w:pPr>
              <w:spacing w:line="276" w:lineRule="auto"/>
              <w:jc w:val="both"/>
              <w:rPr>
                <w:rFonts w:ascii="Arial" w:hAnsi="Arial" w:cs="Arial"/>
                <w:b/>
                <w:bCs/>
                <w:sz w:val="22"/>
                <w:szCs w:val="22"/>
              </w:rPr>
            </w:pPr>
          </w:p>
          <w:p w:rsidR="00DD689C" w:rsidRPr="002B4829" w:rsidRDefault="00DD689C" w:rsidP="00DA5437">
            <w:pPr>
              <w:spacing w:line="276" w:lineRule="auto"/>
              <w:jc w:val="both"/>
              <w:rPr>
                <w:rFonts w:ascii="Arial" w:hAnsi="Arial" w:cs="Arial"/>
                <w:sz w:val="22"/>
                <w:szCs w:val="22"/>
              </w:rPr>
            </w:pPr>
          </w:p>
        </w:tc>
      </w:tr>
      <w:tr w:rsidR="00DD689C" w:rsidRPr="002B4829" w:rsidTr="00DD7564">
        <w:trPr>
          <w:trHeight w:val="637"/>
        </w:trPr>
        <w:tc>
          <w:tcPr>
            <w:tcW w:w="9889" w:type="dxa"/>
            <w:gridSpan w:val="2"/>
            <w:shd w:val="clear" w:color="auto" w:fill="auto"/>
          </w:tcPr>
          <w:p w:rsidR="00B170EF" w:rsidRPr="002B4829" w:rsidRDefault="00DA5437" w:rsidP="00DA5437">
            <w:pPr>
              <w:spacing w:line="276" w:lineRule="auto"/>
              <w:jc w:val="both"/>
              <w:rPr>
                <w:rFonts w:ascii="Arial" w:hAnsi="Arial" w:cs="Arial"/>
                <w:sz w:val="22"/>
                <w:szCs w:val="22"/>
              </w:rPr>
            </w:pPr>
            <w:r w:rsidRPr="002B4829">
              <w:rPr>
                <w:rFonts w:ascii="Arial" w:hAnsi="Arial" w:cs="Arial"/>
                <w:sz w:val="22"/>
                <w:szCs w:val="22"/>
              </w:rPr>
              <w:t xml:space="preserve">      </w:t>
            </w:r>
            <w:r w:rsidR="00446F94" w:rsidRPr="002B4829">
              <w:rPr>
                <w:rFonts w:ascii="Arial" w:hAnsi="Arial" w:cs="Arial"/>
                <w:sz w:val="22"/>
                <w:szCs w:val="22"/>
              </w:rPr>
              <w:t xml:space="preserve">                             </w:t>
            </w:r>
          </w:p>
          <w:p w:rsidR="00301655" w:rsidRPr="002B4829" w:rsidRDefault="00446F94" w:rsidP="00DA5437">
            <w:pPr>
              <w:spacing w:line="276" w:lineRule="auto"/>
              <w:jc w:val="both"/>
              <w:rPr>
                <w:rFonts w:ascii="Arial" w:hAnsi="Arial" w:cs="Arial"/>
                <w:bCs/>
                <w:sz w:val="22"/>
                <w:szCs w:val="22"/>
              </w:rPr>
            </w:pPr>
            <w:r w:rsidRPr="002B4829">
              <w:rPr>
                <w:rFonts w:ascii="Arial" w:hAnsi="Arial" w:cs="Arial"/>
                <w:sz w:val="22"/>
                <w:szCs w:val="22"/>
              </w:rPr>
              <w:t xml:space="preserve"> </w:t>
            </w:r>
            <w:r w:rsidR="00DA5437" w:rsidRPr="002B4829">
              <w:rPr>
                <w:rFonts w:ascii="Arial" w:hAnsi="Arial" w:cs="Arial"/>
                <w:bCs/>
                <w:sz w:val="22"/>
                <w:szCs w:val="22"/>
              </w:rPr>
              <w:t>Effective care,</w:t>
            </w:r>
            <w:r w:rsidRPr="002B4829">
              <w:rPr>
                <w:rFonts w:ascii="Arial" w:hAnsi="Arial" w:cs="Arial"/>
                <w:sz w:val="22"/>
                <w:szCs w:val="22"/>
              </w:rPr>
              <w:t xml:space="preserve"> patient safety and patient experience</w:t>
            </w:r>
            <w:r w:rsidR="00136C3A" w:rsidRPr="002B4829">
              <w:rPr>
                <w:rFonts w:ascii="Arial" w:hAnsi="Arial" w:cs="Arial"/>
                <w:bCs/>
                <w:sz w:val="22"/>
                <w:szCs w:val="22"/>
              </w:rPr>
              <w:t>.</w:t>
            </w:r>
          </w:p>
        </w:tc>
      </w:tr>
    </w:tbl>
    <w:p w:rsidR="00DD689C" w:rsidRPr="002B4829" w:rsidRDefault="00DD689C"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ayout w:type="fixed"/>
        <w:tblLook w:val="01E0" w:firstRow="1" w:lastRow="1" w:firstColumn="1" w:lastColumn="1" w:noHBand="0" w:noVBand="0"/>
      </w:tblPr>
      <w:tblGrid>
        <w:gridCol w:w="3972"/>
        <w:gridCol w:w="5917"/>
      </w:tblGrid>
      <w:tr w:rsidR="00DD689C" w:rsidRPr="002B4829" w:rsidTr="00DA5437">
        <w:tc>
          <w:tcPr>
            <w:tcW w:w="3972" w:type="dxa"/>
            <w:shd w:val="clear" w:color="auto" w:fill="auto"/>
          </w:tcPr>
          <w:p w:rsidR="00DD689C" w:rsidRPr="002B4829" w:rsidRDefault="00DD689C" w:rsidP="00DA5437">
            <w:pPr>
              <w:spacing w:line="276" w:lineRule="auto"/>
              <w:jc w:val="both"/>
              <w:rPr>
                <w:rFonts w:ascii="Arial" w:hAnsi="Arial" w:cs="Arial"/>
                <w:b/>
                <w:bCs/>
                <w:sz w:val="22"/>
                <w:szCs w:val="22"/>
              </w:rPr>
            </w:pPr>
            <w:r w:rsidRPr="002B4829">
              <w:rPr>
                <w:rFonts w:ascii="Arial" w:hAnsi="Arial" w:cs="Arial"/>
                <w:b/>
                <w:bCs/>
                <w:sz w:val="22"/>
                <w:szCs w:val="22"/>
              </w:rPr>
              <w:t>IMPLICATIONS</w:t>
            </w:r>
          </w:p>
        </w:tc>
        <w:tc>
          <w:tcPr>
            <w:tcW w:w="5917" w:type="dxa"/>
            <w:shd w:val="clear" w:color="auto" w:fill="auto"/>
          </w:tcPr>
          <w:p w:rsidR="00DD689C" w:rsidRPr="002B4829" w:rsidRDefault="00446F94" w:rsidP="00DA5437">
            <w:pPr>
              <w:spacing w:line="276" w:lineRule="auto"/>
              <w:jc w:val="both"/>
              <w:rPr>
                <w:rFonts w:ascii="Arial" w:hAnsi="Arial" w:cs="Arial"/>
                <w:b/>
                <w:bCs/>
                <w:sz w:val="22"/>
                <w:szCs w:val="22"/>
              </w:rPr>
            </w:pPr>
            <w:r w:rsidRPr="002B4829">
              <w:rPr>
                <w:rFonts w:ascii="Arial" w:hAnsi="Arial" w:cs="Arial"/>
                <w:b/>
                <w:bCs/>
                <w:sz w:val="22"/>
                <w:szCs w:val="22"/>
              </w:rPr>
              <w:t xml:space="preserve">  </w:t>
            </w:r>
          </w:p>
          <w:p w:rsidR="00DD689C" w:rsidRPr="002B4829" w:rsidRDefault="00DD689C" w:rsidP="00DA5437">
            <w:pPr>
              <w:spacing w:line="276" w:lineRule="auto"/>
              <w:jc w:val="both"/>
              <w:rPr>
                <w:rFonts w:ascii="Arial" w:hAnsi="Arial" w:cs="Arial"/>
                <w:b/>
                <w:bCs/>
                <w:sz w:val="22"/>
                <w:szCs w:val="22"/>
              </w:rPr>
            </w:pPr>
          </w:p>
        </w:tc>
      </w:tr>
      <w:tr w:rsidR="00DD689C" w:rsidRPr="00E50ED4" w:rsidTr="00BB543D">
        <w:trPr>
          <w:trHeight w:val="57"/>
        </w:trPr>
        <w:tc>
          <w:tcPr>
            <w:tcW w:w="9889" w:type="dxa"/>
            <w:gridSpan w:val="2"/>
            <w:shd w:val="clear" w:color="auto" w:fill="auto"/>
          </w:tcPr>
          <w:p w:rsidR="002F5936" w:rsidRPr="00E50ED4" w:rsidRDefault="002F5936" w:rsidP="00DA5437">
            <w:pPr>
              <w:spacing w:line="276" w:lineRule="auto"/>
              <w:jc w:val="both"/>
              <w:rPr>
                <w:rFonts w:ascii="Arial" w:hAnsi="Arial" w:cs="Arial"/>
                <w:bCs/>
                <w:sz w:val="22"/>
                <w:szCs w:val="22"/>
              </w:rPr>
            </w:pPr>
          </w:p>
          <w:p w:rsidR="00DA5437" w:rsidRPr="00911859" w:rsidRDefault="00DA5437" w:rsidP="00DA5437">
            <w:pPr>
              <w:spacing w:line="276" w:lineRule="auto"/>
              <w:jc w:val="both"/>
              <w:rPr>
                <w:rFonts w:ascii="Arial" w:hAnsi="Arial" w:cs="Arial"/>
                <w:b/>
                <w:bCs/>
                <w:sz w:val="22"/>
                <w:szCs w:val="22"/>
              </w:rPr>
            </w:pPr>
            <w:r w:rsidRPr="00911859">
              <w:rPr>
                <w:rFonts w:ascii="Arial" w:hAnsi="Arial" w:cs="Arial"/>
                <w:b/>
                <w:bCs/>
                <w:sz w:val="22"/>
                <w:szCs w:val="22"/>
              </w:rPr>
              <w:t xml:space="preserve">1  </w:t>
            </w:r>
            <w:r w:rsidR="00B37AF2" w:rsidRPr="00911859">
              <w:rPr>
                <w:rFonts w:ascii="Arial" w:hAnsi="Arial" w:cs="Arial"/>
                <w:b/>
                <w:bCs/>
                <w:sz w:val="22"/>
                <w:szCs w:val="22"/>
              </w:rPr>
              <w:t>Effective Care</w:t>
            </w:r>
          </w:p>
          <w:p w:rsidR="00DA5437" w:rsidRPr="00E50ED4" w:rsidRDefault="00DA5437" w:rsidP="00DA5437">
            <w:pPr>
              <w:spacing w:before="240" w:line="276" w:lineRule="auto"/>
              <w:jc w:val="both"/>
              <w:rPr>
                <w:rFonts w:ascii="Arial" w:hAnsi="Arial" w:cs="Arial"/>
                <w:bCs/>
                <w:sz w:val="22"/>
                <w:szCs w:val="22"/>
              </w:rPr>
            </w:pPr>
            <w:r w:rsidRPr="00E50ED4">
              <w:rPr>
                <w:rFonts w:ascii="Arial" w:hAnsi="Arial" w:cs="Arial"/>
                <w:bCs/>
                <w:sz w:val="22"/>
                <w:szCs w:val="22"/>
              </w:rPr>
              <w:t>A  External Reviews</w:t>
            </w:r>
          </w:p>
          <w:p w:rsidR="00DA7509" w:rsidRPr="00E50ED4" w:rsidRDefault="00DA7509" w:rsidP="00DA5437">
            <w:pPr>
              <w:spacing w:before="240" w:line="276" w:lineRule="auto"/>
              <w:jc w:val="both"/>
              <w:rPr>
                <w:rFonts w:ascii="Arial" w:hAnsi="Arial" w:cs="Arial"/>
                <w:bCs/>
                <w:sz w:val="22"/>
                <w:szCs w:val="22"/>
              </w:rPr>
            </w:pPr>
            <w:r w:rsidRPr="00E50ED4">
              <w:rPr>
                <w:rFonts w:ascii="Arial" w:hAnsi="Arial" w:cs="Arial"/>
                <w:bCs/>
                <w:sz w:val="22"/>
                <w:szCs w:val="22"/>
              </w:rPr>
              <w:t>None to report</w:t>
            </w:r>
          </w:p>
          <w:p w:rsidR="00DA5437" w:rsidRPr="00E50ED4" w:rsidRDefault="00DA5437" w:rsidP="00DA5437">
            <w:pPr>
              <w:spacing w:line="276" w:lineRule="auto"/>
              <w:jc w:val="both"/>
              <w:rPr>
                <w:rFonts w:ascii="Arial" w:hAnsi="Arial" w:cs="Arial"/>
                <w:bCs/>
                <w:sz w:val="22"/>
                <w:szCs w:val="22"/>
              </w:rPr>
            </w:pPr>
          </w:p>
          <w:p w:rsidR="00D25A2E" w:rsidRPr="00E50ED4" w:rsidRDefault="00DA5437" w:rsidP="00D25A2E">
            <w:pPr>
              <w:spacing w:line="276" w:lineRule="auto"/>
              <w:jc w:val="both"/>
              <w:rPr>
                <w:rFonts w:ascii="Arial" w:eastAsia="Calibri" w:hAnsi="Arial" w:cs="Arial"/>
                <w:sz w:val="22"/>
                <w:szCs w:val="22"/>
                <w:lang w:eastAsia="en-US"/>
              </w:rPr>
            </w:pPr>
            <w:r w:rsidRPr="00E50ED4">
              <w:rPr>
                <w:rFonts w:ascii="Arial" w:hAnsi="Arial" w:cs="Arial"/>
                <w:bCs/>
                <w:sz w:val="22"/>
                <w:szCs w:val="22"/>
              </w:rPr>
              <w:t xml:space="preserve">B  </w:t>
            </w:r>
            <w:r w:rsidR="00B37AF2" w:rsidRPr="00E50ED4">
              <w:rPr>
                <w:rFonts w:ascii="Arial" w:hAnsi="Arial" w:cs="Arial"/>
                <w:bCs/>
                <w:sz w:val="22"/>
                <w:szCs w:val="22"/>
              </w:rPr>
              <w:t xml:space="preserve">Winterbourne Concordat: </w:t>
            </w:r>
            <w:r w:rsidR="008032FA" w:rsidRPr="00E50ED4">
              <w:rPr>
                <w:rFonts w:ascii="Arial" w:eastAsia="Calibri" w:hAnsi="Arial" w:cs="Arial"/>
                <w:sz w:val="22"/>
                <w:szCs w:val="22"/>
                <w:lang w:eastAsia="en-US"/>
              </w:rPr>
              <w:t>Transforming Complex Care</w:t>
            </w:r>
          </w:p>
          <w:p w:rsidR="002A2A33" w:rsidRPr="00E50ED4" w:rsidRDefault="002A2A33" w:rsidP="00D25A2E">
            <w:pPr>
              <w:spacing w:line="276" w:lineRule="auto"/>
              <w:jc w:val="both"/>
              <w:rPr>
                <w:rFonts w:ascii="Arial" w:eastAsia="Calibri" w:hAnsi="Arial" w:cs="Arial"/>
                <w:sz w:val="22"/>
                <w:szCs w:val="22"/>
                <w:lang w:eastAsia="en-US"/>
              </w:rPr>
            </w:pPr>
          </w:p>
          <w:p w:rsidR="00BB543D" w:rsidRPr="00E50ED4" w:rsidRDefault="008032FA" w:rsidP="00BB543D">
            <w:pPr>
              <w:pStyle w:val="NoSpacing"/>
              <w:rPr>
                <w:rFonts w:ascii="Arial" w:eastAsia="Calibri" w:hAnsi="Arial" w:cs="Arial"/>
                <w:sz w:val="22"/>
                <w:szCs w:val="22"/>
                <w:lang w:eastAsia="en-US"/>
              </w:rPr>
            </w:pPr>
            <w:r w:rsidRPr="00E50ED4">
              <w:rPr>
                <w:rFonts w:ascii="Arial" w:eastAsia="Calibri" w:hAnsi="Arial" w:cs="Arial"/>
                <w:sz w:val="22"/>
                <w:szCs w:val="22"/>
                <w:lang w:eastAsia="en-US"/>
              </w:rPr>
              <w:t>Local Data</w:t>
            </w:r>
          </w:p>
          <w:p w:rsidR="00BB543D" w:rsidRDefault="00B37AF2" w:rsidP="00BB543D">
            <w:pPr>
              <w:spacing w:after="200" w:line="276" w:lineRule="auto"/>
              <w:jc w:val="both"/>
              <w:rPr>
                <w:rFonts w:ascii="Arial" w:eastAsia="Calibri" w:hAnsi="Arial" w:cs="Arial"/>
                <w:sz w:val="22"/>
                <w:szCs w:val="22"/>
                <w:lang w:eastAsia="en-US"/>
              </w:rPr>
            </w:pPr>
            <w:r w:rsidRPr="00E50ED4">
              <w:rPr>
                <w:rFonts w:ascii="Arial" w:eastAsia="Calibri" w:hAnsi="Arial" w:cs="Arial"/>
                <w:sz w:val="22"/>
                <w:szCs w:val="22"/>
                <w:lang w:eastAsia="en-US"/>
              </w:rPr>
              <w:t xml:space="preserve">All </w:t>
            </w:r>
            <w:r w:rsidR="00DA5437" w:rsidRPr="00E50ED4">
              <w:rPr>
                <w:rFonts w:ascii="Arial" w:eastAsia="Calibri" w:hAnsi="Arial" w:cs="Arial"/>
                <w:sz w:val="22"/>
                <w:szCs w:val="22"/>
                <w:lang w:eastAsia="en-US"/>
              </w:rPr>
              <w:t xml:space="preserve">North East Lincolnshire CCG </w:t>
            </w:r>
            <w:r w:rsidRPr="00E50ED4">
              <w:rPr>
                <w:rFonts w:ascii="Arial" w:eastAsia="Calibri" w:hAnsi="Arial" w:cs="Arial"/>
                <w:sz w:val="22"/>
                <w:szCs w:val="22"/>
                <w:lang w:eastAsia="en-US"/>
              </w:rPr>
              <w:t>clients are reported as</w:t>
            </w:r>
            <w:r w:rsidR="008032FA" w:rsidRPr="00E50ED4">
              <w:rPr>
                <w:rFonts w:ascii="Arial" w:eastAsia="Calibri" w:hAnsi="Arial" w:cs="Arial"/>
                <w:sz w:val="22"/>
                <w:szCs w:val="22"/>
                <w:lang w:eastAsia="en-US"/>
              </w:rPr>
              <w:t xml:space="preserve"> </w:t>
            </w:r>
            <w:r w:rsidRPr="00E50ED4">
              <w:rPr>
                <w:rFonts w:ascii="Arial" w:eastAsia="Calibri" w:hAnsi="Arial" w:cs="Arial"/>
                <w:sz w:val="22"/>
                <w:szCs w:val="22"/>
                <w:lang w:eastAsia="en-US"/>
              </w:rPr>
              <w:t>Winterbourne compliant.</w:t>
            </w:r>
          </w:p>
          <w:p w:rsidR="00911859" w:rsidRPr="00E50ED4" w:rsidRDefault="00911859" w:rsidP="00BB543D">
            <w:pPr>
              <w:spacing w:after="200" w:line="276" w:lineRule="auto"/>
              <w:jc w:val="both"/>
              <w:rPr>
                <w:rFonts w:ascii="Arial" w:eastAsia="Calibri" w:hAnsi="Arial" w:cs="Arial"/>
                <w:sz w:val="22"/>
                <w:szCs w:val="22"/>
                <w:lang w:eastAsia="en-US"/>
              </w:rPr>
            </w:pPr>
          </w:p>
          <w:p w:rsidR="00CB1B56" w:rsidRPr="00911859" w:rsidRDefault="00DA5437" w:rsidP="00DA5437">
            <w:pPr>
              <w:spacing w:line="276" w:lineRule="auto"/>
              <w:jc w:val="both"/>
              <w:rPr>
                <w:rFonts w:ascii="Arial" w:hAnsi="Arial" w:cs="Arial"/>
                <w:b/>
                <w:bCs/>
                <w:sz w:val="22"/>
                <w:szCs w:val="22"/>
              </w:rPr>
            </w:pPr>
            <w:r w:rsidRPr="00911859">
              <w:rPr>
                <w:rFonts w:ascii="Arial" w:hAnsi="Arial" w:cs="Arial"/>
                <w:b/>
                <w:bCs/>
                <w:sz w:val="22"/>
                <w:szCs w:val="22"/>
              </w:rPr>
              <w:lastRenderedPageBreak/>
              <w:t xml:space="preserve">2  </w:t>
            </w:r>
            <w:r w:rsidR="008032FA" w:rsidRPr="00911859">
              <w:rPr>
                <w:rFonts w:ascii="Arial" w:hAnsi="Arial" w:cs="Arial"/>
                <w:b/>
                <w:bCs/>
                <w:sz w:val="22"/>
                <w:szCs w:val="22"/>
              </w:rPr>
              <w:t>Patient Safety</w:t>
            </w:r>
          </w:p>
          <w:p w:rsidR="002A2A33" w:rsidRPr="00E50ED4" w:rsidRDefault="002A2A33" w:rsidP="00DA5437">
            <w:pPr>
              <w:spacing w:line="276" w:lineRule="auto"/>
              <w:jc w:val="both"/>
              <w:rPr>
                <w:rFonts w:ascii="Arial" w:hAnsi="Arial" w:cs="Arial"/>
                <w:bCs/>
                <w:sz w:val="22"/>
                <w:szCs w:val="22"/>
              </w:rPr>
            </w:pPr>
          </w:p>
          <w:p w:rsidR="00CB1B56" w:rsidRPr="00E50ED4" w:rsidRDefault="00DA5437" w:rsidP="00DA5437">
            <w:pPr>
              <w:spacing w:line="276" w:lineRule="auto"/>
              <w:jc w:val="both"/>
              <w:rPr>
                <w:rFonts w:ascii="Arial" w:hAnsi="Arial" w:cs="Arial"/>
                <w:bCs/>
                <w:sz w:val="22"/>
                <w:szCs w:val="22"/>
              </w:rPr>
            </w:pPr>
            <w:r w:rsidRPr="00911859">
              <w:rPr>
                <w:rFonts w:ascii="Arial" w:hAnsi="Arial" w:cs="Arial"/>
                <w:b/>
                <w:bCs/>
                <w:sz w:val="22"/>
                <w:szCs w:val="22"/>
              </w:rPr>
              <w:t>A</w:t>
            </w:r>
            <w:r w:rsidRPr="00E50ED4">
              <w:rPr>
                <w:rFonts w:ascii="Arial" w:hAnsi="Arial" w:cs="Arial"/>
                <w:bCs/>
                <w:sz w:val="22"/>
                <w:szCs w:val="22"/>
              </w:rPr>
              <w:t xml:space="preserve">  </w:t>
            </w:r>
            <w:r w:rsidR="008032FA" w:rsidRPr="00E50ED4">
              <w:rPr>
                <w:rFonts w:ascii="Arial" w:hAnsi="Arial" w:cs="Arial"/>
                <w:b/>
                <w:bCs/>
                <w:sz w:val="22"/>
                <w:szCs w:val="22"/>
              </w:rPr>
              <w:t>Infection Control</w:t>
            </w:r>
            <w:r w:rsidR="00FE7C71" w:rsidRPr="00E50ED4">
              <w:rPr>
                <w:rFonts w:ascii="Arial" w:hAnsi="Arial" w:cs="Arial"/>
                <w:bCs/>
                <w:sz w:val="22"/>
                <w:szCs w:val="22"/>
              </w:rPr>
              <w:t xml:space="preserve"> </w:t>
            </w:r>
          </w:p>
          <w:p w:rsidR="002B4829" w:rsidRPr="00E50ED4" w:rsidRDefault="002B4829" w:rsidP="00DA5437">
            <w:pPr>
              <w:spacing w:line="276" w:lineRule="auto"/>
              <w:jc w:val="both"/>
              <w:rPr>
                <w:rFonts w:ascii="Arial" w:hAnsi="Arial" w:cs="Arial"/>
                <w:bCs/>
                <w:color w:val="FF0000"/>
                <w:sz w:val="22"/>
                <w:szCs w:val="22"/>
              </w:rPr>
            </w:pPr>
          </w:p>
          <w:p w:rsidR="00E50ED4" w:rsidRPr="00911859" w:rsidRDefault="00E50ED4" w:rsidP="00E50ED4">
            <w:pPr>
              <w:rPr>
                <w:rFonts w:ascii="Arial" w:hAnsi="Arial" w:cs="Arial"/>
                <w:sz w:val="22"/>
                <w:szCs w:val="22"/>
              </w:rPr>
            </w:pPr>
            <w:r w:rsidRPr="00911859">
              <w:rPr>
                <w:rFonts w:ascii="Arial" w:hAnsi="Arial" w:cs="Arial"/>
                <w:b/>
                <w:sz w:val="22"/>
                <w:szCs w:val="22"/>
              </w:rPr>
              <w:t xml:space="preserve">C </w:t>
            </w:r>
            <w:proofErr w:type="spellStart"/>
            <w:r w:rsidRPr="00911859">
              <w:rPr>
                <w:rFonts w:ascii="Arial" w:hAnsi="Arial" w:cs="Arial"/>
                <w:b/>
                <w:sz w:val="22"/>
                <w:szCs w:val="22"/>
              </w:rPr>
              <w:t>Difficile</w:t>
            </w:r>
            <w:proofErr w:type="spellEnd"/>
            <w:r w:rsidRPr="00911859">
              <w:rPr>
                <w:rFonts w:ascii="Arial" w:hAnsi="Arial" w:cs="Arial"/>
                <w:sz w:val="22"/>
                <w:szCs w:val="22"/>
              </w:rPr>
              <w:t xml:space="preserve"> – 2014/15 target -22 </w:t>
            </w:r>
            <w:proofErr w:type="spellStart"/>
            <w:r w:rsidRPr="00911859">
              <w:rPr>
                <w:rFonts w:ascii="Arial" w:hAnsi="Arial" w:cs="Arial"/>
                <w:sz w:val="22"/>
                <w:szCs w:val="22"/>
              </w:rPr>
              <w:t>CDiff</w:t>
            </w:r>
            <w:proofErr w:type="spellEnd"/>
            <w:r w:rsidRPr="00911859">
              <w:rPr>
                <w:rFonts w:ascii="Arial" w:hAnsi="Arial" w:cs="Arial"/>
                <w:sz w:val="22"/>
                <w:szCs w:val="22"/>
              </w:rPr>
              <w:t xml:space="preserve"> cases-EXCEEDED.</w:t>
            </w:r>
          </w:p>
          <w:p w:rsidR="00E50ED4" w:rsidRPr="00911859" w:rsidRDefault="00E50ED4" w:rsidP="00E50ED4">
            <w:pPr>
              <w:rPr>
                <w:rFonts w:ascii="Arial" w:hAnsi="Arial" w:cs="Arial"/>
                <w:sz w:val="22"/>
                <w:szCs w:val="22"/>
              </w:rPr>
            </w:pPr>
            <w:r w:rsidRPr="00911859">
              <w:rPr>
                <w:rFonts w:ascii="Arial" w:hAnsi="Arial" w:cs="Arial"/>
                <w:sz w:val="22"/>
                <w:szCs w:val="22"/>
              </w:rPr>
              <w:t xml:space="preserve">There were 32 incidences of </w:t>
            </w:r>
            <w:proofErr w:type="spellStart"/>
            <w:r w:rsidRPr="00911859">
              <w:rPr>
                <w:rFonts w:ascii="Arial" w:hAnsi="Arial" w:cs="Arial"/>
                <w:sz w:val="22"/>
                <w:szCs w:val="22"/>
              </w:rPr>
              <w:t>C.Diff</w:t>
            </w:r>
            <w:proofErr w:type="spellEnd"/>
            <w:r w:rsidRPr="00911859">
              <w:rPr>
                <w:rFonts w:ascii="Arial" w:hAnsi="Arial" w:cs="Arial"/>
                <w:sz w:val="22"/>
                <w:szCs w:val="22"/>
              </w:rPr>
              <w:t xml:space="preserve"> in NEL for 2014-15.  </w:t>
            </w:r>
          </w:p>
          <w:p w:rsidR="00E50ED4" w:rsidRPr="00911859" w:rsidRDefault="00E50ED4" w:rsidP="00E50ED4">
            <w:pPr>
              <w:rPr>
                <w:rFonts w:ascii="Arial" w:hAnsi="Arial" w:cs="Arial"/>
                <w:sz w:val="22"/>
                <w:szCs w:val="22"/>
              </w:rPr>
            </w:pPr>
            <w:r w:rsidRPr="00911859">
              <w:rPr>
                <w:rFonts w:ascii="Arial" w:hAnsi="Arial" w:cs="Arial"/>
                <w:sz w:val="22"/>
                <w:szCs w:val="22"/>
              </w:rPr>
              <w:t>19 of those were Community acquired infections</w:t>
            </w:r>
          </w:p>
          <w:p w:rsidR="00E50ED4" w:rsidRPr="00911859" w:rsidRDefault="00E50ED4" w:rsidP="00E50ED4">
            <w:pPr>
              <w:rPr>
                <w:rFonts w:ascii="Arial" w:hAnsi="Arial" w:cs="Arial"/>
                <w:sz w:val="22"/>
                <w:szCs w:val="22"/>
              </w:rPr>
            </w:pPr>
            <w:r w:rsidRPr="00911859">
              <w:rPr>
                <w:rFonts w:ascii="Arial" w:hAnsi="Arial" w:cs="Arial"/>
                <w:sz w:val="22"/>
                <w:szCs w:val="22"/>
              </w:rPr>
              <w:t xml:space="preserve">13 for the Acute Trust </w:t>
            </w:r>
          </w:p>
          <w:p w:rsidR="00E50ED4" w:rsidRPr="00911859" w:rsidRDefault="00E50ED4" w:rsidP="00E50ED4">
            <w:pPr>
              <w:rPr>
                <w:rFonts w:ascii="Arial" w:hAnsi="Arial" w:cs="Arial"/>
                <w:sz w:val="22"/>
                <w:szCs w:val="22"/>
              </w:rPr>
            </w:pPr>
            <w:r w:rsidRPr="00911859">
              <w:rPr>
                <w:rFonts w:ascii="Arial" w:hAnsi="Arial" w:cs="Arial"/>
                <w:sz w:val="22"/>
                <w:szCs w:val="22"/>
              </w:rPr>
              <w:t xml:space="preserve">(12 – </w:t>
            </w:r>
            <w:proofErr w:type="spellStart"/>
            <w:r w:rsidRPr="00911859">
              <w:rPr>
                <w:rFonts w:ascii="Arial" w:hAnsi="Arial" w:cs="Arial"/>
                <w:sz w:val="22"/>
                <w:szCs w:val="22"/>
              </w:rPr>
              <w:t>DPoW</w:t>
            </w:r>
            <w:proofErr w:type="spellEnd"/>
          </w:p>
          <w:p w:rsidR="00E50ED4" w:rsidRPr="00911859" w:rsidRDefault="00E50ED4" w:rsidP="00E50ED4">
            <w:pPr>
              <w:rPr>
                <w:rFonts w:ascii="Arial" w:hAnsi="Arial" w:cs="Arial"/>
                <w:sz w:val="22"/>
                <w:szCs w:val="22"/>
              </w:rPr>
            </w:pPr>
            <w:r w:rsidRPr="00911859">
              <w:rPr>
                <w:rFonts w:ascii="Arial" w:hAnsi="Arial" w:cs="Arial"/>
                <w:sz w:val="22"/>
                <w:szCs w:val="22"/>
              </w:rPr>
              <w:t>1 – Scunthorpe GH)</w:t>
            </w:r>
          </w:p>
          <w:p w:rsidR="00E50ED4" w:rsidRPr="00911859" w:rsidRDefault="00E50ED4" w:rsidP="00E50ED4">
            <w:pPr>
              <w:spacing w:line="276" w:lineRule="auto"/>
              <w:jc w:val="both"/>
              <w:rPr>
                <w:rFonts w:ascii="Arial" w:hAnsi="Arial" w:cs="Arial"/>
                <w:sz w:val="22"/>
                <w:szCs w:val="22"/>
              </w:rPr>
            </w:pPr>
          </w:p>
          <w:p w:rsidR="00E50ED4" w:rsidRPr="00911859" w:rsidRDefault="00E50ED4" w:rsidP="00E50ED4">
            <w:pPr>
              <w:spacing w:line="276" w:lineRule="auto"/>
              <w:jc w:val="both"/>
              <w:rPr>
                <w:rFonts w:ascii="Arial" w:hAnsi="Arial" w:cs="Arial"/>
                <w:sz w:val="22"/>
                <w:szCs w:val="22"/>
              </w:rPr>
            </w:pPr>
            <w:r w:rsidRPr="00911859">
              <w:rPr>
                <w:rFonts w:ascii="Arial" w:hAnsi="Arial" w:cs="Arial"/>
                <w:sz w:val="22"/>
                <w:szCs w:val="22"/>
              </w:rPr>
              <w:t>2015/2016 target is 35</w:t>
            </w:r>
          </w:p>
          <w:p w:rsidR="002B4829" w:rsidRPr="00911859" w:rsidRDefault="002B4829" w:rsidP="002B4829">
            <w:pPr>
              <w:spacing w:line="276" w:lineRule="auto"/>
              <w:jc w:val="both"/>
              <w:rPr>
                <w:rFonts w:ascii="Arial" w:hAnsi="Arial" w:cs="Arial"/>
                <w:sz w:val="22"/>
                <w:szCs w:val="22"/>
              </w:rPr>
            </w:pPr>
          </w:p>
          <w:p w:rsidR="00E50ED4" w:rsidRPr="00911859" w:rsidRDefault="00E50ED4" w:rsidP="00E50ED4">
            <w:pPr>
              <w:rPr>
                <w:rFonts w:ascii="Arial" w:hAnsi="Arial" w:cs="Arial"/>
                <w:sz w:val="22"/>
                <w:szCs w:val="22"/>
              </w:rPr>
            </w:pPr>
            <w:r w:rsidRPr="00911859">
              <w:rPr>
                <w:rFonts w:ascii="Arial" w:hAnsi="Arial" w:cs="Arial"/>
                <w:sz w:val="22"/>
                <w:szCs w:val="22"/>
              </w:rPr>
              <w:t xml:space="preserve">Systems across both primary and secondary care are in place to undertake post infection reviews of all C Diff cases. </w:t>
            </w:r>
          </w:p>
          <w:p w:rsidR="00E50ED4" w:rsidRPr="00911859" w:rsidRDefault="00E50ED4" w:rsidP="00E50ED4">
            <w:pPr>
              <w:rPr>
                <w:rFonts w:ascii="Arial" w:hAnsi="Arial" w:cs="Arial"/>
                <w:sz w:val="22"/>
                <w:szCs w:val="22"/>
              </w:rPr>
            </w:pPr>
            <w:r w:rsidRPr="00911859">
              <w:rPr>
                <w:rFonts w:ascii="Arial" w:hAnsi="Arial" w:cs="Arial"/>
                <w:sz w:val="22"/>
                <w:szCs w:val="22"/>
              </w:rPr>
              <w:t>C Diff cases are reviewed at the NEL CCG Quality Committee as a standing agenda item. </w:t>
            </w:r>
          </w:p>
          <w:p w:rsidR="00E50ED4" w:rsidRPr="00911859" w:rsidRDefault="00E50ED4" w:rsidP="00E50ED4">
            <w:pPr>
              <w:rPr>
                <w:rFonts w:ascii="Arial" w:hAnsi="Arial" w:cs="Arial"/>
                <w:sz w:val="22"/>
                <w:szCs w:val="22"/>
              </w:rPr>
            </w:pPr>
            <w:r w:rsidRPr="00911859">
              <w:rPr>
                <w:rFonts w:ascii="Arial" w:hAnsi="Arial" w:cs="Arial"/>
                <w:sz w:val="22"/>
                <w:szCs w:val="22"/>
              </w:rPr>
              <w:t xml:space="preserve">We are continuing to monitor NL&amp;G action plans and Infection Control Policies in the Quality Contracting Committee and Yorks and Humber Hospital Acquired Infection Strategy Group </w:t>
            </w:r>
          </w:p>
          <w:p w:rsidR="00E50ED4" w:rsidRPr="00911859" w:rsidRDefault="00E50ED4" w:rsidP="002B4829">
            <w:pPr>
              <w:spacing w:line="276" w:lineRule="auto"/>
              <w:jc w:val="both"/>
              <w:rPr>
                <w:rFonts w:ascii="Arial" w:hAnsi="Arial" w:cs="Arial"/>
                <w:sz w:val="22"/>
                <w:szCs w:val="22"/>
              </w:rPr>
            </w:pPr>
          </w:p>
          <w:p w:rsidR="00E50ED4" w:rsidRPr="00911859" w:rsidRDefault="00E50ED4" w:rsidP="00E50ED4">
            <w:pPr>
              <w:rPr>
                <w:rFonts w:ascii="Arial" w:hAnsi="Arial" w:cs="Arial"/>
                <w:bCs/>
                <w:sz w:val="22"/>
                <w:szCs w:val="22"/>
              </w:rPr>
            </w:pPr>
            <w:r w:rsidRPr="00911859">
              <w:rPr>
                <w:rFonts w:ascii="Arial" w:hAnsi="Arial" w:cs="Arial"/>
                <w:sz w:val="22"/>
                <w:szCs w:val="22"/>
              </w:rPr>
              <w:t xml:space="preserve">MRSA – </w:t>
            </w:r>
            <w:r w:rsidRPr="00911859">
              <w:rPr>
                <w:rFonts w:ascii="Arial" w:hAnsi="Arial" w:cs="Arial"/>
                <w:bCs/>
                <w:sz w:val="22"/>
                <w:szCs w:val="22"/>
              </w:rPr>
              <w:t>2014/15 Target -0</w:t>
            </w:r>
          </w:p>
          <w:p w:rsidR="00E50ED4" w:rsidRPr="00911859" w:rsidRDefault="00E50ED4" w:rsidP="00E50ED4">
            <w:pPr>
              <w:rPr>
                <w:rFonts w:ascii="Arial" w:hAnsi="Arial" w:cs="Arial"/>
                <w:sz w:val="22"/>
                <w:szCs w:val="22"/>
              </w:rPr>
            </w:pPr>
            <w:r w:rsidRPr="00911859">
              <w:rPr>
                <w:rFonts w:ascii="Arial" w:hAnsi="Arial" w:cs="Arial"/>
                <w:sz w:val="22"/>
                <w:szCs w:val="22"/>
              </w:rPr>
              <w:t>There were two separate incidence of MRSA in NEL for 2014-15: October 2014 and February 2015</w:t>
            </w:r>
          </w:p>
          <w:p w:rsidR="00E50ED4" w:rsidRPr="00911859" w:rsidRDefault="00E50ED4" w:rsidP="00E50ED4">
            <w:pPr>
              <w:rPr>
                <w:rFonts w:ascii="Arial" w:hAnsi="Arial" w:cs="Arial"/>
                <w:sz w:val="22"/>
                <w:szCs w:val="22"/>
              </w:rPr>
            </w:pPr>
            <w:r w:rsidRPr="00911859">
              <w:rPr>
                <w:rFonts w:ascii="Arial" w:hAnsi="Arial" w:cs="Arial"/>
                <w:sz w:val="22"/>
                <w:szCs w:val="22"/>
              </w:rPr>
              <w:t xml:space="preserve">Both cases were assigned to the Community. Both cases had a post infection review </w:t>
            </w:r>
          </w:p>
          <w:p w:rsidR="00E50ED4" w:rsidRPr="00911859" w:rsidRDefault="00E50ED4" w:rsidP="00E50ED4">
            <w:pPr>
              <w:rPr>
                <w:rFonts w:ascii="Arial" w:hAnsi="Arial" w:cs="Arial"/>
                <w:sz w:val="22"/>
                <w:szCs w:val="22"/>
              </w:rPr>
            </w:pPr>
          </w:p>
          <w:p w:rsidR="00E50ED4" w:rsidRPr="00911859" w:rsidRDefault="00E50ED4" w:rsidP="00E50ED4">
            <w:pPr>
              <w:rPr>
                <w:rFonts w:ascii="Arial" w:hAnsi="Arial" w:cs="Arial"/>
                <w:sz w:val="22"/>
                <w:szCs w:val="22"/>
              </w:rPr>
            </w:pPr>
            <w:r w:rsidRPr="00911859">
              <w:rPr>
                <w:rFonts w:ascii="Arial" w:hAnsi="Arial" w:cs="Arial"/>
                <w:sz w:val="22"/>
                <w:szCs w:val="22"/>
              </w:rPr>
              <w:t>MRSA 2015/16 Target -0</w:t>
            </w:r>
          </w:p>
          <w:p w:rsidR="00E50ED4" w:rsidRPr="00911859" w:rsidRDefault="00E50ED4" w:rsidP="00E50ED4">
            <w:pPr>
              <w:rPr>
                <w:rFonts w:ascii="Arial" w:hAnsi="Arial" w:cs="Arial"/>
                <w:sz w:val="22"/>
                <w:szCs w:val="22"/>
              </w:rPr>
            </w:pPr>
            <w:r w:rsidRPr="00911859">
              <w:rPr>
                <w:rFonts w:ascii="Arial" w:hAnsi="Arial" w:cs="Arial"/>
                <w:sz w:val="22"/>
                <w:szCs w:val="22"/>
              </w:rPr>
              <w:t xml:space="preserve">One patient recorded as having MRSA in April 15.  </w:t>
            </w:r>
          </w:p>
          <w:p w:rsidR="00E50ED4" w:rsidRPr="00911859" w:rsidRDefault="00E50ED4" w:rsidP="00E50ED4">
            <w:pPr>
              <w:rPr>
                <w:rFonts w:ascii="Arial" w:eastAsia="Verdana" w:hAnsi="Arial" w:cs="Arial"/>
                <w:color w:val="000000"/>
                <w:sz w:val="22"/>
                <w:szCs w:val="22"/>
              </w:rPr>
            </w:pPr>
          </w:p>
          <w:p w:rsidR="00E50ED4" w:rsidRPr="00911859" w:rsidRDefault="00E50ED4" w:rsidP="00E50ED4">
            <w:pPr>
              <w:rPr>
                <w:rFonts w:ascii="Arial" w:eastAsia="Verdana" w:hAnsi="Arial" w:cs="Arial"/>
                <w:color w:val="000000"/>
                <w:sz w:val="22"/>
                <w:szCs w:val="22"/>
              </w:rPr>
            </w:pPr>
            <w:r w:rsidRPr="00911859">
              <w:rPr>
                <w:rFonts w:ascii="Arial" w:eastAsia="Verdana" w:hAnsi="Arial" w:cs="Arial"/>
                <w:color w:val="000000"/>
                <w:sz w:val="22"/>
                <w:szCs w:val="22"/>
              </w:rPr>
              <w:t xml:space="preserve">Post Infection Review (PIR) </w:t>
            </w:r>
            <w:proofErr w:type="gramStart"/>
            <w:r w:rsidRPr="00911859">
              <w:rPr>
                <w:rFonts w:ascii="Arial" w:eastAsia="Verdana" w:hAnsi="Arial" w:cs="Arial"/>
                <w:color w:val="000000"/>
                <w:sz w:val="22"/>
                <w:szCs w:val="22"/>
              </w:rPr>
              <w:t>were</w:t>
            </w:r>
            <w:proofErr w:type="gramEnd"/>
            <w:r w:rsidRPr="00911859">
              <w:rPr>
                <w:rFonts w:ascii="Arial" w:eastAsia="Verdana" w:hAnsi="Arial" w:cs="Arial"/>
                <w:color w:val="000000"/>
                <w:sz w:val="22"/>
                <w:szCs w:val="22"/>
              </w:rPr>
              <w:t xml:space="preserve"> undertaken as per guidelines and results sent to NHS England.  Action plans are formulated for all cases and are monitored.</w:t>
            </w:r>
          </w:p>
          <w:p w:rsidR="00CD2622" w:rsidRPr="00911859" w:rsidRDefault="00CD2622" w:rsidP="00CD2622">
            <w:pPr>
              <w:rPr>
                <w:rFonts w:asciiTheme="minorHAnsi" w:eastAsia="Verdana" w:hAnsiTheme="minorHAnsi" w:cstheme="minorHAnsi"/>
                <w:color w:val="000000"/>
                <w:sz w:val="22"/>
                <w:szCs w:val="22"/>
              </w:rPr>
            </w:pPr>
          </w:p>
          <w:p w:rsidR="008032FA" w:rsidRPr="00911859" w:rsidRDefault="008032FA" w:rsidP="00DA5437">
            <w:pPr>
              <w:spacing w:line="276" w:lineRule="auto"/>
              <w:jc w:val="both"/>
              <w:rPr>
                <w:rFonts w:ascii="Arial" w:hAnsi="Arial" w:cs="Arial"/>
                <w:b/>
                <w:bCs/>
                <w:sz w:val="22"/>
                <w:szCs w:val="22"/>
              </w:rPr>
            </w:pPr>
          </w:p>
          <w:p w:rsidR="00B37AF2" w:rsidRPr="00911859" w:rsidRDefault="00DA5437" w:rsidP="00DA5437">
            <w:pPr>
              <w:spacing w:line="276" w:lineRule="auto"/>
              <w:jc w:val="both"/>
              <w:rPr>
                <w:rFonts w:ascii="Arial" w:hAnsi="Arial" w:cs="Arial"/>
                <w:b/>
                <w:bCs/>
                <w:sz w:val="22"/>
                <w:szCs w:val="22"/>
              </w:rPr>
            </w:pPr>
            <w:r w:rsidRPr="00911859">
              <w:rPr>
                <w:rFonts w:ascii="Arial" w:hAnsi="Arial" w:cs="Arial"/>
                <w:b/>
                <w:bCs/>
                <w:sz w:val="22"/>
                <w:szCs w:val="22"/>
              </w:rPr>
              <w:t xml:space="preserve">B  </w:t>
            </w:r>
            <w:r w:rsidR="00B37AF2" w:rsidRPr="00911859">
              <w:rPr>
                <w:rFonts w:ascii="Arial" w:hAnsi="Arial" w:cs="Arial"/>
                <w:b/>
                <w:bCs/>
                <w:sz w:val="22"/>
                <w:szCs w:val="22"/>
              </w:rPr>
              <w:t>Serious Untoward Events</w:t>
            </w:r>
            <w:r w:rsidR="00FE7C71" w:rsidRPr="00911859">
              <w:rPr>
                <w:rFonts w:ascii="Arial" w:hAnsi="Arial" w:cs="Arial"/>
                <w:b/>
                <w:bCs/>
                <w:sz w:val="22"/>
                <w:szCs w:val="22"/>
              </w:rPr>
              <w:t xml:space="preserve"> </w:t>
            </w:r>
          </w:p>
          <w:p w:rsidR="002B4829" w:rsidRPr="00E50ED4" w:rsidRDefault="002B4829" w:rsidP="00DA5437">
            <w:pPr>
              <w:spacing w:line="276" w:lineRule="auto"/>
              <w:jc w:val="both"/>
              <w:rPr>
                <w:rFonts w:ascii="Arial" w:hAnsi="Arial" w:cs="Arial"/>
                <w:bCs/>
                <w:color w:val="FF0000"/>
                <w:sz w:val="22"/>
                <w:szCs w:val="22"/>
              </w:rPr>
            </w:pPr>
          </w:p>
          <w:p w:rsidR="00936C71" w:rsidRPr="00E50ED4" w:rsidRDefault="00936C71" w:rsidP="00DA5437">
            <w:pPr>
              <w:pStyle w:val="Default"/>
              <w:spacing w:line="276" w:lineRule="auto"/>
              <w:jc w:val="both"/>
              <w:rPr>
                <w:sz w:val="22"/>
                <w:szCs w:val="22"/>
              </w:rPr>
            </w:pPr>
            <w:r w:rsidRPr="00E50ED4">
              <w:rPr>
                <w:sz w:val="22"/>
                <w:szCs w:val="22"/>
              </w:rPr>
              <w:t>NEL</w:t>
            </w:r>
            <w:r w:rsidR="00470088" w:rsidRPr="00E50ED4">
              <w:rPr>
                <w:sz w:val="22"/>
                <w:szCs w:val="22"/>
              </w:rPr>
              <w:t>C</w:t>
            </w:r>
            <w:r w:rsidRPr="00E50ED4">
              <w:rPr>
                <w:sz w:val="22"/>
                <w:szCs w:val="22"/>
              </w:rPr>
              <w:t>CG commission Yorkshire and Humber Commission</w:t>
            </w:r>
            <w:r w:rsidR="007D4325" w:rsidRPr="00E50ED4">
              <w:rPr>
                <w:sz w:val="22"/>
                <w:szCs w:val="22"/>
              </w:rPr>
              <w:t>in</w:t>
            </w:r>
            <w:r w:rsidR="00470088" w:rsidRPr="00E50ED4">
              <w:rPr>
                <w:sz w:val="22"/>
                <w:szCs w:val="22"/>
              </w:rPr>
              <w:t>g</w:t>
            </w:r>
            <w:r w:rsidRPr="00E50ED4">
              <w:rPr>
                <w:sz w:val="22"/>
                <w:szCs w:val="22"/>
              </w:rPr>
              <w:t xml:space="preserve"> Support to manage the Serious Incident (SI) process working collaboratively where appropriate with North Lincolnshire CCG and Humber CCGs.</w:t>
            </w:r>
          </w:p>
          <w:p w:rsidR="008024D1" w:rsidRPr="00E50ED4" w:rsidRDefault="008024D1" w:rsidP="00DA5437">
            <w:pPr>
              <w:pStyle w:val="Default"/>
              <w:spacing w:line="276" w:lineRule="auto"/>
              <w:jc w:val="both"/>
              <w:rPr>
                <w:sz w:val="22"/>
                <w:szCs w:val="22"/>
              </w:rPr>
            </w:pPr>
          </w:p>
          <w:p w:rsidR="002C5522" w:rsidRPr="00E50ED4" w:rsidRDefault="008024D1" w:rsidP="002C5522">
            <w:pPr>
              <w:pStyle w:val="Default"/>
              <w:spacing w:line="276" w:lineRule="auto"/>
              <w:jc w:val="both"/>
              <w:rPr>
                <w:rFonts w:eastAsiaTheme="minorHAnsi"/>
                <w:sz w:val="22"/>
                <w:szCs w:val="22"/>
                <w:lang w:eastAsia="en-US"/>
              </w:rPr>
            </w:pPr>
            <w:r w:rsidRPr="00E50ED4">
              <w:rPr>
                <w:sz w:val="22"/>
                <w:szCs w:val="22"/>
              </w:rPr>
              <w:t>The monthly report gives an</w:t>
            </w:r>
            <w:r w:rsidR="00936C71" w:rsidRPr="00E50ED4">
              <w:rPr>
                <w:sz w:val="22"/>
                <w:szCs w:val="22"/>
              </w:rPr>
              <w:t xml:space="preserve"> overview of the Serious Incidents reported by each provider, including new Serious incidents reported, the quality of completed investigations (including meeting timescales) and a review of key themes and trends from completed investigations. A monthly meeting with the provider to discuss each report also provides</w:t>
            </w:r>
            <w:r w:rsidR="00DA5437" w:rsidRPr="00E50ED4">
              <w:rPr>
                <w:sz w:val="22"/>
                <w:szCs w:val="22"/>
              </w:rPr>
              <w:t xml:space="preserve"> further assurance and scrutiny, this process also oversees the completion of action plans.</w:t>
            </w:r>
            <w:r w:rsidR="002C5522" w:rsidRPr="00E50ED4">
              <w:rPr>
                <w:rFonts w:eastAsiaTheme="minorHAnsi"/>
                <w:sz w:val="22"/>
                <w:szCs w:val="22"/>
                <w:lang w:eastAsia="en-US"/>
              </w:rPr>
              <w:t xml:space="preserve"> The table </w:t>
            </w:r>
            <w:r w:rsidR="00470088" w:rsidRPr="00E50ED4">
              <w:rPr>
                <w:rFonts w:eastAsiaTheme="minorHAnsi"/>
                <w:sz w:val="22"/>
                <w:szCs w:val="22"/>
                <w:lang w:eastAsia="en-US"/>
              </w:rPr>
              <w:t xml:space="preserve">below </w:t>
            </w:r>
            <w:r w:rsidR="002C5522" w:rsidRPr="00E50ED4">
              <w:rPr>
                <w:rFonts w:eastAsiaTheme="minorHAnsi"/>
                <w:sz w:val="22"/>
                <w:szCs w:val="22"/>
                <w:lang w:eastAsia="en-US"/>
              </w:rPr>
              <w:t xml:space="preserve">gives an indication of all Serious Incidents reported by </w:t>
            </w:r>
            <w:r w:rsidR="00470088" w:rsidRPr="00E50ED4">
              <w:rPr>
                <w:rFonts w:eastAsiaTheme="minorHAnsi"/>
                <w:sz w:val="22"/>
                <w:szCs w:val="22"/>
                <w:lang w:eastAsia="en-US"/>
              </w:rPr>
              <w:t>NELCCG providers.  T</w:t>
            </w:r>
            <w:r w:rsidR="002C5522" w:rsidRPr="00E50ED4">
              <w:rPr>
                <w:rFonts w:eastAsiaTheme="minorHAnsi"/>
                <w:sz w:val="22"/>
                <w:szCs w:val="22"/>
                <w:lang w:eastAsia="en-US"/>
              </w:rPr>
              <w:t xml:space="preserve">he </w:t>
            </w:r>
            <w:r w:rsidR="00470088" w:rsidRPr="00E50ED4">
              <w:rPr>
                <w:rFonts w:eastAsiaTheme="minorHAnsi"/>
                <w:sz w:val="22"/>
                <w:szCs w:val="22"/>
                <w:lang w:eastAsia="en-US"/>
              </w:rPr>
              <w:t xml:space="preserve">NL&amp;G SI </w:t>
            </w:r>
            <w:r w:rsidR="002C5522" w:rsidRPr="00E50ED4">
              <w:rPr>
                <w:rFonts w:eastAsiaTheme="minorHAnsi"/>
                <w:sz w:val="22"/>
                <w:szCs w:val="22"/>
                <w:lang w:eastAsia="en-US"/>
              </w:rPr>
              <w:t xml:space="preserve">meetings are undertaken as a collaborative approach with NLCCG &amp; ERYCCG </w:t>
            </w:r>
            <w:r w:rsidR="00470088" w:rsidRPr="00E50ED4">
              <w:rPr>
                <w:rFonts w:eastAsiaTheme="minorHAnsi"/>
                <w:sz w:val="22"/>
                <w:szCs w:val="22"/>
                <w:lang w:eastAsia="en-US"/>
              </w:rPr>
              <w:t>(</w:t>
            </w:r>
            <w:r w:rsidR="002C5522" w:rsidRPr="00E50ED4">
              <w:rPr>
                <w:rFonts w:eastAsiaTheme="minorHAnsi"/>
                <w:sz w:val="22"/>
                <w:szCs w:val="22"/>
                <w:lang w:eastAsia="en-US"/>
              </w:rPr>
              <w:t>the other figures are North East Lincolnshire patients only</w:t>
            </w:r>
            <w:r w:rsidR="00470088" w:rsidRPr="00E50ED4">
              <w:rPr>
                <w:rFonts w:eastAsiaTheme="minorHAnsi"/>
                <w:sz w:val="22"/>
                <w:szCs w:val="22"/>
                <w:lang w:eastAsia="en-US"/>
              </w:rPr>
              <w:t>)</w:t>
            </w:r>
            <w:r w:rsidR="002C5522" w:rsidRPr="00E50ED4">
              <w:rPr>
                <w:rFonts w:eastAsiaTheme="minorHAnsi"/>
                <w:sz w:val="22"/>
                <w:szCs w:val="22"/>
                <w:lang w:eastAsia="en-US"/>
              </w:rPr>
              <w:t>.</w:t>
            </w:r>
          </w:p>
          <w:p w:rsidR="002C5522" w:rsidRPr="00E50ED4" w:rsidRDefault="002C5522" w:rsidP="002C5522">
            <w:pPr>
              <w:pStyle w:val="Default"/>
              <w:spacing w:line="276" w:lineRule="auto"/>
              <w:jc w:val="both"/>
              <w:rPr>
                <w:rFonts w:eastAsiaTheme="minorHAnsi"/>
                <w:sz w:val="22"/>
                <w:szCs w:val="22"/>
                <w:lang w:eastAsia="en-US"/>
              </w:rPr>
            </w:pPr>
          </w:p>
          <w:tbl>
            <w:tblPr>
              <w:tblStyle w:val="TableGrid"/>
              <w:tblW w:w="9634" w:type="dxa"/>
              <w:tblLayout w:type="fixed"/>
              <w:tblLook w:val="04A0" w:firstRow="1" w:lastRow="0" w:firstColumn="1" w:lastColumn="0" w:noHBand="0" w:noVBand="1"/>
            </w:tblPr>
            <w:tblGrid>
              <w:gridCol w:w="1555"/>
              <w:gridCol w:w="850"/>
              <w:gridCol w:w="851"/>
              <w:gridCol w:w="1134"/>
              <w:gridCol w:w="850"/>
              <w:gridCol w:w="1134"/>
              <w:gridCol w:w="1276"/>
              <w:gridCol w:w="850"/>
              <w:gridCol w:w="1134"/>
            </w:tblGrid>
            <w:tr w:rsidR="007D4325" w:rsidRPr="00E50ED4" w:rsidTr="007D4325">
              <w:tc>
                <w:tcPr>
                  <w:tcW w:w="1555" w:type="dxa"/>
                </w:tcPr>
                <w:p w:rsidR="007D4325" w:rsidRPr="00E50ED4" w:rsidRDefault="007D4325" w:rsidP="002C5522">
                  <w:pPr>
                    <w:pStyle w:val="Default"/>
                    <w:spacing w:line="276" w:lineRule="auto"/>
                    <w:jc w:val="both"/>
                    <w:rPr>
                      <w:rFonts w:eastAsiaTheme="minorHAnsi"/>
                      <w:sz w:val="22"/>
                      <w:szCs w:val="22"/>
                      <w:lang w:eastAsia="en-US"/>
                    </w:rPr>
                  </w:pPr>
                  <w:r w:rsidRPr="00E50ED4">
                    <w:rPr>
                      <w:rFonts w:eastAsiaTheme="minorHAnsi"/>
                      <w:sz w:val="22"/>
                      <w:szCs w:val="22"/>
                      <w:lang w:eastAsia="en-US"/>
                    </w:rPr>
                    <w:t>March2015  Report</w:t>
                  </w:r>
                </w:p>
              </w:tc>
              <w:tc>
                <w:tcPr>
                  <w:tcW w:w="850" w:type="dxa"/>
                </w:tcPr>
                <w:p w:rsidR="007D4325" w:rsidRPr="00E50ED4" w:rsidRDefault="007D4325" w:rsidP="005C497F">
                  <w:pPr>
                    <w:pStyle w:val="Default"/>
                    <w:spacing w:line="276" w:lineRule="auto"/>
                    <w:jc w:val="center"/>
                    <w:rPr>
                      <w:rFonts w:eastAsiaTheme="minorHAnsi"/>
                      <w:sz w:val="22"/>
                      <w:szCs w:val="22"/>
                      <w:lang w:eastAsia="en-US"/>
                    </w:rPr>
                  </w:pPr>
                  <w:r w:rsidRPr="00E50ED4">
                    <w:rPr>
                      <w:rFonts w:eastAsiaTheme="minorHAnsi"/>
                      <w:sz w:val="22"/>
                      <w:szCs w:val="22"/>
                      <w:lang w:eastAsia="en-US"/>
                    </w:rPr>
                    <w:t>NL&amp;G</w:t>
                  </w:r>
                </w:p>
              </w:tc>
              <w:tc>
                <w:tcPr>
                  <w:tcW w:w="851" w:type="dxa"/>
                </w:tcPr>
                <w:p w:rsidR="007D4325" w:rsidRPr="00E50ED4" w:rsidRDefault="007D4325" w:rsidP="005C497F">
                  <w:pPr>
                    <w:pStyle w:val="Default"/>
                    <w:spacing w:line="276" w:lineRule="auto"/>
                    <w:jc w:val="center"/>
                    <w:rPr>
                      <w:rFonts w:eastAsiaTheme="minorHAnsi"/>
                      <w:sz w:val="22"/>
                      <w:szCs w:val="22"/>
                      <w:lang w:eastAsia="en-US"/>
                    </w:rPr>
                  </w:pPr>
                  <w:r w:rsidRPr="00E50ED4">
                    <w:rPr>
                      <w:rFonts w:eastAsiaTheme="minorHAnsi"/>
                      <w:sz w:val="22"/>
                      <w:szCs w:val="22"/>
                      <w:lang w:eastAsia="en-US"/>
                    </w:rPr>
                    <w:t>CPG</w:t>
                  </w:r>
                </w:p>
              </w:tc>
              <w:tc>
                <w:tcPr>
                  <w:tcW w:w="1134" w:type="dxa"/>
                </w:tcPr>
                <w:p w:rsidR="007D4325" w:rsidRPr="00E50ED4" w:rsidRDefault="007D4325" w:rsidP="005C497F">
                  <w:pPr>
                    <w:pStyle w:val="Default"/>
                    <w:spacing w:line="276" w:lineRule="auto"/>
                    <w:jc w:val="center"/>
                    <w:rPr>
                      <w:rFonts w:eastAsiaTheme="minorHAnsi"/>
                      <w:sz w:val="22"/>
                      <w:szCs w:val="22"/>
                      <w:lang w:eastAsia="en-US"/>
                    </w:rPr>
                  </w:pPr>
                  <w:r w:rsidRPr="00E50ED4">
                    <w:rPr>
                      <w:rFonts w:eastAsiaTheme="minorHAnsi"/>
                      <w:sz w:val="22"/>
                      <w:szCs w:val="22"/>
                      <w:lang w:eastAsia="en-US"/>
                    </w:rPr>
                    <w:t>NAViGO</w:t>
                  </w:r>
                </w:p>
              </w:tc>
              <w:tc>
                <w:tcPr>
                  <w:tcW w:w="850" w:type="dxa"/>
                </w:tcPr>
                <w:p w:rsidR="007D4325" w:rsidRPr="00E50ED4" w:rsidRDefault="007D4325" w:rsidP="005C497F">
                  <w:pPr>
                    <w:pStyle w:val="Default"/>
                    <w:spacing w:line="276" w:lineRule="auto"/>
                    <w:jc w:val="center"/>
                    <w:rPr>
                      <w:rFonts w:eastAsiaTheme="minorHAnsi"/>
                      <w:sz w:val="22"/>
                      <w:szCs w:val="22"/>
                      <w:lang w:eastAsia="en-US"/>
                    </w:rPr>
                  </w:pPr>
                  <w:r w:rsidRPr="00E50ED4">
                    <w:rPr>
                      <w:rFonts w:eastAsiaTheme="minorHAnsi"/>
                      <w:sz w:val="22"/>
                      <w:szCs w:val="22"/>
                      <w:lang w:eastAsia="en-US"/>
                    </w:rPr>
                    <w:t>HEY</w:t>
                  </w:r>
                </w:p>
              </w:tc>
              <w:tc>
                <w:tcPr>
                  <w:tcW w:w="1134" w:type="dxa"/>
                </w:tcPr>
                <w:p w:rsidR="007D4325" w:rsidRPr="00E50ED4" w:rsidRDefault="007D4325" w:rsidP="005C497F">
                  <w:pPr>
                    <w:pStyle w:val="Default"/>
                    <w:spacing w:line="276" w:lineRule="auto"/>
                    <w:jc w:val="center"/>
                    <w:rPr>
                      <w:rFonts w:eastAsiaTheme="minorHAnsi"/>
                      <w:sz w:val="22"/>
                      <w:szCs w:val="22"/>
                      <w:lang w:eastAsia="en-US"/>
                    </w:rPr>
                  </w:pPr>
                  <w:r w:rsidRPr="00E50ED4">
                    <w:rPr>
                      <w:rFonts w:eastAsiaTheme="minorHAnsi"/>
                      <w:sz w:val="22"/>
                      <w:szCs w:val="22"/>
                      <w:lang w:eastAsia="en-US"/>
                    </w:rPr>
                    <w:t>LPFT</w:t>
                  </w:r>
                </w:p>
                <w:p w:rsidR="007D4325" w:rsidRPr="00E50ED4" w:rsidRDefault="007D4325" w:rsidP="005C497F">
                  <w:pPr>
                    <w:pStyle w:val="Default"/>
                    <w:spacing w:line="276" w:lineRule="auto"/>
                    <w:jc w:val="center"/>
                    <w:rPr>
                      <w:rFonts w:eastAsiaTheme="minorHAnsi"/>
                      <w:sz w:val="22"/>
                      <w:szCs w:val="22"/>
                      <w:lang w:eastAsia="en-US"/>
                    </w:rPr>
                  </w:pPr>
                  <w:r w:rsidRPr="00E50ED4">
                    <w:rPr>
                      <w:rFonts w:eastAsiaTheme="minorHAnsi"/>
                      <w:sz w:val="22"/>
                      <w:szCs w:val="22"/>
                      <w:lang w:eastAsia="en-US"/>
                    </w:rPr>
                    <w:t>CAMHS</w:t>
                  </w:r>
                </w:p>
              </w:tc>
              <w:tc>
                <w:tcPr>
                  <w:tcW w:w="1276" w:type="dxa"/>
                </w:tcPr>
                <w:p w:rsidR="007D4325" w:rsidRPr="00E50ED4" w:rsidRDefault="007D4325" w:rsidP="005C497F">
                  <w:pPr>
                    <w:pStyle w:val="Default"/>
                    <w:spacing w:line="276" w:lineRule="auto"/>
                    <w:jc w:val="center"/>
                    <w:rPr>
                      <w:rFonts w:eastAsiaTheme="minorHAnsi"/>
                      <w:sz w:val="22"/>
                      <w:szCs w:val="22"/>
                      <w:lang w:eastAsia="en-US"/>
                    </w:rPr>
                  </w:pPr>
                  <w:r w:rsidRPr="00E50ED4">
                    <w:rPr>
                      <w:rFonts w:eastAsiaTheme="minorHAnsi"/>
                      <w:sz w:val="22"/>
                      <w:szCs w:val="22"/>
                      <w:lang w:eastAsia="en-US"/>
                    </w:rPr>
                    <w:t>Yarb/Clee</w:t>
                  </w:r>
                </w:p>
              </w:tc>
              <w:tc>
                <w:tcPr>
                  <w:tcW w:w="850" w:type="dxa"/>
                </w:tcPr>
                <w:p w:rsidR="007D4325" w:rsidRPr="00E50ED4" w:rsidRDefault="007D4325" w:rsidP="005C497F">
                  <w:pPr>
                    <w:pStyle w:val="Default"/>
                    <w:spacing w:line="276" w:lineRule="auto"/>
                    <w:jc w:val="center"/>
                    <w:rPr>
                      <w:rFonts w:eastAsiaTheme="minorHAnsi"/>
                      <w:sz w:val="22"/>
                      <w:szCs w:val="22"/>
                      <w:lang w:eastAsia="en-US"/>
                    </w:rPr>
                  </w:pPr>
                  <w:r w:rsidRPr="00E50ED4">
                    <w:rPr>
                      <w:rFonts w:eastAsiaTheme="minorHAnsi"/>
                      <w:sz w:val="22"/>
                      <w:szCs w:val="22"/>
                      <w:lang w:eastAsia="en-US"/>
                    </w:rPr>
                    <w:t>Core Care Links</w:t>
                  </w:r>
                </w:p>
              </w:tc>
              <w:tc>
                <w:tcPr>
                  <w:tcW w:w="1134" w:type="dxa"/>
                </w:tcPr>
                <w:p w:rsidR="007D4325" w:rsidRPr="00E50ED4" w:rsidRDefault="007D4325" w:rsidP="007D4325">
                  <w:pPr>
                    <w:pStyle w:val="Default"/>
                    <w:spacing w:line="276" w:lineRule="auto"/>
                    <w:jc w:val="center"/>
                    <w:rPr>
                      <w:rFonts w:eastAsiaTheme="minorHAnsi"/>
                      <w:sz w:val="22"/>
                      <w:szCs w:val="22"/>
                      <w:lang w:eastAsia="en-US"/>
                    </w:rPr>
                  </w:pPr>
                  <w:r w:rsidRPr="00E50ED4">
                    <w:rPr>
                      <w:rFonts w:eastAsiaTheme="minorHAnsi"/>
                      <w:sz w:val="22"/>
                      <w:szCs w:val="22"/>
                      <w:lang w:eastAsia="en-US"/>
                    </w:rPr>
                    <w:t>NEL CCG GP Practice*</w:t>
                  </w:r>
                </w:p>
              </w:tc>
            </w:tr>
            <w:tr w:rsidR="007D4325" w:rsidRPr="00E50ED4" w:rsidTr="001B0DF8">
              <w:tc>
                <w:tcPr>
                  <w:tcW w:w="1555" w:type="dxa"/>
                </w:tcPr>
                <w:p w:rsidR="00C72CB3" w:rsidRPr="00E50ED4" w:rsidRDefault="007D4325" w:rsidP="007D0655">
                  <w:pPr>
                    <w:rPr>
                      <w:rFonts w:ascii="Arial" w:hAnsi="Arial" w:cs="Arial"/>
                      <w:bCs/>
                      <w:sz w:val="20"/>
                      <w:szCs w:val="20"/>
                    </w:rPr>
                  </w:pPr>
                  <w:r w:rsidRPr="00E50ED4">
                    <w:rPr>
                      <w:rFonts w:ascii="Arial" w:hAnsi="Arial" w:cs="Arial"/>
                      <w:bCs/>
                      <w:sz w:val="20"/>
                      <w:szCs w:val="20"/>
                    </w:rPr>
                    <w:t xml:space="preserve">Serious incidents reported during </w:t>
                  </w:r>
                </w:p>
                <w:p w:rsidR="007D4325" w:rsidRPr="00E50ED4" w:rsidRDefault="007D4325" w:rsidP="007D0655">
                  <w:pPr>
                    <w:rPr>
                      <w:rFonts w:ascii="Arial" w:hAnsi="Arial" w:cs="Arial"/>
                      <w:bCs/>
                      <w:sz w:val="20"/>
                      <w:szCs w:val="20"/>
                      <w:u w:val="single"/>
                    </w:rPr>
                  </w:pPr>
                  <w:r w:rsidRPr="00E50ED4">
                    <w:rPr>
                      <w:rFonts w:ascii="Arial" w:hAnsi="Arial" w:cs="Arial"/>
                      <w:bCs/>
                      <w:sz w:val="20"/>
                      <w:szCs w:val="20"/>
                      <w:u w:val="single"/>
                    </w:rPr>
                    <w:t>2013/14 (total)</w:t>
                  </w:r>
                </w:p>
                <w:p w:rsidR="007D4325" w:rsidRPr="00E50ED4" w:rsidRDefault="007D4325" w:rsidP="007D0655">
                  <w:pPr>
                    <w:rPr>
                      <w:rFonts w:ascii="Arial" w:hAnsi="Arial" w:cs="Arial"/>
                      <w:bCs/>
                      <w:sz w:val="20"/>
                      <w:szCs w:val="20"/>
                    </w:rPr>
                  </w:pPr>
                </w:p>
              </w:tc>
              <w:tc>
                <w:tcPr>
                  <w:tcW w:w="850"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58</w:t>
                  </w:r>
                </w:p>
              </w:tc>
              <w:tc>
                <w:tcPr>
                  <w:tcW w:w="851"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23</w:t>
                  </w:r>
                </w:p>
              </w:tc>
              <w:tc>
                <w:tcPr>
                  <w:tcW w:w="1134"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5</w:t>
                  </w:r>
                </w:p>
              </w:tc>
              <w:tc>
                <w:tcPr>
                  <w:tcW w:w="850"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2</w:t>
                  </w:r>
                </w:p>
              </w:tc>
              <w:tc>
                <w:tcPr>
                  <w:tcW w:w="1134"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1</w:t>
                  </w:r>
                </w:p>
              </w:tc>
              <w:tc>
                <w:tcPr>
                  <w:tcW w:w="1276"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850"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1134"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r>
            <w:tr w:rsidR="007D4325" w:rsidRPr="00E50ED4" w:rsidTr="001B0DF8">
              <w:tc>
                <w:tcPr>
                  <w:tcW w:w="1555" w:type="dxa"/>
                </w:tcPr>
                <w:p w:rsidR="007D4325" w:rsidRPr="00E50ED4" w:rsidRDefault="007D4325" w:rsidP="007D0655">
                  <w:pPr>
                    <w:rPr>
                      <w:rFonts w:ascii="Arial" w:hAnsi="Arial" w:cs="Arial"/>
                      <w:bCs/>
                      <w:sz w:val="20"/>
                      <w:szCs w:val="20"/>
                      <w:u w:val="single"/>
                    </w:rPr>
                  </w:pPr>
                  <w:r w:rsidRPr="00E50ED4">
                    <w:rPr>
                      <w:rFonts w:ascii="Arial" w:hAnsi="Arial" w:cs="Arial"/>
                      <w:bCs/>
                      <w:sz w:val="20"/>
                      <w:szCs w:val="20"/>
                    </w:rPr>
                    <w:t xml:space="preserve">Serious </w:t>
                  </w:r>
                  <w:r w:rsidRPr="00E50ED4">
                    <w:rPr>
                      <w:rFonts w:ascii="Arial" w:hAnsi="Arial" w:cs="Arial"/>
                      <w:bCs/>
                      <w:sz w:val="20"/>
                      <w:szCs w:val="20"/>
                    </w:rPr>
                    <w:lastRenderedPageBreak/>
                    <w:t xml:space="preserve">incidents reported at this point in </w:t>
                  </w:r>
                  <w:r w:rsidRPr="00E50ED4">
                    <w:rPr>
                      <w:rFonts w:ascii="Arial" w:hAnsi="Arial" w:cs="Arial"/>
                      <w:bCs/>
                      <w:sz w:val="20"/>
                      <w:szCs w:val="20"/>
                      <w:u w:val="single"/>
                    </w:rPr>
                    <w:t>2013/14</w:t>
                  </w:r>
                </w:p>
                <w:p w:rsidR="007D4325" w:rsidRPr="00E50ED4" w:rsidRDefault="007D4325" w:rsidP="007D0655">
                  <w:pPr>
                    <w:rPr>
                      <w:rFonts w:ascii="Arial" w:hAnsi="Arial" w:cs="Arial"/>
                      <w:bCs/>
                      <w:sz w:val="20"/>
                      <w:szCs w:val="20"/>
                    </w:rPr>
                  </w:pPr>
                </w:p>
              </w:tc>
              <w:tc>
                <w:tcPr>
                  <w:tcW w:w="850"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lastRenderedPageBreak/>
                    <w:t>58</w:t>
                  </w:r>
                </w:p>
              </w:tc>
              <w:tc>
                <w:tcPr>
                  <w:tcW w:w="851"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23</w:t>
                  </w:r>
                </w:p>
              </w:tc>
              <w:tc>
                <w:tcPr>
                  <w:tcW w:w="1134"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5</w:t>
                  </w:r>
                </w:p>
              </w:tc>
              <w:tc>
                <w:tcPr>
                  <w:tcW w:w="850"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2</w:t>
                  </w:r>
                </w:p>
              </w:tc>
              <w:tc>
                <w:tcPr>
                  <w:tcW w:w="1134"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1</w:t>
                  </w:r>
                </w:p>
              </w:tc>
              <w:tc>
                <w:tcPr>
                  <w:tcW w:w="1276"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850"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1134"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r>
            <w:tr w:rsidR="007D4325" w:rsidRPr="00E50ED4" w:rsidTr="001B0DF8">
              <w:tc>
                <w:tcPr>
                  <w:tcW w:w="1555" w:type="dxa"/>
                </w:tcPr>
                <w:p w:rsidR="00C72CB3" w:rsidRPr="00E50ED4" w:rsidRDefault="007D4325" w:rsidP="007D0655">
                  <w:pPr>
                    <w:rPr>
                      <w:rFonts w:ascii="Arial" w:hAnsi="Arial" w:cs="Arial"/>
                      <w:bCs/>
                      <w:sz w:val="20"/>
                      <w:szCs w:val="20"/>
                    </w:rPr>
                  </w:pPr>
                  <w:r w:rsidRPr="00E50ED4">
                    <w:rPr>
                      <w:rFonts w:ascii="Arial" w:hAnsi="Arial" w:cs="Arial"/>
                      <w:bCs/>
                      <w:sz w:val="20"/>
                      <w:szCs w:val="20"/>
                    </w:rPr>
                    <w:lastRenderedPageBreak/>
                    <w:t xml:space="preserve">Serious incidents logged </w:t>
                  </w:r>
                </w:p>
                <w:p w:rsidR="007D4325" w:rsidRPr="00E50ED4" w:rsidRDefault="007D4325" w:rsidP="007D0655">
                  <w:pPr>
                    <w:rPr>
                      <w:rFonts w:ascii="Arial" w:hAnsi="Arial" w:cs="Arial"/>
                      <w:bCs/>
                      <w:sz w:val="20"/>
                      <w:szCs w:val="20"/>
                      <w:u w:val="single"/>
                    </w:rPr>
                  </w:pPr>
                  <w:r w:rsidRPr="00E50ED4">
                    <w:rPr>
                      <w:rFonts w:ascii="Arial" w:hAnsi="Arial" w:cs="Arial"/>
                      <w:bCs/>
                      <w:sz w:val="20"/>
                      <w:szCs w:val="20"/>
                      <w:u w:val="single"/>
                    </w:rPr>
                    <w:t>YTD 14-15</w:t>
                  </w:r>
                </w:p>
                <w:p w:rsidR="007D4325" w:rsidRPr="00E50ED4" w:rsidRDefault="007D4325" w:rsidP="007D0655">
                  <w:pPr>
                    <w:rPr>
                      <w:rFonts w:ascii="Arial" w:hAnsi="Arial" w:cs="Arial"/>
                      <w:bCs/>
                      <w:sz w:val="20"/>
                      <w:szCs w:val="20"/>
                    </w:rPr>
                  </w:pPr>
                </w:p>
              </w:tc>
              <w:tc>
                <w:tcPr>
                  <w:tcW w:w="850"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79</w:t>
                  </w:r>
                </w:p>
              </w:tc>
              <w:tc>
                <w:tcPr>
                  <w:tcW w:w="851"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21</w:t>
                  </w:r>
                </w:p>
              </w:tc>
              <w:tc>
                <w:tcPr>
                  <w:tcW w:w="1134"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5</w:t>
                  </w:r>
                </w:p>
              </w:tc>
              <w:tc>
                <w:tcPr>
                  <w:tcW w:w="850"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1134"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1276"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850"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2</w:t>
                  </w:r>
                </w:p>
              </w:tc>
              <w:tc>
                <w:tcPr>
                  <w:tcW w:w="1134"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r>
            <w:tr w:rsidR="007D4325" w:rsidRPr="00E50ED4" w:rsidTr="001B0DF8">
              <w:tc>
                <w:tcPr>
                  <w:tcW w:w="1555" w:type="dxa"/>
                </w:tcPr>
                <w:p w:rsidR="007D4325" w:rsidRPr="00E50ED4" w:rsidRDefault="007D4325" w:rsidP="00C72CB3">
                  <w:pPr>
                    <w:rPr>
                      <w:rFonts w:ascii="Arial" w:hAnsi="Arial" w:cs="Arial"/>
                      <w:bCs/>
                      <w:sz w:val="20"/>
                      <w:szCs w:val="20"/>
                    </w:rPr>
                  </w:pPr>
                  <w:r w:rsidRPr="00E50ED4">
                    <w:rPr>
                      <w:rFonts w:ascii="Arial" w:hAnsi="Arial" w:cs="Arial"/>
                      <w:bCs/>
                      <w:sz w:val="20"/>
                      <w:szCs w:val="20"/>
                    </w:rPr>
                    <w:t>Serious Incidents De Logged YTD 14-15</w:t>
                  </w:r>
                </w:p>
              </w:tc>
              <w:tc>
                <w:tcPr>
                  <w:tcW w:w="850"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4</w:t>
                  </w:r>
                </w:p>
              </w:tc>
              <w:tc>
                <w:tcPr>
                  <w:tcW w:w="851"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1</w:t>
                  </w:r>
                </w:p>
              </w:tc>
              <w:tc>
                <w:tcPr>
                  <w:tcW w:w="1134"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850"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1134"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1276"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850"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1134" w:type="dxa"/>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r>
            <w:tr w:rsidR="007D4325" w:rsidRPr="00E50ED4" w:rsidTr="007D4325">
              <w:tc>
                <w:tcPr>
                  <w:tcW w:w="1555" w:type="dxa"/>
                </w:tcPr>
                <w:p w:rsidR="007D4325" w:rsidRPr="00E50ED4" w:rsidRDefault="007D4325" w:rsidP="002C5522">
                  <w:pPr>
                    <w:pStyle w:val="Default"/>
                    <w:spacing w:line="276" w:lineRule="auto"/>
                    <w:jc w:val="both"/>
                    <w:rPr>
                      <w:rFonts w:eastAsiaTheme="minorHAnsi"/>
                      <w:sz w:val="22"/>
                      <w:szCs w:val="22"/>
                      <w:lang w:eastAsia="en-US"/>
                    </w:rPr>
                  </w:pPr>
                </w:p>
              </w:tc>
              <w:tc>
                <w:tcPr>
                  <w:tcW w:w="850" w:type="dxa"/>
                </w:tcPr>
                <w:p w:rsidR="007D4325" w:rsidRPr="00E50ED4" w:rsidRDefault="007D4325" w:rsidP="002C5522">
                  <w:pPr>
                    <w:pStyle w:val="Default"/>
                    <w:spacing w:line="276" w:lineRule="auto"/>
                    <w:jc w:val="both"/>
                    <w:rPr>
                      <w:rFonts w:eastAsiaTheme="minorHAnsi"/>
                      <w:sz w:val="22"/>
                      <w:szCs w:val="22"/>
                      <w:lang w:eastAsia="en-US"/>
                    </w:rPr>
                  </w:pPr>
                </w:p>
              </w:tc>
              <w:tc>
                <w:tcPr>
                  <w:tcW w:w="851" w:type="dxa"/>
                </w:tcPr>
                <w:p w:rsidR="007D4325" w:rsidRPr="00E50ED4" w:rsidRDefault="007D4325" w:rsidP="002C5522">
                  <w:pPr>
                    <w:pStyle w:val="Default"/>
                    <w:spacing w:line="276" w:lineRule="auto"/>
                    <w:jc w:val="both"/>
                    <w:rPr>
                      <w:rFonts w:eastAsiaTheme="minorHAnsi"/>
                      <w:sz w:val="22"/>
                      <w:szCs w:val="22"/>
                      <w:lang w:eastAsia="en-US"/>
                    </w:rPr>
                  </w:pPr>
                </w:p>
              </w:tc>
              <w:tc>
                <w:tcPr>
                  <w:tcW w:w="1134" w:type="dxa"/>
                </w:tcPr>
                <w:p w:rsidR="007D4325" w:rsidRPr="00E50ED4" w:rsidRDefault="007D4325" w:rsidP="002C5522">
                  <w:pPr>
                    <w:pStyle w:val="Default"/>
                    <w:spacing w:line="276" w:lineRule="auto"/>
                    <w:jc w:val="both"/>
                    <w:rPr>
                      <w:rFonts w:eastAsiaTheme="minorHAnsi"/>
                      <w:sz w:val="22"/>
                      <w:szCs w:val="22"/>
                      <w:lang w:eastAsia="en-US"/>
                    </w:rPr>
                  </w:pPr>
                </w:p>
              </w:tc>
              <w:tc>
                <w:tcPr>
                  <w:tcW w:w="850" w:type="dxa"/>
                </w:tcPr>
                <w:p w:rsidR="007D4325" w:rsidRPr="00E50ED4" w:rsidRDefault="007D4325" w:rsidP="002C5522">
                  <w:pPr>
                    <w:pStyle w:val="Default"/>
                    <w:spacing w:line="276" w:lineRule="auto"/>
                    <w:jc w:val="both"/>
                    <w:rPr>
                      <w:rFonts w:eastAsiaTheme="minorHAnsi"/>
                      <w:sz w:val="22"/>
                      <w:szCs w:val="22"/>
                      <w:lang w:eastAsia="en-US"/>
                    </w:rPr>
                  </w:pPr>
                </w:p>
              </w:tc>
              <w:tc>
                <w:tcPr>
                  <w:tcW w:w="1134" w:type="dxa"/>
                </w:tcPr>
                <w:p w:rsidR="007D4325" w:rsidRPr="00E50ED4" w:rsidRDefault="007D4325" w:rsidP="002C5522">
                  <w:pPr>
                    <w:pStyle w:val="Default"/>
                    <w:spacing w:line="276" w:lineRule="auto"/>
                    <w:jc w:val="both"/>
                    <w:rPr>
                      <w:rFonts w:eastAsiaTheme="minorHAnsi"/>
                      <w:sz w:val="22"/>
                      <w:szCs w:val="22"/>
                      <w:lang w:eastAsia="en-US"/>
                    </w:rPr>
                  </w:pPr>
                </w:p>
              </w:tc>
              <w:tc>
                <w:tcPr>
                  <w:tcW w:w="1276" w:type="dxa"/>
                </w:tcPr>
                <w:p w:rsidR="007D4325" w:rsidRPr="00E50ED4" w:rsidRDefault="007D4325" w:rsidP="002C5522">
                  <w:pPr>
                    <w:pStyle w:val="Default"/>
                    <w:spacing w:line="276" w:lineRule="auto"/>
                    <w:jc w:val="both"/>
                    <w:rPr>
                      <w:rFonts w:eastAsiaTheme="minorHAnsi"/>
                      <w:sz w:val="22"/>
                      <w:szCs w:val="22"/>
                      <w:lang w:eastAsia="en-US"/>
                    </w:rPr>
                  </w:pPr>
                </w:p>
              </w:tc>
              <w:tc>
                <w:tcPr>
                  <w:tcW w:w="850" w:type="dxa"/>
                </w:tcPr>
                <w:p w:rsidR="007D4325" w:rsidRPr="00E50ED4" w:rsidRDefault="007D4325" w:rsidP="002C5522">
                  <w:pPr>
                    <w:pStyle w:val="Default"/>
                    <w:spacing w:line="276" w:lineRule="auto"/>
                    <w:jc w:val="both"/>
                    <w:rPr>
                      <w:rFonts w:eastAsiaTheme="minorHAnsi"/>
                      <w:sz w:val="22"/>
                      <w:szCs w:val="22"/>
                      <w:lang w:eastAsia="en-US"/>
                    </w:rPr>
                  </w:pPr>
                </w:p>
              </w:tc>
              <w:tc>
                <w:tcPr>
                  <w:tcW w:w="1134" w:type="dxa"/>
                </w:tcPr>
                <w:p w:rsidR="007D4325" w:rsidRPr="00E50ED4" w:rsidRDefault="007D4325" w:rsidP="007D0655">
                  <w:pPr>
                    <w:pStyle w:val="Default"/>
                    <w:spacing w:line="276" w:lineRule="auto"/>
                    <w:jc w:val="both"/>
                    <w:rPr>
                      <w:rFonts w:eastAsiaTheme="minorHAnsi"/>
                      <w:sz w:val="22"/>
                      <w:szCs w:val="22"/>
                      <w:lang w:eastAsia="en-US"/>
                    </w:rPr>
                  </w:pPr>
                </w:p>
              </w:tc>
            </w:tr>
            <w:tr w:rsidR="007D4325" w:rsidRPr="00E50ED4" w:rsidTr="001B0DF8">
              <w:tc>
                <w:tcPr>
                  <w:tcW w:w="1555" w:type="dxa"/>
                </w:tcPr>
                <w:p w:rsidR="007D4325" w:rsidRPr="00E50ED4" w:rsidRDefault="007D4325" w:rsidP="007D0655">
                  <w:pPr>
                    <w:rPr>
                      <w:rFonts w:ascii="Arial" w:hAnsi="Arial" w:cs="Arial"/>
                      <w:bCs/>
                      <w:sz w:val="20"/>
                      <w:szCs w:val="20"/>
                    </w:rPr>
                  </w:pPr>
                  <w:r w:rsidRPr="00E50ED4">
                    <w:rPr>
                      <w:rFonts w:ascii="Arial" w:hAnsi="Arial" w:cs="Arial"/>
                      <w:bCs/>
                      <w:sz w:val="20"/>
                      <w:szCs w:val="20"/>
                    </w:rPr>
                    <w:t>Never Events (NE) 14-15</w:t>
                  </w:r>
                </w:p>
              </w:tc>
              <w:tc>
                <w:tcPr>
                  <w:tcW w:w="850" w:type="dxa"/>
                  <w:shd w:val="clear" w:color="auto" w:fill="FF0000"/>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851" w:type="dxa"/>
                  <w:shd w:val="clear" w:color="auto" w:fill="FF0000"/>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1134" w:type="dxa"/>
                  <w:shd w:val="clear" w:color="auto" w:fill="FF0000"/>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850" w:type="dxa"/>
                  <w:shd w:val="clear" w:color="auto" w:fill="FF0000"/>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1134" w:type="dxa"/>
                  <w:shd w:val="clear" w:color="auto" w:fill="FF0000"/>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1276" w:type="dxa"/>
                  <w:shd w:val="clear" w:color="auto" w:fill="FF0000"/>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850" w:type="dxa"/>
                  <w:shd w:val="clear" w:color="auto" w:fill="FF0000"/>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c>
                <w:tcPr>
                  <w:tcW w:w="1134" w:type="dxa"/>
                  <w:shd w:val="clear" w:color="auto" w:fill="FF0000"/>
                  <w:vAlign w:val="center"/>
                </w:tcPr>
                <w:p w:rsidR="007D4325" w:rsidRPr="00E50ED4" w:rsidRDefault="007D4325" w:rsidP="007D0655">
                  <w:pPr>
                    <w:jc w:val="center"/>
                    <w:rPr>
                      <w:rFonts w:ascii="Arial" w:hAnsi="Arial" w:cs="Arial"/>
                      <w:bCs/>
                      <w:sz w:val="20"/>
                      <w:szCs w:val="20"/>
                    </w:rPr>
                  </w:pPr>
                  <w:r w:rsidRPr="00E50ED4">
                    <w:rPr>
                      <w:rFonts w:ascii="Arial" w:hAnsi="Arial" w:cs="Arial"/>
                      <w:bCs/>
                      <w:sz w:val="20"/>
                      <w:szCs w:val="20"/>
                    </w:rPr>
                    <w:t>0</w:t>
                  </w:r>
                </w:p>
              </w:tc>
            </w:tr>
            <w:tr w:rsidR="007D4325" w:rsidRPr="00E50ED4" w:rsidTr="007D4325">
              <w:tc>
                <w:tcPr>
                  <w:tcW w:w="1555" w:type="dxa"/>
                </w:tcPr>
                <w:p w:rsidR="007D4325" w:rsidRPr="00E50ED4" w:rsidRDefault="007D4325" w:rsidP="002C5522">
                  <w:pPr>
                    <w:pStyle w:val="Default"/>
                    <w:spacing w:line="276" w:lineRule="auto"/>
                    <w:jc w:val="both"/>
                    <w:rPr>
                      <w:rFonts w:eastAsiaTheme="minorHAnsi"/>
                      <w:sz w:val="22"/>
                      <w:szCs w:val="22"/>
                      <w:lang w:eastAsia="en-US"/>
                    </w:rPr>
                  </w:pPr>
                </w:p>
              </w:tc>
              <w:tc>
                <w:tcPr>
                  <w:tcW w:w="850" w:type="dxa"/>
                </w:tcPr>
                <w:p w:rsidR="007D4325" w:rsidRPr="00E50ED4" w:rsidRDefault="007D4325" w:rsidP="002C5522">
                  <w:pPr>
                    <w:pStyle w:val="Default"/>
                    <w:spacing w:line="276" w:lineRule="auto"/>
                    <w:jc w:val="both"/>
                    <w:rPr>
                      <w:rFonts w:eastAsiaTheme="minorHAnsi"/>
                      <w:sz w:val="22"/>
                      <w:szCs w:val="22"/>
                      <w:lang w:eastAsia="en-US"/>
                    </w:rPr>
                  </w:pPr>
                </w:p>
              </w:tc>
              <w:tc>
                <w:tcPr>
                  <w:tcW w:w="851" w:type="dxa"/>
                </w:tcPr>
                <w:p w:rsidR="007D4325" w:rsidRPr="00E50ED4" w:rsidRDefault="007D4325" w:rsidP="002C5522">
                  <w:pPr>
                    <w:pStyle w:val="Default"/>
                    <w:spacing w:line="276" w:lineRule="auto"/>
                    <w:jc w:val="both"/>
                    <w:rPr>
                      <w:rFonts w:eastAsiaTheme="minorHAnsi"/>
                      <w:sz w:val="22"/>
                      <w:szCs w:val="22"/>
                      <w:lang w:eastAsia="en-US"/>
                    </w:rPr>
                  </w:pPr>
                </w:p>
              </w:tc>
              <w:tc>
                <w:tcPr>
                  <w:tcW w:w="1134" w:type="dxa"/>
                </w:tcPr>
                <w:p w:rsidR="007D4325" w:rsidRPr="00E50ED4" w:rsidRDefault="007D4325" w:rsidP="002C5522">
                  <w:pPr>
                    <w:pStyle w:val="Default"/>
                    <w:spacing w:line="276" w:lineRule="auto"/>
                    <w:jc w:val="both"/>
                    <w:rPr>
                      <w:rFonts w:eastAsiaTheme="minorHAnsi"/>
                      <w:sz w:val="22"/>
                      <w:szCs w:val="22"/>
                      <w:lang w:eastAsia="en-US"/>
                    </w:rPr>
                  </w:pPr>
                </w:p>
              </w:tc>
              <w:tc>
                <w:tcPr>
                  <w:tcW w:w="850" w:type="dxa"/>
                </w:tcPr>
                <w:p w:rsidR="007D4325" w:rsidRPr="00E50ED4" w:rsidRDefault="007D4325" w:rsidP="002C5522">
                  <w:pPr>
                    <w:pStyle w:val="Default"/>
                    <w:spacing w:line="276" w:lineRule="auto"/>
                    <w:jc w:val="both"/>
                    <w:rPr>
                      <w:rFonts w:eastAsiaTheme="minorHAnsi"/>
                      <w:sz w:val="22"/>
                      <w:szCs w:val="22"/>
                      <w:lang w:eastAsia="en-US"/>
                    </w:rPr>
                  </w:pPr>
                </w:p>
              </w:tc>
              <w:tc>
                <w:tcPr>
                  <w:tcW w:w="1134" w:type="dxa"/>
                </w:tcPr>
                <w:p w:rsidR="007D4325" w:rsidRPr="00E50ED4" w:rsidRDefault="007D4325" w:rsidP="002C5522">
                  <w:pPr>
                    <w:pStyle w:val="Default"/>
                    <w:spacing w:line="276" w:lineRule="auto"/>
                    <w:jc w:val="both"/>
                    <w:rPr>
                      <w:rFonts w:eastAsiaTheme="minorHAnsi"/>
                      <w:sz w:val="22"/>
                      <w:szCs w:val="22"/>
                      <w:lang w:eastAsia="en-US"/>
                    </w:rPr>
                  </w:pPr>
                </w:p>
              </w:tc>
              <w:tc>
                <w:tcPr>
                  <w:tcW w:w="1276" w:type="dxa"/>
                </w:tcPr>
                <w:p w:rsidR="007D4325" w:rsidRPr="00E50ED4" w:rsidRDefault="007D4325" w:rsidP="002C5522">
                  <w:pPr>
                    <w:pStyle w:val="Default"/>
                    <w:spacing w:line="276" w:lineRule="auto"/>
                    <w:jc w:val="both"/>
                    <w:rPr>
                      <w:rFonts w:eastAsiaTheme="minorHAnsi"/>
                      <w:sz w:val="22"/>
                      <w:szCs w:val="22"/>
                      <w:lang w:eastAsia="en-US"/>
                    </w:rPr>
                  </w:pPr>
                </w:p>
              </w:tc>
              <w:tc>
                <w:tcPr>
                  <w:tcW w:w="850" w:type="dxa"/>
                </w:tcPr>
                <w:p w:rsidR="007D4325" w:rsidRPr="00E50ED4" w:rsidRDefault="007D4325" w:rsidP="002C5522">
                  <w:pPr>
                    <w:pStyle w:val="Default"/>
                    <w:spacing w:line="276" w:lineRule="auto"/>
                    <w:jc w:val="both"/>
                    <w:rPr>
                      <w:rFonts w:eastAsiaTheme="minorHAnsi"/>
                      <w:sz w:val="22"/>
                      <w:szCs w:val="22"/>
                      <w:lang w:eastAsia="en-US"/>
                    </w:rPr>
                  </w:pPr>
                </w:p>
              </w:tc>
              <w:tc>
                <w:tcPr>
                  <w:tcW w:w="1134" w:type="dxa"/>
                </w:tcPr>
                <w:p w:rsidR="007D4325" w:rsidRPr="00E50ED4" w:rsidRDefault="007D4325" w:rsidP="007D0655">
                  <w:pPr>
                    <w:pStyle w:val="Default"/>
                    <w:spacing w:line="276" w:lineRule="auto"/>
                    <w:jc w:val="both"/>
                    <w:rPr>
                      <w:rFonts w:eastAsiaTheme="minorHAnsi"/>
                      <w:sz w:val="22"/>
                      <w:szCs w:val="22"/>
                      <w:lang w:eastAsia="en-US"/>
                    </w:rPr>
                  </w:pPr>
                </w:p>
              </w:tc>
            </w:tr>
          </w:tbl>
          <w:p w:rsidR="007D4325" w:rsidRPr="00E50ED4" w:rsidRDefault="007D4325" w:rsidP="002C5522">
            <w:pPr>
              <w:pStyle w:val="Default"/>
              <w:spacing w:line="276" w:lineRule="auto"/>
              <w:jc w:val="both"/>
              <w:rPr>
                <w:rFonts w:eastAsiaTheme="minorHAnsi"/>
                <w:sz w:val="22"/>
                <w:szCs w:val="22"/>
                <w:lang w:eastAsia="en-US"/>
              </w:rPr>
            </w:pPr>
            <w:r w:rsidRPr="00E50ED4">
              <w:rPr>
                <w:rFonts w:eastAsiaTheme="minorHAnsi"/>
                <w:sz w:val="22"/>
                <w:szCs w:val="22"/>
                <w:lang w:eastAsia="en-US"/>
              </w:rPr>
              <w:t>*Reporting will commence from 1</w:t>
            </w:r>
            <w:r w:rsidRPr="00E50ED4">
              <w:rPr>
                <w:rFonts w:eastAsiaTheme="minorHAnsi"/>
                <w:sz w:val="22"/>
                <w:szCs w:val="22"/>
                <w:vertAlign w:val="superscript"/>
                <w:lang w:eastAsia="en-US"/>
              </w:rPr>
              <w:t>st</w:t>
            </w:r>
            <w:r w:rsidRPr="00E50ED4">
              <w:rPr>
                <w:rFonts w:eastAsiaTheme="minorHAnsi"/>
                <w:sz w:val="22"/>
                <w:szCs w:val="22"/>
                <w:lang w:eastAsia="en-US"/>
              </w:rPr>
              <w:t xml:space="preserve"> April 2015 due to co-commissioning arrangements.</w:t>
            </w:r>
          </w:p>
          <w:p w:rsidR="007D4325" w:rsidRPr="00E50ED4" w:rsidRDefault="007D4325" w:rsidP="002C5522">
            <w:pPr>
              <w:pStyle w:val="Default"/>
              <w:spacing w:line="276" w:lineRule="auto"/>
              <w:jc w:val="both"/>
              <w:rPr>
                <w:rFonts w:eastAsiaTheme="minorHAnsi"/>
                <w:sz w:val="22"/>
                <w:szCs w:val="22"/>
                <w:lang w:eastAsia="en-US"/>
              </w:rPr>
            </w:pPr>
          </w:p>
          <w:bookmarkStart w:id="4" w:name="_MON_1491388967"/>
          <w:bookmarkEnd w:id="4"/>
          <w:p w:rsidR="00C72CB3" w:rsidRPr="00E50ED4" w:rsidRDefault="00C72CB3" w:rsidP="002C5522">
            <w:pPr>
              <w:pStyle w:val="Default"/>
              <w:spacing w:line="276" w:lineRule="auto"/>
              <w:jc w:val="both"/>
              <w:rPr>
                <w:rFonts w:eastAsiaTheme="minorHAnsi"/>
                <w:sz w:val="22"/>
                <w:szCs w:val="22"/>
                <w:lang w:eastAsia="en-US"/>
              </w:rPr>
            </w:pPr>
            <w:r w:rsidRPr="00E50ED4">
              <w:rPr>
                <w:rFonts w:eastAsiaTheme="minorHAnsi"/>
                <w:sz w:val="22"/>
                <w:szCs w:val="22"/>
                <w:lang w:eastAsia="en-US"/>
              </w:rPr>
              <w:object w:dxaOrig="1550" w:dyaOrig="99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7.35pt;height:49.35pt" o:ole="">
                  <v:imagedata r:id="rId10" o:title=""/>
                </v:shape>
                <o:OLEObject Type="Embed" ProgID="Word.Document.12" ShapeID="_x0000_i1025" DrawAspect="Icon" ObjectID="_1492522489" r:id="rId11">
                  <o:FieldCodes>\s</o:FieldCodes>
                </o:OLEObject>
              </w:object>
            </w:r>
          </w:p>
          <w:p w:rsidR="00DA5437" w:rsidRPr="00E50ED4" w:rsidRDefault="00DA5437" w:rsidP="00DA5437">
            <w:pPr>
              <w:pStyle w:val="Default"/>
              <w:spacing w:line="276" w:lineRule="auto"/>
              <w:jc w:val="both"/>
              <w:rPr>
                <w:rFonts w:eastAsiaTheme="minorHAnsi"/>
                <w:sz w:val="22"/>
                <w:szCs w:val="22"/>
                <w:lang w:eastAsia="en-US"/>
              </w:rPr>
            </w:pPr>
          </w:p>
          <w:p w:rsidR="002B4829" w:rsidRPr="00911859" w:rsidRDefault="00DA5437" w:rsidP="00DA5437">
            <w:pPr>
              <w:spacing w:line="276" w:lineRule="auto"/>
              <w:jc w:val="both"/>
              <w:rPr>
                <w:rFonts w:ascii="Arial" w:hAnsi="Arial" w:cs="Arial"/>
                <w:b/>
                <w:bCs/>
                <w:sz w:val="22"/>
                <w:szCs w:val="22"/>
              </w:rPr>
            </w:pPr>
            <w:r w:rsidRPr="00911859">
              <w:rPr>
                <w:rFonts w:ascii="Arial" w:hAnsi="Arial" w:cs="Arial"/>
                <w:b/>
                <w:bCs/>
                <w:sz w:val="22"/>
                <w:szCs w:val="22"/>
              </w:rPr>
              <w:t xml:space="preserve">3  </w:t>
            </w:r>
            <w:r w:rsidR="00136C3A" w:rsidRPr="00911859">
              <w:rPr>
                <w:rFonts w:ascii="Arial" w:hAnsi="Arial" w:cs="Arial"/>
                <w:b/>
                <w:bCs/>
                <w:sz w:val="22"/>
                <w:szCs w:val="22"/>
              </w:rPr>
              <w:t xml:space="preserve">Patient </w:t>
            </w:r>
            <w:r w:rsidR="003813D8" w:rsidRPr="00911859">
              <w:rPr>
                <w:rFonts w:ascii="Arial" w:hAnsi="Arial" w:cs="Arial"/>
                <w:b/>
                <w:bCs/>
                <w:sz w:val="22"/>
                <w:szCs w:val="22"/>
              </w:rPr>
              <w:t xml:space="preserve">and Client </w:t>
            </w:r>
            <w:r w:rsidR="00136C3A" w:rsidRPr="00911859">
              <w:rPr>
                <w:rFonts w:ascii="Arial" w:hAnsi="Arial" w:cs="Arial"/>
                <w:b/>
                <w:bCs/>
                <w:sz w:val="22"/>
                <w:szCs w:val="22"/>
              </w:rPr>
              <w:t>Experience</w:t>
            </w:r>
          </w:p>
          <w:p w:rsidR="00136C3A" w:rsidRPr="00E50ED4" w:rsidRDefault="003813D8" w:rsidP="00DA5437">
            <w:pPr>
              <w:spacing w:line="276" w:lineRule="auto"/>
              <w:jc w:val="both"/>
              <w:rPr>
                <w:rFonts w:ascii="Arial" w:hAnsi="Arial" w:cs="Arial"/>
                <w:color w:val="FF0000"/>
                <w:sz w:val="22"/>
                <w:szCs w:val="22"/>
              </w:rPr>
            </w:pPr>
            <w:r w:rsidRPr="00E50ED4">
              <w:rPr>
                <w:rFonts w:ascii="Arial" w:hAnsi="Arial" w:cs="Arial"/>
                <w:color w:val="FF0000"/>
                <w:sz w:val="22"/>
                <w:szCs w:val="22"/>
              </w:rPr>
              <w:t xml:space="preserve"> </w:t>
            </w:r>
          </w:p>
          <w:p w:rsidR="002B4829" w:rsidRPr="00E50ED4" w:rsidRDefault="002B4829" w:rsidP="002B4829">
            <w:pPr>
              <w:pStyle w:val="Default"/>
              <w:spacing w:line="276" w:lineRule="auto"/>
              <w:jc w:val="both"/>
              <w:rPr>
                <w:color w:val="auto"/>
                <w:sz w:val="22"/>
                <w:szCs w:val="22"/>
              </w:rPr>
            </w:pPr>
            <w:r w:rsidRPr="00E50ED4">
              <w:rPr>
                <w:sz w:val="22"/>
                <w:szCs w:val="22"/>
              </w:rPr>
              <w:t xml:space="preserve">The </w:t>
            </w:r>
            <w:r w:rsidRPr="00E50ED4">
              <w:rPr>
                <w:bCs/>
                <w:sz w:val="22"/>
                <w:szCs w:val="22"/>
              </w:rPr>
              <w:t>North East Lincolnshire CCG</w:t>
            </w:r>
            <w:r w:rsidRPr="00E50ED4">
              <w:rPr>
                <w:sz w:val="22"/>
                <w:szCs w:val="22"/>
              </w:rPr>
              <w:t xml:space="preserve"> Mortality group continues to meet to focus on mortality and premature deaths in North East Lincolnshire. The group has prioritised </w:t>
            </w:r>
            <w:r w:rsidRPr="00E50ED4">
              <w:rPr>
                <w:bCs/>
                <w:sz w:val="22"/>
                <w:szCs w:val="22"/>
              </w:rPr>
              <w:t>one of the work streams to work</w:t>
            </w:r>
            <w:r w:rsidRPr="00E50ED4">
              <w:rPr>
                <w:sz w:val="22"/>
                <w:szCs w:val="22"/>
              </w:rPr>
              <w:t xml:space="preserve"> with Northern Lincolnshire &amp; Goole Foundation Trust</w:t>
            </w:r>
            <w:r w:rsidRPr="00E50ED4">
              <w:rPr>
                <w:bCs/>
                <w:sz w:val="22"/>
                <w:szCs w:val="22"/>
              </w:rPr>
              <w:t xml:space="preserve"> (NLAG)</w:t>
            </w:r>
            <w:r w:rsidRPr="00E50ED4">
              <w:rPr>
                <w:sz w:val="22"/>
                <w:szCs w:val="22"/>
              </w:rPr>
              <w:t xml:space="preserve"> to understand the published reports relating to SHMI, in particular where the Trust is a national outlier</w:t>
            </w:r>
            <w:r w:rsidRPr="00E50ED4">
              <w:rPr>
                <w:bCs/>
                <w:sz w:val="22"/>
                <w:szCs w:val="22"/>
              </w:rPr>
              <w:t>.</w:t>
            </w:r>
            <w:r w:rsidRPr="00E50ED4">
              <w:rPr>
                <w:sz w:val="22"/>
                <w:szCs w:val="22"/>
              </w:rPr>
              <w:t xml:space="preserve"> Work is in progress on a joint work programme to undertake an end to end review </w:t>
            </w:r>
            <w:r w:rsidRPr="00E50ED4">
              <w:rPr>
                <w:bCs/>
                <w:sz w:val="22"/>
                <w:szCs w:val="22"/>
              </w:rPr>
              <w:t xml:space="preserve">of the deaths to gain a greater understanding of the pathway these patients underwent, this work is being </w:t>
            </w:r>
            <w:r w:rsidRPr="00E50ED4">
              <w:rPr>
                <w:sz w:val="22"/>
                <w:szCs w:val="22"/>
              </w:rPr>
              <w:t>led by Dr A Spalding</w:t>
            </w:r>
            <w:r w:rsidRPr="00E50ED4">
              <w:rPr>
                <w:color w:val="FF0000"/>
                <w:sz w:val="22"/>
                <w:szCs w:val="22"/>
              </w:rPr>
              <w:t xml:space="preserve"> </w:t>
            </w:r>
            <w:r w:rsidRPr="00E50ED4">
              <w:rPr>
                <w:color w:val="auto"/>
                <w:sz w:val="22"/>
                <w:szCs w:val="22"/>
              </w:rPr>
              <w:t>(CCG clinical lead for Quality) and Dr M Withers (Medical Director at NL&amp;G FT)</w:t>
            </w:r>
          </w:p>
          <w:p w:rsidR="002C5522" w:rsidRPr="00E50ED4" w:rsidRDefault="002C5522" w:rsidP="00DA5437">
            <w:pPr>
              <w:spacing w:line="276" w:lineRule="auto"/>
              <w:jc w:val="both"/>
              <w:rPr>
                <w:rFonts w:ascii="Arial" w:hAnsi="Arial" w:cs="Arial"/>
                <w:bCs/>
                <w:sz w:val="22"/>
                <w:szCs w:val="22"/>
              </w:rPr>
            </w:pPr>
          </w:p>
          <w:p w:rsidR="002B4829" w:rsidRPr="00E50ED4" w:rsidRDefault="002B4829" w:rsidP="002B4829">
            <w:pPr>
              <w:pStyle w:val="Default"/>
              <w:spacing w:line="276" w:lineRule="auto"/>
              <w:jc w:val="both"/>
              <w:rPr>
                <w:sz w:val="22"/>
                <w:szCs w:val="22"/>
              </w:rPr>
            </w:pPr>
          </w:p>
          <w:p w:rsidR="002B4829" w:rsidRPr="00E50ED4" w:rsidRDefault="002B4829" w:rsidP="002B4829">
            <w:pPr>
              <w:pStyle w:val="Default"/>
              <w:spacing w:line="276" w:lineRule="auto"/>
              <w:jc w:val="both"/>
              <w:rPr>
                <w:sz w:val="22"/>
                <w:szCs w:val="22"/>
              </w:rPr>
            </w:pPr>
            <w:r w:rsidRPr="00E50ED4">
              <w:rPr>
                <w:noProof/>
                <w:sz w:val="22"/>
                <w:szCs w:val="22"/>
              </w:rPr>
              <w:drawing>
                <wp:anchor distT="0" distB="0" distL="114300" distR="114300" simplePos="0" relativeHeight="251659776" behindDoc="0" locked="0" layoutInCell="1" allowOverlap="1" wp14:anchorId="5FB1DAA1" wp14:editId="451D2E5A">
                  <wp:simplePos x="0" y="0"/>
                  <wp:positionH relativeFrom="column">
                    <wp:posOffset>55245</wp:posOffset>
                  </wp:positionH>
                  <wp:positionV relativeFrom="paragraph">
                    <wp:posOffset>5715</wp:posOffset>
                  </wp:positionV>
                  <wp:extent cx="6141720" cy="2608580"/>
                  <wp:effectExtent l="0" t="0" r="0" b="1270"/>
                  <wp:wrapSquare wrapText="bothSides"/>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6141720" cy="260858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2B4829" w:rsidRPr="00E50ED4" w:rsidRDefault="002B4829" w:rsidP="002B4829">
            <w:pPr>
              <w:spacing w:line="276" w:lineRule="auto"/>
              <w:jc w:val="center"/>
              <w:rPr>
                <w:rFonts w:ascii="Arial" w:hAnsi="Arial" w:cs="Arial"/>
                <w:sz w:val="22"/>
                <w:szCs w:val="22"/>
              </w:rPr>
            </w:pPr>
          </w:p>
          <w:p w:rsidR="002B4829" w:rsidRPr="00E50ED4" w:rsidRDefault="002B4829" w:rsidP="002B4829">
            <w:pPr>
              <w:rPr>
                <w:rFonts w:ascii="Arial" w:hAnsi="Arial" w:cs="Arial"/>
                <w:sz w:val="22"/>
                <w:szCs w:val="22"/>
              </w:rPr>
            </w:pPr>
            <w:proofErr w:type="spellStart"/>
            <w:r w:rsidRPr="00E50ED4">
              <w:rPr>
                <w:rFonts w:ascii="Arial" w:hAnsi="Arial" w:cs="Arial"/>
                <w:sz w:val="22"/>
                <w:szCs w:val="22"/>
              </w:rPr>
              <w:t>NLaG’s</w:t>
            </w:r>
            <w:proofErr w:type="spellEnd"/>
            <w:r w:rsidRPr="00E50ED4">
              <w:rPr>
                <w:rFonts w:ascii="Arial" w:hAnsi="Arial" w:cs="Arial"/>
                <w:sz w:val="22"/>
                <w:szCs w:val="22"/>
              </w:rPr>
              <w:t xml:space="preserve"> February 2015 Monthly Mortality report shows the Trust’s latest SHMI position (using the HED system for the period November 2013 to October 2014 is a score of 111.5. This is within the </w:t>
            </w:r>
            <w:r w:rsidRPr="00E50ED4">
              <w:rPr>
                <w:rFonts w:ascii="Arial" w:hAnsi="Arial" w:cs="Arial"/>
                <w:sz w:val="22"/>
                <w:szCs w:val="22"/>
              </w:rPr>
              <w:lastRenderedPageBreak/>
              <w:t xml:space="preserve">‘higher than expected’ range, and shows a slight increase from the October 2013 to September 2014 position (111.3).  This performance leaves the Trust ranked 132 of the 141 NHS provider organisations included within the mortality data set.  Of the three hospitals Grimsby had worse mortality ratings over the period, but has demonstrated a trend of improvement up to May 2014 and the gap between the two main sites narrowed significantly. Since then Grimsby has seen an increase with latest figure being 113. Scunthorpe has shown an overall increase over the periods shown with the latest figure being 111.  </w:t>
            </w:r>
          </w:p>
          <w:p w:rsidR="002B4829" w:rsidRPr="00E50ED4" w:rsidRDefault="002B4829" w:rsidP="002B4829">
            <w:pPr>
              <w:pStyle w:val="Default"/>
              <w:spacing w:line="276" w:lineRule="auto"/>
              <w:jc w:val="both"/>
              <w:rPr>
                <w:sz w:val="22"/>
                <w:szCs w:val="22"/>
              </w:rPr>
            </w:pPr>
          </w:p>
          <w:p w:rsidR="002B4829" w:rsidRPr="00E50ED4" w:rsidRDefault="002B4829" w:rsidP="002B4829">
            <w:pPr>
              <w:spacing w:line="276" w:lineRule="auto"/>
              <w:jc w:val="both"/>
              <w:rPr>
                <w:rFonts w:ascii="Arial" w:hAnsi="Arial" w:cs="Arial"/>
                <w:sz w:val="22"/>
                <w:szCs w:val="22"/>
              </w:rPr>
            </w:pPr>
            <w:r w:rsidRPr="00E50ED4">
              <w:rPr>
                <w:rFonts w:ascii="Arial" w:hAnsi="Arial" w:cs="Arial"/>
                <w:sz w:val="22"/>
                <w:szCs w:val="22"/>
              </w:rPr>
              <w:t xml:space="preserve">The Trust provisional SHMI for weekend admissions is 1 </w:t>
            </w:r>
            <w:proofErr w:type="gramStart"/>
            <w:r w:rsidRPr="00E50ED4">
              <w:rPr>
                <w:rFonts w:ascii="Arial" w:hAnsi="Arial" w:cs="Arial"/>
                <w:sz w:val="22"/>
                <w:szCs w:val="22"/>
              </w:rPr>
              <w:t>points</w:t>
            </w:r>
            <w:proofErr w:type="gramEnd"/>
            <w:r w:rsidRPr="00E50ED4">
              <w:rPr>
                <w:rFonts w:ascii="Arial" w:hAnsi="Arial" w:cs="Arial"/>
                <w:sz w:val="22"/>
                <w:szCs w:val="22"/>
              </w:rPr>
              <w:t xml:space="preserve"> lower than the SHMI for weekday admissions (111 v 112).  DPOW provisional SHMI for weekend admissions is 6 points higher than the SHMI for weekday </w:t>
            </w:r>
            <w:proofErr w:type="gramStart"/>
            <w:r w:rsidRPr="00E50ED4">
              <w:rPr>
                <w:rFonts w:ascii="Arial" w:hAnsi="Arial" w:cs="Arial"/>
                <w:sz w:val="22"/>
                <w:szCs w:val="22"/>
              </w:rPr>
              <w:t>(117 v 111)</w:t>
            </w:r>
            <w:proofErr w:type="gramEnd"/>
            <w:r w:rsidRPr="00E50ED4">
              <w:rPr>
                <w:rFonts w:ascii="Arial" w:hAnsi="Arial" w:cs="Arial"/>
                <w:sz w:val="22"/>
                <w:szCs w:val="22"/>
              </w:rPr>
              <w:t xml:space="preserve">. SGH has a lower figure for weekend than the weekday </w:t>
            </w:r>
            <w:proofErr w:type="gramStart"/>
            <w:r w:rsidRPr="00E50ED4">
              <w:rPr>
                <w:rFonts w:ascii="Arial" w:hAnsi="Arial" w:cs="Arial"/>
                <w:sz w:val="22"/>
                <w:szCs w:val="22"/>
              </w:rPr>
              <w:t>(107 v 112)</w:t>
            </w:r>
            <w:proofErr w:type="gramEnd"/>
            <w:r w:rsidRPr="00E50ED4">
              <w:rPr>
                <w:rFonts w:ascii="Arial" w:hAnsi="Arial" w:cs="Arial"/>
                <w:sz w:val="22"/>
                <w:szCs w:val="22"/>
              </w:rPr>
              <w:t>.</w:t>
            </w:r>
          </w:p>
          <w:p w:rsidR="002B4829" w:rsidRPr="00E50ED4" w:rsidRDefault="002B4829" w:rsidP="002B4829">
            <w:pPr>
              <w:pStyle w:val="Default"/>
              <w:spacing w:line="276" w:lineRule="auto"/>
              <w:jc w:val="both"/>
              <w:rPr>
                <w:bCs/>
                <w:sz w:val="22"/>
                <w:szCs w:val="22"/>
              </w:rPr>
            </w:pPr>
          </w:p>
          <w:p w:rsidR="002B4829" w:rsidRPr="00E50ED4" w:rsidRDefault="002B4829" w:rsidP="002B4829">
            <w:pPr>
              <w:pStyle w:val="Default"/>
              <w:spacing w:line="276" w:lineRule="auto"/>
              <w:jc w:val="both"/>
              <w:rPr>
                <w:color w:val="auto"/>
                <w:sz w:val="22"/>
                <w:szCs w:val="22"/>
              </w:rPr>
            </w:pPr>
            <w:r w:rsidRPr="00E50ED4">
              <w:rPr>
                <w:sz w:val="22"/>
                <w:szCs w:val="22"/>
              </w:rPr>
              <w:t xml:space="preserve">The latest national 'official' SHMI reports the Trust within the 'as expected range' with a score of 109.2. </w:t>
            </w:r>
          </w:p>
          <w:p w:rsidR="002B4829" w:rsidRPr="00E50ED4" w:rsidRDefault="002B4829" w:rsidP="002B4829">
            <w:pPr>
              <w:spacing w:line="276" w:lineRule="auto"/>
              <w:jc w:val="both"/>
              <w:rPr>
                <w:rFonts w:ascii="Arial" w:hAnsi="Arial" w:cs="Arial"/>
                <w:sz w:val="22"/>
                <w:szCs w:val="22"/>
              </w:rPr>
            </w:pPr>
          </w:p>
          <w:p w:rsidR="002B4829" w:rsidRPr="00E50ED4" w:rsidRDefault="002B4829" w:rsidP="002B4829">
            <w:pPr>
              <w:spacing w:after="200" w:line="276" w:lineRule="auto"/>
              <w:jc w:val="both"/>
              <w:rPr>
                <w:rFonts w:ascii="Arial" w:eastAsiaTheme="minorHAnsi" w:hAnsi="Arial" w:cs="Arial"/>
                <w:color w:val="FF0000"/>
                <w:sz w:val="22"/>
                <w:szCs w:val="22"/>
                <w:lang w:eastAsia="en-US"/>
              </w:rPr>
            </w:pPr>
            <w:r w:rsidRPr="00E50ED4">
              <w:rPr>
                <w:rFonts w:ascii="Arial" w:eastAsiaTheme="minorHAnsi" w:hAnsi="Arial" w:cs="Arial"/>
                <w:sz w:val="22"/>
                <w:szCs w:val="22"/>
                <w:lang w:eastAsia="en-US"/>
              </w:rPr>
              <w:t xml:space="preserve">B  Friends and Family Test (FFT) </w:t>
            </w:r>
          </w:p>
          <w:tbl>
            <w:tblPr>
              <w:tblpPr w:leftFromText="180" w:rightFromText="180" w:vertAnchor="text" w:horzAnchor="margin" w:tblpXSpec="right" w:tblpY="-177"/>
              <w:tblOverlap w:val="never"/>
              <w:tblW w:w="2585"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00"/>
              <w:gridCol w:w="891"/>
              <w:gridCol w:w="914"/>
              <w:gridCol w:w="786"/>
            </w:tblGrid>
            <w:tr w:rsidR="002B4829" w:rsidRPr="00E50ED4" w:rsidTr="00816017">
              <w:tc>
                <w:tcPr>
                  <w:tcW w:w="4991" w:type="dxa"/>
                  <w:gridSpan w:val="4"/>
                  <w:tcBorders>
                    <w:top w:val="single" w:sz="8" w:space="0" w:color="E6E6FA"/>
                    <w:left w:val="single" w:sz="8" w:space="0" w:color="E6E6FA"/>
                    <w:bottom w:val="single" w:sz="8" w:space="0" w:color="E6E6FA"/>
                    <w:right w:val="single" w:sz="8" w:space="0" w:color="E6E6FA"/>
                  </w:tcBorders>
                  <w:shd w:val="clear" w:color="auto" w:fill="EEEE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2014-15 Year to date</w:t>
                  </w:r>
                </w:p>
              </w:tc>
            </w:tr>
            <w:tr w:rsidR="002B4829" w:rsidRPr="00E50ED4" w:rsidTr="00816017">
              <w:tc>
                <w:tcPr>
                  <w:tcW w:w="2400"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p>
              </w:tc>
              <w:tc>
                <w:tcPr>
                  <w:tcW w:w="891"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Target</w:t>
                  </w:r>
                </w:p>
              </w:tc>
              <w:tc>
                <w:tcPr>
                  <w:tcW w:w="914"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Value</w:t>
                  </w:r>
                </w:p>
              </w:tc>
              <w:tc>
                <w:tcPr>
                  <w:tcW w:w="786"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Status</w:t>
                  </w:r>
                </w:p>
              </w:tc>
            </w:tr>
            <w:tr w:rsidR="002B4829" w:rsidRPr="00E50ED4" w:rsidTr="00816017">
              <w:tc>
                <w:tcPr>
                  <w:tcW w:w="2400"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2B4829" w:rsidRPr="00E50ED4" w:rsidRDefault="002B4829" w:rsidP="00816017">
                  <w:pPr>
                    <w:rPr>
                      <w:rFonts w:ascii="Verdana" w:eastAsia="Verdana" w:hAnsi="Verdana" w:cs="Verdana"/>
                      <w:color w:val="000000"/>
                      <w:sz w:val="16"/>
                      <w:szCs w:val="16"/>
                    </w:rPr>
                  </w:pPr>
                  <w:r w:rsidRPr="00E50ED4">
                    <w:rPr>
                      <w:rFonts w:ascii="Verdana" w:eastAsia="Verdana" w:hAnsi="Verdana" w:cs="Verdana"/>
                      <w:color w:val="000000"/>
                      <w:sz w:val="16"/>
                      <w:szCs w:val="16"/>
                    </w:rPr>
                    <w:t>CB13210 - AAE ‘% recommend service’</w:t>
                  </w:r>
                </w:p>
              </w:tc>
              <w:tc>
                <w:tcPr>
                  <w:tcW w:w="891"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86.83%</w:t>
                  </w:r>
                </w:p>
              </w:tc>
              <w:tc>
                <w:tcPr>
                  <w:tcW w:w="914"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89.29%</w:t>
                  </w:r>
                </w:p>
              </w:tc>
              <w:tc>
                <w:tcPr>
                  <w:tcW w:w="786"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noProof/>
                      <w:color w:val="000000"/>
                      <w:sz w:val="16"/>
                    </w:rPr>
                    <w:drawing>
                      <wp:inline distT="0" distB="0" distL="0" distR="0" wp14:anchorId="0B880C2A" wp14:editId="7D475616">
                        <wp:extent cx="207010" cy="207010"/>
                        <wp:effectExtent l="0" t="0" r="2540" b="2540"/>
                        <wp:docPr id="12" name="Picture 1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r>
            <w:tr w:rsidR="002B4829" w:rsidRPr="00E50ED4" w:rsidTr="00816017">
              <w:tc>
                <w:tcPr>
                  <w:tcW w:w="2400"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2B4829" w:rsidRPr="00E50ED4" w:rsidRDefault="002B4829" w:rsidP="00816017">
                  <w:pPr>
                    <w:rPr>
                      <w:rFonts w:ascii="Verdana" w:eastAsia="Verdana" w:hAnsi="Verdana" w:cs="Verdana"/>
                      <w:color w:val="000000"/>
                      <w:sz w:val="16"/>
                    </w:rPr>
                  </w:pPr>
                  <w:r w:rsidRPr="00E50ED4">
                    <w:rPr>
                      <w:rFonts w:ascii="Verdana" w:eastAsia="Verdana" w:hAnsi="Verdana" w:cs="Verdana"/>
                      <w:color w:val="000000"/>
                      <w:sz w:val="16"/>
                    </w:rPr>
                    <w:t>CB13201 - AAE Response rate</w:t>
                  </w:r>
                </w:p>
              </w:tc>
              <w:tc>
                <w:tcPr>
                  <w:tcW w:w="891"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19.62%</w:t>
                  </w:r>
                </w:p>
              </w:tc>
              <w:tc>
                <w:tcPr>
                  <w:tcW w:w="914"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12.28%</w:t>
                  </w:r>
                </w:p>
              </w:tc>
              <w:tc>
                <w:tcPr>
                  <w:tcW w:w="786"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noProof/>
                      <w:color w:val="000000"/>
                      <w:sz w:val="16"/>
                    </w:rPr>
                    <w:drawing>
                      <wp:inline distT="0" distB="0" distL="0" distR="0" wp14:anchorId="34BE77FD" wp14:editId="0A0DF144">
                        <wp:extent cx="207010" cy="207010"/>
                        <wp:effectExtent l="0" t="0" r="2540" b="2540"/>
                        <wp:docPr id="11" name="Picture 1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r>
            <w:tr w:rsidR="002B4829" w:rsidRPr="00E50ED4" w:rsidTr="00816017">
              <w:tc>
                <w:tcPr>
                  <w:tcW w:w="2400"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2B4829" w:rsidRPr="00E50ED4" w:rsidRDefault="002B4829" w:rsidP="00816017">
                  <w:pPr>
                    <w:rPr>
                      <w:rFonts w:ascii="Verdana" w:eastAsia="Verdana" w:hAnsi="Verdana" w:cs="Verdana"/>
                      <w:color w:val="000000"/>
                      <w:sz w:val="16"/>
                    </w:rPr>
                  </w:pPr>
                  <w:r w:rsidRPr="00E50ED4">
                    <w:rPr>
                      <w:rFonts w:ascii="Verdana" w:eastAsia="Verdana" w:hAnsi="Verdana" w:cs="Verdana"/>
                      <w:color w:val="000000"/>
                      <w:sz w:val="16"/>
                    </w:rPr>
                    <w:t>CB13211 - Inpatient ‘% recommend service’</w:t>
                  </w:r>
                </w:p>
              </w:tc>
              <w:tc>
                <w:tcPr>
                  <w:tcW w:w="891"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94.32%</w:t>
                  </w:r>
                </w:p>
              </w:tc>
              <w:tc>
                <w:tcPr>
                  <w:tcW w:w="914"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94.92%</w:t>
                  </w:r>
                </w:p>
              </w:tc>
              <w:tc>
                <w:tcPr>
                  <w:tcW w:w="786"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noProof/>
                      <w:color w:val="000000"/>
                      <w:sz w:val="16"/>
                    </w:rPr>
                    <w:drawing>
                      <wp:inline distT="0" distB="0" distL="0" distR="0" wp14:anchorId="53ED74B3" wp14:editId="57A2DD4E">
                        <wp:extent cx="207010" cy="207010"/>
                        <wp:effectExtent l="0" t="0" r="2540" b="2540"/>
                        <wp:docPr id="10" name="Pictur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r>
            <w:tr w:rsidR="002B4829" w:rsidRPr="00E50ED4" w:rsidTr="00816017">
              <w:tc>
                <w:tcPr>
                  <w:tcW w:w="2400"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2B4829" w:rsidRPr="00E50ED4" w:rsidRDefault="002B4829" w:rsidP="00816017">
                  <w:pPr>
                    <w:rPr>
                      <w:rFonts w:ascii="Verdana" w:eastAsia="Verdana" w:hAnsi="Verdana" w:cs="Verdana"/>
                      <w:color w:val="000000"/>
                      <w:sz w:val="16"/>
                    </w:rPr>
                  </w:pPr>
                  <w:r w:rsidRPr="00E50ED4">
                    <w:rPr>
                      <w:rFonts w:ascii="Verdana" w:eastAsia="Verdana" w:hAnsi="Verdana" w:cs="Verdana"/>
                      <w:color w:val="000000"/>
                      <w:sz w:val="16"/>
                    </w:rPr>
                    <w:t>CB13203 - Inpatient Response rate</w:t>
                  </w:r>
                </w:p>
              </w:tc>
              <w:tc>
                <w:tcPr>
                  <w:tcW w:w="891"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36.84%</w:t>
                  </w:r>
                </w:p>
              </w:tc>
              <w:tc>
                <w:tcPr>
                  <w:tcW w:w="914"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39.50%</w:t>
                  </w:r>
                </w:p>
              </w:tc>
              <w:tc>
                <w:tcPr>
                  <w:tcW w:w="786"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noProof/>
                      <w:color w:val="000000"/>
                      <w:sz w:val="16"/>
                    </w:rPr>
                    <w:drawing>
                      <wp:inline distT="0" distB="0" distL="0" distR="0" wp14:anchorId="1E10D0DB" wp14:editId="06291B08">
                        <wp:extent cx="207010" cy="207010"/>
                        <wp:effectExtent l="0" t="0" r="2540" b="2540"/>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r>
            <w:tr w:rsidR="002B4829" w:rsidRPr="00E50ED4" w:rsidTr="00816017">
              <w:tc>
                <w:tcPr>
                  <w:tcW w:w="2400"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2B4829" w:rsidRPr="00E50ED4" w:rsidRDefault="002B4829" w:rsidP="00816017">
                  <w:pPr>
                    <w:rPr>
                      <w:rFonts w:ascii="Verdana" w:eastAsia="Verdana" w:hAnsi="Verdana" w:cs="Verdana"/>
                      <w:color w:val="000000"/>
                      <w:sz w:val="16"/>
                    </w:rPr>
                  </w:pPr>
                  <w:r w:rsidRPr="00E50ED4">
                    <w:rPr>
                      <w:rFonts w:ascii="Verdana" w:eastAsia="Verdana" w:hAnsi="Verdana" w:cs="Verdana"/>
                      <w:color w:val="000000"/>
                      <w:sz w:val="16"/>
                    </w:rPr>
                    <w:t>CB13216 - Maternity Combined ‘% recommend service’</w:t>
                  </w:r>
                </w:p>
              </w:tc>
              <w:tc>
                <w:tcPr>
                  <w:tcW w:w="891"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94.48%</w:t>
                  </w:r>
                </w:p>
              </w:tc>
              <w:tc>
                <w:tcPr>
                  <w:tcW w:w="914"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94.84%</w:t>
                  </w:r>
                </w:p>
              </w:tc>
              <w:tc>
                <w:tcPr>
                  <w:tcW w:w="786"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noProof/>
                      <w:color w:val="000000"/>
                      <w:sz w:val="16"/>
                    </w:rPr>
                    <w:drawing>
                      <wp:inline distT="0" distB="0" distL="0" distR="0" wp14:anchorId="71FEC198" wp14:editId="5555CD31">
                        <wp:extent cx="207010" cy="207010"/>
                        <wp:effectExtent l="0" t="0" r="2540" b="254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r>
            <w:tr w:rsidR="002B4829" w:rsidRPr="00E50ED4" w:rsidTr="00816017">
              <w:tc>
                <w:tcPr>
                  <w:tcW w:w="2400"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2B4829" w:rsidRPr="00E50ED4" w:rsidRDefault="002B4829" w:rsidP="00816017">
                  <w:pPr>
                    <w:rPr>
                      <w:rFonts w:ascii="Verdana" w:eastAsia="Verdana" w:hAnsi="Verdana" w:cs="Verdana"/>
                      <w:color w:val="000000"/>
                      <w:sz w:val="16"/>
                    </w:rPr>
                  </w:pPr>
                  <w:r w:rsidRPr="00E50ED4">
                    <w:rPr>
                      <w:rFonts w:ascii="Verdana" w:eastAsia="Verdana" w:hAnsi="Verdana" w:cs="Verdana"/>
                      <w:color w:val="000000"/>
                      <w:sz w:val="16"/>
                    </w:rPr>
                    <w:t>CB13205 - Maternity (Birth) Response rate</w:t>
                  </w:r>
                </w:p>
              </w:tc>
              <w:tc>
                <w:tcPr>
                  <w:tcW w:w="891"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22.36%</w:t>
                  </w:r>
                </w:p>
              </w:tc>
              <w:tc>
                <w:tcPr>
                  <w:tcW w:w="914"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21.13%</w:t>
                  </w:r>
                </w:p>
              </w:tc>
              <w:tc>
                <w:tcPr>
                  <w:tcW w:w="786"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noProof/>
                      <w:color w:val="000000"/>
                      <w:sz w:val="16"/>
                    </w:rPr>
                    <w:drawing>
                      <wp:inline distT="0" distB="0" distL="0" distR="0" wp14:anchorId="57ADBD12" wp14:editId="3F3B4770">
                        <wp:extent cx="207010" cy="207010"/>
                        <wp:effectExtent l="0" t="0" r="2540" b="2540"/>
                        <wp:docPr id="7" name="Picture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r>
            <w:tr w:rsidR="002B4829" w:rsidRPr="00E50ED4" w:rsidTr="00816017">
              <w:tc>
                <w:tcPr>
                  <w:tcW w:w="2400" w:type="dxa"/>
                  <w:tcBorders>
                    <w:top w:val="single" w:sz="8" w:space="0" w:color="E6E6FA"/>
                    <w:left w:val="single" w:sz="8" w:space="0" w:color="E6E6FA"/>
                    <w:bottom w:val="single" w:sz="8" w:space="0" w:color="E6E6FA"/>
                    <w:right w:val="single" w:sz="8" w:space="0" w:color="E6E6FA"/>
                  </w:tcBorders>
                  <w:shd w:val="clear" w:color="auto" w:fill="C0C0C0"/>
                  <w:tcMar>
                    <w:top w:w="40" w:type="dxa"/>
                    <w:left w:w="40" w:type="dxa"/>
                    <w:bottom w:w="40" w:type="dxa"/>
                    <w:right w:w="40" w:type="dxa"/>
                  </w:tcMar>
                  <w:vAlign w:val="center"/>
                </w:tcPr>
                <w:p w:rsidR="002B4829" w:rsidRPr="00E50ED4" w:rsidRDefault="002B4829" w:rsidP="00816017">
                  <w:pPr>
                    <w:rPr>
                      <w:rFonts w:ascii="Verdana" w:eastAsia="Verdana" w:hAnsi="Verdana" w:cs="Verdana"/>
                      <w:color w:val="000000"/>
                      <w:sz w:val="16"/>
                    </w:rPr>
                  </w:pPr>
                  <w:r w:rsidRPr="00E50ED4">
                    <w:rPr>
                      <w:rFonts w:ascii="Verdana" w:eastAsia="Verdana" w:hAnsi="Verdana" w:cs="Verdana"/>
                      <w:color w:val="000000"/>
                      <w:sz w:val="16"/>
                    </w:rPr>
                    <w:t>CB13002 – Employee ‘</w:t>
                  </w:r>
                  <w:proofErr w:type="spellStart"/>
                  <w:r w:rsidRPr="00E50ED4">
                    <w:rPr>
                      <w:rFonts w:ascii="Verdana" w:eastAsia="Verdana" w:hAnsi="Verdana" w:cs="Verdana"/>
                      <w:color w:val="000000"/>
                      <w:sz w:val="16"/>
                    </w:rPr>
                    <w:t>recommed</w:t>
                  </w:r>
                  <w:proofErr w:type="spellEnd"/>
                  <w:r w:rsidRPr="00E50ED4">
                    <w:rPr>
                      <w:rFonts w:ascii="Verdana" w:eastAsia="Verdana" w:hAnsi="Verdana" w:cs="Verdana"/>
                      <w:color w:val="000000"/>
                      <w:sz w:val="16"/>
                    </w:rPr>
                    <w:t xml:space="preserve"> care’</w:t>
                  </w:r>
                </w:p>
              </w:tc>
              <w:tc>
                <w:tcPr>
                  <w:tcW w:w="891"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75.61%</w:t>
                  </w:r>
                </w:p>
              </w:tc>
              <w:tc>
                <w:tcPr>
                  <w:tcW w:w="914"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color w:val="000000"/>
                      <w:sz w:val="16"/>
                    </w:rPr>
                    <w:t>55.96%</w:t>
                  </w:r>
                </w:p>
              </w:tc>
              <w:tc>
                <w:tcPr>
                  <w:tcW w:w="786" w:type="dxa"/>
                  <w:tcBorders>
                    <w:top w:val="single" w:sz="8" w:space="0" w:color="E6E6FA"/>
                    <w:left w:val="single" w:sz="8" w:space="0" w:color="E6E6FA"/>
                    <w:bottom w:val="single" w:sz="8" w:space="0" w:color="E6E6FA"/>
                    <w:right w:val="single" w:sz="8" w:space="0" w:color="E6E6FA"/>
                  </w:tcBorders>
                  <w:shd w:val="clear" w:color="auto" w:fill="FFFFFF"/>
                  <w:tcMar>
                    <w:top w:w="40" w:type="dxa"/>
                    <w:left w:w="40" w:type="dxa"/>
                    <w:bottom w:w="40" w:type="dxa"/>
                    <w:right w:w="40" w:type="dxa"/>
                  </w:tcMar>
                  <w:vAlign w:val="center"/>
                </w:tcPr>
                <w:p w:rsidR="002B4829" w:rsidRPr="00E50ED4" w:rsidRDefault="002B4829" w:rsidP="00816017">
                  <w:pPr>
                    <w:jc w:val="center"/>
                    <w:rPr>
                      <w:rFonts w:ascii="Verdana" w:eastAsia="Verdana" w:hAnsi="Verdana" w:cs="Verdana"/>
                      <w:color w:val="000000"/>
                      <w:sz w:val="16"/>
                    </w:rPr>
                  </w:pPr>
                  <w:r w:rsidRPr="00E50ED4">
                    <w:rPr>
                      <w:rFonts w:ascii="Verdana" w:eastAsia="Verdana" w:hAnsi="Verdana" w:cs="Verdana"/>
                      <w:noProof/>
                      <w:color w:val="000000"/>
                      <w:sz w:val="16"/>
                    </w:rPr>
                    <w:drawing>
                      <wp:inline distT="0" distB="0" distL="0" distR="0" wp14:anchorId="60305CBE" wp14:editId="3A62C2AF">
                        <wp:extent cx="207010" cy="207010"/>
                        <wp:effectExtent l="0" t="0" r="2540" b="254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pic:cNvPicPr>
                                  <a:picLocks noChangeAspect="1" noChangeArrowheads="1"/>
                                </pic:cNvPicPr>
                              </pic:nvPicPr>
                              <pic:blipFill>
                                <a:blip r:embed="rId14">
                                  <a:extLst>
                                    <a:ext uri="{28A0092B-C50C-407E-A947-70E740481C1C}">
                                      <a14:useLocalDpi xmlns:a14="http://schemas.microsoft.com/office/drawing/2010/main" val="0"/>
                                    </a:ext>
                                  </a:extLst>
                                </a:blip>
                                <a:srcRect/>
                                <a:stretch>
                                  <a:fillRect/>
                                </a:stretch>
                              </pic:blipFill>
                              <pic:spPr bwMode="auto">
                                <a:xfrm>
                                  <a:off x="0" y="0"/>
                                  <a:ext cx="207010" cy="207010"/>
                                </a:xfrm>
                                <a:prstGeom prst="rect">
                                  <a:avLst/>
                                </a:prstGeom>
                                <a:noFill/>
                                <a:ln>
                                  <a:noFill/>
                                </a:ln>
                              </pic:spPr>
                            </pic:pic>
                          </a:graphicData>
                        </a:graphic>
                      </wp:inline>
                    </w:drawing>
                  </w:r>
                </w:p>
              </w:tc>
            </w:tr>
          </w:tbl>
          <w:p w:rsidR="002B4829" w:rsidRPr="00E50ED4" w:rsidRDefault="002B4829" w:rsidP="002B4829">
            <w:pPr>
              <w:rPr>
                <w:rFonts w:ascii="Arial" w:eastAsia="Verdana" w:hAnsi="Arial" w:cs="Arial"/>
                <w:color w:val="000000"/>
                <w:sz w:val="20"/>
                <w:szCs w:val="20"/>
              </w:rPr>
            </w:pPr>
            <w:r w:rsidRPr="00E50ED4">
              <w:rPr>
                <w:rFonts w:ascii="Arial" w:eastAsia="Verdana" w:hAnsi="Arial" w:cs="Arial"/>
                <w:color w:val="000000"/>
                <w:sz w:val="20"/>
                <w:szCs w:val="20"/>
              </w:rPr>
              <w:t xml:space="preserve">The Friends and Family Test (FFT) measure for 2014/15 is undergoing a phased expansion rolling out to include staff and other services.  From April 2014 there is now a measure and response rate for A&amp;E, Inpatient, Maternity and Staff.  Year to date (February 2015) </w:t>
            </w:r>
          </w:p>
          <w:p w:rsidR="002B4829" w:rsidRPr="00E50ED4" w:rsidRDefault="002B4829" w:rsidP="002B4829">
            <w:pPr>
              <w:rPr>
                <w:rFonts w:ascii="Arial" w:eastAsia="Verdana" w:hAnsi="Arial" w:cs="Arial"/>
                <w:color w:val="000000"/>
                <w:sz w:val="20"/>
                <w:szCs w:val="20"/>
              </w:rPr>
            </w:pPr>
            <w:proofErr w:type="gramStart"/>
            <w:r w:rsidRPr="00E50ED4">
              <w:rPr>
                <w:rFonts w:ascii="Arial" w:eastAsia="Verdana" w:hAnsi="Arial" w:cs="Arial"/>
                <w:color w:val="000000"/>
                <w:sz w:val="20"/>
                <w:szCs w:val="20"/>
              </w:rPr>
              <w:t>performance</w:t>
            </w:r>
            <w:proofErr w:type="gramEnd"/>
            <w:r w:rsidRPr="00E50ED4">
              <w:rPr>
                <w:rFonts w:ascii="Arial" w:eastAsia="Verdana" w:hAnsi="Arial" w:cs="Arial"/>
                <w:color w:val="000000"/>
                <w:sz w:val="20"/>
                <w:szCs w:val="20"/>
              </w:rPr>
              <w:t xml:space="preserve"> shows that at trust level we are below target for Staff ‘% recommend service’ when looking at how others are performing nationally.  In respect of response rate currently Year to date we are meeting the target for Inpatient, however at trust level we are below target for A&amp;E and Maternity (Birth).</w:t>
            </w:r>
          </w:p>
          <w:p w:rsidR="002B4829" w:rsidRPr="00E50ED4" w:rsidRDefault="002B4829" w:rsidP="002B4829">
            <w:pPr>
              <w:spacing w:after="200" w:line="276" w:lineRule="auto"/>
              <w:jc w:val="both"/>
              <w:rPr>
                <w:sz w:val="22"/>
                <w:szCs w:val="22"/>
              </w:rPr>
            </w:pPr>
          </w:p>
          <w:p w:rsidR="002B4829" w:rsidRPr="00E50ED4" w:rsidRDefault="002B4829" w:rsidP="002B4829">
            <w:pPr>
              <w:spacing w:after="200" w:line="276" w:lineRule="auto"/>
              <w:jc w:val="both"/>
              <w:rPr>
                <w:rFonts w:ascii="Arial" w:eastAsiaTheme="minorHAnsi" w:hAnsi="Arial" w:cs="Arial"/>
                <w:color w:val="FF0000"/>
                <w:sz w:val="20"/>
                <w:szCs w:val="20"/>
                <w:lang w:eastAsia="en-US"/>
              </w:rPr>
            </w:pPr>
            <w:r w:rsidRPr="00E50ED4">
              <w:rPr>
                <w:rFonts w:ascii="Arial" w:hAnsi="Arial" w:cs="Arial"/>
                <w:color w:val="FF0000"/>
                <w:sz w:val="20"/>
                <w:szCs w:val="20"/>
              </w:rPr>
              <w:t xml:space="preserve">FFT was implemented within GP Practices on the 1st December 2014, however NHS England are yet to publish any data. </w:t>
            </w:r>
          </w:p>
          <w:p w:rsidR="002B4829" w:rsidRPr="00E50ED4" w:rsidRDefault="002B4829" w:rsidP="002B4829">
            <w:pPr>
              <w:spacing w:after="200" w:line="276" w:lineRule="auto"/>
              <w:jc w:val="both"/>
              <w:rPr>
                <w:rFonts w:ascii="Arial" w:eastAsiaTheme="minorHAnsi" w:hAnsi="Arial" w:cs="Arial"/>
                <w:sz w:val="22"/>
                <w:szCs w:val="22"/>
                <w:lang w:eastAsia="en-US"/>
              </w:rPr>
            </w:pPr>
          </w:p>
          <w:p w:rsidR="00E92F81" w:rsidRPr="00E50ED4" w:rsidRDefault="00E92F81" w:rsidP="006E77B2">
            <w:pPr>
              <w:spacing w:after="200" w:line="276" w:lineRule="auto"/>
              <w:jc w:val="both"/>
              <w:rPr>
                <w:rFonts w:ascii="Arial" w:eastAsiaTheme="minorHAnsi" w:hAnsi="Arial" w:cs="Arial"/>
                <w:sz w:val="22"/>
                <w:szCs w:val="22"/>
                <w:lang w:eastAsia="en-US"/>
              </w:rPr>
            </w:pPr>
          </w:p>
        </w:tc>
      </w:tr>
    </w:tbl>
    <w:p w:rsidR="00A03A97" w:rsidRPr="002B4829" w:rsidRDefault="00A03A97" w:rsidP="00DA5437">
      <w:pPr>
        <w:spacing w:line="276" w:lineRule="auto"/>
        <w:jc w:val="both"/>
        <w:rPr>
          <w:rFonts w:ascii="Arial" w:hAnsi="Arial" w:cs="Arial"/>
          <w:b/>
          <w:sz w:val="22"/>
          <w:szCs w:val="22"/>
        </w:rPr>
      </w:pPr>
    </w:p>
    <w:tbl>
      <w:tblPr>
        <w:tblW w:w="9889" w:type="dxa"/>
        <w:tblBorders>
          <w:top w:val="double" w:sz="6" w:space="0" w:color="auto"/>
          <w:left w:val="double" w:sz="6" w:space="0" w:color="auto"/>
          <w:bottom w:val="double" w:sz="6" w:space="0" w:color="auto"/>
          <w:right w:val="double" w:sz="6" w:space="0" w:color="auto"/>
        </w:tblBorders>
        <w:tblLook w:val="01E0" w:firstRow="1" w:lastRow="1" w:firstColumn="1" w:lastColumn="1" w:noHBand="0" w:noVBand="0"/>
      </w:tblPr>
      <w:tblGrid>
        <w:gridCol w:w="658"/>
        <w:gridCol w:w="6820"/>
        <w:gridCol w:w="2411"/>
      </w:tblGrid>
      <w:tr w:rsidR="006A2E19" w:rsidRPr="002B4829" w:rsidTr="00DD7564">
        <w:trPr>
          <w:trHeight w:val="787"/>
        </w:trPr>
        <w:tc>
          <w:tcPr>
            <w:tcW w:w="9889" w:type="dxa"/>
            <w:gridSpan w:val="3"/>
            <w:shd w:val="clear" w:color="auto" w:fill="auto"/>
          </w:tcPr>
          <w:p w:rsidR="006A2E19" w:rsidRPr="002B4829" w:rsidRDefault="006A2E19" w:rsidP="00DA5437">
            <w:pPr>
              <w:spacing w:line="276" w:lineRule="auto"/>
              <w:jc w:val="both"/>
              <w:rPr>
                <w:rFonts w:ascii="Arial" w:hAnsi="Arial" w:cs="Arial"/>
                <w:b/>
                <w:bCs/>
                <w:sz w:val="22"/>
                <w:szCs w:val="22"/>
              </w:rPr>
            </w:pPr>
          </w:p>
          <w:p w:rsidR="006A2E19" w:rsidRPr="002B4829" w:rsidRDefault="006A2E19" w:rsidP="00DA5437">
            <w:pPr>
              <w:spacing w:line="276" w:lineRule="auto"/>
              <w:jc w:val="both"/>
              <w:rPr>
                <w:rFonts w:ascii="Arial" w:hAnsi="Arial" w:cs="Arial"/>
                <w:b/>
                <w:bCs/>
                <w:sz w:val="22"/>
                <w:szCs w:val="22"/>
              </w:rPr>
            </w:pPr>
            <w:r w:rsidRPr="002B4829">
              <w:rPr>
                <w:rFonts w:ascii="Arial" w:hAnsi="Arial" w:cs="Arial"/>
                <w:b/>
                <w:bCs/>
                <w:sz w:val="22"/>
                <w:szCs w:val="22"/>
              </w:rPr>
              <w:t xml:space="preserve">RECOMMENDATIONS (R) AND ACTIONS (A) FOR AGREEMENT </w:t>
            </w:r>
          </w:p>
          <w:p w:rsidR="00AF1211" w:rsidRPr="002B4829" w:rsidRDefault="00AF1211" w:rsidP="00DA5437">
            <w:pPr>
              <w:spacing w:line="276" w:lineRule="auto"/>
              <w:jc w:val="both"/>
              <w:rPr>
                <w:rFonts w:ascii="Arial" w:hAnsi="Arial" w:cs="Arial"/>
                <w:b/>
                <w:bCs/>
                <w:sz w:val="22"/>
                <w:szCs w:val="22"/>
              </w:rPr>
            </w:pPr>
          </w:p>
        </w:tc>
      </w:tr>
      <w:tr w:rsidR="00DD689C" w:rsidRPr="002B4829" w:rsidTr="00DD7564">
        <w:trPr>
          <w:trHeight w:val="370"/>
        </w:trPr>
        <w:tc>
          <w:tcPr>
            <w:tcW w:w="658" w:type="dxa"/>
            <w:shd w:val="clear" w:color="auto" w:fill="auto"/>
          </w:tcPr>
          <w:p w:rsidR="00DD689C" w:rsidRPr="002B4829" w:rsidRDefault="00DD689C" w:rsidP="00DA5437">
            <w:pPr>
              <w:spacing w:line="276" w:lineRule="auto"/>
              <w:jc w:val="both"/>
              <w:rPr>
                <w:rFonts w:ascii="Arial" w:hAnsi="Arial" w:cs="Arial"/>
                <w:bCs/>
                <w:sz w:val="22"/>
                <w:szCs w:val="22"/>
              </w:rPr>
            </w:pPr>
          </w:p>
        </w:tc>
        <w:tc>
          <w:tcPr>
            <w:tcW w:w="6820" w:type="dxa"/>
            <w:shd w:val="clear" w:color="auto" w:fill="auto"/>
          </w:tcPr>
          <w:p w:rsidR="00DD689C" w:rsidRPr="002B4829" w:rsidRDefault="00EA2B4C" w:rsidP="00DA5437">
            <w:pPr>
              <w:spacing w:line="276" w:lineRule="auto"/>
              <w:jc w:val="both"/>
              <w:rPr>
                <w:rFonts w:ascii="Arial" w:hAnsi="Arial" w:cs="Arial"/>
                <w:bCs/>
                <w:sz w:val="22"/>
                <w:szCs w:val="22"/>
              </w:rPr>
            </w:pPr>
            <w:r w:rsidRPr="002B4829">
              <w:rPr>
                <w:rFonts w:ascii="Arial" w:hAnsi="Arial" w:cs="Arial"/>
                <w:bCs/>
                <w:sz w:val="22"/>
                <w:szCs w:val="22"/>
              </w:rPr>
              <w:t>Members of the Board are asked to note the content of the report and endorse the on-going monitoring of quality issues by the Quality Committee.</w:t>
            </w:r>
          </w:p>
        </w:tc>
        <w:tc>
          <w:tcPr>
            <w:tcW w:w="2411" w:type="dxa"/>
            <w:shd w:val="clear" w:color="auto" w:fill="auto"/>
          </w:tcPr>
          <w:p w:rsidR="00DD689C" w:rsidRPr="002B4829" w:rsidRDefault="00DD689C" w:rsidP="00DA5437">
            <w:pPr>
              <w:spacing w:line="276" w:lineRule="auto"/>
              <w:jc w:val="both"/>
              <w:rPr>
                <w:rFonts w:ascii="Arial" w:hAnsi="Arial" w:cs="Arial"/>
                <w:bCs/>
                <w:sz w:val="22"/>
                <w:szCs w:val="22"/>
              </w:rPr>
            </w:pPr>
          </w:p>
        </w:tc>
      </w:tr>
    </w:tbl>
    <w:tbl>
      <w:tblPr>
        <w:tblpPr w:leftFromText="180" w:rightFromText="180" w:vertAnchor="text" w:horzAnchor="margin" w:tblpY="165"/>
        <w:tblW w:w="9889" w:type="dxa"/>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Layout w:type="fixed"/>
        <w:tblLook w:val="01E0" w:firstRow="1" w:lastRow="1" w:firstColumn="1" w:lastColumn="1" w:noHBand="0" w:noVBand="0"/>
      </w:tblPr>
      <w:tblGrid>
        <w:gridCol w:w="720"/>
        <w:gridCol w:w="4917"/>
        <w:gridCol w:w="1134"/>
        <w:gridCol w:w="3118"/>
      </w:tblGrid>
      <w:tr w:rsidR="00434960" w:rsidRPr="002B4829" w:rsidTr="00434960">
        <w:trPr>
          <w:trHeight w:val="822"/>
          <w:tblHeader/>
        </w:trPr>
        <w:tc>
          <w:tcPr>
            <w:tcW w:w="720" w:type="dxa"/>
            <w:shd w:val="clear" w:color="auto" w:fill="C0C0C0"/>
            <w:vAlign w:val="center"/>
          </w:tcPr>
          <w:p w:rsidR="00434960" w:rsidRPr="002B4829" w:rsidRDefault="00434960" w:rsidP="00434960">
            <w:pPr>
              <w:spacing w:before="80" w:after="80"/>
              <w:jc w:val="center"/>
              <w:rPr>
                <w:rFonts w:ascii="Arial" w:hAnsi="Arial" w:cs="Arial"/>
                <w:b/>
                <w:sz w:val="22"/>
                <w:szCs w:val="22"/>
              </w:rPr>
            </w:pPr>
          </w:p>
        </w:tc>
        <w:tc>
          <w:tcPr>
            <w:tcW w:w="4917" w:type="dxa"/>
            <w:shd w:val="clear" w:color="auto" w:fill="C0C0C0"/>
            <w:vAlign w:val="center"/>
          </w:tcPr>
          <w:p w:rsidR="00434960" w:rsidRPr="002B4829" w:rsidRDefault="00434960" w:rsidP="00434960">
            <w:pPr>
              <w:spacing w:before="80" w:after="80"/>
              <w:rPr>
                <w:rFonts w:ascii="Arial" w:hAnsi="Arial" w:cs="Arial"/>
                <w:b/>
                <w:sz w:val="22"/>
                <w:szCs w:val="22"/>
              </w:rPr>
            </w:pPr>
          </w:p>
        </w:tc>
        <w:tc>
          <w:tcPr>
            <w:tcW w:w="1134" w:type="dxa"/>
            <w:shd w:val="clear" w:color="auto" w:fill="C0C0C0"/>
            <w:vAlign w:val="center"/>
          </w:tcPr>
          <w:p w:rsidR="00434960" w:rsidRPr="002B4829" w:rsidRDefault="00434960" w:rsidP="00434960">
            <w:pPr>
              <w:spacing w:before="80" w:after="80"/>
              <w:jc w:val="center"/>
              <w:rPr>
                <w:rFonts w:ascii="Arial" w:hAnsi="Arial" w:cs="Arial"/>
                <w:b/>
                <w:sz w:val="22"/>
                <w:szCs w:val="22"/>
              </w:rPr>
            </w:pPr>
          </w:p>
          <w:p w:rsidR="00434960" w:rsidRPr="002B4829" w:rsidRDefault="00434960" w:rsidP="00434960">
            <w:pPr>
              <w:spacing w:before="80" w:after="80"/>
              <w:jc w:val="center"/>
              <w:rPr>
                <w:rFonts w:ascii="Arial" w:hAnsi="Arial" w:cs="Arial"/>
                <w:b/>
                <w:sz w:val="22"/>
                <w:szCs w:val="22"/>
              </w:rPr>
            </w:pPr>
            <w:r w:rsidRPr="002B4829">
              <w:rPr>
                <w:rFonts w:ascii="Arial" w:hAnsi="Arial" w:cs="Arial"/>
                <w:b/>
                <w:sz w:val="22"/>
                <w:szCs w:val="22"/>
              </w:rPr>
              <w:t>Yes/No</w:t>
            </w:r>
            <w:r w:rsidRPr="002B4829">
              <w:rPr>
                <w:rFonts w:ascii="Arial" w:hAnsi="Arial" w:cs="Arial"/>
                <w:b/>
                <w:sz w:val="22"/>
                <w:szCs w:val="22"/>
              </w:rPr>
              <w:br/>
            </w:r>
          </w:p>
        </w:tc>
        <w:tc>
          <w:tcPr>
            <w:tcW w:w="3118" w:type="dxa"/>
            <w:shd w:val="clear" w:color="auto" w:fill="C0C0C0"/>
            <w:vAlign w:val="center"/>
          </w:tcPr>
          <w:p w:rsidR="00434960" w:rsidRPr="002B4829" w:rsidRDefault="00434960" w:rsidP="00434960">
            <w:pPr>
              <w:spacing w:before="80" w:after="80"/>
              <w:jc w:val="center"/>
              <w:rPr>
                <w:rFonts w:ascii="Arial" w:hAnsi="Arial" w:cs="Arial"/>
                <w:b/>
                <w:sz w:val="22"/>
                <w:szCs w:val="22"/>
              </w:rPr>
            </w:pPr>
            <w:r w:rsidRPr="002B4829">
              <w:rPr>
                <w:rFonts w:ascii="Arial" w:hAnsi="Arial" w:cs="Arial"/>
                <w:b/>
                <w:sz w:val="22"/>
                <w:szCs w:val="22"/>
              </w:rPr>
              <w:t>Comments</w:t>
            </w: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Does the document take account of and meet the requirements of the following:</w:t>
            </w:r>
          </w:p>
        </w:tc>
        <w:tc>
          <w:tcPr>
            <w:tcW w:w="1134" w:type="dxa"/>
            <w:shd w:val="clear" w:color="auto" w:fill="auto"/>
          </w:tcPr>
          <w:p w:rsidR="00434960" w:rsidRPr="002B4829" w:rsidRDefault="00434960" w:rsidP="00434960">
            <w:pPr>
              <w:spacing w:before="80" w:after="80"/>
              <w:jc w:val="center"/>
              <w:rPr>
                <w:rFonts w:ascii="Arial" w:hAnsi="Arial" w:cs="Arial"/>
                <w:sz w:val="22"/>
                <w:szCs w:val="22"/>
              </w:rPr>
            </w:pP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Mental Capacity Act</w:t>
            </w:r>
          </w:p>
        </w:tc>
        <w:tc>
          <w:tcPr>
            <w:tcW w:w="1134" w:type="dxa"/>
            <w:shd w:val="clear" w:color="auto" w:fill="auto"/>
          </w:tcPr>
          <w:p w:rsidR="00434960" w:rsidRPr="002B4829" w:rsidRDefault="00434960" w:rsidP="00434960">
            <w:pPr>
              <w:spacing w:before="80" w:after="80"/>
              <w:jc w:val="center"/>
              <w:rPr>
                <w:rFonts w:ascii="Arial" w:hAnsi="Arial" w:cs="Arial"/>
                <w:sz w:val="22"/>
                <w:szCs w:val="22"/>
              </w:rPr>
            </w:pPr>
            <w:r w:rsidRPr="002B4829">
              <w:rPr>
                <w:rFonts w:ascii="Arial" w:hAnsi="Arial" w:cs="Arial"/>
                <w:sz w:val="22"/>
                <w:szCs w:val="22"/>
              </w:rPr>
              <w:t>Y</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lastRenderedPageBreak/>
              <w:t>ii)</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CCG  Equality Impact Assessment</w:t>
            </w:r>
          </w:p>
        </w:tc>
        <w:tc>
          <w:tcPr>
            <w:tcW w:w="1134" w:type="dxa"/>
            <w:shd w:val="clear" w:color="auto" w:fill="auto"/>
          </w:tcPr>
          <w:p w:rsidR="00434960" w:rsidRPr="002B4829" w:rsidRDefault="00434960" w:rsidP="00434960">
            <w:pPr>
              <w:spacing w:before="80" w:after="80"/>
              <w:jc w:val="center"/>
              <w:rPr>
                <w:rFonts w:ascii="Arial" w:hAnsi="Arial" w:cs="Arial"/>
                <w:sz w:val="22"/>
                <w:szCs w:val="22"/>
              </w:rPr>
            </w:pPr>
            <w:r w:rsidRPr="002B4829">
              <w:rPr>
                <w:rFonts w:ascii="Arial" w:hAnsi="Arial" w:cs="Arial"/>
                <w:sz w:val="22"/>
                <w:szCs w:val="22"/>
              </w:rPr>
              <w:t>Y</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iii)</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Human Rights Act 1998</w:t>
            </w:r>
          </w:p>
        </w:tc>
        <w:tc>
          <w:tcPr>
            <w:tcW w:w="1134" w:type="dxa"/>
            <w:shd w:val="clear" w:color="auto" w:fill="auto"/>
          </w:tcPr>
          <w:p w:rsidR="00434960" w:rsidRPr="002B4829" w:rsidRDefault="00434960" w:rsidP="00434960">
            <w:pPr>
              <w:spacing w:before="80" w:after="80"/>
              <w:jc w:val="center"/>
              <w:rPr>
                <w:rFonts w:ascii="Arial" w:hAnsi="Arial" w:cs="Arial"/>
                <w:sz w:val="22"/>
                <w:szCs w:val="22"/>
              </w:rPr>
            </w:pPr>
            <w:r w:rsidRPr="002B4829">
              <w:rPr>
                <w:rFonts w:ascii="Arial" w:hAnsi="Arial" w:cs="Arial"/>
                <w:sz w:val="22"/>
                <w:szCs w:val="22"/>
              </w:rPr>
              <w:t>Y</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iv)</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Health and Safety at Work Act 1974</w:t>
            </w:r>
          </w:p>
        </w:tc>
        <w:tc>
          <w:tcPr>
            <w:tcW w:w="1134" w:type="dxa"/>
            <w:shd w:val="clear" w:color="auto" w:fill="auto"/>
          </w:tcPr>
          <w:p w:rsidR="00434960" w:rsidRPr="002B4829" w:rsidRDefault="00434960" w:rsidP="00434960">
            <w:pPr>
              <w:spacing w:before="80" w:after="80"/>
              <w:jc w:val="center"/>
              <w:rPr>
                <w:rFonts w:ascii="Arial" w:hAnsi="Arial" w:cs="Arial"/>
                <w:sz w:val="22"/>
                <w:szCs w:val="22"/>
              </w:rPr>
            </w:pPr>
            <w:r w:rsidRPr="002B4829">
              <w:rPr>
                <w:rFonts w:ascii="Arial" w:hAnsi="Arial" w:cs="Arial"/>
                <w:sz w:val="22"/>
                <w:szCs w:val="22"/>
              </w:rPr>
              <w:t>Y</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2B4829"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v)</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Freedom of Information Act 2000 / Data Protection Act 1998</w:t>
            </w:r>
          </w:p>
        </w:tc>
        <w:tc>
          <w:tcPr>
            <w:tcW w:w="1134" w:type="dxa"/>
            <w:shd w:val="clear" w:color="auto" w:fill="auto"/>
          </w:tcPr>
          <w:p w:rsidR="00434960" w:rsidRPr="002B4829" w:rsidRDefault="00434960" w:rsidP="00434960">
            <w:pPr>
              <w:spacing w:before="80" w:after="80"/>
              <w:jc w:val="center"/>
              <w:rPr>
                <w:rFonts w:ascii="Arial" w:hAnsi="Arial" w:cs="Arial"/>
                <w:sz w:val="22"/>
                <w:szCs w:val="22"/>
              </w:rPr>
            </w:pPr>
            <w:r w:rsidRPr="002B4829">
              <w:rPr>
                <w:rFonts w:ascii="Arial" w:hAnsi="Arial" w:cs="Arial"/>
                <w:sz w:val="22"/>
                <w:szCs w:val="22"/>
              </w:rPr>
              <w:t>Y</w:t>
            </w:r>
          </w:p>
        </w:tc>
        <w:tc>
          <w:tcPr>
            <w:tcW w:w="3118" w:type="dxa"/>
            <w:shd w:val="clear" w:color="auto" w:fill="auto"/>
          </w:tcPr>
          <w:p w:rsidR="00434960" w:rsidRPr="002B4829" w:rsidRDefault="00434960" w:rsidP="00434960">
            <w:pPr>
              <w:spacing w:before="80" w:after="80"/>
              <w:rPr>
                <w:rFonts w:ascii="Arial" w:hAnsi="Arial" w:cs="Arial"/>
                <w:sz w:val="22"/>
                <w:szCs w:val="22"/>
              </w:rPr>
            </w:pPr>
          </w:p>
        </w:tc>
      </w:tr>
      <w:tr w:rsidR="00434960" w:rsidRPr="00752FD6" w:rsidTr="00434960">
        <w:tc>
          <w:tcPr>
            <w:tcW w:w="720"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iv)</w:t>
            </w:r>
          </w:p>
        </w:tc>
        <w:tc>
          <w:tcPr>
            <w:tcW w:w="4917" w:type="dxa"/>
            <w:shd w:val="clear" w:color="auto" w:fill="auto"/>
          </w:tcPr>
          <w:p w:rsidR="00434960" w:rsidRPr="002B4829" w:rsidRDefault="00434960" w:rsidP="00434960">
            <w:pPr>
              <w:spacing w:before="80" w:after="80"/>
              <w:rPr>
                <w:rFonts w:ascii="Arial" w:hAnsi="Arial" w:cs="Arial"/>
                <w:sz w:val="22"/>
                <w:szCs w:val="22"/>
              </w:rPr>
            </w:pPr>
            <w:r w:rsidRPr="002B4829">
              <w:rPr>
                <w:rFonts w:ascii="Arial" w:hAnsi="Arial" w:cs="Arial"/>
                <w:sz w:val="22"/>
                <w:szCs w:val="22"/>
              </w:rPr>
              <w:t>Does the report have regard of the principles and values of the NHS Constitution?</w:t>
            </w:r>
          </w:p>
          <w:p w:rsidR="00434960" w:rsidRPr="002B4829" w:rsidRDefault="00826DB8" w:rsidP="00434960">
            <w:pPr>
              <w:spacing w:before="80" w:after="80"/>
              <w:rPr>
                <w:rFonts w:ascii="Arial" w:hAnsi="Arial" w:cs="Arial"/>
                <w:sz w:val="22"/>
                <w:szCs w:val="22"/>
              </w:rPr>
            </w:pPr>
            <w:hyperlink r:id="rId16" w:history="1">
              <w:r w:rsidR="00434960" w:rsidRPr="002B4829">
                <w:rPr>
                  <w:rStyle w:val="Hyperlink"/>
                  <w:rFonts w:ascii="Arial" w:hAnsi="Arial" w:cs="Arial"/>
                  <w:sz w:val="22"/>
                  <w:szCs w:val="22"/>
                </w:rPr>
                <w:t>www.dh.gov.uk/en/Publicationsandstatistics/Publications/PublicationsPolicyAndGuidance/DH_113613</w:t>
              </w:r>
            </w:hyperlink>
          </w:p>
        </w:tc>
        <w:tc>
          <w:tcPr>
            <w:tcW w:w="1134" w:type="dxa"/>
            <w:shd w:val="clear" w:color="auto" w:fill="auto"/>
          </w:tcPr>
          <w:p w:rsidR="00434960" w:rsidRPr="00752FD6" w:rsidRDefault="00434960" w:rsidP="00434960">
            <w:pPr>
              <w:spacing w:before="80" w:after="80"/>
              <w:jc w:val="center"/>
              <w:rPr>
                <w:rFonts w:ascii="Arial" w:hAnsi="Arial" w:cs="Arial"/>
                <w:sz w:val="22"/>
                <w:szCs w:val="22"/>
              </w:rPr>
            </w:pPr>
            <w:r w:rsidRPr="002B4829">
              <w:rPr>
                <w:rFonts w:ascii="Arial" w:hAnsi="Arial" w:cs="Arial"/>
                <w:sz w:val="22"/>
                <w:szCs w:val="22"/>
              </w:rPr>
              <w:t>Y</w:t>
            </w:r>
          </w:p>
        </w:tc>
        <w:tc>
          <w:tcPr>
            <w:tcW w:w="3118" w:type="dxa"/>
            <w:shd w:val="clear" w:color="auto" w:fill="auto"/>
          </w:tcPr>
          <w:p w:rsidR="00434960" w:rsidRPr="00752FD6" w:rsidRDefault="00434960" w:rsidP="00434960">
            <w:pPr>
              <w:spacing w:before="80" w:after="80"/>
              <w:rPr>
                <w:rFonts w:ascii="Arial" w:hAnsi="Arial" w:cs="Arial"/>
                <w:sz w:val="22"/>
                <w:szCs w:val="22"/>
              </w:rPr>
            </w:pPr>
          </w:p>
        </w:tc>
      </w:tr>
    </w:tbl>
    <w:p w:rsidR="00DC3218" w:rsidRPr="00801DD4" w:rsidRDefault="00DC3218" w:rsidP="00434960">
      <w:pPr>
        <w:rPr>
          <w:rFonts w:ascii="Arial" w:hAnsi="Arial" w:cs="Arial"/>
          <w:b/>
          <w:sz w:val="22"/>
          <w:szCs w:val="22"/>
        </w:rPr>
      </w:pPr>
    </w:p>
    <w:sectPr w:rsidR="00DC3218" w:rsidRPr="00801DD4" w:rsidSect="00DD7564">
      <w:footerReference w:type="default" r:id="rId17"/>
      <w:pgSz w:w="11906" w:h="16838"/>
      <w:pgMar w:top="902" w:right="902" w:bottom="902" w:left="1077"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415CF" w:rsidRDefault="009415CF">
      <w:r>
        <w:separator/>
      </w:r>
    </w:p>
  </w:endnote>
  <w:endnote w:type="continuationSeparator" w:id="0">
    <w:p w:rsidR="009415CF" w:rsidRDefault="009415CF">
      <w:r>
        <w:continuationSeparator/>
      </w:r>
    </w:p>
  </w:endnote>
  <w:endnote w:type="continuationNotice" w:id="1">
    <w:p w:rsidR="009415CF" w:rsidRDefault="009415CF"/>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10002FF" w:usb1="4000ACFF" w:usb2="00000009" w:usb3="00000000" w:csb0="0000019F" w:csb1="00000000"/>
  </w:font>
  <w:font w:name="Verdana">
    <w:panose1 w:val="020B0604030504040204"/>
    <w:charset w:val="00"/>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sdt>
    <w:sdtPr>
      <w:id w:val="709237670"/>
      <w:docPartObj>
        <w:docPartGallery w:val="Page Numbers (Bottom of Page)"/>
        <w:docPartUnique/>
      </w:docPartObj>
    </w:sdtPr>
    <w:sdtEndPr>
      <w:rPr>
        <w:noProof/>
      </w:rPr>
    </w:sdtEndPr>
    <w:sdtContent>
      <w:p w:rsidR="008024D1" w:rsidRDefault="008024D1">
        <w:pPr>
          <w:pStyle w:val="Footer"/>
          <w:jc w:val="right"/>
        </w:pPr>
        <w:r>
          <w:fldChar w:fldCharType="begin"/>
        </w:r>
        <w:r>
          <w:instrText xml:space="preserve"> PAGE   \* MERGEFORMAT </w:instrText>
        </w:r>
        <w:r>
          <w:fldChar w:fldCharType="separate"/>
        </w:r>
        <w:r w:rsidR="00826DB8">
          <w:rPr>
            <w:noProof/>
          </w:rPr>
          <w:t>1</w:t>
        </w:r>
        <w:r>
          <w:rPr>
            <w:noProof/>
          </w:rPr>
          <w:fldChar w:fldCharType="end"/>
        </w:r>
      </w:p>
    </w:sdtContent>
  </w:sdt>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415CF" w:rsidRDefault="009415CF">
      <w:r>
        <w:separator/>
      </w:r>
    </w:p>
  </w:footnote>
  <w:footnote w:type="continuationSeparator" w:id="0">
    <w:p w:rsidR="009415CF" w:rsidRDefault="009415CF">
      <w:r>
        <w:continuationSeparator/>
      </w:r>
    </w:p>
  </w:footnote>
  <w:footnote w:type="continuationNotice" w:id="1">
    <w:p w:rsidR="009415CF" w:rsidRDefault="009415CF"/>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1B45CB"/>
    <w:multiLevelType w:val="hybridMultilevel"/>
    <w:tmpl w:val="D63EAF86"/>
    <w:lvl w:ilvl="0" w:tplc="08090001">
      <w:start w:val="1"/>
      <w:numFmt w:val="bullet"/>
      <w:lvlText w:val=""/>
      <w:lvlJc w:val="left"/>
      <w:pPr>
        <w:tabs>
          <w:tab w:val="num" w:pos="720"/>
        </w:tabs>
        <w:ind w:left="720" w:hanging="360"/>
      </w:pPr>
      <w:rPr>
        <w:rFonts w:ascii="Symbol" w:hAnsi="Symbol" w:hint="default"/>
      </w:rPr>
    </w:lvl>
    <w:lvl w:ilvl="1" w:tplc="F6A489B6">
      <w:start w:val="1"/>
      <w:numFmt w:val="bullet"/>
      <w:lvlText w:val=""/>
      <w:lvlJc w:val="left"/>
      <w:pPr>
        <w:tabs>
          <w:tab w:val="num" w:pos="1440"/>
        </w:tabs>
        <w:ind w:left="1440" w:hanging="360"/>
      </w:pPr>
      <w:rPr>
        <w:rFonts w:ascii="Symbol" w:hAnsi="Symbol"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
    <w:nsid w:val="04FD1EE4"/>
    <w:multiLevelType w:val="hybridMultilevel"/>
    <w:tmpl w:val="3E4073B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
    <w:nsid w:val="078B1F7C"/>
    <w:multiLevelType w:val="hybridMultilevel"/>
    <w:tmpl w:val="1CA8D648"/>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3">
    <w:nsid w:val="08014460"/>
    <w:multiLevelType w:val="hybridMultilevel"/>
    <w:tmpl w:val="B39C072E"/>
    <w:lvl w:ilvl="0" w:tplc="08090001">
      <w:start w:val="1"/>
      <w:numFmt w:val="bullet"/>
      <w:lvlText w:val=""/>
      <w:lvlJc w:val="left"/>
      <w:pPr>
        <w:tabs>
          <w:tab w:val="num" w:pos="1080"/>
        </w:tabs>
        <w:ind w:left="1080" w:hanging="360"/>
      </w:pPr>
      <w:rPr>
        <w:rFonts w:ascii="Symbol" w:hAnsi="Symbol" w:hint="default"/>
      </w:rPr>
    </w:lvl>
    <w:lvl w:ilvl="1" w:tplc="08090019" w:tentative="1">
      <w:start w:val="1"/>
      <w:numFmt w:val="lowerLetter"/>
      <w:lvlText w:val="%2."/>
      <w:lvlJc w:val="left"/>
      <w:pPr>
        <w:tabs>
          <w:tab w:val="num" w:pos="2160"/>
        </w:tabs>
        <w:ind w:left="2160" w:hanging="360"/>
      </w:pPr>
    </w:lvl>
    <w:lvl w:ilvl="2" w:tplc="0809001B" w:tentative="1">
      <w:start w:val="1"/>
      <w:numFmt w:val="lowerRoman"/>
      <w:lvlText w:val="%3."/>
      <w:lvlJc w:val="right"/>
      <w:pPr>
        <w:tabs>
          <w:tab w:val="num" w:pos="2880"/>
        </w:tabs>
        <w:ind w:left="2880" w:hanging="180"/>
      </w:pPr>
    </w:lvl>
    <w:lvl w:ilvl="3" w:tplc="0809000F" w:tentative="1">
      <w:start w:val="1"/>
      <w:numFmt w:val="decimal"/>
      <w:lvlText w:val="%4."/>
      <w:lvlJc w:val="left"/>
      <w:pPr>
        <w:tabs>
          <w:tab w:val="num" w:pos="3600"/>
        </w:tabs>
        <w:ind w:left="3600" w:hanging="360"/>
      </w:pPr>
    </w:lvl>
    <w:lvl w:ilvl="4" w:tplc="08090019" w:tentative="1">
      <w:start w:val="1"/>
      <w:numFmt w:val="lowerLetter"/>
      <w:lvlText w:val="%5."/>
      <w:lvlJc w:val="left"/>
      <w:pPr>
        <w:tabs>
          <w:tab w:val="num" w:pos="4320"/>
        </w:tabs>
        <w:ind w:left="4320" w:hanging="360"/>
      </w:pPr>
    </w:lvl>
    <w:lvl w:ilvl="5" w:tplc="0809001B" w:tentative="1">
      <w:start w:val="1"/>
      <w:numFmt w:val="lowerRoman"/>
      <w:lvlText w:val="%6."/>
      <w:lvlJc w:val="right"/>
      <w:pPr>
        <w:tabs>
          <w:tab w:val="num" w:pos="5040"/>
        </w:tabs>
        <w:ind w:left="5040" w:hanging="180"/>
      </w:pPr>
    </w:lvl>
    <w:lvl w:ilvl="6" w:tplc="0809000F" w:tentative="1">
      <w:start w:val="1"/>
      <w:numFmt w:val="decimal"/>
      <w:lvlText w:val="%7."/>
      <w:lvlJc w:val="left"/>
      <w:pPr>
        <w:tabs>
          <w:tab w:val="num" w:pos="5760"/>
        </w:tabs>
        <w:ind w:left="5760" w:hanging="360"/>
      </w:pPr>
    </w:lvl>
    <w:lvl w:ilvl="7" w:tplc="08090019" w:tentative="1">
      <w:start w:val="1"/>
      <w:numFmt w:val="lowerLetter"/>
      <w:lvlText w:val="%8."/>
      <w:lvlJc w:val="left"/>
      <w:pPr>
        <w:tabs>
          <w:tab w:val="num" w:pos="6480"/>
        </w:tabs>
        <w:ind w:left="6480" w:hanging="360"/>
      </w:pPr>
    </w:lvl>
    <w:lvl w:ilvl="8" w:tplc="0809001B" w:tentative="1">
      <w:start w:val="1"/>
      <w:numFmt w:val="lowerRoman"/>
      <w:lvlText w:val="%9."/>
      <w:lvlJc w:val="right"/>
      <w:pPr>
        <w:tabs>
          <w:tab w:val="num" w:pos="7200"/>
        </w:tabs>
        <w:ind w:left="7200" w:hanging="180"/>
      </w:pPr>
    </w:lvl>
  </w:abstractNum>
  <w:abstractNum w:abstractNumId="4">
    <w:nsid w:val="0CC93485"/>
    <w:multiLevelType w:val="hybridMultilevel"/>
    <w:tmpl w:val="0FA4494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nsid w:val="0D605BDD"/>
    <w:multiLevelType w:val="hybridMultilevel"/>
    <w:tmpl w:val="DDC0B752"/>
    <w:lvl w:ilvl="0" w:tplc="08090001">
      <w:start w:val="1"/>
      <w:numFmt w:val="bullet"/>
      <w:lvlText w:val=""/>
      <w:lvlJc w:val="left"/>
      <w:pPr>
        <w:tabs>
          <w:tab w:val="num" w:pos="1260"/>
        </w:tabs>
        <w:ind w:left="1260" w:hanging="360"/>
      </w:pPr>
      <w:rPr>
        <w:rFonts w:ascii="Symbol" w:hAnsi="Symbol" w:hint="default"/>
      </w:rPr>
    </w:lvl>
    <w:lvl w:ilvl="1" w:tplc="08090003">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6">
    <w:nsid w:val="10280EE5"/>
    <w:multiLevelType w:val="multilevel"/>
    <w:tmpl w:val="0EECFA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16557874"/>
    <w:multiLevelType w:val="hybridMultilevel"/>
    <w:tmpl w:val="B56C8742"/>
    <w:lvl w:ilvl="0" w:tplc="08090001">
      <w:start w:val="1"/>
      <w:numFmt w:val="bullet"/>
      <w:lvlText w:val=""/>
      <w:lvlJc w:val="left"/>
      <w:pPr>
        <w:ind w:left="770" w:hanging="360"/>
      </w:pPr>
      <w:rPr>
        <w:rFonts w:ascii="Symbol" w:hAnsi="Symbol" w:hint="default"/>
      </w:rPr>
    </w:lvl>
    <w:lvl w:ilvl="1" w:tplc="08090003">
      <w:start w:val="1"/>
      <w:numFmt w:val="bullet"/>
      <w:lvlText w:val="o"/>
      <w:lvlJc w:val="left"/>
      <w:pPr>
        <w:ind w:left="1490" w:hanging="360"/>
      </w:pPr>
      <w:rPr>
        <w:rFonts w:ascii="Courier New" w:hAnsi="Courier New" w:cs="Courier New" w:hint="default"/>
      </w:rPr>
    </w:lvl>
    <w:lvl w:ilvl="2" w:tplc="08090005">
      <w:start w:val="1"/>
      <w:numFmt w:val="bullet"/>
      <w:lvlText w:val=""/>
      <w:lvlJc w:val="left"/>
      <w:pPr>
        <w:ind w:left="2210" w:hanging="360"/>
      </w:pPr>
      <w:rPr>
        <w:rFonts w:ascii="Wingdings" w:hAnsi="Wingdings" w:hint="default"/>
      </w:rPr>
    </w:lvl>
    <w:lvl w:ilvl="3" w:tplc="08090001">
      <w:start w:val="1"/>
      <w:numFmt w:val="bullet"/>
      <w:lvlText w:val=""/>
      <w:lvlJc w:val="left"/>
      <w:pPr>
        <w:ind w:left="2930" w:hanging="360"/>
      </w:pPr>
      <w:rPr>
        <w:rFonts w:ascii="Symbol" w:hAnsi="Symbol" w:hint="default"/>
      </w:rPr>
    </w:lvl>
    <w:lvl w:ilvl="4" w:tplc="08090003">
      <w:start w:val="1"/>
      <w:numFmt w:val="bullet"/>
      <w:lvlText w:val="o"/>
      <w:lvlJc w:val="left"/>
      <w:pPr>
        <w:ind w:left="3650" w:hanging="360"/>
      </w:pPr>
      <w:rPr>
        <w:rFonts w:ascii="Courier New" w:hAnsi="Courier New" w:cs="Courier New" w:hint="default"/>
      </w:rPr>
    </w:lvl>
    <w:lvl w:ilvl="5" w:tplc="08090005">
      <w:start w:val="1"/>
      <w:numFmt w:val="bullet"/>
      <w:lvlText w:val=""/>
      <w:lvlJc w:val="left"/>
      <w:pPr>
        <w:ind w:left="4370" w:hanging="360"/>
      </w:pPr>
      <w:rPr>
        <w:rFonts w:ascii="Wingdings" w:hAnsi="Wingdings" w:hint="default"/>
      </w:rPr>
    </w:lvl>
    <w:lvl w:ilvl="6" w:tplc="08090001">
      <w:start w:val="1"/>
      <w:numFmt w:val="bullet"/>
      <w:lvlText w:val=""/>
      <w:lvlJc w:val="left"/>
      <w:pPr>
        <w:ind w:left="5090" w:hanging="360"/>
      </w:pPr>
      <w:rPr>
        <w:rFonts w:ascii="Symbol" w:hAnsi="Symbol" w:hint="default"/>
      </w:rPr>
    </w:lvl>
    <w:lvl w:ilvl="7" w:tplc="08090003">
      <w:start w:val="1"/>
      <w:numFmt w:val="bullet"/>
      <w:lvlText w:val="o"/>
      <w:lvlJc w:val="left"/>
      <w:pPr>
        <w:ind w:left="5810" w:hanging="360"/>
      </w:pPr>
      <w:rPr>
        <w:rFonts w:ascii="Courier New" w:hAnsi="Courier New" w:cs="Courier New" w:hint="default"/>
      </w:rPr>
    </w:lvl>
    <w:lvl w:ilvl="8" w:tplc="08090005">
      <w:start w:val="1"/>
      <w:numFmt w:val="bullet"/>
      <w:lvlText w:val=""/>
      <w:lvlJc w:val="left"/>
      <w:pPr>
        <w:ind w:left="6530" w:hanging="360"/>
      </w:pPr>
      <w:rPr>
        <w:rFonts w:ascii="Wingdings" w:hAnsi="Wingdings" w:hint="default"/>
      </w:rPr>
    </w:lvl>
  </w:abstractNum>
  <w:abstractNum w:abstractNumId="8">
    <w:nsid w:val="194B0D30"/>
    <w:multiLevelType w:val="hybridMultilevel"/>
    <w:tmpl w:val="31B8CC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9">
    <w:nsid w:val="1F4D01B3"/>
    <w:multiLevelType w:val="hybridMultilevel"/>
    <w:tmpl w:val="D88ADAFC"/>
    <w:lvl w:ilvl="0" w:tplc="805CF284">
      <w:start w:val="1"/>
      <w:numFmt w:val="bullet"/>
      <w:lvlText w:val="•"/>
      <w:lvlJc w:val="left"/>
      <w:pPr>
        <w:tabs>
          <w:tab w:val="num" w:pos="720"/>
        </w:tabs>
        <w:ind w:left="720" w:hanging="360"/>
      </w:pPr>
      <w:rPr>
        <w:rFonts w:ascii="Arial" w:hAnsi="Arial" w:hint="default"/>
      </w:rPr>
    </w:lvl>
    <w:lvl w:ilvl="1" w:tplc="5FA832A4" w:tentative="1">
      <w:start w:val="1"/>
      <w:numFmt w:val="bullet"/>
      <w:lvlText w:val="•"/>
      <w:lvlJc w:val="left"/>
      <w:pPr>
        <w:tabs>
          <w:tab w:val="num" w:pos="1440"/>
        </w:tabs>
        <w:ind w:left="1440" w:hanging="360"/>
      </w:pPr>
      <w:rPr>
        <w:rFonts w:ascii="Arial" w:hAnsi="Arial" w:hint="default"/>
      </w:rPr>
    </w:lvl>
    <w:lvl w:ilvl="2" w:tplc="073E5862" w:tentative="1">
      <w:start w:val="1"/>
      <w:numFmt w:val="bullet"/>
      <w:lvlText w:val="•"/>
      <w:lvlJc w:val="left"/>
      <w:pPr>
        <w:tabs>
          <w:tab w:val="num" w:pos="2160"/>
        </w:tabs>
        <w:ind w:left="2160" w:hanging="360"/>
      </w:pPr>
      <w:rPr>
        <w:rFonts w:ascii="Arial" w:hAnsi="Arial" w:hint="default"/>
      </w:rPr>
    </w:lvl>
    <w:lvl w:ilvl="3" w:tplc="33886D60" w:tentative="1">
      <w:start w:val="1"/>
      <w:numFmt w:val="bullet"/>
      <w:lvlText w:val="•"/>
      <w:lvlJc w:val="left"/>
      <w:pPr>
        <w:tabs>
          <w:tab w:val="num" w:pos="2880"/>
        </w:tabs>
        <w:ind w:left="2880" w:hanging="360"/>
      </w:pPr>
      <w:rPr>
        <w:rFonts w:ascii="Arial" w:hAnsi="Arial" w:hint="default"/>
      </w:rPr>
    </w:lvl>
    <w:lvl w:ilvl="4" w:tplc="794015BA" w:tentative="1">
      <w:start w:val="1"/>
      <w:numFmt w:val="bullet"/>
      <w:lvlText w:val="•"/>
      <w:lvlJc w:val="left"/>
      <w:pPr>
        <w:tabs>
          <w:tab w:val="num" w:pos="3600"/>
        </w:tabs>
        <w:ind w:left="3600" w:hanging="360"/>
      </w:pPr>
      <w:rPr>
        <w:rFonts w:ascii="Arial" w:hAnsi="Arial" w:hint="default"/>
      </w:rPr>
    </w:lvl>
    <w:lvl w:ilvl="5" w:tplc="BEE03586" w:tentative="1">
      <w:start w:val="1"/>
      <w:numFmt w:val="bullet"/>
      <w:lvlText w:val="•"/>
      <w:lvlJc w:val="left"/>
      <w:pPr>
        <w:tabs>
          <w:tab w:val="num" w:pos="4320"/>
        </w:tabs>
        <w:ind w:left="4320" w:hanging="360"/>
      </w:pPr>
      <w:rPr>
        <w:rFonts w:ascii="Arial" w:hAnsi="Arial" w:hint="default"/>
      </w:rPr>
    </w:lvl>
    <w:lvl w:ilvl="6" w:tplc="A6CC4BDE" w:tentative="1">
      <w:start w:val="1"/>
      <w:numFmt w:val="bullet"/>
      <w:lvlText w:val="•"/>
      <w:lvlJc w:val="left"/>
      <w:pPr>
        <w:tabs>
          <w:tab w:val="num" w:pos="5040"/>
        </w:tabs>
        <w:ind w:left="5040" w:hanging="360"/>
      </w:pPr>
      <w:rPr>
        <w:rFonts w:ascii="Arial" w:hAnsi="Arial" w:hint="default"/>
      </w:rPr>
    </w:lvl>
    <w:lvl w:ilvl="7" w:tplc="097424E6" w:tentative="1">
      <w:start w:val="1"/>
      <w:numFmt w:val="bullet"/>
      <w:lvlText w:val="•"/>
      <w:lvlJc w:val="left"/>
      <w:pPr>
        <w:tabs>
          <w:tab w:val="num" w:pos="5760"/>
        </w:tabs>
        <w:ind w:left="5760" w:hanging="360"/>
      </w:pPr>
      <w:rPr>
        <w:rFonts w:ascii="Arial" w:hAnsi="Arial" w:hint="default"/>
      </w:rPr>
    </w:lvl>
    <w:lvl w:ilvl="8" w:tplc="D67E3AC2" w:tentative="1">
      <w:start w:val="1"/>
      <w:numFmt w:val="bullet"/>
      <w:lvlText w:val="•"/>
      <w:lvlJc w:val="left"/>
      <w:pPr>
        <w:tabs>
          <w:tab w:val="num" w:pos="6480"/>
        </w:tabs>
        <w:ind w:left="6480" w:hanging="360"/>
      </w:pPr>
      <w:rPr>
        <w:rFonts w:ascii="Arial" w:hAnsi="Arial" w:hint="default"/>
      </w:rPr>
    </w:lvl>
  </w:abstractNum>
  <w:abstractNum w:abstractNumId="10">
    <w:nsid w:val="24E87F53"/>
    <w:multiLevelType w:val="multilevel"/>
    <w:tmpl w:val="590ED6D8"/>
    <w:lvl w:ilvl="0">
      <w:start w:val="4"/>
      <w:numFmt w:val="decimal"/>
      <w:lvlText w:val="%1."/>
      <w:lvlJc w:val="left"/>
      <w:pPr>
        <w:tabs>
          <w:tab w:val="num" w:pos="1080"/>
        </w:tabs>
        <w:ind w:left="1080" w:hanging="720"/>
      </w:pPr>
      <w:rPr>
        <w:rFonts w:hint="default"/>
      </w:rPr>
    </w:lvl>
    <w:lvl w:ilvl="1">
      <w:start w:val="1"/>
      <w:numFmt w:val="decimal"/>
      <w:isLgl/>
      <w:lvlText w:val="%1.%2"/>
      <w:lvlJc w:val="left"/>
      <w:pPr>
        <w:tabs>
          <w:tab w:val="num" w:pos="360"/>
        </w:tabs>
        <w:ind w:left="360" w:hanging="360"/>
      </w:pPr>
      <w:rPr>
        <w:rFonts w:hint="default"/>
      </w:rPr>
    </w:lvl>
    <w:lvl w:ilvl="2">
      <w:start w:val="1"/>
      <w:numFmt w:val="decimal"/>
      <w:isLgl/>
      <w:lvlText w:val="%1.%2.%3"/>
      <w:lvlJc w:val="left"/>
      <w:pPr>
        <w:tabs>
          <w:tab w:val="num" w:pos="1080"/>
        </w:tabs>
        <w:ind w:left="1080" w:hanging="720"/>
      </w:pPr>
      <w:rPr>
        <w:rFonts w:hint="default"/>
      </w:rPr>
    </w:lvl>
    <w:lvl w:ilvl="3">
      <w:start w:val="1"/>
      <w:numFmt w:val="decimal"/>
      <w:isLgl/>
      <w:lvlText w:val="%1.%2.%3.%4"/>
      <w:lvlJc w:val="left"/>
      <w:pPr>
        <w:tabs>
          <w:tab w:val="num" w:pos="1440"/>
        </w:tabs>
        <w:ind w:left="1440" w:hanging="1080"/>
      </w:pPr>
      <w:rPr>
        <w:rFonts w:hint="default"/>
      </w:rPr>
    </w:lvl>
    <w:lvl w:ilvl="4">
      <w:start w:val="1"/>
      <w:numFmt w:val="decimal"/>
      <w:isLgl/>
      <w:lvlText w:val="%1.%2.%3.%4.%5"/>
      <w:lvlJc w:val="left"/>
      <w:pPr>
        <w:tabs>
          <w:tab w:val="num" w:pos="1440"/>
        </w:tabs>
        <w:ind w:left="1440" w:hanging="1080"/>
      </w:pPr>
      <w:rPr>
        <w:rFonts w:hint="default"/>
      </w:rPr>
    </w:lvl>
    <w:lvl w:ilvl="5">
      <w:start w:val="1"/>
      <w:numFmt w:val="decimal"/>
      <w:isLgl/>
      <w:lvlText w:val="%1.%2.%3.%4.%5.%6"/>
      <w:lvlJc w:val="left"/>
      <w:pPr>
        <w:tabs>
          <w:tab w:val="num" w:pos="1800"/>
        </w:tabs>
        <w:ind w:left="1800" w:hanging="1440"/>
      </w:pPr>
      <w:rPr>
        <w:rFonts w:hint="default"/>
      </w:rPr>
    </w:lvl>
    <w:lvl w:ilvl="6">
      <w:start w:val="1"/>
      <w:numFmt w:val="decimal"/>
      <w:isLgl/>
      <w:lvlText w:val="%1.%2.%3.%4.%5.%6.%7"/>
      <w:lvlJc w:val="left"/>
      <w:pPr>
        <w:tabs>
          <w:tab w:val="num" w:pos="1800"/>
        </w:tabs>
        <w:ind w:left="1800" w:hanging="1440"/>
      </w:pPr>
      <w:rPr>
        <w:rFonts w:hint="default"/>
      </w:rPr>
    </w:lvl>
    <w:lvl w:ilvl="7">
      <w:start w:val="1"/>
      <w:numFmt w:val="decimal"/>
      <w:isLgl/>
      <w:lvlText w:val="%1.%2.%3.%4.%5.%6.%7.%8"/>
      <w:lvlJc w:val="left"/>
      <w:pPr>
        <w:tabs>
          <w:tab w:val="num" w:pos="2160"/>
        </w:tabs>
        <w:ind w:left="2160" w:hanging="1800"/>
      </w:pPr>
      <w:rPr>
        <w:rFonts w:hint="default"/>
      </w:rPr>
    </w:lvl>
    <w:lvl w:ilvl="8">
      <w:start w:val="1"/>
      <w:numFmt w:val="decimal"/>
      <w:isLgl/>
      <w:lvlText w:val="%1.%2.%3.%4.%5.%6.%7.%8.%9"/>
      <w:lvlJc w:val="left"/>
      <w:pPr>
        <w:tabs>
          <w:tab w:val="num" w:pos="2160"/>
        </w:tabs>
        <w:ind w:left="2160" w:hanging="1800"/>
      </w:pPr>
      <w:rPr>
        <w:rFonts w:hint="default"/>
      </w:rPr>
    </w:lvl>
  </w:abstractNum>
  <w:abstractNum w:abstractNumId="11">
    <w:nsid w:val="2534685A"/>
    <w:multiLevelType w:val="hybridMultilevel"/>
    <w:tmpl w:val="0A9078E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nsid w:val="2BF74B9F"/>
    <w:multiLevelType w:val="multilevel"/>
    <w:tmpl w:val="9B9C4386"/>
    <w:lvl w:ilvl="0">
      <w:start w:val="2"/>
      <w:numFmt w:val="decimal"/>
      <w:lvlText w:val="%1"/>
      <w:lvlJc w:val="left"/>
      <w:pPr>
        <w:ind w:left="360" w:hanging="360"/>
      </w:pPr>
      <w:rPr>
        <w:rFonts w:hint="default"/>
        <w:b/>
      </w:rPr>
    </w:lvl>
    <w:lvl w:ilvl="1">
      <w:start w:val="1"/>
      <w:numFmt w:val="decimal"/>
      <w:lvlText w:val="%1.%2"/>
      <w:lvlJc w:val="left"/>
      <w:pPr>
        <w:ind w:left="1080" w:hanging="360"/>
      </w:pPr>
      <w:rPr>
        <w:rFonts w:hint="default"/>
        <w:b/>
      </w:rPr>
    </w:lvl>
    <w:lvl w:ilvl="2">
      <w:start w:val="1"/>
      <w:numFmt w:val="decimal"/>
      <w:lvlText w:val="%1.%2.%3"/>
      <w:lvlJc w:val="left"/>
      <w:pPr>
        <w:ind w:left="2160" w:hanging="720"/>
      </w:pPr>
      <w:rPr>
        <w:rFonts w:hint="default"/>
        <w:b/>
      </w:rPr>
    </w:lvl>
    <w:lvl w:ilvl="3">
      <w:start w:val="1"/>
      <w:numFmt w:val="decimal"/>
      <w:lvlText w:val="%1.%2.%3.%4"/>
      <w:lvlJc w:val="left"/>
      <w:pPr>
        <w:ind w:left="2880" w:hanging="720"/>
      </w:pPr>
      <w:rPr>
        <w:rFonts w:hint="default"/>
        <w:b/>
      </w:rPr>
    </w:lvl>
    <w:lvl w:ilvl="4">
      <w:start w:val="1"/>
      <w:numFmt w:val="decimal"/>
      <w:lvlText w:val="%1.%2.%3.%4.%5"/>
      <w:lvlJc w:val="left"/>
      <w:pPr>
        <w:ind w:left="3960" w:hanging="1080"/>
      </w:pPr>
      <w:rPr>
        <w:rFonts w:hint="default"/>
        <w:b/>
      </w:rPr>
    </w:lvl>
    <w:lvl w:ilvl="5">
      <w:start w:val="1"/>
      <w:numFmt w:val="decimal"/>
      <w:lvlText w:val="%1.%2.%3.%4.%5.%6"/>
      <w:lvlJc w:val="left"/>
      <w:pPr>
        <w:ind w:left="4680" w:hanging="1080"/>
      </w:pPr>
      <w:rPr>
        <w:rFonts w:hint="default"/>
        <w:b/>
      </w:rPr>
    </w:lvl>
    <w:lvl w:ilvl="6">
      <w:start w:val="1"/>
      <w:numFmt w:val="decimal"/>
      <w:lvlText w:val="%1.%2.%3.%4.%5.%6.%7"/>
      <w:lvlJc w:val="left"/>
      <w:pPr>
        <w:ind w:left="5760" w:hanging="1440"/>
      </w:pPr>
      <w:rPr>
        <w:rFonts w:hint="default"/>
        <w:b/>
      </w:rPr>
    </w:lvl>
    <w:lvl w:ilvl="7">
      <w:start w:val="1"/>
      <w:numFmt w:val="decimal"/>
      <w:lvlText w:val="%1.%2.%3.%4.%5.%6.%7.%8"/>
      <w:lvlJc w:val="left"/>
      <w:pPr>
        <w:ind w:left="6480" w:hanging="1440"/>
      </w:pPr>
      <w:rPr>
        <w:rFonts w:hint="default"/>
        <w:b/>
      </w:rPr>
    </w:lvl>
    <w:lvl w:ilvl="8">
      <w:start w:val="1"/>
      <w:numFmt w:val="decimal"/>
      <w:lvlText w:val="%1.%2.%3.%4.%5.%6.%7.%8.%9"/>
      <w:lvlJc w:val="left"/>
      <w:pPr>
        <w:ind w:left="7560" w:hanging="1800"/>
      </w:pPr>
      <w:rPr>
        <w:rFonts w:hint="default"/>
        <w:b/>
      </w:rPr>
    </w:lvl>
  </w:abstractNum>
  <w:abstractNum w:abstractNumId="13">
    <w:nsid w:val="314B58F1"/>
    <w:multiLevelType w:val="hybridMultilevel"/>
    <w:tmpl w:val="108C47BC"/>
    <w:lvl w:ilvl="0" w:tplc="269CB14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4">
    <w:nsid w:val="35331AFD"/>
    <w:multiLevelType w:val="hybridMultilevel"/>
    <w:tmpl w:val="04C097B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nsid w:val="41BC7AC4"/>
    <w:multiLevelType w:val="hybridMultilevel"/>
    <w:tmpl w:val="FF1EF072"/>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6">
    <w:nsid w:val="489129E2"/>
    <w:multiLevelType w:val="hybridMultilevel"/>
    <w:tmpl w:val="0AEC827C"/>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7">
    <w:nsid w:val="48D96AE4"/>
    <w:multiLevelType w:val="hybridMultilevel"/>
    <w:tmpl w:val="E6340838"/>
    <w:lvl w:ilvl="0" w:tplc="549447EE">
      <w:start w:val="6"/>
      <w:numFmt w:val="decimal"/>
      <w:lvlText w:val="%1"/>
      <w:lvlJc w:val="left"/>
      <w:pPr>
        <w:tabs>
          <w:tab w:val="num" w:pos="720"/>
        </w:tabs>
        <w:ind w:left="720" w:hanging="360"/>
      </w:pPr>
      <w:rPr>
        <w:rFonts w:hint="default"/>
      </w:r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8">
    <w:nsid w:val="4C327111"/>
    <w:multiLevelType w:val="hybridMultilevel"/>
    <w:tmpl w:val="6B68E2EE"/>
    <w:lvl w:ilvl="0" w:tplc="8B8ABE3A">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19">
    <w:nsid w:val="4CBF71FC"/>
    <w:multiLevelType w:val="singleLevel"/>
    <w:tmpl w:val="7D98AA4A"/>
    <w:lvl w:ilvl="0">
      <w:start w:val="1"/>
      <w:numFmt w:val="bullet"/>
      <w:pStyle w:val="bullet2"/>
      <w:lvlText w:val=""/>
      <w:lvlJc w:val="left"/>
      <w:pPr>
        <w:tabs>
          <w:tab w:val="num" w:pos="1494"/>
        </w:tabs>
        <w:ind w:left="340" w:firstLine="794"/>
      </w:pPr>
      <w:rPr>
        <w:rFonts w:ascii="Symbol" w:hAnsi="Symbol" w:hint="default"/>
        <w:sz w:val="16"/>
      </w:rPr>
    </w:lvl>
  </w:abstractNum>
  <w:abstractNum w:abstractNumId="20">
    <w:nsid w:val="4CE82579"/>
    <w:multiLevelType w:val="hybridMultilevel"/>
    <w:tmpl w:val="2DEAF87C"/>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1">
    <w:nsid w:val="528F7EFB"/>
    <w:multiLevelType w:val="hybridMultilevel"/>
    <w:tmpl w:val="05F86F20"/>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2">
    <w:nsid w:val="52C471A8"/>
    <w:multiLevelType w:val="singleLevel"/>
    <w:tmpl w:val="A2203048"/>
    <w:lvl w:ilvl="0">
      <w:start w:val="1"/>
      <w:numFmt w:val="bullet"/>
      <w:pStyle w:val="bullet3"/>
      <w:lvlText w:val=""/>
      <w:lvlJc w:val="left"/>
      <w:pPr>
        <w:tabs>
          <w:tab w:val="num" w:pos="2203"/>
        </w:tabs>
        <w:ind w:left="1049" w:firstLine="794"/>
      </w:pPr>
      <w:rPr>
        <w:rFonts w:ascii="Symbol" w:hAnsi="Symbol" w:hint="default"/>
        <w:sz w:val="16"/>
      </w:rPr>
    </w:lvl>
  </w:abstractNum>
  <w:abstractNum w:abstractNumId="23">
    <w:nsid w:val="56611DF8"/>
    <w:multiLevelType w:val="hybridMultilevel"/>
    <w:tmpl w:val="D30AD95E"/>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nsid w:val="5A640049"/>
    <w:multiLevelType w:val="hybridMultilevel"/>
    <w:tmpl w:val="5238C99A"/>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nsid w:val="5D1F4A15"/>
    <w:multiLevelType w:val="multilevel"/>
    <w:tmpl w:val="79983BEC"/>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26">
    <w:nsid w:val="5F482033"/>
    <w:multiLevelType w:val="hybridMultilevel"/>
    <w:tmpl w:val="AE3CB820"/>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7">
    <w:nsid w:val="64DA4F39"/>
    <w:multiLevelType w:val="hybridMultilevel"/>
    <w:tmpl w:val="4A40D13A"/>
    <w:lvl w:ilvl="0" w:tplc="08090017">
      <w:start w:val="1"/>
      <w:numFmt w:val="lowerLetter"/>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8">
    <w:nsid w:val="66F51366"/>
    <w:multiLevelType w:val="multilevel"/>
    <w:tmpl w:val="B204F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12D1939"/>
    <w:multiLevelType w:val="hybridMultilevel"/>
    <w:tmpl w:val="F912C266"/>
    <w:lvl w:ilvl="0" w:tplc="08090001">
      <w:start w:val="1"/>
      <w:numFmt w:val="bullet"/>
      <w:lvlText w:val=""/>
      <w:lvlJc w:val="left"/>
      <w:pPr>
        <w:tabs>
          <w:tab w:val="num" w:pos="720"/>
        </w:tabs>
        <w:ind w:left="720" w:hanging="360"/>
      </w:pPr>
      <w:rPr>
        <w:rFonts w:ascii="Symbol" w:hAnsi="Symbol" w:hint="default"/>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num w:numId="1">
    <w:abstractNumId w:val="24"/>
  </w:num>
  <w:num w:numId="2">
    <w:abstractNumId w:val="2"/>
  </w:num>
  <w:num w:numId="3">
    <w:abstractNumId w:val="0"/>
  </w:num>
  <w:num w:numId="4">
    <w:abstractNumId w:val="29"/>
  </w:num>
  <w:num w:numId="5">
    <w:abstractNumId w:val="20"/>
  </w:num>
  <w:num w:numId="6">
    <w:abstractNumId w:val="26"/>
  </w:num>
  <w:num w:numId="7">
    <w:abstractNumId w:val="3"/>
  </w:num>
  <w:num w:numId="8">
    <w:abstractNumId w:val="19"/>
  </w:num>
  <w:num w:numId="9">
    <w:abstractNumId w:val="22"/>
  </w:num>
  <w:num w:numId="10">
    <w:abstractNumId w:val="5"/>
  </w:num>
  <w:num w:numId="11">
    <w:abstractNumId w:val="10"/>
  </w:num>
  <w:num w:numId="12">
    <w:abstractNumId w:val="25"/>
  </w:num>
  <w:num w:numId="13">
    <w:abstractNumId w:val="15"/>
  </w:num>
  <w:num w:numId="14">
    <w:abstractNumId w:val="1"/>
  </w:num>
  <w:num w:numId="15">
    <w:abstractNumId w:val="17"/>
  </w:num>
  <w:num w:numId="16">
    <w:abstractNumId w:val="11"/>
  </w:num>
  <w:num w:numId="17">
    <w:abstractNumId w:val="21"/>
  </w:num>
  <w:num w:numId="18">
    <w:abstractNumId w:val="16"/>
  </w:num>
  <w:num w:numId="19">
    <w:abstractNumId w:val="27"/>
  </w:num>
  <w:num w:numId="20">
    <w:abstractNumId w:val="9"/>
  </w:num>
  <w:num w:numId="21">
    <w:abstractNumId w:val="8"/>
  </w:num>
  <w:num w:numId="22">
    <w:abstractNumId w:val="14"/>
  </w:num>
  <w:num w:numId="23">
    <w:abstractNumId w:val="4"/>
  </w:num>
  <w:num w:numId="24">
    <w:abstractNumId w:val="7"/>
  </w:num>
  <w:num w:numId="25">
    <w:abstractNumId w:val="13"/>
  </w:num>
  <w:num w:numId="26">
    <w:abstractNumId w:val="18"/>
  </w:num>
  <w:num w:numId="27">
    <w:abstractNumId w:val="12"/>
  </w:num>
  <w:num w:numId="28">
    <w:abstractNumId w:val="28"/>
  </w:num>
  <w:num w:numId="29">
    <w:abstractNumId w:val="6"/>
  </w:num>
  <w:num w:numId="30">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8193"/>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A285F"/>
    <w:rsid w:val="00002EFA"/>
    <w:rsid w:val="00005597"/>
    <w:rsid w:val="00015F2C"/>
    <w:rsid w:val="000165FE"/>
    <w:rsid w:val="00017A77"/>
    <w:rsid w:val="00020184"/>
    <w:rsid w:val="0003526D"/>
    <w:rsid w:val="00037302"/>
    <w:rsid w:val="00050A68"/>
    <w:rsid w:val="00053013"/>
    <w:rsid w:val="000553ED"/>
    <w:rsid w:val="00060BE3"/>
    <w:rsid w:val="00062ABA"/>
    <w:rsid w:val="00067D66"/>
    <w:rsid w:val="000804F5"/>
    <w:rsid w:val="00086901"/>
    <w:rsid w:val="00091E11"/>
    <w:rsid w:val="000920DD"/>
    <w:rsid w:val="00095E6B"/>
    <w:rsid w:val="00095FED"/>
    <w:rsid w:val="000B1D82"/>
    <w:rsid w:val="000B1EEB"/>
    <w:rsid w:val="000B4521"/>
    <w:rsid w:val="000B71BF"/>
    <w:rsid w:val="000C440F"/>
    <w:rsid w:val="000E4269"/>
    <w:rsid w:val="00101E52"/>
    <w:rsid w:val="00105599"/>
    <w:rsid w:val="00105BD8"/>
    <w:rsid w:val="00112B21"/>
    <w:rsid w:val="001154A6"/>
    <w:rsid w:val="00120909"/>
    <w:rsid w:val="001209C1"/>
    <w:rsid w:val="00124B07"/>
    <w:rsid w:val="00132B3D"/>
    <w:rsid w:val="00136A3D"/>
    <w:rsid w:val="00136C3A"/>
    <w:rsid w:val="00146F56"/>
    <w:rsid w:val="0015293E"/>
    <w:rsid w:val="00157684"/>
    <w:rsid w:val="00157D2B"/>
    <w:rsid w:val="00160342"/>
    <w:rsid w:val="00171A6A"/>
    <w:rsid w:val="00176D4A"/>
    <w:rsid w:val="00180D44"/>
    <w:rsid w:val="00180DA6"/>
    <w:rsid w:val="00185707"/>
    <w:rsid w:val="00190670"/>
    <w:rsid w:val="00193741"/>
    <w:rsid w:val="00197B68"/>
    <w:rsid w:val="001A4E90"/>
    <w:rsid w:val="001B3A86"/>
    <w:rsid w:val="001B6258"/>
    <w:rsid w:val="001D06EA"/>
    <w:rsid w:val="001D6104"/>
    <w:rsid w:val="001D78A2"/>
    <w:rsid w:val="001E773A"/>
    <w:rsid w:val="001F0095"/>
    <w:rsid w:val="001F21BE"/>
    <w:rsid w:val="001F59F0"/>
    <w:rsid w:val="001F6597"/>
    <w:rsid w:val="00200CED"/>
    <w:rsid w:val="00213BC1"/>
    <w:rsid w:val="002141E5"/>
    <w:rsid w:val="00216C8C"/>
    <w:rsid w:val="00231A40"/>
    <w:rsid w:val="00231D43"/>
    <w:rsid w:val="00235F12"/>
    <w:rsid w:val="00246031"/>
    <w:rsid w:val="00246D3A"/>
    <w:rsid w:val="002510A1"/>
    <w:rsid w:val="0025514C"/>
    <w:rsid w:val="00256406"/>
    <w:rsid w:val="00261AB5"/>
    <w:rsid w:val="002626F4"/>
    <w:rsid w:val="0026660D"/>
    <w:rsid w:val="00266CB0"/>
    <w:rsid w:val="00266FF1"/>
    <w:rsid w:val="002700D2"/>
    <w:rsid w:val="00285B93"/>
    <w:rsid w:val="00285C31"/>
    <w:rsid w:val="00286998"/>
    <w:rsid w:val="00292B28"/>
    <w:rsid w:val="00294FCD"/>
    <w:rsid w:val="002A2A33"/>
    <w:rsid w:val="002A3C39"/>
    <w:rsid w:val="002A651D"/>
    <w:rsid w:val="002B4829"/>
    <w:rsid w:val="002B63BC"/>
    <w:rsid w:val="002C17C1"/>
    <w:rsid w:val="002C5522"/>
    <w:rsid w:val="002D417E"/>
    <w:rsid w:val="002E26B9"/>
    <w:rsid w:val="002E7820"/>
    <w:rsid w:val="002F30C8"/>
    <w:rsid w:val="002F445D"/>
    <w:rsid w:val="002F47B6"/>
    <w:rsid w:val="002F5936"/>
    <w:rsid w:val="00301655"/>
    <w:rsid w:val="00303B76"/>
    <w:rsid w:val="00312796"/>
    <w:rsid w:val="003225BA"/>
    <w:rsid w:val="00326AB8"/>
    <w:rsid w:val="0034307E"/>
    <w:rsid w:val="00357080"/>
    <w:rsid w:val="00363C1F"/>
    <w:rsid w:val="0036628F"/>
    <w:rsid w:val="00366F7D"/>
    <w:rsid w:val="00380FCF"/>
    <w:rsid w:val="003813D8"/>
    <w:rsid w:val="00384979"/>
    <w:rsid w:val="00394F30"/>
    <w:rsid w:val="003A0027"/>
    <w:rsid w:val="003A03CB"/>
    <w:rsid w:val="003A65D1"/>
    <w:rsid w:val="003B0A06"/>
    <w:rsid w:val="003B626C"/>
    <w:rsid w:val="003C6569"/>
    <w:rsid w:val="003D2887"/>
    <w:rsid w:val="003D3E08"/>
    <w:rsid w:val="003D3F5E"/>
    <w:rsid w:val="003D489F"/>
    <w:rsid w:val="003E4361"/>
    <w:rsid w:val="003F5E9E"/>
    <w:rsid w:val="003F6D7A"/>
    <w:rsid w:val="003F6DF9"/>
    <w:rsid w:val="00406064"/>
    <w:rsid w:val="00420D54"/>
    <w:rsid w:val="00423F06"/>
    <w:rsid w:val="004337A4"/>
    <w:rsid w:val="00434363"/>
    <w:rsid w:val="00434960"/>
    <w:rsid w:val="0043664F"/>
    <w:rsid w:val="00441951"/>
    <w:rsid w:val="00441E7A"/>
    <w:rsid w:val="00446F94"/>
    <w:rsid w:val="00447394"/>
    <w:rsid w:val="00450490"/>
    <w:rsid w:val="00454EA5"/>
    <w:rsid w:val="00456662"/>
    <w:rsid w:val="00457AAE"/>
    <w:rsid w:val="004623CA"/>
    <w:rsid w:val="00462810"/>
    <w:rsid w:val="00463C23"/>
    <w:rsid w:val="00464A6D"/>
    <w:rsid w:val="00466602"/>
    <w:rsid w:val="00470088"/>
    <w:rsid w:val="00470C33"/>
    <w:rsid w:val="004756D3"/>
    <w:rsid w:val="004822A5"/>
    <w:rsid w:val="00490D15"/>
    <w:rsid w:val="004A5EE0"/>
    <w:rsid w:val="004A69F6"/>
    <w:rsid w:val="004A75B1"/>
    <w:rsid w:val="004B29A9"/>
    <w:rsid w:val="004B4F56"/>
    <w:rsid w:val="004C5FA2"/>
    <w:rsid w:val="004C677C"/>
    <w:rsid w:val="004C6F5C"/>
    <w:rsid w:val="004D0321"/>
    <w:rsid w:val="004D7118"/>
    <w:rsid w:val="004E7A80"/>
    <w:rsid w:val="004F2E71"/>
    <w:rsid w:val="004F300F"/>
    <w:rsid w:val="004F3209"/>
    <w:rsid w:val="004F64DF"/>
    <w:rsid w:val="005109BE"/>
    <w:rsid w:val="00517C3A"/>
    <w:rsid w:val="0052360E"/>
    <w:rsid w:val="00532C2C"/>
    <w:rsid w:val="00541F74"/>
    <w:rsid w:val="0055649F"/>
    <w:rsid w:val="00562641"/>
    <w:rsid w:val="00562E19"/>
    <w:rsid w:val="00567797"/>
    <w:rsid w:val="0057544B"/>
    <w:rsid w:val="0057654D"/>
    <w:rsid w:val="005847E8"/>
    <w:rsid w:val="00585083"/>
    <w:rsid w:val="0058666A"/>
    <w:rsid w:val="00587A7C"/>
    <w:rsid w:val="00587B25"/>
    <w:rsid w:val="00591E40"/>
    <w:rsid w:val="00593311"/>
    <w:rsid w:val="005973A0"/>
    <w:rsid w:val="005A36F7"/>
    <w:rsid w:val="005A625B"/>
    <w:rsid w:val="005C497F"/>
    <w:rsid w:val="005E01FA"/>
    <w:rsid w:val="005E2E6B"/>
    <w:rsid w:val="005F0C84"/>
    <w:rsid w:val="005F11AA"/>
    <w:rsid w:val="005F195A"/>
    <w:rsid w:val="0060216B"/>
    <w:rsid w:val="00604967"/>
    <w:rsid w:val="00607C7F"/>
    <w:rsid w:val="006203A2"/>
    <w:rsid w:val="006227EF"/>
    <w:rsid w:val="00625124"/>
    <w:rsid w:val="006468ED"/>
    <w:rsid w:val="006569A3"/>
    <w:rsid w:val="00657CC2"/>
    <w:rsid w:val="00664815"/>
    <w:rsid w:val="006657C5"/>
    <w:rsid w:val="00666DDD"/>
    <w:rsid w:val="0067295A"/>
    <w:rsid w:val="00675C73"/>
    <w:rsid w:val="0068471B"/>
    <w:rsid w:val="0068496F"/>
    <w:rsid w:val="00686660"/>
    <w:rsid w:val="0069645B"/>
    <w:rsid w:val="0069733F"/>
    <w:rsid w:val="006A2E19"/>
    <w:rsid w:val="006A788A"/>
    <w:rsid w:val="006A7D61"/>
    <w:rsid w:val="006B301F"/>
    <w:rsid w:val="006B7C64"/>
    <w:rsid w:val="006C03B7"/>
    <w:rsid w:val="006C1DEF"/>
    <w:rsid w:val="006C2A88"/>
    <w:rsid w:val="006C5536"/>
    <w:rsid w:val="006D2FBF"/>
    <w:rsid w:val="006D535E"/>
    <w:rsid w:val="006E2F1F"/>
    <w:rsid w:val="006E77B2"/>
    <w:rsid w:val="006F1162"/>
    <w:rsid w:val="006F45C7"/>
    <w:rsid w:val="006F5C8A"/>
    <w:rsid w:val="006F7B59"/>
    <w:rsid w:val="0070365F"/>
    <w:rsid w:val="00710714"/>
    <w:rsid w:val="00716CAF"/>
    <w:rsid w:val="00730C39"/>
    <w:rsid w:val="007315E3"/>
    <w:rsid w:val="0073457C"/>
    <w:rsid w:val="007351D1"/>
    <w:rsid w:val="00736E79"/>
    <w:rsid w:val="00740BB8"/>
    <w:rsid w:val="00752F56"/>
    <w:rsid w:val="00752FD6"/>
    <w:rsid w:val="007542CB"/>
    <w:rsid w:val="007559C0"/>
    <w:rsid w:val="00765D56"/>
    <w:rsid w:val="007673BA"/>
    <w:rsid w:val="0077428E"/>
    <w:rsid w:val="00775657"/>
    <w:rsid w:val="00775E08"/>
    <w:rsid w:val="00776A1C"/>
    <w:rsid w:val="00777C4C"/>
    <w:rsid w:val="007818CA"/>
    <w:rsid w:val="007927F8"/>
    <w:rsid w:val="007943EA"/>
    <w:rsid w:val="007A1CE6"/>
    <w:rsid w:val="007A356A"/>
    <w:rsid w:val="007A7384"/>
    <w:rsid w:val="007B20A8"/>
    <w:rsid w:val="007B2FB2"/>
    <w:rsid w:val="007C1372"/>
    <w:rsid w:val="007C7176"/>
    <w:rsid w:val="007D3224"/>
    <w:rsid w:val="007D373C"/>
    <w:rsid w:val="007D4325"/>
    <w:rsid w:val="007D696B"/>
    <w:rsid w:val="007E2B49"/>
    <w:rsid w:val="007E5418"/>
    <w:rsid w:val="007E6A63"/>
    <w:rsid w:val="007F26DD"/>
    <w:rsid w:val="007F5413"/>
    <w:rsid w:val="00801DD4"/>
    <w:rsid w:val="008024D1"/>
    <w:rsid w:val="008032FA"/>
    <w:rsid w:val="00803AA5"/>
    <w:rsid w:val="008254CA"/>
    <w:rsid w:val="00826DB8"/>
    <w:rsid w:val="00831338"/>
    <w:rsid w:val="00840F53"/>
    <w:rsid w:val="00841F6F"/>
    <w:rsid w:val="00845E6F"/>
    <w:rsid w:val="00846C25"/>
    <w:rsid w:val="00852744"/>
    <w:rsid w:val="00852BCF"/>
    <w:rsid w:val="00866065"/>
    <w:rsid w:val="00866EFA"/>
    <w:rsid w:val="00866FF8"/>
    <w:rsid w:val="00876BA5"/>
    <w:rsid w:val="00882C25"/>
    <w:rsid w:val="00891846"/>
    <w:rsid w:val="00891EDC"/>
    <w:rsid w:val="0089366A"/>
    <w:rsid w:val="008A57B4"/>
    <w:rsid w:val="008B3714"/>
    <w:rsid w:val="008C70FB"/>
    <w:rsid w:val="008D12EA"/>
    <w:rsid w:val="008D6A39"/>
    <w:rsid w:val="008E206C"/>
    <w:rsid w:val="008F140F"/>
    <w:rsid w:val="008F200B"/>
    <w:rsid w:val="008F677B"/>
    <w:rsid w:val="00902940"/>
    <w:rsid w:val="00905151"/>
    <w:rsid w:val="00907378"/>
    <w:rsid w:val="009112DF"/>
    <w:rsid w:val="00911859"/>
    <w:rsid w:val="009119AD"/>
    <w:rsid w:val="0091688E"/>
    <w:rsid w:val="00920543"/>
    <w:rsid w:val="00923556"/>
    <w:rsid w:val="009269E7"/>
    <w:rsid w:val="009306C6"/>
    <w:rsid w:val="00936BC2"/>
    <w:rsid w:val="00936C71"/>
    <w:rsid w:val="009377E9"/>
    <w:rsid w:val="0094097A"/>
    <w:rsid w:val="009415CF"/>
    <w:rsid w:val="00946B7B"/>
    <w:rsid w:val="00960460"/>
    <w:rsid w:val="00961032"/>
    <w:rsid w:val="009615DA"/>
    <w:rsid w:val="009646FA"/>
    <w:rsid w:val="00973430"/>
    <w:rsid w:val="00975B74"/>
    <w:rsid w:val="009846C1"/>
    <w:rsid w:val="00995D16"/>
    <w:rsid w:val="009A0C1E"/>
    <w:rsid w:val="009B25F1"/>
    <w:rsid w:val="009B32B5"/>
    <w:rsid w:val="009B3884"/>
    <w:rsid w:val="009C1493"/>
    <w:rsid w:val="009C33D4"/>
    <w:rsid w:val="009C6E24"/>
    <w:rsid w:val="009D14DD"/>
    <w:rsid w:val="009D4815"/>
    <w:rsid w:val="009E0D79"/>
    <w:rsid w:val="009E7323"/>
    <w:rsid w:val="009F1269"/>
    <w:rsid w:val="00A01B48"/>
    <w:rsid w:val="00A03A97"/>
    <w:rsid w:val="00A07A07"/>
    <w:rsid w:val="00A1183A"/>
    <w:rsid w:val="00A14275"/>
    <w:rsid w:val="00A17708"/>
    <w:rsid w:val="00A20848"/>
    <w:rsid w:val="00A31B98"/>
    <w:rsid w:val="00A33560"/>
    <w:rsid w:val="00A33B01"/>
    <w:rsid w:val="00A35F42"/>
    <w:rsid w:val="00A40291"/>
    <w:rsid w:val="00A45F00"/>
    <w:rsid w:val="00A531CD"/>
    <w:rsid w:val="00A646B0"/>
    <w:rsid w:val="00A66F25"/>
    <w:rsid w:val="00A74848"/>
    <w:rsid w:val="00A773EC"/>
    <w:rsid w:val="00A77DA9"/>
    <w:rsid w:val="00A839E9"/>
    <w:rsid w:val="00A83BD9"/>
    <w:rsid w:val="00A860CA"/>
    <w:rsid w:val="00A862EF"/>
    <w:rsid w:val="00A873BF"/>
    <w:rsid w:val="00A87ACE"/>
    <w:rsid w:val="00A9668F"/>
    <w:rsid w:val="00A96FB0"/>
    <w:rsid w:val="00AB262D"/>
    <w:rsid w:val="00AB2796"/>
    <w:rsid w:val="00AC47AF"/>
    <w:rsid w:val="00AC54D3"/>
    <w:rsid w:val="00AC5C4C"/>
    <w:rsid w:val="00AC7BB2"/>
    <w:rsid w:val="00AD4952"/>
    <w:rsid w:val="00AD4F09"/>
    <w:rsid w:val="00AD584A"/>
    <w:rsid w:val="00AD7635"/>
    <w:rsid w:val="00AE454E"/>
    <w:rsid w:val="00AE485A"/>
    <w:rsid w:val="00AF05A0"/>
    <w:rsid w:val="00AF1211"/>
    <w:rsid w:val="00AF3749"/>
    <w:rsid w:val="00AF3A61"/>
    <w:rsid w:val="00AF47E2"/>
    <w:rsid w:val="00AF5DDB"/>
    <w:rsid w:val="00B02EF5"/>
    <w:rsid w:val="00B170EF"/>
    <w:rsid w:val="00B31017"/>
    <w:rsid w:val="00B349FF"/>
    <w:rsid w:val="00B363A4"/>
    <w:rsid w:val="00B37AF2"/>
    <w:rsid w:val="00B40742"/>
    <w:rsid w:val="00B41D76"/>
    <w:rsid w:val="00B54373"/>
    <w:rsid w:val="00B55AF0"/>
    <w:rsid w:val="00B55E86"/>
    <w:rsid w:val="00B60D87"/>
    <w:rsid w:val="00B66E1A"/>
    <w:rsid w:val="00B70B42"/>
    <w:rsid w:val="00B74845"/>
    <w:rsid w:val="00B76561"/>
    <w:rsid w:val="00B76881"/>
    <w:rsid w:val="00B7767F"/>
    <w:rsid w:val="00B847DA"/>
    <w:rsid w:val="00B8770E"/>
    <w:rsid w:val="00B90280"/>
    <w:rsid w:val="00B9283B"/>
    <w:rsid w:val="00B93457"/>
    <w:rsid w:val="00B961A5"/>
    <w:rsid w:val="00B97B0B"/>
    <w:rsid w:val="00BA763E"/>
    <w:rsid w:val="00BB4739"/>
    <w:rsid w:val="00BB543D"/>
    <w:rsid w:val="00BB5C36"/>
    <w:rsid w:val="00BB7DF9"/>
    <w:rsid w:val="00BC24D2"/>
    <w:rsid w:val="00BC27AF"/>
    <w:rsid w:val="00BC4508"/>
    <w:rsid w:val="00BC5CEC"/>
    <w:rsid w:val="00BC6D92"/>
    <w:rsid w:val="00BE2812"/>
    <w:rsid w:val="00BE6E0D"/>
    <w:rsid w:val="00BE7009"/>
    <w:rsid w:val="00BF4C1F"/>
    <w:rsid w:val="00BF64D8"/>
    <w:rsid w:val="00C053D3"/>
    <w:rsid w:val="00C0569D"/>
    <w:rsid w:val="00C07D8B"/>
    <w:rsid w:val="00C11E56"/>
    <w:rsid w:val="00C12393"/>
    <w:rsid w:val="00C13505"/>
    <w:rsid w:val="00C20949"/>
    <w:rsid w:val="00C523B4"/>
    <w:rsid w:val="00C52D50"/>
    <w:rsid w:val="00C628C9"/>
    <w:rsid w:val="00C703B6"/>
    <w:rsid w:val="00C72CB3"/>
    <w:rsid w:val="00C74EC1"/>
    <w:rsid w:val="00C7588E"/>
    <w:rsid w:val="00C85824"/>
    <w:rsid w:val="00C86CC4"/>
    <w:rsid w:val="00C965C4"/>
    <w:rsid w:val="00CA3315"/>
    <w:rsid w:val="00CA64C1"/>
    <w:rsid w:val="00CB1B56"/>
    <w:rsid w:val="00CB4EE8"/>
    <w:rsid w:val="00CC6E1E"/>
    <w:rsid w:val="00CD079D"/>
    <w:rsid w:val="00CD2622"/>
    <w:rsid w:val="00CD319C"/>
    <w:rsid w:val="00CD4F1D"/>
    <w:rsid w:val="00CD54A8"/>
    <w:rsid w:val="00CE07E5"/>
    <w:rsid w:val="00CE160D"/>
    <w:rsid w:val="00CF258F"/>
    <w:rsid w:val="00CF5F75"/>
    <w:rsid w:val="00D00EFA"/>
    <w:rsid w:val="00D25017"/>
    <w:rsid w:val="00D25A2E"/>
    <w:rsid w:val="00D271AC"/>
    <w:rsid w:val="00D3494B"/>
    <w:rsid w:val="00D35D4A"/>
    <w:rsid w:val="00D41C63"/>
    <w:rsid w:val="00D450C3"/>
    <w:rsid w:val="00D4597C"/>
    <w:rsid w:val="00D52206"/>
    <w:rsid w:val="00D655CC"/>
    <w:rsid w:val="00D6660C"/>
    <w:rsid w:val="00D76A89"/>
    <w:rsid w:val="00D803BA"/>
    <w:rsid w:val="00D91037"/>
    <w:rsid w:val="00D921A3"/>
    <w:rsid w:val="00DA5437"/>
    <w:rsid w:val="00DA584B"/>
    <w:rsid w:val="00DA6818"/>
    <w:rsid w:val="00DA7509"/>
    <w:rsid w:val="00DA75DE"/>
    <w:rsid w:val="00DC2203"/>
    <w:rsid w:val="00DC3218"/>
    <w:rsid w:val="00DC46DB"/>
    <w:rsid w:val="00DD1E33"/>
    <w:rsid w:val="00DD27F1"/>
    <w:rsid w:val="00DD3E42"/>
    <w:rsid w:val="00DD689C"/>
    <w:rsid w:val="00DD7564"/>
    <w:rsid w:val="00DE6E0E"/>
    <w:rsid w:val="00DF00F8"/>
    <w:rsid w:val="00DF2F49"/>
    <w:rsid w:val="00DF3185"/>
    <w:rsid w:val="00DF3E42"/>
    <w:rsid w:val="00DF47C7"/>
    <w:rsid w:val="00E056CB"/>
    <w:rsid w:val="00E24870"/>
    <w:rsid w:val="00E2557D"/>
    <w:rsid w:val="00E320A8"/>
    <w:rsid w:val="00E43FD9"/>
    <w:rsid w:val="00E4499A"/>
    <w:rsid w:val="00E46EFA"/>
    <w:rsid w:val="00E47C0B"/>
    <w:rsid w:val="00E50ED4"/>
    <w:rsid w:val="00E5159C"/>
    <w:rsid w:val="00E538AF"/>
    <w:rsid w:val="00E550FE"/>
    <w:rsid w:val="00E617F9"/>
    <w:rsid w:val="00E62B1C"/>
    <w:rsid w:val="00E67668"/>
    <w:rsid w:val="00E7471C"/>
    <w:rsid w:val="00E75A46"/>
    <w:rsid w:val="00E857C3"/>
    <w:rsid w:val="00E921F2"/>
    <w:rsid w:val="00E92F81"/>
    <w:rsid w:val="00E94BFF"/>
    <w:rsid w:val="00E9685C"/>
    <w:rsid w:val="00EA1089"/>
    <w:rsid w:val="00EA285F"/>
    <w:rsid w:val="00EA2B4C"/>
    <w:rsid w:val="00EB6E0A"/>
    <w:rsid w:val="00EC03DC"/>
    <w:rsid w:val="00ED0665"/>
    <w:rsid w:val="00ED2BBB"/>
    <w:rsid w:val="00ED44C9"/>
    <w:rsid w:val="00ED6017"/>
    <w:rsid w:val="00EF1A15"/>
    <w:rsid w:val="00EF303F"/>
    <w:rsid w:val="00EF3C43"/>
    <w:rsid w:val="00EF524B"/>
    <w:rsid w:val="00F008CD"/>
    <w:rsid w:val="00F05335"/>
    <w:rsid w:val="00F12864"/>
    <w:rsid w:val="00F12DB0"/>
    <w:rsid w:val="00F3113F"/>
    <w:rsid w:val="00F32730"/>
    <w:rsid w:val="00F3308A"/>
    <w:rsid w:val="00F3716D"/>
    <w:rsid w:val="00F37D18"/>
    <w:rsid w:val="00F40B1F"/>
    <w:rsid w:val="00F45C7E"/>
    <w:rsid w:val="00F51B57"/>
    <w:rsid w:val="00F524C7"/>
    <w:rsid w:val="00F55731"/>
    <w:rsid w:val="00F55EFB"/>
    <w:rsid w:val="00F6631C"/>
    <w:rsid w:val="00F768A3"/>
    <w:rsid w:val="00F85FD3"/>
    <w:rsid w:val="00F906E5"/>
    <w:rsid w:val="00F9086D"/>
    <w:rsid w:val="00F9292B"/>
    <w:rsid w:val="00FA3BC7"/>
    <w:rsid w:val="00FB10F2"/>
    <w:rsid w:val="00FB3252"/>
    <w:rsid w:val="00FB47ED"/>
    <w:rsid w:val="00FB4DB6"/>
    <w:rsid w:val="00FB548E"/>
    <w:rsid w:val="00FB69A8"/>
    <w:rsid w:val="00FB7D2A"/>
    <w:rsid w:val="00FC2818"/>
    <w:rsid w:val="00FC3546"/>
    <w:rsid w:val="00FC4B83"/>
    <w:rsid w:val="00FC6262"/>
    <w:rsid w:val="00FD0CF4"/>
    <w:rsid w:val="00FD11B5"/>
    <w:rsid w:val="00FD44F3"/>
    <w:rsid w:val="00FD5D6D"/>
    <w:rsid w:val="00FD79C1"/>
    <w:rsid w:val="00FE0D3A"/>
    <w:rsid w:val="00FE201C"/>
    <w:rsid w:val="00FE485A"/>
    <w:rsid w:val="00FE4D7B"/>
    <w:rsid w:val="00FE7C71"/>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8193"/>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1">
    <w:name w:val="heading 1"/>
    <w:basedOn w:val="Normal"/>
    <w:next w:val="Normal"/>
    <w:link w:val="Heading1Char"/>
    <w:qFormat/>
    <w:rsid w:val="00DA5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character" w:customStyle="1" w:styleId="Heading1Char">
    <w:name w:val="Heading 1 Char"/>
    <w:basedOn w:val="DefaultParagraphFont"/>
    <w:link w:val="Heading1"/>
    <w:rsid w:val="00DA543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DA5437"/>
    <w:rPr>
      <w:sz w:val="24"/>
      <w:szCs w:val="24"/>
    </w:rPr>
  </w:style>
  <w:style w:type="paragraph" w:styleId="NormalWeb">
    <w:name w:val="Normal (Web)"/>
    <w:basedOn w:val="Normal"/>
    <w:uiPriority w:val="99"/>
    <w:unhideWhenUsed/>
    <w:rsid w:val="006C2A88"/>
    <w:pPr>
      <w:spacing w:before="100" w:beforeAutospacing="1" w:after="100" w:afterAutospacing="1"/>
    </w:pPr>
  </w:style>
  <w:style w:type="paragraph" w:styleId="NoSpacing">
    <w:name w:val="No Spacing"/>
    <w:uiPriority w:val="1"/>
    <w:qFormat/>
    <w:rsid w:val="00BB543D"/>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Web)" w:uiPriority="99"/>
    <w:lsdException w:name="No List"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FE4D7B"/>
    <w:rPr>
      <w:sz w:val="24"/>
      <w:szCs w:val="24"/>
    </w:rPr>
  </w:style>
  <w:style w:type="paragraph" w:styleId="Heading1">
    <w:name w:val="heading 1"/>
    <w:basedOn w:val="Normal"/>
    <w:next w:val="Normal"/>
    <w:link w:val="Heading1Char"/>
    <w:qFormat/>
    <w:rsid w:val="00DA5437"/>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rsid w:val="00B7767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Tabletext">
    <w:name w:val="Table text"/>
    <w:basedOn w:val="Normal"/>
    <w:pPr>
      <w:spacing w:before="60" w:after="60"/>
    </w:pPr>
    <w:rPr>
      <w:rFonts w:ascii="Arial" w:hAnsi="Arial"/>
    </w:rPr>
  </w:style>
  <w:style w:type="paragraph" w:customStyle="1" w:styleId="Tableheader">
    <w:name w:val="Table header"/>
    <w:basedOn w:val="Normal"/>
    <w:pPr>
      <w:spacing w:before="120" w:after="120"/>
    </w:pPr>
    <w:rPr>
      <w:rFonts w:ascii="Arial" w:hAnsi="Arial"/>
      <w:b/>
    </w:rPr>
  </w:style>
  <w:style w:type="paragraph" w:customStyle="1" w:styleId="indent1">
    <w:name w:val="indent1"/>
    <w:basedOn w:val="Normal"/>
    <w:rsid w:val="00E5159C"/>
    <w:pPr>
      <w:spacing w:before="120" w:after="60"/>
      <w:ind w:left="432"/>
      <w:jc w:val="both"/>
    </w:pPr>
    <w:rPr>
      <w:rFonts w:ascii="Arial" w:hAnsi="Arial"/>
      <w:szCs w:val="20"/>
      <w:lang w:eastAsia="en-US"/>
    </w:rPr>
  </w:style>
  <w:style w:type="paragraph" w:customStyle="1" w:styleId="indent2">
    <w:name w:val="indent2"/>
    <w:basedOn w:val="Normal"/>
    <w:rsid w:val="008A57B4"/>
    <w:pPr>
      <w:spacing w:before="120" w:after="60"/>
      <w:ind w:left="1138"/>
      <w:jc w:val="both"/>
    </w:pPr>
    <w:rPr>
      <w:rFonts w:ascii="Arial" w:hAnsi="Arial"/>
      <w:szCs w:val="20"/>
      <w:lang w:eastAsia="en-US"/>
    </w:rPr>
  </w:style>
  <w:style w:type="paragraph" w:customStyle="1" w:styleId="bullet2">
    <w:name w:val="bullet2"/>
    <w:basedOn w:val="Normal"/>
    <w:rsid w:val="007A356A"/>
    <w:pPr>
      <w:numPr>
        <w:numId w:val="8"/>
      </w:numPr>
      <w:tabs>
        <w:tab w:val="clear" w:pos="1494"/>
      </w:tabs>
      <w:spacing w:after="60"/>
      <w:ind w:left="1418" w:hanging="284"/>
      <w:jc w:val="both"/>
    </w:pPr>
    <w:rPr>
      <w:rFonts w:ascii="Arial" w:hAnsi="Arial"/>
      <w:szCs w:val="20"/>
      <w:lang w:eastAsia="en-US"/>
    </w:rPr>
  </w:style>
  <w:style w:type="paragraph" w:customStyle="1" w:styleId="bullet3">
    <w:name w:val="bullet3"/>
    <w:basedOn w:val="Normal"/>
    <w:rsid w:val="009E0D79"/>
    <w:pPr>
      <w:numPr>
        <w:numId w:val="9"/>
      </w:numPr>
      <w:spacing w:before="120" w:after="60"/>
      <w:ind w:left="619" w:firstLine="2203"/>
      <w:jc w:val="both"/>
    </w:pPr>
    <w:rPr>
      <w:rFonts w:ascii="Arial" w:hAnsi="Arial"/>
      <w:szCs w:val="20"/>
      <w:lang w:eastAsia="en-US"/>
    </w:rPr>
  </w:style>
  <w:style w:type="paragraph" w:customStyle="1" w:styleId="number">
    <w:name w:val="number"/>
    <w:basedOn w:val="Normal"/>
    <w:rsid w:val="00FB47ED"/>
    <w:pPr>
      <w:tabs>
        <w:tab w:val="num" w:pos="785"/>
      </w:tabs>
      <w:spacing w:after="120"/>
      <w:ind w:left="567" w:hanging="142"/>
      <w:jc w:val="both"/>
    </w:pPr>
    <w:rPr>
      <w:rFonts w:ascii="Arial" w:hAnsi="Arial"/>
      <w:szCs w:val="20"/>
      <w:lang w:eastAsia="en-US"/>
    </w:rPr>
  </w:style>
  <w:style w:type="paragraph" w:styleId="Header">
    <w:name w:val="header"/>
    <w:basedOn w:val="Normal"/>
    <w:link w:val="HeaderChar"/>
    <w:rsid w:val="009646FA"/>
    <w:pPr>
      <w:tabs>
        <w:tab w:val="center" w:pos="4153"/>
        <w:tab w:val="right" w:pos="8306"/>
      </w:tabs>
    </w:pPr>
  </w:style>
  <w:style w:type="paragraph" w:styleId="Footer">
    <w:name w:val="footer"/>
    <w:basedOn w:val="Normal"/>
    <w:link w:val="FooterChar"/>
    <w:uiPriority w:val="99"/>
    <w:rsid w:val="009646FA"/>
    <w:pPr>
      <w:tabs>
        <w:tab w:val="center" w:pos="4153"/>
        <w:tab w:val="right" w:pos="8306"/>
      </w:tabs>
    </w:pPr>
  </w:style>
  <w:style w:type="character" w:styleId="PageNumber">
    <w:name w:val="page number"/>
    <w:basedOn w:val="DefaultParagraphFont"/>
    <w:rsid w:val="009646FA"/>
  </w:style>
  <w:style w:type="character" w:styleId="Hyperlink">
    <w:name w:val="Hyperlink"/>
    <w:unhideWhenUsed/>
    <w:rsid w:val="003E4361"/>
    <w:rPr>
      <w:color w:val="0000FF"/>
      <w:u w:val="single"/>
    </w:rPr>
  </w:style>
  <w:style w:type="paragraph" w:customStyle="1" w:styleId="Default">
    <w:name w:val="Default"/>
    <w:rsid w:val="00464A6D"/>
    <w:pPr>
      <w:autoSpaceDE w:val="0"/>
      <w:autoSpaceDN w:val="0"/>
      <w:adjustRightInd w:val="0"/>
    </w:pPr>
    <w:rPr>
      <w:rFonts w:ascii="Arial" w:hAnsi="Arial" w:cs="Arial"/>
      <w:color w:val="000000"/>
      <w:sz w:val="24"/>
      <w:szCs w:val="24"/>
    </w:rPr>
  </w:style>
  <w:style w:type="paragraph" w:styleId="BalloonText">
    <w:name w:val="Balloon Text"/>
    <w:basedOn w:val="Normal"/>
    <w:link w:val="BalloonTextChar"/>
    <w:rsid w:val="009A0C1E"/>
    <w:rPr>
      <w:rFonts w:ascii="Tahoma" w:hAnsi="Tahoma" w:cs="Tahoma"/>
      <w:sz w:val="16"/>
      <w:szCs w:val="16"/>
    </w:rPr>
  </w:style>
  <w:style w:type="character" w:customStyle="1" w:styleId="BalloonTextChar">
    <w:name w:val="Balloon Text Char"/>
    <w:link w:val="BalloonText"/>
    <w:rsid w:val="009A0C1E"/>
    <w:rPr>
      <w:rFonts w:ascii="Tahoma" w:hAnsi="Tahoma" w:cs="Tahoma"/>
      <w:sz w:val="16"/>
      <w:szCs w:val="16"/>
    </w:rPr>
  </w:style>
  <w:style w:type="character" w:customStyle="1" w:styleId="HeaderChar">
    <w:name w:val="Header Char"/>
    <w:link w:val="Header"/>
    <w:rsid w:val="00BA763E"/>
    <w:rPr>
      <w:sz w:val="24"/>
      <w:szCs w:val="24"/>
    </w:rPr>
  </w:style>
  <w:style w:type="character" w:styleId="FollowedHyperlink">
    <w:name w:val="FollowedHyperlink"/>
    <w:rsid w:val="004C5FA2"/>
    <w:rPr>
      <w:color w:val="800080"/>
      <w:u w:val="single"/>
    </w:rPr>
  </w:style>
  <w:style w:type="paragraph" w:styleId="ListParagraph">
    <w:name w:val="List Paragraph"/>
    <w:basedOn w:val="Normal"/>
    <w:uiPriority w:val="34"/>
    <w:qFormat/>
    <w:rsid w:val="00301655"/>
    <w:pPr>
      <w:ind w:left="720"/>
      <w:contextualSpacing/>
    </w:pPr>
  </w:style>
  <w:style w:type="character" w:customStyle="1" w:styleId="Heading1Char">
    <w:name w:val="Heading 1 Char"/>
    <w:basedOn w:val="DefaultParagraphFont"/>
    <w:link w:val="Heading1"/>
    <w:rsid w:val="00DA5437"/>
    <w:rPr>
      <w:rFonts w:asciiTheme="majorHAnsi" w:eastAsiaTheme="majorEastAsia" w:hAnsiTheme="majorHAnsi" w:cstheme="majorBidi"/>
      <w:b/>
      <w:bCs/>
      <w:color w:val="365F91" w:themeColor="accent1" w:themeShade="BF"/>
      <w:sz w:val="28"/>
      <w:szCs w:val="28"/>
    </w:rPr>
  </w:style>
  <w:style w:type="character" w:customStyle="1" w:styleId="FooterChar">
    <w:name w:val="Footer Char"/>
    <w:basedOn w:val="DefaultParagraphFont"/>
    <w:link w:val="Footer"/>
    <w:uiPriority w:val="99"/>
    <w:rsid w:val="00DA5437"/>
    <w:rPr>
      <w:sz w:val="24"/>
      <w:szCs w:val="24"/>
    </w:rPr>
  </w:style>
  <w:style w:type="paragraph" w:styleId="NormalWeb">
    <w:name w:val="Normal (Web)"/>
    <w:basedOn w:val="Normal"/>
    <w:uiPriority w:val="99"/>
    <w:unhideWhenUsed/>
    <w:rsid w:val="006C2A88"/>
    <w:pPr>
      <w:spacing w:before="100" w:beforeAutospacing="1" w:after="100" w:afterAutospacing="1"/>
    </w:pPr>
  </w:style>
  <w:style w:type="paragraph" w:styleId="NoSpacing">
    <w:name w:val="No Spacing"/>
    <w:uiPriority w:val="1"/>
    <w:qFormat/>
    <w:rsid w:val="00BB543D"/>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59146">
      <w:bodyDiv w:val="1"/>
      <w:marLeft w:val="0"/>
      <w:marRight w:val="0"/>
      <w:marTop w:val="0"/>
      <w:marBottom w:val="0"/>
      <w:divBdr>
        <w:top w:val="none" w:sz="0" w:space="0" w:color="auto"/>
        <w:left w:val="none" w:sz="0" w:space="0" w:color="auto"/>
        <w:bottom w:val="none" w:sz="0" w:space="0" w:color="auto"/>
        <w:right w:val="none" w:sz="0" w:space="0" w:color="auto"/>
      </w:divBdr>
    </w:div>
    <w:div w:id="583418994">
      <w:bodyDiv w:val="1"/>
      <w:marLeft w:val="0"/>
      <w:marRight w:val="0"/>
      <w:marTop w:val="0"/>
      <w:marBottom w:val="0"/>
      <w:divBdr>
        <w:top w:val="none" w:sz="0" w:space="0" w:color="auto"/>
        <w:left w:val="none" w:sz="0" w:space="0" w:color="auto"/>
        <w:bottom w:val="none" w:sz="0" w:space="0" w:color="auto"/>
        <w:right w:val="none" w:sz="0" w:space="0" w:color="auto"/>
      </w:divBdr>
    </w:div>
    <w:div w:id="718624429">
      <w:bodyDiv w:val="1"/>
      <w:marLeft w:val="0"/>
      <w:marRight w:val="0"/>
      <w:marTop w:val="0"/>
      <w:marBottom w:val="0"/>
      <w:divBdr>
        <w:top w:val="none" w:sz="0" w:space="0" w:color="auto"/>
        <w:left w:val="none" w:sz="0" w:space="0" w:color="auto"/>
        <w:bottom w:val="none" w:sz="0" w:space="0" w:color="auto"/>
        <w:right w:val="none" w:sz="0" w:space="0" w:color="auto"/>
      </w:divBdr>
      <w:divsChild>
        <w:div w:id="495851726">
          <w:marLeft w:val="0"/>
          <w:marRight w:val="0"/>
          <w:marTop w:val="0"/>
          <w:marBottom w:val="0"/>
          <w:divBdr>
            <w:top w:val="none" w:sz="0" w:space="0" w:color="auto"/>
            <w:left w:val="none" w:sz="0" w:space="0" w:color="auto"/>
            <w:bottom w:val="none" w:sz="0" w:space="0" w:color="auto"/>
            <w:right w:val="none" w:sz="0" w:space="0" w:color="auto"/>
          </w:divBdr>
          <w:divsChild>
            <w:div w:id="1349719643">
              <w:marLeft w:val="0"/>
              <w:marRight w:val="0"/>
              <w:marTop w:val="0"/>
              <w:marBottom w:val="0"/>
              <w:divBdr>
                <w:top w:val="none" w:sz="0" w:space="0" w:color="auto"/>
                <w:left w:val="none" w:sz="0" w:space="0" w:color="auto"/>
                <w:bottom w:val="none" w:sz="0" w:space="0" w:color="auto"/>
                <w:right w:val="none" w:sz="0" w:space="0" w:color="auto"/>
              </w:divBdr>
              <w:divsChild>
                <w:div w:id="1584408831">
                  <w:marLeft w:val="0"/>
                  <w:marRight w:val="0"/>
                  <w:marTop w:val="0"/>
                  <w:marBottom w:val="0"/>
                  <w:divBdr>
                    <w:top w:val="none" w:sz="0" w:space="0" w:color="auto"/>
                    <w:left w:val="none" w:sz="0" w:space="0" w:color="auto"/>
                    <w:bottom w:val="none" w:sz="0" w:space="0" w:color="auto"/>
                    <w:right w:val="none" w:sz="0" w:space="0" w:color="auto"/>
                  </w:divBdr>
                  <w:divsChild>
                    <w:div w:id="383800625">
                      <w:marLeft w:val="0"/>
                      <w:marRight w:val="0"/>
                      <w:marTop w:val="0"/>
                      <w:marBottom w:val="0"/>
                      <w:divBdr>
                        <w:top w:val="none" w:sz="0" w:space="0" w:color="auto"/>
                        <w:left w:val="none" w:sz="0" w:space="0" w:color="auto"/>
                        <w:bottom w:val="none" w:sz="0" w:space="0" w:color="auto"/>
                        <w:right w:val="none" w:sz="0" w:space="0" w:color="auto"/>
                      </w:divBdr>
                      <w:divsChild>
                        <w:div w:id="916284587">
                          <w:marLeft w:val="0"/>
                          <w:marRight w:val="0"/>
                          <w:marTop w:val="0"/>
                          <w:marBottom w:val="0"/>
                          <w:divBdr>
                            <w:top w:val="none" w:sz="0" w:space="0" w:color="auto"/>
                            <w:left w:val="none" w:sz="0" w:space="0" w:color="auto"/>
                            <w:bottom w:val="none" w:sz="0" w:space="0" w:color="auto"/>
                            <w:right w:val="none" w:sz="0" w:space="0" w:color="auto"/>
                          </w:divBdr>
                          <w:divsChild>
                            <w:div w:id="1758593386">
                              <w:marLeft w:val="0"/>
                              <w:marRight w:val="0"/>
                              <w:marTop w:val="0"/>
                              <w:marBottom w:val="0"/>
                              <w:divBdr>
                                <w:top w:val="none" w:sz="0" w:space="0" w:color="auto"/>
                                <w:left w:val="none" w:sz="0" w:space="0" w:color="auto"/>
                                <w:bottom w:val="none" w:sz="0" w:space="0" w:color="auto"/>
                                <w:right w:val="none" w:sz="0" w:space="0" w:color="auto"/>
                              </w:divBdr>
                              <w:divsChild>
                                <w:div w:id="1006593270">
                                  <w:marLeft w:val="0"/>
                                  <w:marRight w:val="0"/>
                                  <w:marTop w:val="0"/>
                                  <w:marBottom w:val="0"/>
                                  <w:divBdr>
                                    <w:top w:val="none" w:sz="0" w:space="0" w:color="auto"/>
                                    <w:left w:val="none" w:sz="0" w:space="0" w:color="auto"/>
                                    <w:bottom w:val="none" w:sz="0" w:space="0" w:color="auto"/>
                                    <w:right w:val="none" w:sz="0" w:space="0" w:color="auto"/>
                                  </w:divBdr>
                                  <w:divsChild>
                                    <w:div w:id="91581847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738676518">
      <w:bodyDiv w:val="1"/>
      <w:marLeft w:val="0"/>
      <w:marRight w:val="0"/>
      <w:marTop w:val="0"/>
      <w:marBottom w:val="0"/>
      <w:divBdr>
        <w:top w:val="none" w:sz="0" w:space="0" w:color="auto"/>
        <w:left w:val="none" w:sz="0" w:space="0" w:color="auto"/>
        <w:bottom w:val="none" w:sz="0" w:space="0" w:color="auto"/>
        <w:right w:val="none" w:sz="0" w:space="0" w:color="auto"/>
      </w:divBdr>
      <w:divsChild>
        <w:div w:id="57943280">
          <w:marLeft w:val="0"/>
          <w:marRight w:val="0"/>
          <w:marTop w:val="0"/>
          <w:marBottom w:val="0"/>
          <w:divBdr>
            <w:top w:val="none" w:sz="0" w:space="0" w:color="auto"/>
            <w:left w:val="none" w:sz="0" w:space="0" w:color="auto"/>
            <w:bottom w:val="none" w:sz="0" w:space="0" w:color="auto"/>
            <w:right w:val="none" w:sz="0" w:space="0" w:color="auto"/>
          </w:divBdr>
          <w:divsChild>
            <w:div w:id="453252111">
              <w:marLeft w:val="0"/>
              <w:marRight w:val="0"/>
              <w:marTop w:val="0"/>
              <w:marBottom w:val="0"/>
              <w:divBdr>
                <w:top w:val="none" w:sz="0" w:space="0" w:color="auto"/>
                <w:left w:val="none" w:sz="0" w:space="0" w:color="auto"/>
                <w:bottom w:val="none" w:sz="0" w:space="0" w:color="auto"/>
                <w:right w:val="none" w:sz="0" w:space="0" w:color="auto"/>
              </w:divBdr>
              <w:divsChild>
                <w:div w:id="226494452">
                  <w:marLeft w:val="0"/>
                  <w:marRight w:val="0"/>
                  <w:marTop w:val="0"/>
                  <w:marBottom w:val="0"/>
                  <w:divBdr>
                    <w:top w:val="none" w:sz="0" w:space="0" w:color="auto"/>
                    <w:left w:val="none" w:sz="0" w:space="0" w:color="auto"/>
                    <w:bottom w:val="none" w:sz="0" w:space="0" w:color="auto"/>
                    <w:right w:val="none" w:sz="0" w:space="0" w:color="auto"/>
                  </w:divBdr>
                  <w:divsChild>
                    <w:div w:id="1175412142">
                      <w:marLeft w:val="0"/>
                      <w:marRight w:val="0"/>
                      <w:marTop w:val="0"/>
                      <w:marBottom w:val="0"/>
                      <w:divBdr>
                        <w:top w:val="none" w:sz="0" w:space="0" w:color="auto"/>
                        <w:left w:val="none" w:sz="0" w:space="0" w:color="auto"/>
                        <w:bottom w:val="none" w:sz="0" w:space="0" w:color="auto"/>
                        <w:right w:val="none" w:sz="0" w:space="0" w:color="auto"/>
                      </w:divBdr>
                      <w:divsChild>
                        <w:div w:id="1212425267">
                          <w:marLeft w:val="0"/>
                          <w:marRight w:val="0"/>
                          <w:marTop w:val="0"/>
                          <w:marBottom w:val="0"/>
                          <w:divBdr>
                            <w:top w:val="none" w:sz="0" w:space="0" w:color="auto"/>
                            <w:left w:val="none" w:sz="0" w:space="0" w:color="auto"/>
                            <w:bottom w:val="none" w:sz="0" w:space="0" w:color="auto"/>
                            <w:right w:val="none" w:sz="0" w:space="0" w:color="auto"/>
                          </w:divBdr>
                          <w:divsChild>
                            <w:div w:id="1344017641">
                              <w:marLeft w:val="0"/>
                              <w:marRight w:val="0"/>
                              <w:marTop w:val="0"/>
                              <w:marBottom w:val="0"/>
                              <w:divBdr>
                                <w:top w:val="none" w:sz="0" w:space="0" w:color="auto"/>
                                <w:left w:val="none" w:sz="0" w:space="0" w:color="auto"/>
                                <w:bottom w:val="none" w:sz="0" w:space="0" w:color="auto"/>
                                <w:right w:val="none" w:sz="0" w:space="0" w:color="auto"/>
                              </w:divBdr>
                              <w:divsChild>
                                <w:div w:id="1465805453">
                                  <w:marLeft w:val="0"/>
                                  <w:marRight w:val="0"/>
                                  <w:marTop w:val="0"/>
                                  <w:marBottom w:val="0"/>
                                  <w:divBdr>
                                    <w:top w:val="none" w:sz="0" w:space="0" w:color="auto"/>
                                    <w:left w:val="none" w:sz="0" w:space="0" w:color="auto"/>
                                    <w:bottom w:val="none" w:sz="0" w:space="0" w:color="auto"/>
                                    <w:right w:val="none" w:sz="0" w:space="0" w:color="auto"/>
                                  </w:divBdr>
                                  <w:divsChild>
                                    <w:div w:id="102309373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808667117">
      <w:bodyDiv w:val="1"/>
      <w:marLeft w:val="0"/>
      <w:marRight w:val="0"/>
      <w:marTop w:val="0"/>
      <w:marBottom w:val="0"/>
      <w:divBdr>
        <w:top w:val="none" w:sz="0" w:space="0" w:color="auto"/>
        <w:left w:val="none" w:sz="0" w:space="0" w:color="auto"/>
        <w:bottom w:val="none" w:sz="0" w:space="0" w:color="auto"/>
        <w:right w:val="none" w:sz="0" w:space="0" w:color="auto"/>
      </w:divBdr>
    </w:div>
    <w:div w:id="810485934">
      <w:bodyDiv w:val="1"/>
      <w:marLeft w:val="0"/>
      <w:marRight w:val="0"/>
      <w:marTop w:val="0"/>
      <w:marBottom w:val="0"/>
      <w:divBdr>
        <w:top w:val="none" w:sz="0" w:space="0" w:color="auto"/>
        <w:left w:val="none" w:sz="0" w:space="0" w:color="auto"/>
        <w:bottom w:val="none" w:sz="0" w:space="0" w:color="auto"/>
        <w:right w:val="none" w:sz="0" w:space="0" w:color="auto"/>
      </w:divBdr>
    </w:div>
    <w:div w:id="910196440">
      <w:bodyDiv w:val="1"/>
      <w:marLeft w:val="0"/>
      <w:marRight w:val="0"/>
      <w:marTop w:val="0"/>
      <w:marBottom w:val="0"/>
      <w:divBdr>
        <w:top w:val="none" w:sz="0" w:space="0" w:color="auto"/>
        <w:left w:val="none" w:sz="0" w:space="0" w:color="auto"/>
        <w:bottom w:val="none" w:sz="0" w:space="0" w:color="auto"/>
        <w:right w:val="none" w:sz="0" w:space="0" w:color="auto"/>
      </w:divBdr>
    </w:div>
    <w:div w:id="1133013112">
      <w:bodyDiv w:val="1"/>
      <w:marLeft w:val="0"/>
      <w:marRight w:val="0"/>
      <w:marTop w:val="0"/>
      <w:marBottom w:val="0"/>
      <w:divBdr>
        <w:top w:val="none" w:sz="0" w:space="0" w:color="auto"/>
        <w:left w:val="none" w:sz="0" w:space="0" w:color="auto"/>
        <w:bottom w:val="none" w:sz="0" w:space="0" w:color="auto"/>
        <w:right w:val="none" w:sz="0" w:space="0" w:color="auto"/>
      </w:divBdr>
      <w:divsChild>
        <w:div w:id="565728827">
          <w:marLeft w:val="547"/>
          <w:marRight w:val="0"/>
          <w:marTop w:val="115"/>
          <w:marBottom w:val="0"/>
          <w:divBdr>
            <w:top w:val="none" w:sz="0" w:space="0" w:color="auto"/>
            <w:left w:val="none" w:sz="0" w:space="0" w:color="auto"/>
            <w:bottom w:val="none" w:sz="0" w:space="0" w:color="auto"/>
            <w:right w:val="none" w:sz="0" w:space="0" w:color="auto"/>
          </w:divBdr>
        </w:div>
        <w:div w:id="605771667">
          <w:marLeft w:val="547"/>
          <w:marRight w:val="0"/>
          <w:marTop w:val="115"/>
          <w:marBottom w:val="0"/>
          <w:divBdr>
            <w:top w:val="none" w:sz="0" w:space="0" w:color="auto"/>
            <w:left w:val="none" w:sz="0" w:space="0" w:color="auto"/>
            <w:bottom w:val="none" w:sz="0" w:space="0" w:color="auto"/>
            <w:right w:val="none" w:sz="0" w:space="0" w:color="auto"/>
          </w:divBdr>
        </w:div>
        <w:div w:id="1009061785">
          <w:marLeft w:val="547"/>
          <w:marRight w:val="0"/>
          <w:marTop w:val="115"/>
          <w:marBottom w:val="0"/>
          <w:divBdr>
            <w:top w:val="none" w:sz="0" w:space="0" w:color="auto"/>
            <w:left w:val="none" w:sz="0" w:space="0" w:color="auto"/>
            <w:bottom w:val="none" w:sz="0" w:space="0" w:color="auto"/>
            <w:right w:val="none" w:sz="0" w:space="0" w:color="auto"/>
          </w:divBdr>
        </w:div>
        <w:div w:id="1009722624">
          <w:marLeft w:val="547"/>
          <w:marRight w:val="0"/>
          <w:marTop w:val="115"/>
          <w:marBottom w:val="0"/>
          <w:divBdr>
            <w:top w:val="none" w:sz="0" w:space="0" w:color="auto"/>
            <w:left w:val="none" w:sz="0" w:space="0" w:color="auto"/>
            <w:bottom w:val="none" w:sz="0" w:space="0" w:color="auto"/>
            <w:right w:val="none" w:sz="0" w:space="0" w:color="auto"/>
          </w:divBdr>
        </w:div>
        <w:div w:id="1208302013">
          <w:marLeft w:val="547"/>
          <w:marRight w:val="0"/>
          <w:marTop w:val="115"/>
          <w:marBottom w:val="0"/>
          <w:divBdr>
            <w:top w:val="none" w:sz="0" w:space="0" w:color="auto"/>
            <w:left w:val="none" w:sz="0" w:space="0" w:color="auto"/>
            <w:bottom w:val="none" w:sz="0" w:space="0" w:color="auto"/>
            <w:right w:val="none" w:sz="0" w:space="0" w:color="auto"/>
          </w:divBdr>
        </w:div>
        <w:div w:id="1638025657">
          <w:marLeft w:val="547"/>
          <w:marRight w:val="0"/>
          <w:marTop w:val="115"/>
          <w:marBottom w:val="0"/>
          <w:divBdr>
            <w:top w:val="none" w:sz="0" w:space="0" w:color="auto"/>
            <w:left w:val="none" w:sz="0" w:space="0" w:color="auto"/>
            <w:bottom w:val="none" w:sz="0" w:space="0" w:color="auto"/>
            <w:right w:val="none" w:sz="0" w:space="0" w:color="auto"/>
          </w:divBdr>
        </w:div>
        <w:div w:id="1659846860">
          <w:marLeft w:val="547"/>
          <w:marRight w:val="0"/>
          <w:marTop w:val="115"/>
          <w:marBottom w:val="0"/>
          <w:divBdr>
            <w:top w:val="none" w:sz="0" w:space="0" w:color="auto"/>
            <w:left w:val="none" w:sz="0" w:space="0" w:color="auto"/>
            <w:bottom w:val="none" w:sz="0" w:space="0" w:color="auto"/>
            <w:right w:val="none" w:sz="0" w:space="0" w:color="auto"/>
          </w:divBdr>
        </w:div>
        <w:div w:id="1695421027">
          <w:marLeft w:val="547"/>
          <w:marRight w:val="0"/>
          <w:marTop w:val="115"/>
          <w:marBottom w:val="0"/>
          <w:divBdr>
            <w:top w:val="none" w:sz="0" w:space="0" w:color="auto"/>
            <w:left w:val="none" w:sz="0" w:space="0" w:color="auto"/>
            <w:bottom w:val="none" w:sz="0" w:space="0" w:color="auto"/>
            <w:right w:val="none" w:sz="0" w:space="0" w:color="auto"/>
          </w:divBdr>
        </w:div>
      </w:divsChild>
    </w:div>
    <w:div w:id="1244148746">
      <w:bodyDiv w:val="1"/>
      <w:marLeft w:val="0"/>
      <w:marRight w:val="0"/>
      <w:marTop w:val="0"/>
      <w:marBottom w:val="0"/>
      <w:divBdr>
        <w:top w:val="none" w:sz="0" w:space="0" w:color="auto"/>
        <w:left w:val="none" w:sz="0" w:space="0" w:color="auto"/>
        <w:bottom w:val="none" w:sz="0" w:space="0" w:color="auto"/>
        <w:right w:val="none" w:sz="0" w:space="0" w:color="auto"/>
      </w:divBdr>
    </w:div>
    <w:div w:id="1390884301">
      <w:bodyDiv w:val="1"/>
      <w:marLeft w:val="0"/>
      <w:marRight w:val="0"/>
      <w:marTop w:val="0"/>
      <w:marBottom w:val="0"/>
      <w:divBdr>
        <w:top w:val="none" w:sz="0" w:space="0" w:color="auto"/>
        <w:left w:val="none" w:sz="0" w:space="0" w:color="auto"/>
        <w:bottom w:val="none" w:sz="0" w:space="0" w:color="auto"/>
        <w:right w:val="none" w:sz="0" w:space="0" w:color="auto"/>
      </w:divBdr>
    </w:div>
    <w:div w:id="1406413322">
      <w:bodyDiv w:val="1"/>
      <w:marLeft w:val="0"/>
      <w:marRight w:val="0"/>
      <w:marTop w:val="0"/>
      <w:marBottom w:val="0"/>
      <w:divBdr>
        <w:top w:val="none" w:sz="0" w:space="0" w:color="auto"/>
        <w:left w:val="none" w:sz="0" w:space="0" w:color="auto"/>
        <w:bottom w:val="none" w:sz="0" w:space="0" w:color="auto"/>
        <w:right w:val="none" w:sz="0" w:space="0" w:color="auto"/>
      </w:divBdr>
    </w:div>
    <w:div w:id="1506168339">
      <w:bodyDiv w:val="1"/>
      <w:marLeft w:val="0"/>
      <w:marRight w:val="0"/>
      <w:marTop w:val="0"/>
      <w:marBottom w:val="0"/>
      <w:divBdr>
        <w:top w:val="none" w:sz="0" w:space="0" w:color="auto"/>
        <w:left w:val="none" w:sz="0" w:space="0" w:color="auto"/>
        <w:bottom w:val="none" w:sz="0" w:space="0" w:color="auto"/>
        <w:right w:val="none" w:sz="0" w:space="0" w:color="auto"/>
      </w:divBdr>
    </w:div>
    <w:div w:id="1507788691">
      <w:bodyDiv w:val="1"/>
      <w:marLeft w:val="0"/>
      <w:marRight w:val="0"/>
      <w:marTop w:val="0"/>
      <w:marBottom w:val="0"/>
      <w:divBdr>
        <w:top w:val="none" w:sz="0" w:space="0" w:color="auto"/>
        <w:left w:val="none" w:sz="0" w:space="0" w:color="auto"/>
        <w:bottom w:val="none" w:sz="0" w:space="0" w:color="auto"/>
        <w:right w:val="none" w:sz="0" w:space="0" w:color="auto"/>
      </w:divBdr>
      <w:divsChild>
        <w:div w:id="1411197213">
          <w:marLeft w:val="0"/>
          <w:marRight w:val="0"/>
          <w:marTop w:val="0"/>
          <w:marBottom w:val="0"/>
          <w:divBdr>
            <w:top w:val="none" w:sz="0" w:space="0" w:color="auto"/>
            <w:left w:val="none" w:sz="0" w:space="0" w:color="auto"/>
            <w:bottom w:val="none" w:sz="0" w:space="0" w:color="auto"/>
            <w:right w:val="none" w:sz="0" w:space="0" w:color="auto"/>
          </w:divBdr>
          <w:divsChild>
            <w:div w:id="256602759">
              <w:marLeft w:val="0"/>
              <w:marRight w:val="0"/>
              <w:marTop w:val="0"/>
              <w:marBottom w:val="0"/>
              <w:divBdr>
                <w:top w:val="none" w:sz="0" w:space="0" w:color="auto"/>
                <w:left w:val="none" w:sz="0" w:space="0" w:color="auto"/>
                <w:bottom w:val="none" w:sz="0" w:space="0" w:color="auto"/>
                <w:right w:val="none" w:sz="0" w:space="0" w:color="auto"/>
              </w:divBdr>
              <w:divsChild>
                <w:div w:id="912593027">
                  <w:marLeft w:val="0"/>
                  <w:marRight w:val="0"/>
                  <w:marTop w:val="0"/>
                  <w:marBottom w:val="0"/>
                  <w:divBdr>
                    <w:top w:val="none" w:sz="0" w:space="0" w:color="auto"/>
                    <w:left w:val="none" w:sz="0" w:space="0" w:color="auto"/>
                    <w:bottom w:val="none" w:sz="0" w:space="0" w:color="auto"/>
                    <w:right w:val="none" w:sz="0" w:space="0" w:color="auto"/>
                  </w:divBdr>
                  <w:divsChild>
                    <w:div w:id="866483197">
                      <w:marLeft w:val="0"/>
                      <w:marRight w:val="0"/>
                      <w:marTop w:val="0"/>
                      <w:marBottom w:val="0"/>
                      <w:divBdr>
                        <w:top w:val="none" w:sz="0" w:space="0" w:color="auto"/>
                        <w:left w:val="none" w:sz="0" w:space="0" w:color="auto"/>
                        <w:bottom w:val="none" w:sz="0" w:space="0" w:color="auto"/>
                        <w:right w:val="none" w:sz="0" w:space="0" w:color="auto"/>
                      </w:divBdr>
                      <w:divsChild>
                        <w:div w:id="231741460">
                          <w:marLeft w:val="0"/>
                          <w:marRight w:val="0"/>
                          <w:marTop w:val="0"/>
                          <w:marBottom w:val="0"/>
                          <w:divBdr>
                            <w:top w:val="none" w:sz="0" w:space="0" w:color="auto"/>
                            <w:left w:val="none" w:sz="0" w:space="0" w:color="auto"/>
                            <w:bottom w:val="none" w:sz="0" w:space="0" w:color="auto"/>
                            <w:right w:val="none" w:sz="0" w:space="0" w:color="auto"/>
                          </w:divBdr>
                          <w:divsChild>
                            <w:div w:id="384721443">
                              <w:marLeft w:val="0"/>
                              <w:marRight w:val="0"/>
                              <w:marTop w:val="0"/>
                              <w:marBottom w:val="0"/>
                              <w:divBdr>
                                <w:top w:val="none" w:sz="0" w:space="0" w:color="auto"/>
                                <w:left w:val="none" w:sz="0" w:space="0" w:color="auto"/>
                                <w:bottom w:val="none" w:sz="0" w:space="0" w:color="auto"/>
                                <w:right w:val="none" w:sz="0" w:space="0" w:color="auto"/>
                              </w:divBdr>
                              <w:divsChild>
                                <w:div w:id="942960555">
                                  <w:marLeft w:val="0"/>
                                  <w:marRight w:val="0"/>
                                  <w:marTop w:val="0"/>
                                  <w:marBottom w:val="0"/>
                                  <w:divBdr>
                                    <w:top w:val="none" w:sz="0" w:space="0" w:color="auto"/>
                                    <w:left w:val="none" w:sz="0" w:space="0" w:color="auto"/>
                                    <w:bottom w:val="none" w:sz="0" w:space="0" w:color="auto"/>
                                    <w:right w:val="none" w:sz="0" w:space="0" w:color="auto"/>
                                  </w:divBdr>
                                  <w:divsChild>
                                    <w:div w:id="11655106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 w:id="1527133542">
      <w:bodyDiv w:val="1"/>
      <w:marLeft w:val="0"/>
      <w:marRight w:val="0"/>
      <w:marTop w:val="0"/>
      <w:marBottom w:val="0"/>
      <w:divBdr>
        <w:top w:val="none" w:sz="0" w:space="0" w:color="auto"/>
        <w:left w:val="none" w:sz="0" w:space="0" w:color="auto"/>
        <w:bottom w:val="none" w:sz="0" w:space="0" w:color="auto"/>
        <w:right w:val="none" w:sz="0" w:space="0" w:color="auto"/>
      </w:divBdr>
    </w:div>
    <w:div w:id="1672829931">
      <w:bodyDiv w:val="1"/>
      <w:marLeft w:val="0"/>
      <w:marRight w:val="0"/>
      <w:marTop w:val="0"/>
      <w:marBottom w:val="0"/>
      <w:divBdr>
        <w:top w:val="none" w:sz="0" w:space="0" w:color="auto"/>
        <w:left w:val="none" w:sz="0" w:space="0" w:color="auto"/>
        <w:bottom w:val="none" w:sz="0" w:space="0" w:color="auto"/>
        <w:right w:val="none" w:sz="0" w:space="0" w:color="auto"/>
      </w:divBdr>
    </w:div>
    <w:div w:id="1715353320">
      <w:bodyDiv w:val="1"/>
      <w:marLeft w:val="0"/>
      <w:marRight w:val="0"/>
      <w:marTop w:val="0"/>
      <w:marBottom w:val="0"/>
      <w:divBdr>
        <w:top w:val="none" w:sz="0" w:space="0" w:color="auto"/>
        <w:left w:val="none" w:sz="0" w:space="0" w:color="auto"/>
        <w:bottom w:val="none" w:sz="0" w:space="0" w:color="auto"/>
        <w:right w:val="none" w:sz="0" w:space="0" w:color="auto"/>
      </w:divBdr>
    </w:div>
    <w:div w:id="1791824029">
      <w:bodyDiv w:val="1"/>
      <w:marLeft w:val="0"/>
      <w:marRight w:val="0"/>
      <w:marTop w:val="0"/>
      <w:marBottom w:val="0"/>
      <w:divBdr>
        <w:top w:val="none" w:sz="0" w:space="0" w:color="auto"/>
        <w:left w:val="none" w:sz="0" w:space="0" w:color="auto"/>
        <w:bottom w:val="none" w:sz="0" w:space="0" w:color="auto"/>
        <w:right w:val="none" w:sz="0" w:space="0" w:color="auto"/>
      </w:divBdr>
    </w:div>
    <w:div w:id="1834374242">
      <w:bodyDiv w:val="1"/>
      <w:marLeft w:val="60"/>
      <w:marRight w:val="60"/>
      <w:marTop w:val="60"/>
      <w:marBottom w:val="15"/>
      <w:divBdr>
        <w:top w:val="none" w:sz="0" w:space="0" w:color="auto"/>
        <w:left w:val="none" w:sz="0" w:space="0" w:color="auto"/>
        <w:bottom w:val="none" w:sz="0" w:space="0" w:color="auto"/>
        <w:right w:val="none" w:sz="0" w:space="0" w:color="auto"/>
      </w:divBdr>
    </w:div>
    <w:div w:id="1845391352">
      <w:bodyDiv w:val="1"/>
      <w:marLeft w:val="0"/>
      <w:marRight w:val="0"/>
      <w:marTop w:val="0"/>
      <w:marBottom w:val="0"/>
      <w:divBdr>
        <w:top w:val="none" w:sz="0" w:space="0" w:color="auto"/>
        <w:left w:val="none" w:sz="0" w:space="0" w:color="auto"/>
        <w:bottom w:val="none" w:sz="0" w:space="0" w:color="auto"/>
        <w:right w:val="none" w:sz="0" w:space="0" w:color="auto"/>
      </w:divBdr>
    </w:div>
    <w:div w:id="1922059126">
      <w:bodyDiv w:val="1"/>
      <w:marLeft w:val="0"/>
      <w:marRight w:val="0"/>
      <w:marTop w:val="0"/>
      <w:marBottom w:val="0"/>
      <w:divBdr>
        <w:top w:val="none" w:sz="0" w:space="0" w:color="auto"/>
        <w:left w:val="none" w:sz="0" w:space="0" w:color="auto"/>
        <w:bottom w:val="none" w:sz="0" w:space="0" w:color="auto"/>
        <w:right w:val="none" w:sz="0" w:space="0" w:color="auto"/>
      </w:divBdr>
    </w:div>
    <w:div w:id="19315071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image" Target="media/image4.png"/><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3.emf"/><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yperlink" Target="http://www.dh.gov.uk/en/Publicationsandstatistics/Publications/PublicationsPolicyAndGuidance/DH_113613"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package" Target="embeddings/Microsoft_Word_Document1.docx"/><Relationship Id="rId5" Type="http://schemas.openxmlformats.org/officeDocument/2006/relationships/settings" Target="settings.xml"/><Relationship Id="rId15" Type="http://schemas.openxmlformats.org/officeDocument/2006/relationships/image" Target="media/image6.png"/><Relationship Id="rId10" Type="http://schemas.openxmlformats.org/officeDocument/2006/relationships/image" Target="media/image2.emf"/><Relationship Id="rId19"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image" Target="media/image5.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406FA1D-7B30-478B-87E6-C2C79086475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1133</Words>
  <Characters>6344</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THIRD PARTY ASSURANCE – PROCESS</vt:lpstr>
    </vt:vector>
  </TitlesOfParts>
  <Company>HERHIS</Company>
  <LinksUpToDate>false</LinksUpToDate>
  <CharactersWithSpaces>7463</CharactersWithSpaces>
  <SharedDoc>false</SharedDoc>
  <HLinks>
    <vt:vector size="6" baseType="variant">
      <vt:variant>
        <vt:i4>6160421</vt:i4>
      </vt:variant>
      <vt:variant>
        <vt:i4>10</vt:i4>
      </vt:variant>
      <vt:variant>
        <vt:i4>0</vt:i4>
      </vt:variant>
      <vt:variant>
        <vt:i4>5</vt:i4>
      </vt:variant>
      <vt:variant>
        <vt:lpwstr>http://www.dh.gov.uk/en/Publicationsandstatistics/Publications/PublicationsPolicyAndGuidance/DH_113613</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THIRD PARTY ASSURANCE – PROCESS</dc:title>
  <dc:creator>Administrator</dc:creator>
  <cp:lastModifiedBy>Kaye Fox</cp:lastModifiedBy>
  <cp:revision>3</cp:revision>
  <cp:lastPrinted>2011-06-01T15:50:00Z</cp:lastPrinted>
  <dcterms:created xsi:type="dcterms:W3CDTF">2015-05-05T09:46:00Z</dcterms:created>
  <dcterms:modified xsi:type="dcterms:W3CDTF">2015-05-07T15:48:00Z</dcterms:modified>
</cp:coreProperties>
</file>