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FB1E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FB1E23">
                        <w:rPr>
                          <w:rFonts w:ascii="Arial" w:hAnsi="Arial" w:cs="Arial"/>
                          <w:sz w:val="32"/>
                          <w:szCs w:val="32"/>
                        </w:rPr>
                        <w:t>13</w:t>
                      </w:r>
                      <w:bookmarkStart w:id="1" w:name="_GoBack"/>
                      <w:bookmarkEnd w:id="1"/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AD6F77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447385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 </w:t>
            </w:r>
            <w:r w:rsidR="001C0FAE"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="00AD6F77">
              <w:rPr>
                <w:rFonts w:ascii="Arial" w:hAnsi="Arial" w:cs="Arial"/>
                <w:bCs/>
                <w:sz w:val="22"/>
                <w:szCs w:val="22"/>
              </w:rPr>
              <w:t xml:space="preserve">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C0FAE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Healthy Lives, Healthy Futures Programme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2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D6F77" w:rsidRPr="006A74AF" w:rsidRDefault="00AD6F77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6A74AF" w:rsidRDefault="001C0FAE" w:rsidP="001C0F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 discussed at the previous meeting, the CCG has been working with the Programme Management Office for HLHF to develop a standard reporting format to provide a programme update, identification of key risks and exceptions, and assurance on progress with this critical programme of work.</w:t>
            </w:r>
          </w:p>
          <w:p w:rsidR="001C0FAE" w:rsidRDefault="001C0FAE" w:rsidP="001C0F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D6F77" w:rsidRPr="001C0FAE" w:rsidRDefault="001C0FAE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0FAE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e attached</w:t>
            </w:r>
            <w:r w:rsidRPr="001C0FAE">
              <w:rPr>
                <w:rFonts w:ascii="Arial" w:hAnsi="Arial" w:cs="Arial"/>
                <w:sz w:val="22"/>
                <w:szCs w:val="22"/>
              </w:rPr>
              <w:t xml:space="preserve"> report presents information which is drawn from the HLHF reporting process, which is currently under development. Information contained within the report to the partnership board (and the presentation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information) will be further developed </w:t>
            </w:r>
            <w:r w:rsidRPr="001C0FAE">
              <w:rPr>
                <w:rFonts w:ascii="Arial" w:hAnsi="Arial" w:cs="Arial"/>
                <w:sz w:val="22"/>
                <w:szCs w:val="22"/>
              </w:rPr>
              <w:t>as the process is refined.</w:t>
            </w:r>
            <w:r>
              <w:rPr>
                <w:rFonts w:ascii="Arial" w:hAnsi="Arial" w:cs="Arial"/>
                <w:sz w:val="22"/>
                <w:szCs w:val="22"/>
              </w:rPr>
              <w:t xml:space="preserve"> For example, the attached report does not have reporting against Quality metrics, but those are being developed and will be incorporated for the next board meeting.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C0FAE" w:rsidRPr="006A74AF" w:rsidRDefault="001C0FAE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1C0FAE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Healthy Lives Healthy Futures programme is critical to the development and delivery of high quality and sustainable services in North East Lincolnshire. 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1C0FAE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Delivery of the HLHF Programme </w:t>
            </w:r>
            <w:r w:rsidR="00447385">
              <w:rPr>
                <w:rFonts w:ascii="Arial" w:hAnsi="Arial" w:cs="Arial"/>
                <w:bCs/>
                <w:sz w:val="22"/>
                <w:szCs w:val="22"/>
              </w:rPr>
              <w:t>has significant implications for quality and sustainability of health and care services forte population of North East Lincolnshire.</w:t>
            </w: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447385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Members are asked to consider whether the report format and (developing) content is appropriate and suitable to the needs of the Partnership Board. </w:t>
            </w: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447385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447385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447385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447385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447385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FB1E23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447385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A9" w:rsidRDefault="00C62AA9">
      <w:r>
        <w:separator/>
      </w:r>
    </w:p>
  </w:endnote>
  <w:endnote w:type="continuationSeparator" w:id="0">
    <w:p w:rsidR="00C62AA9" w:rsidRDefault="00C6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A9" w:rsidRDefault="00C62AA9">
      <w:r>
        <w:separator/>
      </w:r>
    </w:p>
  </w:footnote>
  <w:footnote w:type="continuationSeparator" w:id="0">
    <w:p w:rsidR="00C62AA9" w:rsidRDefault="00C6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0F28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C0FAE"/>
    <w:rsid w:val="001D139A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85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6F77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2AA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1E23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2216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3</cp:revision>
  <cp:lastPrinted>2011-06-01T15:50:00Z</cp:lastPrinted>
  <dcterms:created xsi:type="dcterms:W3CDTF">2015-05-08T09:20:00Z</dcterms:created>
  <dcterms:modified xsi:type="dcterms:W3CDTF">2015-05-08T09:56:00Z</dcterms:modified>
</cp:coreProperties>
</file>