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D31" w:rsidRPr="005F31F1" w:rsidRDefault="00CE4690" w:rsidP="00B51AAE">
      <w:pPr>
        <w:rPr>
          <w:sz w:val="24"/>
          <w:u w:val="single"/>
        </w:rPr>
      </w:pPr>
      <w:r w:rsidRPr="00CE4690">
        <w:rPr>
          <w:noProof/>
          <w:sz w:val="24"/>
          <w:u w:val="single"/>
          <w:lang w:eastAsia="en-GB"/>
        </w:rPr>
        <mc:AlternateContent>
          <mc:Choice Requires="wps">
            <w:drawing>
              <wp:anchor distT="0" distB="0" distL="114300" distR="114300" simplePos="0" relativeHeight="251663360" behindDoc="0" locked="0" layoutInCell="1" allowOverlap="1" wp14:editId="36B11C9B">
                <wp:simplePos x="0" y="0"/>
                <wp:positionH relativeFrom="column">
                  <wp:posOffset>-123825</wp:posOffset>
                </wp:positionH>
                <wp:positionV relativeFrom="paragraph">
                  <wp:posOffset>-228600</wp:posOffset>
                </wp:positionV>
                <wp:extent cx="1247775" cy="2952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95275"/>
                        </a:xfrm>
                        <a:prstGeom prst="rect">
                          <a:avLst/>
                        </a:prstGeom>
                        <a:solidFill>
                          <a:srgbClr val="FFFFFF"/>
                        </a:solidFill>
                        <a:ln w="9525">
                          <a:solidFill>
                            <a:srgbClr val="000000"/>
                          </a:solidFill>
                          <a:miter lim="800000"/>
                          <a:headEnd/>
                          <a:tailEnd/>
                        </a:ln>
                      </wps:spPr>
                      <wps:txbx>
                        <w:txbxContent>
                          <w:p w:rsidR="00CE4690" w:rsidRPr="00CE4690" w:rsidRDefault="00CE4690">
                            <w:pPr>
                              <w:rPr>
                                <w:b/>
                              </w:rPr>
                            </w:pPr>
                            <w:r w:rsidRPr="00CE4690">
                              <w:rPr>
                                <w:b/>
                              </w:rPr>
                              <w:t>Attachment 13</w:t>
                            </w:r>
                            <w:r w:rsidR="00083EF6">
                              <w:rPr>
                                <w:b/>
                              </w:rPr>
                              <w:t xml:space="preserve"> a</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5pt;margin-top:-18pt;width:98.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">
                <v:textbox>
                  <w:txbxContent>
                    <w:p w:rsidR="00CE4690" w:rsidRPr="00CE4690" w:rsidRDefault="00CE4690">
                      <w:pPr>
                        <w:rPr>
                          <w:b/>
                        </w:rPr>
                      </w:pPr>
                      <w:r w:rsidRPr="00CE4690">
                        <w:rPr>
                          <w:b/>
                        </w:rPr>
                        <w:t>Attachment 13</w:t>
                      </w:r>
                      <w:r w:rsidR="00083EF6">
                        <w:rPr>
                          <w:b/>
                        </w:rPr>
                        <w:t xml:space="preserve"> a</w:t>
                      </w:r>
                      <w:bookmarkStart w:id="1" w:name="_GoBack"/>
                      <w:bookmarkEnd w:id="1"/>
                    </w:p>
                  </w:txbxContent>
                </v:textbox>
              </v:shape>
            </w:pict>
          </mc:Fallback>
        </mc:AlternateContent>
      </w:r>
      <w:r w:rsidR="00B51AAE">
        <w:rPr>
          <w:rFonts w:ascii="Times New Roman" w:hAnsi="Times New Roman"/>
          <w:noProof/>
          <w:szCs w:val="24"/>
          <w:lang w:eastAsia="en-GB"/>
        </w:rPr>
        <w:drawing>
          <wp:anchor distT="0" distB="0" distL="114300" distR="114300" simplePos="0" relativeHeight="251661312" behindDoc="0" locked="0" layoutInCell="1" allowOverlap="1" wp14:anchorId="7CC2B7F9" wp14:editId="5518BA0D">
            <wp:simplePos x="0" y="0"/>
            <wp:positionH relativeFrom="column">
              <wp:posOffset>4731385</wp:posOffset>
            </wp:positionH>
            <wp:positionV relativeFrom="paragraph">
              <wp:posOffset>233680</wp:posOffset>
            </wp:positionV>
            <wp:extent cx="1616075" cy="417195"/>
            <wp:effectExtent l="0" t="0" r="317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6075" cy="417195"/>
                    </a:xfrm>
                    <a:prstGeom prst="rect">
                      <a:avLst/>
                    </a:prstGeom>
                    <a:noFill/>
                  </pic:spPr>
                </pic:pic>
              </a:graphicData>
            </a:graphic>
            <wp14:sizeRelH relativeFrom="page">
              <wp14:pctWidth>0</wp14:pctWidth>
            </wp14:sizeRelH>
            <wp14:sizeRelV relativeFrom="page">
              <wp14:pctHeight>0</wp14:pctHeight>
            </wp14:sizeRelV>
          </wp:anchor>
        </w:drawing>
      </w:r>
      <w:r w:rsidR="00B51AAE">
        <w:rPr>
          <w:rFonts w:ascii="Times New Roman" w:hAnsi="Times New Roman"/>
          <w:noProof/>
          <w:szCs w:val="24"/>
          <w:lang w:eastAsia="en-GB"/>
        </w:rPr>
        <w:drawing>
          <wp:anchor distT="0" distB="0" distL="114300" distR="114300" simplePos="0" relativeHeight="251659264" behindDoc="0" locked="0" layoutInCell="1" allowOverlap="1" wp14:anchorId="722D4AA8" wp14:editId="4E960F4F">
            <wp:simplePos x="0" y="0"/>
            <wp:positionH relativeFrom="column">
              <wp:posOffset>4693920</wp:posOffset>
            </wp:positionH>
            <wp:positionV relativeFrom="paragraph">
              <wp:posOffset>-215265</wp:posOffset>
            </wp:positionV>
            <wp:extent cx="1654810" cy="431800"/>
            <wp:effectExtent l="0" t="0" r="2540" b="6350"/>
            <wp:wrapNone/>
            <wp:docPr id="6" name="Picture 6" descr="Description: Description: Description: C:\Documents and Settings\SimpsonV\Desktop\North Lincolnshire CCG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SimpsonV\Desktop\North Lincolnshire CCG co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4810" cy="431800"/>
                    </a:xfrm>
                    <a:prstGeom prst="rect">
                      <a:avLst/>
                    </a:prstGeom>
                    <a:noFill/>
                  </pic:spPr>
                </pic:pic>
              </a:graphicData>
            </a:graphic>
            <wp14:sizeRelH relativeFrom="page">
              <wp14:pctWidth>0</wp14:pctWidth>
            </wp14:sizeRelH>
            <wp14:sizeRelV relativeFrom="page">
              <wp14:pctHeight>0</wp14:pctHeight>
            </wp14:sizeRelV>
          </wp:anchor>
        </w:drawing>
      </w:r>
      <w:r w:rsidR="00B51AAE" w:rsidRPr="00263AF5">
        <w:rPr>
          <w:noProof/>
          <w:szCs w:val="24"/>
          <w:lang w:eastAsia="en-GB"/>
        </w:rPr>
        <w:drawing>
          <wp:inline distT="0" distB="0" distL="0" distR="0" wp14:anchorId="6DD62256" wp14:editId="4AF038E0">
            <wp:extent cx="1857375" cy="895350"/>
            <wp:effectExtent l="0" t="0" r="9525" b="0"/>
            <wp:docPr id="5" name="Picture 5" descr="h1-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1-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4947" cy="899000"/>
                    </a:xfrm>
                    <a:prstGeom prst="rect">
                      <a:avLst/>
                    </a:prstGeom>
                    <a:noFill/>
                    <a:ln>
                      <a:noFill/>
                    </a:ln>
                  </pic:spPr>
                </pic:pic>
              </a:graphicData>
            </a:graphic>
          </wp:inline>
        </w:drawing>
      </w:r>
      <w:r w:rsidR="00DA4D31" w:rsidRPr="005F31F1">
        <w:rPr>
          <w:sz w:val="24"/>
          <w:u w:val="single"/>
        </w:rPr>
        <w:t>Healthy Lives, H</w:t>
      </w:r>
      <w:r w:rsidR="00DD6DFD" w:rsidRPr="005F31F1">
        <w:rPr>
          <w:sz w:val="24"/>
          <w:u w:val="single"/>
        </w:rPr>
        <w:t xml:space="preserve">ealthy Futures Monthly Report </w:t>
      </w:r>
      <w:r w:rsidR="00DA4D31" w:rsidRPr="005F31F1">
        <w:rPr>
          <w:sz w:val="24"/>
          <w:u w:val="single"/>
        </w:rPr>
        <w:t xml:space="preserve"> </w:t>
      </w:r>
    </w:p>
    <w:p w:rsidR="00200E4A" w:rsidRPr="005F31F1" w:rsidRDefault="004702FB" w:rsidP="00DA4D31">
      <w:pPr>
        <w:jc w:val="center"/>
        <w:rPr>
          <w:sz w:val="24"/>
          <w:u w:val="single"/>
        </w:rPr>
      </w:pPr>
      <w:r>
        <w:rPr>
          <w:sz w:val="24"/>
          <w:u w:val="single"/>
        </w:rPr>
        <w:t>North East Lincolnshire Partnership Board – May</w:t>
      </w:r>
      <w:r w:rsidR="00DD6DFD" w:rsidRPr="005F31F1">
        <w:rPr>
          <w:sz w:val="24"/>
          <w:u w:val="single"/>
        </w:rPr>
        <w:t xml:space="preserve">, 2015 </w:t>
      </w:r>
      <w:r w:rsidR="00654BC6" w:rsidRPr="005F31F1">
        <w:rPr>
          <w:sz w:val="24"/>
          <w:u w:val="single"/>
        </w:rPr>
        <w:t xml:space="preserve"> </w:t>
      </w:r>
    </w:p>
    <w:p w:rsidR="00DA4D31" w:rsidRDefault="00C60E9B" w:rsidP="00D2166A">
      <w:pPr>
        <w:rPr>
          <w:sz w:val="24"/>
        </w:rPr>
      </w:pPr>
      <w:r>
        <w:rPr>
          <w:sz w:val="24"/>
        </w:rPr>
        <w:t>This report presents information which is drawn from the HLHF reporting process, which is currently under development. Information contained within t</w:t>
      </w:r>
      <w:r w:rsidR="00D2166A">
        <w:rPr>
          <w:sz w:val="24"/>
        </w:rPr>
        <w:t xml:space="preserve">he report to the partnership board (and the presentation of information) will be updated as the process is refined.  </w:t>
      </w:r>
    </w:p>
    <w:p w:rsidR="00DA4D31" w:rsidRDefault="004702FB" w:rsidP="00654BC6">
      <w:pPr>
        <w:pStyle w:val="ListParagraph"/>
        <w:numPr>
          <w:ilvl w:val="0"/>
          <w:numId w:val="2"/>
        </w:numPr>
        <w:rPr>
          <w:rFonts w:asciiTheme="minorHAnsi" w:hAnsiTheme="minorHAnsi" w:cstheme="minorHAnsi"/>
          <w:u w:val="single"/>
        </w:rPr>
      </w:pPr>
      <w:r>
        <w:rPr>
          <w:rFonts w:asciiTheme="minorHAnsi" w:hAnsiTheme="minorHAnsi" w:cstheme="minorHAnsi"/>
          <w:u w:val="single"/>
        </w:rPr>
        <w:t>Programme Progress Report</w:t>
      </w:r>
    </w:p>
    <w:p w:rsidR="00654BC6" w:rsidRPr="00654BC6" w:rsidRDefault="00654BC6" w:rsidP="00654BC6">
      <w:pPr>
        <w:pStyle w:val="ListParagraph"/>
        <w:rPr>
          <w:rFonts w:asciiTheme="minorHAnsi" w:hAnsiTheme="minorHAnsi" w:cstheme="minorHAnsi"/>
          <w:u w:val="single"/>
        </w:rPr>
      </w:pPr>
    </w:p>
    <w:p w:rsidR="00C21DF4" w:rsidRDefault="007A515F" w:rsidP="00DA4D31">
      <w:pPr>
        <w:rPr>
          <w:sz w:val="24"/>
          <w:u w:val="single"/>
        </w:rPr>
      </w:pPr>
      <w:r>
        <w:rPr>
          <w:noProof/>
          <w:lang w:eastAsia="en-GB"/>
        </w:rPr>
        <w:drawing>
          <wp:inline distT="0" distB="0" distL="0" distR="0" wp14:anchorId="33119A9B" wp14:editId="4E6D7FB4">
            <wp:extent cx="6762750" cy="3162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762750" cy="3162300"/>
                    </a:xfrm>
                    <a:prstGeom prst="rect">
                      <a:avLst/>
                    </a:prstGeom>
                  </pic:spPr>
                </pic:pic>
              </a:graphicData>
            </a:graphic>
          </wp:inline>
        </w:drawing>
      </w:r>
    </w:p>
    <w:p w:rsidR="00C21DF4" w:rsidRPr="00654BC6" w:rsidRDefault="00C21DF4" w:rsidP="00654BC6">
      <w:pPr>
        <w:pStyle w:val="ListParagraph"/>
        <w:numPr>
          <w:ilvl w:val="0"/>
          <w:numId w:val="2"/>
        </w:numPr>
        <w:rPr>
          <w:rFonts w:asciiTheme="minorHAnsi" w:hAnsiTheme="minorHAnsi" w:cstheme="minorHAnsi"/>
          <w:u w:val="single"/>
        </w:rPr>
      </w:pPr>
      <w:r w:rsidRPr="00654BC6">
        <w:rPr>
          <w:rFonts w:asciiTheme="minorHAnsi" w:hAnsiTheme="minorHAnsi" w:cstheme="minorHAnsi"/>
          <w:u w:val="single"/>
        </w:rPr>
        <w:t xml:space="preserve">Programme Overview </w:t>
      </w:r>
    </w:p>
    <w:p w:rsidR="007A515F" w:rsidRDefault="007A515F" w:rsidP="007A515F">
      <w:pPr>
        <w:rPr>
          <w:u w:val="single"/>
        </w:rPr>
      </w:pPr>
    </w:p>
    <w:p w:rsidR="007A515F" w:rsidRPr="00FB53E7" w:rsidRDefault="00FB53E7" w:rsidP="007A515F">
      <w:r w:rsidRPr="00FB53E7">
        <w:t xml:space="preserve">The table below shows the total number of schemes due to be implemented in 2015/16 that </w:t>
      </w:r>
      <w:proofErr w:type="gramStart"/>
      <w:r w:rsidRPr="00FB53E7">
        <w:t>are</w:t>
      </w:r>
      <w:proofErr w:type="gramEnd"/>
      <w:r w:rsidRPr="00FB53E7">
        <w:t xml:space="preserve"> being tracked by the HLHF programme</w:t>
      </w:r>
      <w:r w:rsidR="000E0750">
        <w:t xml:space="preserve">. The programme board are currently working on “pipeline planning” for years 2-5. </w:t>
      </w:r>
    </w:p>
    <w:p w:rsidR="007A515F" w:rsidRPr="00654BC6" w:rsidRDefault="007A515F" w:rsidP="00654BC6">
      <w:pPr>
        <w:pStyle w:val="ListParagraph"/>
        <w:rPr>
          <w:u w:val="single"/>
        </w:rPr>
      </w:pPr>
    </w:p>
    <w:tbl>
      <w:tblPr>
        <w:tblStyle w:val="LightGrid-Accent1"/>
        <w:tblW w:w="10740" w:type="dxa"/>
        <w:tblLook w:val="04A0" w:firstRow="1" w:lastRow="0" w:firstColumn="1" w:lastColumn="0" w:noHBand="0" w:noVBand="1"/>
      </w:tblPr>
      <w:tblGrid>
        <w:gridCol w:w="1754"/>
        <w:gridCol w:w="2215"/>
        <w:gridCol w:w="1985"/>
        <w:gridCol w:w="1843"/>
        <w:gridCol w:w="2943"/>
      </w:tblGrid>
      <w:tr w:rsidR="007A1026" w:rsidRPr="000E0750" w:rsidTr="000E0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4" w:type="dxa"/>
          </w:tcPr>
          <w:p w:rsidR="007A1026" w:rsidRPr="000E0750" w:rsidRDefault="007A1026" w:rsidP="00EA0FDB">
            <w:pPr>
              <w:rPr>
                <w:rFonts w:asciiTheme="minorHAnsi" w:hAnsiTheme="minorHAnsi" w:cstheme="minorHAnsi"/>
              </w:rPr>
            </w:pPr>
            <w:r w:rsidRPr="000E0750">
              <w:rPr>
                <w:rFonts w:asciiTheme="minorHAnsi" w:hAnsiTheme="minorHAnsi" w:cstheme="minorHAnsi"/>
              </w:rPr>
              <w:t xml:space="preserve">Total Number of HLHF schemes </w:t>
            </w:r>
          </w:p>
        </w:tc>
        <w:tc>
          <w:tcPr>
            <w:tcW w:w="2215" w:type="dxa"/>
          </w:tcPr>
          <w:p w:rsidR="007A1026" w:rsidRPr="000E0750" w:rsidRDefault="007A1026" w:rsidP="00EA0FD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E0750">
              <w:rPr>
                <w:rFonts w:asciiTheme="minorHAnsi" w:hAnsiTheme="minorHAnsi" w:cstheme="minorHAnsi"/>
              </w:rPr>
              <w:t xml:space="preserve">NEL CCG Lead organisation </w:t>
            </w:r>
          </w:p>
        </w:tc>
        <w:tc>
          <w:tcPr>
            <w:tcW w:w="1985" w:type="dxa"/>
          </w:tcPr>
          <w:p w:rsidR="007A1026" w:rsidRPr="000E0750" w:rsidRDefault="007A1026" w:rsidP="00EA0FD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E0750">
              <w:rPr>
                <w:rFonts w:asciiTheme="minorHAnsi" w:hAnsiTheme="minorHAnsi" w:cstheme="minorHAnsi"/>
              </w:rPr>
              <w:t xml:space="preserve">NL CCG lead organisation </w:t>
            </w:r>
          </w:p>
        </w:tc>
        <w:tc>
          <w:tcPr>
            <w:tcW w:w="1843" w:type="dxa"/>
          </w:tcPr>
          <w:p w:rsidR="007A1026" w:rsidRPr="000E0750" w:rsidRDefault="007A1026" w:rsidP="00EA0FD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0E0750">
              <w:rPr>
                <w:rFonts w:asciiTheme="minorHAnsi" w:hAnsiTheme="minorHAnsi" w:cstheme="minorHAnsi"/>
              </w:rPr>
              <w:t>NLaG</w:t>
            </w:r>
            <w:proofErr w:type="spellEnd"/>
            <w:r w:rsidRPr="000E0750">
              <w:rPr>
                <w:rFonts w:asciiTheme="minorHAnsi" w:hAnsiTheme="minorHAnsi" w:cstheme="minorHAnsi"/>
              </w:rPr>
              <w:t xml:space="preserve"> lead organisation  </w:t>
            </w:r>
          </w:p>
        </w:tc>
        <w:tc>
          <w:tcPr>
            <w:tcW w:w="2943" w:type="dxa"/>
          </w:tcPr>
          <w:p w:rsidR="007A1026" w:rsidRPr="000E0750" w:rsidRDefault="007A1026" w:rsidP="00EA0FD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E0750">
              <w:rPr>
                <w:rFonts w:asciiTheme="minorHAnsi" w:hAnsiTheme="minorHAnsi" w:cstheme="minorHAnsi"/>
              </w:rPr>
              <w:t xml:space="preserve">Jointly led </w:t>
            </w:r>
          </w:p>
        </w:tc>
      </w:tr>
      <w:tr w:rsidR="007A1026" w:rsidRPr="000E0750" w:rsidTr="000E0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4" w:type="dxa"/>
          </w:tcPr>
          <w:p w:rsidR="007A1026" w:rsidRPr="000E0750" w:rsidRDefault="007A1026" w:rsidP="00EA0FDB">
            <w:pPr>
              <w:rPr>
                <w:rFonts w:asciiTheme="minorHAnsi" w:hAnsiTheme="minorHAnsi" w:cstheme="minorHAnsi"/>
              </w:rPr>
            </w:pPr>
            <w:r w:rsidRPr="000E0750">
              <w:rPr>
                <w:rFonts w:asciiTheme="minorHAnsi" w:hAnsiTheme="minorHAnsi" w:cstheme="minorHAnsi"/>
              </w:rPr>
              <w:t>51</w:t>
            </w:r>
          </w:p>
        </w:tc>
        <w:tc>
          <w:tcPr>
            <w:tcW w:w="2215" w:type="dxa"/>
          </w:tcPr>
          <w:p w:rsidR="007A1026" w:rsidRPr="000E0750" w:rsidRDefault="007A1026" w:rsidP="00EA0FDB">
            <w:pPr>
              <w:cnfStyle w:val="000000100000" w:firstRow="0" w:lastRow="0" w:firstColumn="0" w:lastColumn="0" w:oddVBand="0" w:evenVBand="0" w:oddHBand="1" w:evenHBand="0" w:firstRowFirstColumn="0" w:firstRowLastColumn="0" w:lastRowFirstColumn="0" w:lastRowLastColumn="0"/>
              <w:rPr>
                <w:rFonts w:cstheme="minorHAnsi"/>
              </w:rPr>
            </w:pPr>
            <w:r w:rsidRPr="000E0750">
              <w:rPr>
                <w:rFonts w:cstheme="minorHAnsi"/>
              </w:rPr>
              <w:t>10</w:t>
            </w:r>
          </w:p>
        </w:tc>
        <w:tc>
          <w:tcPr>
            <w:tcW w:w="1985" w:type="dxa"/>
          </w:tcPr>
          <w:p w:rsidR="007A1026" w:rsidRPr="000E0750" w:rsidRDefault="007A1026" w:rsidP="00EA0FDB">
            <w:pPr>
              <w:cnfStyle w:val="000000100000" w:firstRow="0" w:lastRow="0" w:firstColumn="0" w:lastColumn="0" w:oddVBand="0" w:evenVBand="0" w:oddHBand="1" w:evenHBand="0" w:firstRowFirstColumn="0" w:firstRowLastColumn="0" w:lastRowFirstColumn="0" w:lastRowLastColumn="0"/>
              <w:rPr>
                <w:rFonts w:cstheme="minorHAnsi"/>
              </w:rPr>
            </w:pPr>
            <w:r w:rsidRPr="000E0750">
              <w:rPr>
                <w:rFonts w:cstheme="minorHAnsi"/>
              </w:rPr>
              <w:t>11</w:t>
            </w:r>
          </w:p>
        </w:tc>
        <w:tc>
          <w:tcPr>
            <w:tcW w:w="1843" w:type="dxa"/>
          </w:tcPr>
          <w:p w:rsidR="007A1026" w:rsidRPr="000E0750" w:rsidRDefault="007A1026" w:rsidP="00EA0FDB">
            <w:pPr>
              <w:cnfStyle w:val="000000100000" w:firstRow="0" w:lastRow="0" w:firstColumn="0" w:lastColumn="0" w:oddVBand="0" w:evenVBand="0" w:oddHBand="1" w:evenHBand="0" w:firstRowFirstColumn="0" w:firstRowLastColumn="0" w:lastRowFirstColumn="0" w:lastRowLastColumn="0"/>
              <w:rPr>
                <w:rFonts w:cstheme="minorHAnsi"/>
              </w:rPr>
            </w:pPr>
            <w:r w:rsidRPr="000E0750">
              <w:rPr>
                <w:rFonts w:cstheme="minorHAnsi"/>
              </w:rPr>
              <w:t>29</w:t>
            </w:r>
          </w:p>
        </w:tc>
        <w:tc>
          <w:tcPr>
            <w:tcW w:w="2943" w:type="dxa"/>
          </w:tcPr>
          <w:p w:rsidR="007A1026" w:rsidRPr="000E0750" w:rsidRDefault="007A1026" w:rsidP="00EA0FDB">
            <w:pPr>
              <w:cnfStyle w:val="000000100000" w:firstRow="0" w:lastRow="0" w:firstColumn="0" w:lastColumn="0" w:oddVBand="0" w:evenVBand="0" w:oddHBand="1" w:evenHBand="0" w:firstRowFirstColumn="0" w:firstRowLastColumn="0" w:lastRowFirstColumn="0" w:lastRowLastColumn="0"/>
              <w:rPr>
                <w:rFonts w:cstheme="minorHAnsi"/>
              </w:rPr>
            </w:pPr>
            <w:r w:rsidRPr="000E0750">
              <w:rPr>
                <w:rFonts w:cstheme="minorHAnsi"/>
              </w:rPr>
              <w:t>1</w:t>
            </w:r>
          </w:p>
        </w:tc>
      </w:tr>
    </w:tbl>
    <w:p w:rsidR="00C21DF4" w:rsidRPr="000E0750" w:rsidRDefault="00C21DF4" w:rsidP="00DA4D31">
      <w:pPr>
        <w:rPr>
          <w:u w:val="single"/>
        </w:rPr>
      </w:pPr>
    </w:p>
    <w:p w:rsidR="00A87537" w:rsidRDefault="00A87537" w:rsidP="00DA4D31">
      <w:pPr>
        <w:rPr>
          <w:sz w:val="24"/>
        </w:rPr>
      </w:pPr>
      <w:r>
        <w:rPr>
          <w:sz w:val="24"/>
        </w:rPr>
        <w:t>All HLHF schemes are monitored on a gateway system via the HLHF scheme tracker to indicate project progress. A breakdown of the ga</w:t>
      </w:r>
      <w:r w:rsidR="00CE220B">
        <w:rPr>
          <w:sz w:val="24"/>
        </w:rPr>
        <w:t>teway system a</w:t>
      </w:r>
      <w:r w:rsidR="007A515F">
        <w:rPr>
          <w:sz w:val="24"/>
        </w:rPr>
        <w:t>nd the number of schemes currently sitting in</w:t>
      </w:r>
      <w:r w:rsidR="00CE220B">
        <w:rPr>
          <w:sz w:val="24"/>
        </w:rPr>
        <w:t xml:space="preserve"> each gateway </w:t>
      </w:r>
      <w:r>
        <w:rPr>
          <w:sz w:val="24"/>
        </w:rPr>
        <w:t xml:space="preserve">for all HLHF schemes can be seen below: </w:t>
      </w:r>
    </w:p>
    <w:p w:rsidR="00A87537" w:rsidRDefault="00A87537" w:rsidP="00DA4D31">
      <w:pPr>
        <w:rPr>
          <w:sz w:val="24"/>
          <w:u w:val="single"/>
        </w:rPr>
      </w:pPr>
      <w:r w:rsidRPr="00A87537">
        <w:rPr>
          <w:sz w:val="24"/>
          <w:u w:val="single"/>
        </w:rPr>
        <w:t>Gateway Key</w:t>
      </w:r>
    </w:p>
    <w:tbl>
      <w:tblPr>
        <w:tblStyle w:val="LightGrid-Accent1"/>
        <w:tblW w:w="0" w:type="auto"/>
        <w:tblLook w:val="04A0" w:firstRow="1" w:lastRow="0" w:firstColumn="1" w:lastColumn="0" w:noHBand="0" w:noVBand="1"/>
      </w:tblPr>
      <w:tblGrid>
        <w:gridCol w:w="1499"/>
        <w:gridCol w:w="1510"/>
        <w:gridCol w:w="1493"/>
        <w:gridCol w:w="1521"/>
        <w:gridCol w:w="1659"/>
        <w:gridCol w:w="1508"/>
        <w:gridCol w:w="1492"/>
      </w:tblGrid>
      <w:tr w:rsidR="00FB53E7" w:rsidRPr="00FB53E7" w:rsidTr="000E0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B53E7" w:rsidRPr="000E0750" w:rsidRDefault="00FB53E7" w:rsidP="00DA4D31">
            <w:pPr>
              <w:rPr>
                <w:rFonts w:asciiTheme="minorHAnsi" w:hAnsiTheme="minorHAnsi" w:cstheme="minorHAnsi"/>
              </w:rPr>
            </w:pPr>
            <w:r w:rsidRPr="000E0750">
              <w:rPr>
                <w:rFonts w:asciiTheme="minorHAnsi" w:hAnsiTheme="minorHAnsi" w:cstheme="minorHAnsi"/>
              </w:rPr>
              <w:t xml:space="preserve">Gateway </w:t>
            </w:r>
          </w:p>
        </w:tc>
        <w:tc>
          <w:tcPr>
            <w:tcW w:w="1526" w:type="dxa"/>
          </w:tcPr>
          <w:p w:rsidR="00FB53E7" w:rsidRPr="000E0750" w:rsidRDefault="00FB53E7" w:rsidP="00DA4D3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E0750">
              <w:rPr>
                <w:rFonts w:asciiTheme="minorHAnsi" w:hAnsiTheme="minorHAnsi" w:cstheme="minorHAnsi"/>
              </w:rPr>
              <w:t>0</w:t>
            </w:r>
          </w:p>
        </w:tc>
        <w:tc>
          <w:tcPr>
            <w:tcW w:w="1526" w:type="dxa"/>
          </w:tcPr>
          <w:p w:rsidR="00FB53E7" w:rsidRPr="000E0750" w:rsidRDefault="00FB53E7" w:rsidP="00DA4D3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E0750">
              <w:rPr>
                <w:rFonts w:asciiTheme="minorHAnsi" w:hAnsiTheme="minorHAnsi" w:cstheme="minorHAnsi"/>
              </w:rPr>
              <w:t>1</w:t>
            </w:r>
          </w:p>
        </w:tc>
        <w:tc>
          <w:tcPr>
            <w:tcW w:w="1526" w:type="dxa"/>
          </w:tcPr>
          <w:p w:rsidR="00FB53E7" w:rsidRPr="000E0750" w:rsidRDefault="00FB53E7" w:rsidP="00DA4D3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E0750">
              <w:rPr>
                <w:rFonts w:asciiTheme="minorHAnsi" w:hAnsiTheme="minorHAnsi" w:cstheme="minorHAnsi"/>
              </w:rPr>
              <w:t xml:space="preserve">2 </w:t>
            </w:r>
          </w:p>
        </w:tc>
        <w:tc>
          <w:tcPr>
            <w:tcW w:w="1526" w:type="dxa"/>
          </w:tcPr>
          <w:p w:rsidR="00FB53E7" w:rsidRPr="000E0750" w:rsidRDefault="00FB53E7" w:rsidP="00DA4D3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E0750">
              <w:rPr>
                <w:rFonts w:asciiTheme="minorHAnsi" w:hAnsiTheme="minorHAnsi" w:cstheme="minorHAnsi"/>
              </w:rPr>
              <w:t>3</w:t>
            </w:r>
          </w:p>
        </w:tc>
        <w:tc>
          <w:tcPr>
            <w:tcW w:w="1526" w:type="dxa"/>
          </w:tcPr>
          <w:p w:rsidR="00FB53E7" w:rsidRPr="000E0750" w:rsidRDefault="00FB53E7" w:rsidP="00DA4D3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E0750">
              <w:rPr>
                <w:rFonts w:asciiTheme="minorHAnsi" w:hAnsiTheme="minorHAnsi" w:cstheme="minorHAnsi"/>
              </w:rPr>
              <w:t>4</w:t>
            </w:r>
          </w:p>
        </w:tc>
        <w:tc>
          <w:tcPr>
            <w:tcW w:w="1526" w:type="dxa"/>
          </w:tcPr>
          <w:p w:rsidR="00FB53E7" w:rsidRPr="000E0750" w:rsidRDefault="00FB53E7" w:rsidP="00DA4D3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E0750">
              <w:rPr>
                <w:rFonts w:asciiTheme="minorHAnsi" w:hAnsiTheme="minorHAnsi" w:cstheme="minorHAnsi"/>
              </w:rPr>
              <w:t>5</w:t>
            </w:r>
          </w:p>
        </w:tc>
      </w:tr>
      <w:tr w:rsidR="00FB53E7" w:rsidRPr="00FB53E7" w:rsidTr="000E0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B53E7" w:rsidRPr="000E0750" w:rsidRDefault="00FB53E7" w:rsidP="00DA4D31">
            <w:pPr>
              <w:rPr>
                <w:rFonts w:asciiTheme="minorHAnsi" w:hAnsiTheme="minorHAnsi" w:cstheme="minorHAnsi"/>
              </w:rPr>
            </w:pPr>
            <w:r w:rsidRPr="000E0750">
              <w:rPr>
                <w:rFonts w:asciiTheme="minorHAnsi" w:hAnsiTheme="minorHAnsi" w:cstheme="minorHAnsi"/>
              </w:rPr>
              <w:t xml:space="preserve">Project Stage </w:t>
            </w:r>
          </w:p>
        </w:tc>
        <w:tc>
          <w:tcPr>
            <w:tcW w:w="1526" w:type="dxa"/>
          </w:tcPr>
          <w:p w:rsidR="00FB53E7" w:rsidRPr="000E0750" w:rsidRDefault="00FB53E7" w:rsidP="00DA4D31">
            <w:pPr>
              <w:cnfStyle w:val="000000100000" w:firstRow="0" w:lastRow="0" w:firstColumn="0" w:lastColumn="0" w:oddVBand="0" w:evenVBand="0" w:oddHBand="1" w:evenHBand="0" w:firstRowFirstColumn="0" w:firstRowLastColumn="0" w:lastRowFirstColumn="0" w:lastRowLastColumn="0"/>
              <w:rPr>
                <w:rFonts w:cstheme="minorHAnsi"/>
              </w:rPr>
            </w:pPr>
            <w:r w:rsidRPr="000E0750">
              <w:rPr>
                <w:rFonts w:cstheme="minorHAnsi"/>
              </w:rPr>
              <w:t xml:space="preserve">Idea Generation </w:t>
            </w:r>
          </w:p>
        </w:tc>
        <w:tc>
          <w:tcPr>
            <w:tcW w:w="1526" w:type="dxa"/>
          </w:tcPr>
          <w:p w:rsidR="00FB53E7" w:rsidRPr="000E0750" w:rsidRDefault="00FB53E7" w:rsidP="00DA4D31">
            <w:pPr>
              <w:cnfStyle w:val="000000100000" w:firstRow="0" w:lastRow="0" w:firstColumn="0" w:lastColumn="0" w:oddVBand="0" w:evenVBand="0" w:oddHBand="1" w:evenHBand="0" w:firstRowFirstColumn="0" w:firstRowLastColumn="0" w:lastRowFirstColumn="0" w:lastRowLastColumn="0"/>
              <w:rPr>
                <w:rFonts w:cstheme="minorHAnsi"/>
              </w:rPr>
            </w:pPr>
            <w:r w:rsidRPr="000E0750">
              <w:rPr>
                <w:rFonts w:cstheme="minorHAnsi"/>
              </w:rPr>
              <w:t xml:space="preserve">Project Scoping </w:t>
            </w:r>
          </w:p>
        </w:tc>
        <w:tc>
          <w:tcPr>
            <w:tcW w:w="1526" w:type="dxa"/>
          </w:tcPr>
          <w:p w:rsidR="00FB53E7" w:rsidRPr="000E0750" w:rsidRDefault="00FB53E7" w:rsidP="00DA4D31">
            <w:pPr>
              <w:cnfStyle w:val="000000100000" w:firstRow="0" w:lastRow="0" w:firstColumn="0" w:lastColumn="0" w:oddVBand="0" w:evenVBand="0" w:oddHBand="1" w:evenHBand="0" w:firstRowFirstColumn="0" w:firstRowLastColumn="0" w:lastRowFirstColumn="0" w:lastRowLastColumn="0"/>
              <w:rPr>
                <w:rFonts w:cstheme="minorHAnsi"/>
              </w:rPr>
            </w:pPr>
            <w:r w:rsidRPr="000E0750">
              <w:rPr>
                <w:rFonts w:cstheme="minorHAnsi"/>
              </w:rPr>
              <w:t xml:space="preserve">Project Development </w:t>
            </w:r>
          </w:p>
        </w:tc>
        <w:tc>
          <w:tcPr>
            <w:tcW w:w="1526" w:type="dxa"/>
          </w:tcPr>
          <w:p w:rsidR="00FB53E7" w:rsidRPr="000E0750" w:rsidRDefault="00FB53E7" w:rsidP="00DA4D31">
            <w:pPr>
              <w:cnfStyle w:val="000000100000" w:firstRow="0" w:lastRow="0" w:firstColumn="0" w:lastColumn="0" w:oddVBand="0" w:evenVBand="0" w:oddHBand="1" w:evenHBand="0" w:firstRowFirstColumn="0" w:firstRowLastColumn="0" w:lastRowFirstColumn="0" w:lastRowLastColumn="0"/>
              <w:rPr>
                <w:rFonts w:cstheme="minorHAnsi"/>
              </w:rPr>
            </w:pPr>
            <w:r w:rsidRPr="000E0750">
              <w:rPr>
                <w:rFonts w:cstheme="minorHAnsi"/>
              </w:rPr>
              <w:t xml:space="preserve">Project Implementation </w:t>
            </w:r>
          </w:p>
        </w:tc>
        <w:tc>
          <w:tcPr>
            <w:tcW w:w="1526" w:type="dxa"/>
          </w:tcPr>
          <w:p w:rsidR="00FB53E7" w:rsidRPr="000E0750" w:rsidRDefault="00FB53E7" w:rsidP="00DA4D31">
            <w:pPr>
              <w:cnfStyle w:val="000000100000" w:firstRow="0" w:lastRow="0" w:firstColumn="0" w:lastColumn="0" w:oddVBand="0" w:evenVBand="0" w:oddHBand="1" w:evenHBand="0" w:firstRowFirstColumn="0" w:firstRowLastColumn="0" w:lastRowFirstColumn="0" w:lastRowLastColumn="0"/>
              <w:rPr>
                <w:rFonts w:cstheme="minorHAnsi"/>
              </w:rPr>
            </w:pPr>
            <w:r w:rsidRPr="000E0750">
              <w:rPr>
                <w:rFonts w:cstheme="minorHAnsi"/>
              </w:rPr>
              <w:t xml:space="preserve">Benefits Realisation </w:t>
            </w:r>
          </w:p>
        </w:tc>
        <w:tc>
          <w:tcPr>
            <w:tcW w:w="1526" w:type="dxa"/>
          </w:tcPr>
          <w:p w:rsidR="00FB53E7" w:rsidRPr="000E0750" w:rsidRDefault="00FB53E7" w:rsidP="00DA4D31">
            <w:pPr>
              <w:cnfStyle w:val="000000100000" w:firstRow="0" w:lastRow="0" w:firstColumn="0" w:lastColumn="0" w:oddVBand="0" w:evenVBand="0" w:oddHBand="1" w:evenHBand="0" w:firstRowFirstColumn="0" w:firstRowLastColumn="0" w:lastRowFirstColumn="0" w:lastRowLastColumn="0"/>
              <w:rPr>
                <w:rFonts w:cstheme="minorHAnsi"/>
              </w:rPr>
            </w:pPr>
            <w:r w:rsidRPr="000E0750">
              <w:rPr>
                <w:rFonts w:cstheme="minorHAnsi"/>
              </w:rPr>
              <w:t xml:space="preserve">Project Closure </w:t>
            </w:r>
          </w:p>
        </w:tc>
      </w:tr>
    </w:tbl>
    <w:p w:rsidR="00FB53E7" w:rsidRPr="00FB53E7" w:rsidRDefault="00FB53E7" w:rsidP="00DA4D31">
      <w:pPr>
        <w:rPr>
          <w:sz w:val="24"/>
        </w:rPr>
      </w:pPr>
    </w:p>
    <w:p w:rsidR="00654BC6" w:rsidRDefault="00A87537" w:rsidP="00DD6DFD">
      <w:pPr>
        <w:jc w:val="center"/>
        <w:rPr>
          <w:sz w:val="24"/>
          <w:u w:val="single"/>
        </w:rPr>
      </w:pPr>
      <w:r>
        <w:rPr>
          <w:noProof/>
          <w:lang w:eastAsia="en-GB"/>
        </w:rPr>
        <w:drawing>
          <wp:inline distT="0" distB="0" distL="0" distR="0" wp14:anchorId="1785153F" wp14:editId="678CD53F">
            <wp:extent cx="59436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D6DFD" w:rsidRDefault="00DD6DFD" w:rsidP="00DD6DFD">
      <w:pPr>
        <w:jc w:val="center"/>
        <w:rPr>
          <w:sz w:val="24"/>
          <w:u w:val="single"/>
        </w:rPr>
      </w:pPr>
    </w:p>
    <w:p w:rsidR="00DD6DFD" w:rsidRDefault="004702FB" w:rsidP="00654BC6">
      <w:pPr>
        <w:pStyle w:val="ListParagraph"/>
        <w:numPr>
          <w:ilvl w:val="0"/>
          <w:numId w:val="2"/>
        </w:numPr>
        <w:rPr>
          <w:rFonts w:asciiTheme="minorHAnsi" w:hAnsiTheme="minorHAnsi" w:cstheme="minorHAnsi"/>
          <w:u w:val="single"/>
        </w:rPr>
      </w:pPr>
      <w:r>
        <w:rPr>
          <w:rFonts w:asciiTheme="minorHAnsi" w:hAnsiTheme="minorHAnsi" w:cstheme="minorHAnsi"/>
          <w:u w:val="single"/>
        </w:rPr>
        <w:t xml:space="preserve">North East Lincolnshire Transformational Schemes </w:t>
      </w:r>
    </w:p>
    <w:p w:rsidR="004702FB" w:rsidRDefault="004702FB" w:rsidP="004702FB">
      <w:pPr>
        <w:rPr>
          <w:rFonts w:cstheme="minorHAnsi"/>
          <w:u w:val="single"/>
        </w:rPr>
      </w:pPr>
    </w:p>
    <w:p w:rsidR="00F96FF3" w:rsidRPr="00F96FF3" w:rsidRDefault="00F96FF3" w:rsidP="004702FB">
      <w:pPr>
        <w:rPr>
          <w:rFonts w:cstheme="minorHAnsi"/>
        </w:rPr>
      </w:pPr>
      <w:r>
        <w:rPr>
          <w:rFonts w:cstheme="minorHAnsi"/>
        </w:rPr>
        <w:t>The table below describes the current North East Lincolnshire schemes being tracked by the Healthy Lives, Healthy Futures programme and the project gateway in which they currently sit. Gateway deadlines are currently being defined and each report will assess actual progress against planned gateway comple</w:t>
      </w:r>
      <w:r w:rsidR="00C60E9B">
        <w:rPr>
          <w:rFonts w:cstheme="minorHAnsi"/>
        </w:rPr>
        <w:t xml:space="preserve">tion dates – current data indicates that all NEL schemes are on track. </w:t>
      </w:r>
    </w:p>
    <w:tbl>
      <w:tblPr>
        <w:tblW w:w="10579" w:type="dxa"/>
        <w:jc w:val="center"/>
        <w:tblInd w:w="103" w:type="dxa"/>
        <w:tblLook w:val="04A0" w:firstRow="1" w:lastRow="0" w:firstColumn="1" w:lastColumn="0" w:noHBand="0" w:noVBand="1"/>
      </w:tblPr>
      <w:tblGrid>
        <w:gridCol w:w="3176"/>
        <w:gridCol w:w="1417"/>
        <w:gridCol w:w="1418"/>
        <w:gridCol w:w="4568"/>
      </w:tblGrid>
      <w:tr w:rsidR="00F96FF3" w:rsidRPr="001D45E1" w:rsidTr="00F96FF3">
        <w:trPr>
          <w:trHeight w:val="416"/>
          <w:jc w:val="center"/>
        </w:trPr>
        <w:tc>
          <w:tcPr>
            <w:tcW w:w="31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FF3" w:rsidRPr="001D45E1" w:rsidRDefault="00F96FF3" w:rsidP="00F96FF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Scheme </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FF3" w:rsidRPr="001D45E1" w:rsidRDefault="00F96FF3" w:rsidP="00F96FF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Planned Gateway</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FF3" w:rsidRDefault="00F96FF3" w:rsidP="00F96FF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Actual Gateway </w:t>
            </w:r>
          </w:p>
        </w:tc>
        <w:tc>
          <w:tcPr>
            <w:tcW w:w="456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FF3" w:rsidRPr="001D45E1" w:rsidRDefault="00F96FF3" w:rsidP="00F96FF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Update/Comments</w:t>
            </w:r>
          </w:p>
        </w:tc>
      </w:tr>
      <w:tr w:rsidR="00F96FF3" w:rsidRPr="001D45E1" w:rsidTr="00F96FF3">
        <w:trPr>
          <w:trHeight w:val="416"/>
          <w:jc w:val="center"/>
        </w:trPr>
        <w:tc>
          <w:tcPr>
            <w:tcW w:w="3176" w:type="dxa"/>
            <w:tcBorders>
              <w:top w:val="single" w:sz="4" w:space="0" w:color="auto"/>
              <w:left w:val="single" w:sz="4" w:space="0" w:color="auto"/>
              <w:bottom w:val="single" w:sz="4" w:space="0" w:color="auto"/>
              <w:right w:val="single" w:sz="4" w:space="0" w:color="auto"/>
            </w:tcBorders>
            <w:shd w:val="clear" w:color="auto" w:fill="auto"/>
            <w:hideMark/>
          </w:tcPr>
          <w:p w:rsidR="00F96FF3" w:rsidRPr="001D45E1" w:rsidRDefault="00F96FF3" w:rsidP="00F96FF3">
            <w:pPr>
              <w:spacing w:after="0" w:line="240" w:lineRule="auto"/>
              <w:rPr>
                <w:rFonts w:ascii="Calibri" w:eastAsia="Times New Roman" w:hAnsi="Calibri" w:cs="Calibri"/>
                <w:color w:val="000000"/>
                <w:lang w:eastAsia="en-GB"/>
              </w:rPr>
            </w:pPr>
            <w:r w:rsidRPr="001D45E1">
              <w:rPr>
                <w:rFonts w:ascii="Calibri" w:eastAsia="Times New Roman" w:hAnsi="Calibri" w:cs="Calibri"/>
                <w:color w:val="000000"/>
                <w:lang w:eastAsia="en-GB"/>
              </w:rPr>
              <w:t>Assisted Living Centre (Grimsby)</w:t>
            </w:r>
          </w:p>
        </w:tc>
        <w:tc>
          <w:tcPr>
            <w:tcW w:w="1417" w:type="dxa"/>
            <w:tcBorders>
              <w:top w:val="single" w:sz="4" w:space="0" w:color="auto"/>
              <w:left w:val="single" w:sz="4" w:space="0" w:color="auto"/>
              <w:bottom w:val="single" w:sz="4" w:space="0" w:color="auto"/>
              <w:right w:val="single" w:sz="4" w:space="0" w:color="auto"/>
            </w:tcBorders>
          </w:tcPr>
          <w:p w:rsidR="00F96FF3" w:rsidRPr="001D45E1" w:rsidRDefault="00F96FF3" w:rsidP="00F96FF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1418" w:type="dxa"/>
            <w:tcBorders>
              <w:top w:val="single" w:sz="4" w:space="0" w:color="auto"/>
              <w:left w:val="single" w:sz="4" w:space="0" w:color="auto"/>
              <w:bottom w:val="single" w:sz="4" w:space="0" w:color="auto"/>
              <w:right w:val="single" w:sz="4" w:space="0" w:color="auto"/>
            </w:tcBorders>
          </w:tcPr>
          <w:p w:rsidR="00F96FF3" w:rsidRDefault="00F96FF3" w:rsidP="00F96FF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4568" w:type="dxa"/>
            <w:tcBorders>
              <w:top w:val="single" w:sz="4" w:space="0" w:color="auto"/>
              <w:left w:val="single" w:sz="4" w:space="0" w:color="auto"/>
              <w:bottom w:val="single" w:sz="4" w:space="0" w:color="auto"/>
              <w:right w:val="single" w:sz="4" w:space="0" w:color="auto"/>
            </w:tcBorders>
          </w:tcPr>
          <w:p w:rsidR="00F96FF3" w:rsidRPr="001D45E1" w:rsidRDefault="00F96FF3" w:rsidP="00F96FF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On track </w:t>
            </w:r>
          </w:p>
        </w:tc>
      </w:tr>
      <w:tr w:rsidR="00F96FF3" w:rsidRPr="001D45E1" w:rsidTr="00F96FF3">
        <w:trPr>
          <w:trHeight w:val="426"/>
          <w:jc w:val="center"/>
        </w:trPr>
        <w:tc>
          <w:tcPr>
            <w:tcW w:w="3176" w:type="dxa"/>
            <w:tcBorders>
              <w:top w:val="nil"/>
              <w:left w:val="single" w:sz="4" w:space="0" w:color="auto"/>
              <w:bottom w:val="nil"/>
              <w:right w:val="single" w:sz="4" w:space="0" w:color="auto"/>
            </w:tcBorders>
            <w:shd w:val="clear" w:color="000000" w:fill="FFFFFF"/>
            <w:hideMark/>
          </w:tcPr>
          <w:p w:rsidR="00F96FF3" w:rsidRPr="001D45E1" w:rsidRDefault="00F96FF3" w:rsidP="00F96FF3">
            <w:pPr>
              <w:spacing w:after="0" w:line="240" w:lineRule="auto"/>
              <w:rPr>
                <w:rFonts w:ascii="Calibri" w:eastAsia="Times New Roman" w:hAnsi="Calibri" w:cs="Calibri"/>
                <w:color w:val="000000"/>
                <w:lang w:eastAsia="en-GB"/>
              </w:rPr>
            </w:pPr>
            <w:r w:rsidRPr="001D45E1">
              <w:rPr>
                <w:rFonts w:ascii="Calibri" w:eastAsia="Times New Roman" w:hAnsi="Calibri" w:cs="Calibri"/>
                <w:color w:val="000000"/>
                <w:lang w:eastAsia="en-GB"/>
              </w:rPr>
              <w:t>End of Life / Palliative Care</w:t>
            </w:r>
          </w:p>
        </w:tc>
        <w:tc>
          <w:tcPr>
            <w:tcW w:w="1417" w:type="dxa"/>
            <w:tcBorders>
              <w:top w:val="nil"/>
              <w:left w:val="single" w:sz="4" w:space="0" w:color="auto"/>
              <w:bottom w:val="nil"/>
              <w:right w:val="single" w:sz="4" w:space="0" w:color="auto"/>
            </w:tcBorders>
            <w:shd w:val="clear" w:color="000000" w:fill="FFFFFF"/>
          </w:tcPr>
          <w:p w:rsidR="00F96FF3" w:rsidRPr="001D45E1" w:rsidRDefault="00F96FF3" w:rsidP="00F96FF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418" w:type="dxa"/>
            <w:tcBorders>
              <w:top w:val="nil"/>
              <w:left w:val="single" w:sz="4" w:space="0" w:color="auto"/>
              <w:bottom w:val="nil"/>
              <w:right w:val="single" w:sz="4" w:space="0" w:color="auto"/>
            </w:tcBorders>
            <w:shd w:val="clear" w:color="000000" w:fill="FFFFFF"/>
          </w:tcPr>
          <w:p w:rsidR="00F96FF3" w:rsidRDefault="00F96FF3" w:rsidP="00F96FF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4568" w:type="dxa"/>
            <w:tcBorders>
              <w:top w:val="nil"/>
              <w:left w:val="single" w:sz="4" w:space="0" w:color="auto"/>
              <w:bottom w:val="nil"/>
              <w:right w:val="single" w:sz="4" w:space="0" w:color="auto"/>
            </w:tcBorders>
            <w:shd w:val="clear" w:color="000000" w:fill="FFFFFF"/>
          </w:tcPr>
          <w:p w:rsidR="00F96FF3" w:rsidRPr="001D45E1" w:rsidRDefault="00F96FF3" w:rsidP="00F96FF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On track</w:t>
            </w:r>
          </w:p>
        </w:tc>
      </w:tr>
      <w:tr w:rsidR="00F96FF3" w:rsidRPr="001D45E1" w:rsidTr="00F96FF3">
        <w:trPr>
          <w:trHeight w:val="617"/>
          <w:jc w:val="center"/>
        </w:trPr>
        <w:tc>
          <w:tcPr>
            <w:tcW w:w="3176" w:type="dxa"/>
            <w:tcBorders>
              <w:top w:val="single" w:sz="4" w:space="0" w:color="auto"/>
              <w:left w:val="single" w:sz="4" w:space="0" w:color="auto"/>
              <w:bottom w:val="single" w:sz="4" w:space="0" w:color="auto"/>
              <w:right w:val="single" w:sz="4" w:space="0" w:color="auto"/>
            </w:tcBorders>
            <w:shd w:val="clear" w:color="000000" w:fill="FFFFFF"/>
            <w:hideMark/>
          </w:tcPr>
          <w:p w:rsidR="00F96FF3" w:rsidRPr="001D45E1" w:rsidRDefault="00F96FF3" w:rsidP="00F96FF3">
            <w:pPr>
              <w:spacing w:after="0" w:line="240" w:lineRule="auto"/>
              <w:rPr>
                <w:rFonts w:ascii="Calibri" w:eastAsia="Times New Roman" w:hAnsi="Calibri" w:cs="Calibri"/>
                <w:color w:val="000000"/>
                <w:lang w:eastAsia="en-GB"/>
              </w:rPr>
            </w:pPr>
            <w:proofErr w:type="spellStart"/>
            <w:r w:rsidRPr="001D45E1">
              <w:rPr>
                <w:rFonts w:ascii="Calibri" w:eastAsia="Times New Roman" w:hAnsi="Calibri" w:cs="Calibri"/>
                <w:color w:val="000000"/>
                <w:lang w:eastAsia="en-GB"/>
              </w:rPr>
              <w:t>Extensivist</w:t>
            </w:r>
            <w:proofErr w:type="spellEnd"/>
            <w:r w:rsidRPr="001D45E1">
              <w:rPr>
                <w:rFonts w:ascii="Calibri" w:eastAsia="Times New Roman" w:hAnsi="Calibri" w:cs="Calibri"/>
                <w:color w:val="000000"/>
                <w:lang w:eastAsia="en-GB"/>
              </w:rPr>
              <w:t xml:space="preserve"> Team (Advanced Community Care - ACC)</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96FF3" w:rsidRPr="001D45E1" w:rsidRDefault="00F96FF3" w:rsidP="00F96FF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F96FF3" w:rsidRDefault="00F96FF3" w:rsidP="00F96FF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4568" w:type="dxa"/>
            <w:tcBorders>
              <w:top w:val="single" w:sz="4" w:space="0" w:color="auto"/>
              <w:left w:val="single" w:sz="4" w:space="0" w:color="auto"/>
              <w:bottom w:val="single" w:sz="4" w:space="0" w:color="auto"/>
              <w:right w:val="single" w:sz="4" w:space="0" w:color="auto"/>
            </w:tcBorders>
            <w:shd w:val="clear" w:color="000000" w:fill="FFFFFF"/>
          </w:tcPr>
          <w:p w:rsidR="00F96FF3" w:rsidRPr="001D45E1" w:rsidRDefault="00F96FF3" w:rsidP="00F96FF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On track</w:t>
            </w:r>
          </w:p>
        </w:tc>
      </w:tr>
      <w:tr w:rsidR="00F96FF3" w:rsidRPr="001D45E1" w:rsidTr="00F96FF3">
        <w:trPr>
          <w:trHeight w:val="328"/>
          <w:jc w:val="center"/>
        </w:trPr>
        <w:tc>
          <w:tcPr>
            <w:tcW w:w="3176" w:type="dxa"/>
            <w:tcBorders>
              <w:top w:val="nil"/>
              <w:left w:val="single" w:sz="4" w:space="0" w:color="auto"/>
              <w:bottom w:val="single" w:sz="4" w:space="0" w:color="auto"/>
              <w:right w:val="single" w:sz="4" w:space="0" w:color="auto"/>
            </w:tcBorders>
            <w:shd w:val="clear" w:color="000000" w:fill="FFFFFF"/>
            <w:hideMark/>
          </w:tcPr>
          <w:p w:rsidR="00F96FF3" w:rsidRPr="001D45E1" w:rsidRDefault="00F96FF3" w:rsidP="00F96FF3">
            <w:pPr>
              <w:spacing w:after="0" w:line="240" w:lineRule="auto"/>
              <w:rPr>
                <w:rFonts w:ascii="Calibri" w:eastAsia="Times New Roman" w:hAnsi="Calibri" w:cs="Calibri"/>
                <w:color w:val="000000"/>
                <w:lang w:eastAsia="en-GB"/>
              </w:rPr>
            </w:pPr>
            <w:r w:rsidRPr="001D45E1">
              <w:rPr>
                <w:rFonts w:ascii="Calibri" w:eastAsia="Times New Roman" w:hAnsi="Calibri" w:cs="Calibri"/>
                <w:color w:val="000000"/>
                <w:lang w:eastAsia="en-GB"/>
              </w:rPr>
              <w:t>Extra Care Housing</w:t>
            </w:r>
          </w:p>
        </w:tc>
        <w:tc>
          <w:tcPr>
            <w:tcW w:w="1417" w:type="dxa"/>
            <w:tcBorders>
              <w:top w:val="nil"/>
              <w:left w:val="single" w:sz="4" w:space="0" w:color="auto"/>
              <w:bottom w:val="single" w:sz="4" w:space="0" w:color="auto"/>
              <w:right w:val="single" w:sz="4" w:space="0" w:color="auto"/>
            </w:tcBorders>
            <w:shd w:val="clear" w:color="000000" w:fill="FFFFFF"/>
          </w:tcPr>
          <w:p w:rsidR="00F96FF3" w:rsidRPr="001D45E1" w:rsidRDefault="00F96FF3" w:rsidP="00F96FF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1418" w:type="dxa"/>
            <w:tcBorders>
              <w:top w:val="nil"/>
              <w:left w:val="single" w:sz="4" w:space="0" w:color="auto"/>
              <w:bottom w:val="single" w:sz="4" w:space="0" w:color="auto"/>
              <w:right w:val="single" w:sz="4" w:space="0" w:color="auto"/>
            </w:tcBorders>
            <w:shd w:val="clear" w:color="000000" w:fill="FFFFFF"/>
          </w:tcPr>
          <w:p w:rsidR="00F96FF3" w:rsidRDefault="00F96FF3" w:rsidP="00F96FF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4568" w:type="dxa"/>
            <w:tcBorders>
              <w:top w:val="nil"/>
              <w:left w:val="single" w:sz="4" w:space="0" w:color="auto"/>
              <w:bottom w:val="single" w:sz="4" w:space="0" w:color="auto"/>
              <w:right w:val="single" w:sz="4" w:space="0" w:color="auto"/>
            </w:tcBorders>
            <w:shd w:val="clear" w:color="000000" w:fill="FFFFFF"/>
          </w:tcPr>
          <w:p w:rsidR="00F96FF3" w:rsidRPr="001D45E1" w:rsidRDefault="00F96FF3" w:rsidP="00F96FF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On track</w:t>
            </w:r>
          </w:p>
        </w:tc>
      </w:tr>
      <w:tr w:rsidR="00F96FF3" w:rsidRPr="001D45E1" w:rsidTr="00F96FF3">
        <w:trPr>
          <w:trHeight w:val="407"/>
          <w:jc w:val="center"/>
        </w:trPr>
        <w:tc>
          <w:tcPr>
            <w:tcW w:w="3176" w:type="dxa"/>
            <w:tcBorders>
              <w:top w:val="nil"/>
              <w:left w:val="single" w:sz="4" w:space="0" w:color="auto"/>
              <w:bottom w:val="single" w:sz="4" w:space="0" w:color="auto"/>
              <w:right w:val="single" w:sz="4" w:space="0" w:color="auto"/>
            </w:tcBorders>
            <w:shd w:val="clear" w:color="000000" w:fill="FFFFFF"/>
            <w:hideMark/>
          </w:tcPr>
          <w:p w:rsidR="00F96FF3" w:rsidRPr="001D45E1" w:rsidRDefault="00F96FF3" w:rsidP="00F96FF3">
            <w:pPr>
              <w:spacing w:after="0" w:line="240" w:lineRule="auto"/>
              <w:rPr>
                <w:rFonts w:ascii="Calibri" w:eastAsia="Times New Roman" w:hAnsi="Calibri" w:cs="Calibri"/>
                <w:color w:val="000000"/>
                <w:lang w:eastAsia="en-GB"/>
              </w:rPr>
            </w:pPr>
            <w:r w:rsidRPr="001D45E1">
              <w:rPr>
                <w:rFonts w:ascii="Calibri" w:eastAsia="Times New Roman" w:hAnsi="Calibri" w:cs="Calibri"/>
                <w:color w:val="000000"/>
                <w:lang w:eastAsia="en-GB"/>
              </w:rPr>
              <w:t>Frequent Service Users</w:t>
            </w:r>
          </w:p>
        </w:tc>
        <w:tc>
          <w:tcPr>
            <w:tcW w:w="1417" w:type="dxa"/>
            <w:tcBorders>
              <w:top w:val="nil"/>
              <w:left w:val="single" w:sz="4" w:space="0" w:color="auto"/>
              <w:bottom w:val="single" w:sz="4" w:space="0" w:color="auto"/>
              <w:right w:val="single" w:sz="4" w:space="0" w:color="auto"/>
            </w:tcBorders>
            <w:shd w:val="clear" w:color="000000" w:fill="FFFFFF"/>
          </w:tcPr>
          <w:p w:rsidR="00F96FF3" w:rsidRPr="001D45E1" w:rsidRDefault="00F96FF3" w:rsidP="00F96FF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418" w:type="dxa"/>
            <w:tcBorders>
              <w:top w:val="nil"/>
              <w:left w:val="single" w:sz="4" w:space="0" w:color="auto"/>
              <w:bottom w:val="single" w:sz="4" w:space="0" w:color="auto"/>
              <w:right w:val="single" w:sz="4" w:space="0" w:color="auto"/>
            </w:tcBorders>
            <w:shd w:val="clear" w:color="000000" w:fill="FFFFFF"/>
          </w:tcPr>
          <w:p w:rsidR="00F96FF3" w:rsidRDefault="00F96FF3" w:rsidP="00F96FF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4568" w:type="dxa"/>
            <w:tcBorders>
              <w:top w:val="nil"/>
              <w:left w:val="single" w:sz="4" w:space="0" w:color="auto"/>
              <w:bottom w:val="single" w:sz="4" w:space="0" w:color="auto"/>
              <w:right w:val="single" w:sz="4" w:space="0" w:color="auto"/>
            </w:tcBorders>
            <w:shd w:val="clear" w:color="000000" w:fill="FFFFFF"/>
          </w:tcPr>
          <w:p w:rsidR="00F96FF3" w:rsidRPr="001D45E1" w:rsidRDefault="00F96FF3" w:rsidP="00F96FF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On track</w:t>
            </w:r>
          </w:p>
        </w:tc>
      </w:tr>
      <w:tr w:rsidR="00F96FF3" w:rsidRPr="001D45E1" w:rsidTr="00F96FF3">
        <w:trPr>
          <w:trHeight w:val="696"/>
          <w:jc w:val="center"/>
        </w:trPr>
        <w:tc>
          <w:tcPr>
            <w:tcW w:w="3176" w:type="dxa"/>
            <w:tcBorders>
              <w:top w:val="nil"/>
              <w:left w:val="single" w:sz="4" w:space="0" w:color="auto"/>
              <w:bottom w:val="single" w:sz="4" w:space="0" w:color="auto"/>
              <w:right w:val="single" w:sz="4" w:space="0" w:color="auto"/>
            </w:tcBorders>
            <w:shd w:val="clear" w:color="000000" w:fill="FFFFFF"/>
            <w:hideMark/>
          </w:tcPr>
          <w:p w:rsidR="00F96FF3" w:rsidRPr="001D45E1" w:rsidRDefault="00F96FF3" w:rsidP="00F96FF3">
            <w:pPr>
              <w:spacing w:after="0" w:line="240" w:lineRule="auto"/>
              <w:rPr>
                <w:rFonts w:ascii="Calibri" w:eastAsia="Times New Roman" w:hAnsi="Calibri" w:cs="Calibri"/>
                <w:color w:val="000000"/>
                <w:lang w:eastAsia="en-GB"/>
              </w:rPr>
            </w:pPr>
            <w:r w:rsidRPr="001D45E1">
              <w:rPr>
                <w:rFonts w:ascii="Calibri" w:eastAsia="Times New Roman" w:hAnsi="Calibri" w:cs="Calibri"/>
                <w:color w:val="000000"/>
                <w:lang w:eastAsia="en-GB"/>
              </w:rPr>
              <w:t>GP Front ending A&amp;E - extension include ambulance arrivals</w:t>
            </w:r>
          </w:p>
        </w:tc>
        <w:tc>
          <w:tcPr>
            <w:tcW w:w="1417" w:type="dxa"/>
            <w:tcBorders>
              <w:top w:val="nil"/>
              <w:left w:val="single" w:sz="4" w:space="0" w:color="auto"/>
              <w:bottom w:val="single" w:sz="4" w:space="0" w:color="auto"/>
              <w:right w:val="single" w:sz="4" w:space="0" w:color="auto"/>
            </w:tcBorders>
            <w:shd w:val="clear" w:color="000000" w:fill="FFFFFF"/>
          </w:tcPr>
          <w:p w:rsidR="00F96FF3" w:rsidRPr="001D45E1" w:rsidRDefault="00F96FF3" w:rsidP="00F96FF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418" w:type="dxa"/>
            <w:tcBorders>
              <w:top w:val="nil"/>
              <w:left w:val="single" w:sz="4" w:space="0" w:color="auto"/>
              <w:bottom w:val="single" w:sz="4" w:space="0" w:color="auto"/>
              <w:right w:val="single" w:sz="4" w:space="0" w:color="auto"/>
            </w:tcBorders>
            <w:shd w:val="clear" w:color="000000" w:fill="FFFFFF"/>
          </w:tcPr>
          <w:p w:rsidR="00F96FF3" w:rsidRDefault="00F96FF3" w:rsidP="00F96FF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4568" w:type="dxa"/>
            <w:tcBorders>
              <w:top w:val="nil"/>
              <w:left w:val="single" w:sz="4" w:space="0" w:color="auto"/>
              <w:bottom w:val="single" w:sz="4" w:space="0" w:color="auto"/>
              <w:right w:val="single" w:sz="4" w:space="0" w:color="auto"/>
            </w:tcBorders>
            <w:shd w:val="clear" w:color="000000" w:fill="FFFFFF"/>
          </w:tcPr>
          <w:p w:rsidR="00F96FF3" w:rsidRPr="001D45E1" w:rsidRDefault="00F96FF3" w:rsidP="00F96FF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On track</w:t>
            </w:r>
          </w:p>
        </w:tc>
      </w:tr>
      <w:tr w:rsidR="00F96FF3" w:rsidRPr="001D45E1" w:rsidTr="00F96FF3">
        <w:trPr>
          <w:trHeight w:val="423"/>
          <w:jc w:val="center"/>
        </w:trPr>
        <w:tc>
          <w:tcPr>
            <w:tcW w:w="3176" w:type="dxa"/>
            <w:tcBorders>
              <w:top w:val="nil"/>
              <w:left w:val="single" w:sz="4" w:space="0" w:color="auto"/>
              <w:bottom w:val="single" w:sz="4" w:space="0" w:color="auto"/>
              <w:right w:val="single" w:sz="4" w:space="0" w:color="auto"/>
            </w:tcBorders>
            <w:shd w:val="clear" w:color="000000" w:fill="FFFFFF"/>
            <w:hideMark/>
          </w:tcPr>
          <w:p w:rsidR="00F96FF3" w:rsidRPr="001D45E1" w:rsidRDefault="00F96FF3" w:rsidP="00F96FF3">
            <w:pPr>
              <w:spacing w:after="0" w:line="240" w:lineRule="auto"/>
              <w:rPr>
                <w:rFonts w:ascii="Calibri" w:eastAsia="Times New Roman" w:hAnsi="Calibri" w:cs="Calibri"/>
                <w:color w:val="000000"/>
                <w:lang w:eastAsia="en-GB"/>
              </w:rPr>
            </w:pPr>
            <w:r w:rsidRPr="001D45E1">
              <w:rPr>
                <w:rFonts w:ascii="Calibri" w:eastAsia="Times New Roman" w:hAnsi="Calibri" w:cs="Calibri"/>
                <w:color w:val="000000"/>
                <w:lang w:eastAsia="en-GB"/>
              </w:rPr>
              <w:t>Home from Home (Grimsby)</w:t>
            </w:r>
          </w:p>
        </w:tc>
        <w:tc>
          <w:tcPr>
            <w:tcW w:w="1417" w:type="dxa"/>
            <w:tcBorders>
              <w:top w:val="nil"/>
              <w:left w:val="single" w:sz="4" w:space="0" w:color="auto"/>
              <w:bottom w:val="single" w:sz="4" w:space="0" w:color="auto"/>
              <w:right w:val="single" w:sz="4" w:space="0" w:color="auto"/>
            </w:tcBorders>
            <w:shd w:val="clear" w:color="000000" w:fill="FFFFFF"/>
          </w:tcPr>
          <w:p w:rsidR="00F96FF3" w:rsidRPr="001D45E1" w:rsidRDefault="00F96FF3" w:rsidP="00F96FF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1418" w:type="dxa"/>
            <w:tcBorders>
              <w:top w:val="nil"/>
              <w:left w:val="single" w:sz="4" w:space="0" w:color="auto"/>
              <w:bottom w:val="single" w:sz="4" w:space="0" w:color="auto"/>
              <w:right w:val="single" w:sz="4" w:space="0" w:color="auto"/>
            </w:tcBorders>
            <w:shd w:val="clear" w:color="000000" w:fill="FFFFFF"/>
          </w:tcPr>
          <w:p w:rsidR="00F96FF3" w:rsidRDefault="00F96FF3" w:rsidP="00F96FF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4568" w:type="dxa"/>
            <w:tcBorders>
              <w:top w:val="nil"/>
              <w:left w:val="single" w:sz="4" w:space="0" w:color="auto"/>
              <w:bottom w:val="single" w:sz="4" w:space="0" w:color="auto"/>
              <w:right w:val="single" w:sz="4" w:space="0" w:color="auto"/>
            </w:tcBorders>
            <w:shd w:val="clear" w:color="000000" w:fill="FFFFFF"/>
          </w:tcPr>
          <w:p w:rsidR="00F96FF3" w:rsidRPr="001D45E1" w:rsidRDefault="00F96FF3" w:rsidP="00F96FF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On track</w:t>
            </w:r>
          </w:p>
        </w:tc>
      </w:tr>
      <w:tr w:rsidR="00F96FF3" w:rsidRPr="001D45E1" w:rsidTr="00F96FF3">
        <w:trPr>
          <w:trHeight w:val="415"/>
          <w:jc w:val="center"/>
        </w:trPr>
        <w:tc>
          <w:tcPr>
            <w:tcW w:w="3176" w:type="dxa"/>
            <w:tcBorders>
              <w:top w:val="nil"/>
              <w:left w:val="single" w:sz="4" w:space="0" w:color="auto"/>
              <w:bottom w:val="single" w:sz="4" w:space="0" w:color="auto"/>
              <w:right w:val="single" w:sz="4" w:space="0" w:color="auto"/>
            </w:tcBorders>
            <w:shd w:val="clear" w:color="000000" w:fill="FFFFFF"/>
            <w:hideMark/>
          </w:tcPr>
          <w:p w:rsidR="00F96FF3" w:rsidRPr="001D45E1" w:rsidRDefault="00F96FF3" w:rsidP="00F96FF3">
            <w:pPr>
              <w:spacing w:after="0" w:line="240" w:lineRule="auto"/>
              <w:rPr>
                <w:rFonts w:ascii="Calibri" w:eastAsia="Times New Roman" w:hAnsi="Calibri" w:cs="Calibri"/>
                <w:color w:val="000000"/>
                <w:lang w:eastAsia="en-GB"/>
              </w:rPr>
            </w:pPr>
            <w:r w:rsidRPr="001D45E1">
              <w:rPr>
                <w:rFonts w:ascii="Calibri" w:eastAsia="Times New Roman" w:hAnsi="Calibri" w:cs="Calibri"/>
                <w:color w:val="000000"/>
                <w:lang w:eastAsia="en-GB"/>
              </w:rPr>
              <w:t>Mobile GPs - pilot</w:t>
            </w:r>
          </w:p>
        </w:tc>
        <w:tc>
          <w:tcPr>
            <w:tcW w:w="1417" w:type="dxa"/>
            <w:tcBorders>
              <w:top w:val="nil"/>
              <w:left w:val="single" w:sz="4" w:space="0" w:color="auto"/>
              <w:bottom w:val="single" w:sz="4" w:space="0" w:color="auto"/>
              <w:right w:val="single" w:sz="4" w:space="0" w:color="auto"/>
            </w:tcBorders>
            <w:shd w:val="clear" w:color="000000" w:fill="FFFFFF"/>
          </w:tcPr>
          <w:p w:rsidR="00F96FF3" w:rsidRPr="001D45E1" w:rsidRDefault="00F96FF3" w:rsidP="00F96FF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418" w:type="dxa"/>
            <w:tcBorders>
              <w:top w:val="nil"/>
              <w:left w:val="single" w:sz="4" w:space="0" w:color="auto"/>
              <w:bottom w:val="single" w:sz="4" w:space="0" w:color="auto"/>
              <w:right w:val="single" w:sz="4" w:space="0" w:color="auto"/>
            </w:tcBorders>
            <w:shd w:val="clear" w:color="000000" w:fill="FFFFFF"/>
          </w:tcPr>
          <w:p w:rsidR="00F96FF3" w:rsidRDefault="00F96FF3" w:rsidP="00F96FF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4568" w:type="dxa"/>
            <w:tcBorders>
              <w:top w:val="nil"/>
              <w:left w:val="single" w:sz="4" w:space="0" w:color="auto"/>
              <w:bottom w:val="single" w:sz="4" w:space="0" w:color="auto"/>
              <w:right w:val="single" w:sz="4" w:space="0" w:color="auto"/>
            </w:tcBorders>
            <w:shd w:val="clear" w:color="000000" w:fill="FFFFFF"/>
          </w:tcPr>
          <w:p w:rsidR="00F96FF3" w:rsidRPr="001D45E1" w:rsidRDefault="00F96FF3" w:rsidP="00F96FF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On track</w:t>
            </w:r>
          </w:p>
        </w:tc>
      </w:tr>
      <w:tr w:rsidR="00F96FF3" w:rsidRPr="001D45E1" w:rsidTr="00F96FF3">
        <w:trPr>
          <w:trHeight w:val="420"/>
          <w:jc w:val="center"/>
        </w:trPr>
        <w:tc>
          <w:tcPr>
            <w:tcW w:w="3176" w:type="dxa"/>
            <w:tcBorders>
              <w:top w:val="nil"/>
              <w:left w:val="single" w:sz="4" w:space="0" w:color="auto"/>
              <w:bottom w:val="single" w:sz="4" w:space="0" w:color="auto"/>
              <w:right w:val="single" w:sz="4" w:space="0" w:color="auto"/>
            </w:tcBorders>
            <w:shd w:val="clear" w:color="000000" w:fill="FFFFFF"/>
            <w:hideMark/>
          </w:tcPr>
          <w:p w:rsidR="00F96FF3" w:rsidRPr="001D45E1" w:rsidRDefault="00F96FF3" w:rsidP="00F96FF3">
            <w:pPr>
              <w:spacing w:after="0" w:line="240" w:lineRule="auto"/>
              <w:rPr>
                <w:rFonts w:ascii="Calibri" w:eastAsia="Times New Roman" w:hAnsi="Calibri" w:cs="Calibri"/>
                <w:color w:val="000000"/>
                <w:lang w:eastAsia="en-GB"/>
              </w:rPr>
            </w:pPr>
            <w:r w:rsidRPr="001D45E1">
              <w:rPr>
                <w:rFonts w:ascii="Calibri" w:eastAsia="Times New Roman" w:hAnsi="Calibri" w:cs="Calibri"/>
                <w:color w:val="000000"/>
                <w:lang w:eastAsia="en-GB"/>
              </w:rPr>
              <w:t>Single Point of Access (Grimsby)</w:t>
            </w:r>
          </w:p>
        </w:tc>
        <w:tc>
          <w:tcPr>
            <w:tcW w:w="1417" w:type="dxa"/>
            <w:tcBorders>
              <w:top w:val="nil"/>
              <w:left w:val="single" w:sz="4" w:space="0" w:color="auto"/>
              <w:bottom w:val="single" w:sz="4" w:space="0" w:color="auto"/>
              <w:right w:val="single" w:sz="4" w:space="0" w:color="auto"/>
            </w:tcBorders>
            <w:shd w:val="clear" w:color="000000" w:fill="FFFFFF"/>
          </w:tcPr>
          <w:p w:rsidR="00F96FF3" w:rsidRPr="001D45E1" w:rsidRDefault="00F96FF3" w:rsidP="00F96FF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1418" w:type="dxa"/>
            <w:tcBorders>
              <w:top w:val="nil"/>
              <w:left w:val="single" w:sz="4" w:space="0" w:color="auto"/>
              <w:bottom w:val="single" w:sz="4" w:space="0" w:color="auto"/>
              <w:right w:val="single" w:sz="4" w:space="0" w:color="auto"/>
            </w:tcBorders>
            <w:shd w:val="clear" w:color="000000" w:fill="FFFFFF"/>
          </w:tcPr>
          <w:p w:rsidR="00F96FF3" w:rsidRDefault="00F96FF3" w:rsidP="00F96FF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4568" w:type="dxa"/>
            <w:tcBorders>
              <w:top w:val="nil"/>
              <w:left w:val="single" w:sz="4" w:space="0" w:color="auto"/>
              <w:bottom w:val="single" w:sz="4" w:space="0" w:color="auto"/>
              <w:right w:val="single" w:sz="4" w:space="0" w:color="auto"/>
            </w:tcBorders>
            <w:shd w:val="clear" w:color="000000" w:fill="FFFFFF"/>
          </w:tcPr>
          <w:p w:rsidR="00F96FF3" w:rsidRPr="001D45E1" w:rsidRDefault="00F96FF3" w:rsidP="00F96FF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On track</w:t>
            </w:r>
          </w:p>
        </w:tc>
      </w:tr>
      <w:tr w:rsidR="00F96FF3" w:rsidRPr="001D45E1" w:rsidTr="00F96FF3">
        <w:trPr>
          <w:trHeight w:val="696"/>
          <w:jc w:val="center"/>
        </w:trPr>
        <w:tc>
          <w:tcPr>
            <w:tcW w:w="3176" w:type="dxa"/>
            <w:tcBorders>
              <w:top w:val="nil"/>
              <w:left w:val="single" w:sz="4" w:space="0" w:color="auto"/>
              <w:bottom w:val="single" w:sz="4" w:space="0" w:color="auto"/>
              <w:right w:val="single" w:sz="4" w:space="0" w:color="auto"/>
            </w:tcBorders>
            <w:shd w:val="clear" w:color="000000" w:fill="FFFFFF"/>
            <w:hideMark/>
          </w:tcPr>
          <w:p w:rsidR="00F96FF3" w:rsidRPr="001D45E1" w:rsidRDefault="00F96FF3" w:rsidP="00F96FF3">
            <w:pPr>
              <w:spacing w:after="0" w:line="240" w:lineRule="auto"/>
              <w:rPr>
                <w:rFonts w:ascii="Calibri" w:eastAsia="Times New Roman" w:hAnsi="Calibri" w:cs="Calibri"/>
                <w:color w:val="000000"/>
                <w:lang w:eastAsia="en-GB"/>
              </w:rPr>
            </w:pPr>
            <w:r w:rsidRPr="001D45E1">
              <w:rPr>
                <w:rFonts w:ascii="Calibri" w:eastAsia="Times New Roman" w:hAnsi="Calibri" w:cs="Calibri"/>
                <w:color w:val="000000"/>
                <w:lang w:eastAsia="en-GB"/>
              </w:rPr>
              <w:t>Support to Care homes (including GP alignment &amp; MDT options)</w:t>
            </w:r>
          </w:p>
        </w:tc>
        <w:tc>
          <w:tcPr>
            <w:tcW w:w="1417" w:type="dxa"/>
            <w:tcBorders>
              <w:top w:val="nil"/>
              <w:left w:val="single" w:sz="4" w:space="0" w:color="auto"/>
              <w:bottom w:val="single" w:sz="4" w:space="0" w:color="auto"/>
              <w:right w:val="single" w:sz="4" w:space="0" w:color="auto"/>
            </w:tcBorders>
            <w:shd w:val="clear" w:color="000000" w:fill="FFFFFF"/>
          </w:tcPr>
          <w:p w:rsidR="00F96FF3" w:rsidRPr="001D45E1" w:rsidRDefault="00F96FF3" w:rsidP="00F96FF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418" w:type="dxa"/>
            <w:tcBorders>
              <w:top w:val="nil"/>
              <w:left w:val="single" w:sz="4" w:space="0" w:color="auto"/>
              <w:bottom w:val="single" w:sz="4" w:space="0" w:color="auto"/>
              <w:right w:val="single" w:sz="4" w:space="0" w:color="auto"/>
            </w:tcBorders>
            <w:shd w:val="clear" w:color="000000" w:fill="FFFFFF"/>
          </w:tcPr>
          <w:p w:rsidR="00F96FF3" w:rsidRDefault="00F96FF3" w:rsidP="00F96FF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4568" w:type="dxa"/>
            <w:tcBorders>
              <w:top w:val="nil"/>
              <w:left w:val="single" w:sz="4" w:space="0" w:color="auto"/>
              <w:bottom w:val="single" w:sz="4" w:space="0" w:color="auto"/>
              <w:right w:val="single" w:sz="4" w:space="0" w:color="auto"/>
            </w:tcBorders>
            <w:shd w:val="clear" w:color="000000" w:fill="FFFFFF"/>
          </w:tcPr>
          <w:p w:rsidR="00F96FF3" w:rsidRPr="001D45E1" w:rsidRDefault="00F96FF3" w:rsidP="00F96FF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On track</w:t>
            </w:r>
          </w:p>
        </w:tc>
      </w:tr>
      <w:tr w:rsidR="00F96FF3" w:rsidRPr="001D45E1" w:rsidTr="00F96FF3">
        <w:trPr>
          <w:trHeight w:val="408"/>
          <w:jc w:val="center"/>
        </w:trPr>
        <w:tc>
          <w:tcPr>
            <w:tcW w:w="3176" w:type="dxa"/>
            <w:tcBorders>
              <w:top w:val="nil"/>
              <w:left w:val="single" w:sz="4" w:space="0" w:color="auto"/>
              <w:bottom w:val="single" w:sz="4" w:space="0" w:color="auto"/>
              <w:right w:val="single" w:sz="4" w:space="0" w:color="auto"/>
            </w:tcBorders>
            <w:shd w:val="clear" w:color="auto" w:fill="auto"/>
            <w:hideMark/>
          </w:tcPr>
          <w:p w:rsidR="00F96FF3" w:rsidRPr="001D45E1" w:rsidRDefault="00F96FF3" w:rsidP="00F96FF3">
            <w:pPr>
              <w:spacing w:after="0" w:line="240" w:lineRule="auto"/>
              <w:rPr>
                <w:rFonts w:ascii="Calibri" w:eastAsia="Times New Roman" w:hAnsi="Calibri" w:cs="Calibri"/>
                <w:color w:val="000000"/>
                <w:lang w:eastAsia="en-GB"/>
              </w:rPr>
            </w:pPr>
            <w:r w:rsidRPr="001D45E1">
              <w:rPr>
                <w:rFonts w:ascii="Calibri" w:eastAsia="Times New Roman" w:hAnsi="Calibri" w:cs="Calibri"/>
                <w:color w:val="000000"/>
                <w:lang w:eastAsia="en-GB"/>
              </w:rPr>
              <w:t>Dermatology</w:t>
            </w:r>
          </w:p>
        </w:tc>
        <w:tc>
          <w:tcPr>
            <w:tcW w:w="1417" w:type="dxa"/>
            <w:tcBorders>
              <w:top w:val="nil"/>
              <w:left w:val="single" w:sz="4" w:space="0" w:color="auto"/>
              <w:bottom w:val="single" w:sz="4" w:space="0" w:color="auto"/>
              <w:right w:val="single" w:sz="4" w:space="0" w:color="auto"/>
            </w:tcBorders>
          </w:tcPr>
          <w:p w:rsidR="00F96FF3" w:rsidRPr="001D45E1" w:rsidRDefault="00F96FF3" w:rsidP="00F96FF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418" w:type="dxa"/>
            <w:tcBorders>
              <w:top w:val="nil"/>
              <w:left w:val="single" w:sz="4" w:space="0" w:color="auto"/>
              <w:bottom w:val="single" w:sz="4" w:space="0" w:color="auto"/>
              <w:right w:val="single" w:sz="4" w:space="0" w:color="auto"/>
            </w:tcBorders>
          </w:tcPr>
          <w:p w:rsidR="00F96FF3" w:rsidRDefault="00F96FF3" w:rsidP="00F96FF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4568" w:type="dxa"/>
            <w:tcBorders>
              <w:top w:val="nil"/>
              <w:left w:val="single" w:sz="4" w:space="0" w:color="auto"/>
              <w:bottom w:val="single" w:sz="4" w:space="0" w:color="auto"/>
              <w:right w:val="single" w:sz="4" w:space="0" w:color="auto"/>
            </w:tcBorders>
          </w:tcPr>
          <w:p w:rsidR="00F96FF3" w:rsidRPr="001D45E1" w:rsidRDefault="00F96FF3" w:rsidP="00F96FF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On track</w:t>
            </w:r>
          </w:p>
        </w:tc>
      </w:tr>
      <w:tr w:rsidR="00F96FF3" w:rsidRPr="001D45E1" w:rsidTr="00F96FF3">
        <w:trPr>
          <w:trHeight w:val="600"/>
          <w:jc w:val="center"/>
        </w:trPr>
        <w:tc>
          <w:tcPr>
            <w:tcW w:w="3176" w:type="dxa"/>
            <w:tcBorders>
              <w:top w:val="nil"/>
              <w:left w:val="single" w:sz="4" w:space="0" w:color="auto"/>
              <w:bottom w:val="single" w:sz="4" w:space="0" w:color="auto"/>
              <w:right w:val="single" w:sz="4" w:space="0" w:color="auto"/>
            </w:tcBorders>
            <w:shd w:val="clear" w:color="auto" w:fill="auto"/>
            <w:hideMark/>
          </w:tcPr>
          <w:p w:rsidR="00F96FF3" w:rsidRPr="001D45E1" w:rsidRDefault="00F96FF3" w:rsidP="00F96FF3">
            <w:pPr>
              <w:spacing w:after="0" w:line="240" w:lineRule="auto"/>
              <w:rPr>
                <w:rFonts w:ascii="Calibri" w:eastAsia="Times New Roman" w:hAnsi="Calibri" w:cs="Calibri"/>
                <w:color w:val="000000"/>
                <w:lang w:eastAsia="en-GB"/>
              </w:rPr>
            </w:pPr>
            <w:r w:rsidRPr="001D45E1">
              <w:rPr>
                <w:rFonts w:ascii="Calibri" w:eastAsia="Times New Roman" w:hAnsi="Calibri" w:cs="Calibri"/>
                <w:color w:val="000000"/>
                <w:lang w:eastAsia="en-GB"/>
              </w:rPr>
              <w:t>Frail and Elderly Assessment Unit (Grimsby)</w:t>
            </w:r>
          </w:p>
        </w:tc>
        <w:tc>
          <w:tcPr>
            <w:tcW w:w="1417" w:type="dxa"/>
            <w:tcBorders>
              <w:top w:val="nil"/>
              <w:left w:val="single" w:sz="4" w:space="0" w:color="auto"/>
              <w:bottom w:val="single" w:sz="4" w:space="0" w:color="auto"/>
              <w:right w:val="single" w:sz="4" w:space="0" w:color="auto"/>
            </w:tcBorders>
          </w:tcPr>
          <w:p w:rsidR="00F96FF3" w:rsidRPr="001D45E1" w:rsidRDefault="00F96FF3" w:rsidP="00F96FF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418" w:type="dxa"/>
            <w:tcBorders>
              <w:top w:val="nil"/>
              <w:left w:val="single" w:sz="4" w:space="0" w:color="auto"/>
              <w:bottom w:val="single" w:sz="4" w:space="0" w:color="auto"/>
              <w:right w:val="single" w:sz="4" w:space="0" w:color="auto"/>
            </w:tcBorders>
          </w:tcPr>
          <w:p w:rsidR="00F96FF3" w:rsidRDefault="00F96FF3" w:rsidP="00F96FF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4568" w:type="dxa"/>
            <w:tcBorders>
              <w:top w:val="nil"/>
              <w:left w:val="single" w:sz="4" w:space="0" w:color="auto"/>
              <w:bottom w:val="single" w:sz="4" w:space="0" w:color="auto"/>
              <w:right w:val="single" w:sz="4" w:space="0" w:color="auto"/>
            </w:tcBorders>
          </w:tcPr>
          <w:p w:rsidR="00F96FF3" w:rsidRPr="001D45E1" w:rsidRDefault="00F96FF3" w:rsidP="00F96FF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On track</w:t>
            </w:r>
          </w:p>
        </w:tc>
      </w:tr>
      <w:tr w:rsidR="00F96FF3" w:rsidRPr="001D45E1" w:rsidTr="00F96FF3">
        <w:trPr>
          <w:trHeight w:val="381"/>
          <w:jc w:val="center"/>
        </w:trPr>
        <w:tc>
          <w:tcPr>
            <w:tcW w:w="3176" w:type="dxa"/>
            <w:tcBorders>
              <w:top w:val="nil"/>
              <w:left w:val="single" w:sz="4" w:space="0" w:color="auto"/>
              <w:bottom w:val="single" w:sz="4" w:space="0" w:color="auto"/>
              <w:right w:val="single" w:sz="4" w:space="0" w:color="auto"/>
            </w:tcBorders>
            <w:shd w:val="clear" w:color="000000" w:fill="FFFFFF"/>
            <w:hideMark/>
          </w:tcPr>
          <w:p w:rsidR="00F96FF3" w:rsidRPr="001D45E1" w:rsidRDefault="00F96FF3" w:rsidP="00F96FF3">
            <w:pPr>
              <w:spacing w:after="0" w:line="240" w:lineRule="auto"/>
              <w:rPr>
                <w:rFonts w:ascii="Calibri" w:eastAsia="Times New Roman" w:hAnsi="Calibri" w:cs="Calibri"/>
                <w:color w:val="000000"/>
                <w:lang w:eastAsia="en-GB"/>
              </w:rPr>
            </w:pPr>
            <w:r w:rsidRPr="001D45E1">
              <w:rPr>
                <w:rFonts w:ascii="Calibri" w:eastAsia="Times New Roman" w:hAnsi="Calibri" w:cs="Calibri"/>
                <w:color w:val="000000"/>
                <w:lang w:eastAsia="en-GB"/>
              </w:rPr>
              <w:t>Outpatients</w:t>
            </w:r>
          </w:p>
        </w:tc>
        <w:tc>
          <w:tcPr>
            <w:tcW w:w="1417" w:type="dxa"/>
            <w:tcBorders>
              <w:top w:val="nil"/>
              <w:left w:val="single" w:sz="4" w:space="0" w:color="auto"/>
              <w:bottom w:val="single" w:sz="4" w:space="0" w:color="auto"/>
              <w:right w:val="single" w:sz="4" w:space="0" w:color="auto"/>
            </w:tcBorders>
            <w:shd w:val="clear" w:color="000000" w:fill="FFFFFF"/>
          </w:tcPr>
          <w:p w:rsidR="00F96FF3" w:rsidRPr="001D45E1" w:rsidRDefault="00F96FF3" w:rsidP="00F96FF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418" w:type="dxa"/>
            <w:tcBorders>
              <w:top w:val="nil"/>
              <w:left w:val="single" w:sz="4" w:space="0" w:color="auto"/>
              <w:bottom w:val="single" w:sz="4" w:space="0" w:color="auto"/>
              <w:right w:val="single" w:sz="4" w:space="0" w:color="auto"/>
            </w:tcBorders>
            <w:shd w:val="clear" w:color="000000" w:fill="FFFFFF"/>
          </w:tcPr>
          <w:p w:rsidR="00F96FF3" w:rsidRDefault="00F96FF3" w:rsidP="00F96FF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4568" w:type="dxa"/>
            <w:tcBorders>
              <w:top w:val="nil"/>
              <w:left w:val="single" w:sz="4" w:space="0" w:color="auto"/>
              <w:bottom w:val="single" w:sz="4" w:space="0" w:color="auto"/>
              <w:right w:val="single" w:sz="4" w:space="0" w:color="auto"/>
            </w:tcBorders>
            <w:shd w:val="clear" w:color="000000" w:fill="FFFFFF"/>
          </w:tcPr>
          <w:p w:rsidR="00F96FF3" w:rsidRPr="001D45E1" w:rsidRDefault="00F96FF3" w:rsidP="00F96FF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On track</w:t>
            </w:r>
          </w:p>
        </w:tc>
      </w:tr>
    </w:tbl>
    <w:p w:rsidR="004702FB" w:rsidRDefault="004702FB" w:rsidP="004702FB">
      <w:pPr>
        <w:rPr>
          <w:rFonts w:cstheme="minorHAnsi"/>
          <w:u w:val="single"/>
        </w:rPr>
      </w:pPr>
    </w:p>
    <w:p w:rsidR="004702FB" w:rsidRPr="004702FB" w:rsidRDefault="004702FB" w:rsidP="004702FB">
      <w:pPr>
        <w:rPr>
          <w:rFonts w:cstheme="minorHAnsi"/>
          <w:u w:val="single"/>
        </w:rPr>
      </w:pPr>
    </w:p>
    <w:p w:rsidR="00D901E4" w:rsidRDefault="00D901E4" w:rsidP="00654BC6">
      <w:pPr>
        <w:pStyle w:val="ListParagraph"/>
        <w:numPr>
          <w:ilvl w:val="0"/>
          <w:numId w:val="2"/>
        </w:numPr>
        <w:rPr>
          <w:rFonts w:asciiTheme="minorHAnsi" w:hAnsiTheme="minorHAnsi" w:cstheme="minorHAnsi"/>
          <w:u w:val="single"/>
        </w:rPr>
      </w:pPr>
      <w:r>
        <w:rPr>
          <w:rFonts w:asciiTheme="minorHAnsi" w:hAnsiTheme="minorHAnsi" w:cstheme="minorHAnsi"/>
          <w:u w:val="single"/>
        </w:rPr>
        <w:t xml:space="preserve">Quality </w:t>
      </w:r>
    </w:p>
    <w:p w:rsidR="00D901E4" w:rsidRDefault="00D901E4" w:rsidP="00D901E4">
      <w:pPr>
        <w:rPr>
          <w:rFonts w:cstheme="minorHAnsi"/>
          <w:u w:val="single"/>
        </w:rPr>
      </w:pPr>
    </w:p>
    <w:p w:rsidR="004702FB" w:rsidRPr="00D901E4" w:rsidRDefault="00D901E4" w:rsidP="00D901E4">
      <w:pPr>
        <w:rPr>
          <w:rFonts w:cstheme="minorHAnsi"/>
        </w:rPr>
      </w:pPr>
      <w:r w:rsidRPr="00265A2C">
        <w:rPr>
          <w:rFonts w:cstheme="minorHAnsi"/>
        </w:rPr>
        <w:t>Work is currently on-going to define programme level Key Performance Indicators and quality targets. These KPIs will be monitored on weekly basis via the HLHF operational group and exceptions escalated to the appropriate senior leads from relevant organisations.   This report will define the month on month performance of key quality indicators an</w:t>
      </w:r>
      <w:r>
        <w:rPr>
          <w:rFonts w:cstheme="minorHAnsi"/>
        </w:rPr>
        <w:t>d provide brief trend analysis.</w:t>
      </w:r>
    </w:p>
    <w:p w:rsidR="00D901E4" w:rsidRDefault="00D901E4" w:rsidP="00654BC6">
      <w:pPr>
        <w:pStyle w:val="ListParagraph"/>
        <w:numPr>
          <w:ilvl w:val="0"/>
          <w:numId w:val="2"/>
        </w:numPr>
        <w:rPr>
          <w:rFonts w:asciiTheme="minorHAnsi" w:hAnsiTheme="minorHAnsi" w:cstheme="minorHAnsi"/>
          <w:u w:val="single"/>
        </w:rPr>
      </w:pPr>
      <w:r>
        <w:rPr>
          <w:rFonts w:asciiTheme="minorHAnsi" w:hAnsiTheme="minorHAnsi" w:cstheme="minorHAnsi"/>
          <w:u w:val="single"/>
        </w:rPr>
        <w:t xml:space="preserve">Financial Summary </w:t>
      </w:r>
    </w:p>
    <w:p w:rsidR="00C3415D" w:rsidRDefault="00C3415D" w:rsidP="00C3415D">
      <w:pPr>
        <w:rPr>
          <w:rFonts w:cstheme="minorHAnsi"/>
          <w:u w:val="single"/>
        </w:rPr>
      </w:pPr>
    </w:p>
    <w:p w:rsidR="00D2166A" w:rsidRDefault="00D2166A" w:rsidP="00C3415D">
      <w:pPr>
        <w:rPr>
          <w:rFonts w:cstheme="minorHAnsi"/>
        </w:rPr>
      </w:pPr>
      <w:r>
        <w:rPr>
          <w:rFonts w:cstheme="minorHAnsi"/>
        </w:rPr>
        <w:t xml:space="preserve">Financial progress against individual scheme targets will be monitored through existing contracting/provider management processes and fed into the HLHF Programme Management Office for collation and aggregation. The overall impact of activity changes can then be assessed against the health and social care community finance gap – £104m by 2019. This assessment of progress against </w:t>
      </w:r>
      <w:r w:rsidR="00353C1F">
        <w:rPr>
          <w:rFonts w:cstheme="minorHAnsi"/>
        </w:rPr>
        <w:t xml:space="preserve">both the </w:t>
      </w:r>
      <w:proofErr w:type="gramStart"/>
      <w:r w:rsidR="00353C1F">
        <w:rPr>
          <w:rFonts w:cstheme="minorHAnsi"/>
        </w:rPr>
        <w:t>yearly  and</w:t>
      </w:r>
      <w:proofErr w:type="gramEnd"/>
      <w:r w:rsidR="00353C1F">
        <w:rPr>
          <w:rFonts w:cstheme="minorHAnsi"/>
        </w:rPr>
        <w:t xml:space="preserve"> 5 year financial targets will be a key element of the HLHF reporting dashboard (under development). </w:t>
      </w:r>
    </w:p>
    <w:p w:rsidR="00C3415D" w:rsidRPr="00C3415D" w:rsidRDefault="00C3415D" w:rsidP="00C3415D">
      <w:pPr>
        <w:rPr>
          <w:rFonts w:cstheme="minorHAnsi"/>
        </w:rPr>
      </w:pPr>
      <w:r w:rsidRPr="00C3415D">
        <w:rPr>
          <w:rFonts w:cstheme="minorHAnsi"/>
        </w:rPr>
        <w:t>The graphic below shows the total projected</w:t>
      </w:r>
      <w:r w:rsidR="004702FB">
        <w:rPr>
          <w:rFonts w:cstheme="minorHAnsi"/>
        </w:rPr>
        <w:t xml:space="preserve"> health and social care community</w:t>
      </w:r>
      <w:r w:rsidRPr="00C3415D">
        <w:rPr>
          <w:rFonts w:cstheme="minorHAnsi"/>
        </w:rPr>
        <w:t xml:space="preserve"> financial gap</w:t>
      </w:r>
      <w:r w:rsidR="004702FB">
        <w:rPr>
          <w:rFonts w:cstheme="minorHAnsi"/>
        </w:rPr>
        <w:t xml:space="preserve"> by 2019,</w:t>
      </w:r>
      <w:r w:rsidRPr="00C3415D">
        <w:rPr>
          <w:rFonts w:cstheme="minorHAnsi"/>
        </w:rPr>
        <w:t xml:space="preserve"> split by provider cost improvement (assessed and agreed), HLHF transformation work and the residual gap: </w:t>
      </w:r>
    </w:p>
    <w:p w:rsidR="00C3415D" w:rsidRDefault="00C3415D" w:rsidP="00C3415D">
      <w:pPr>
        <w:jc w:val="center"/>
        <w:rPr>
          <w:rFonts w:cstheme="minorHAnsi"/>
          <w:u w:val="single"/>
        </w:rPr>
      </w:pPr>
      <w:r>
        <w:rPr>
          <w:noProof/>
          <w:lang w:eastAsia="en-GB"/>
        </w:rPr>
        <w:drawing>
          <wp:inline distT="0" distB="0" distL="0" distR="0" wp14:anchorId="5B03DD88" wp14:editId="3E568B24">
            <wp:extent cx="5438775" cy="12096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38775" cy="1209675"/>
                    </a:xfrm>
                    <a:prstGeom prst="rect">
                      <a:avLst/>
                    </a:prstGeom>
                  </pic:spPr>
                </pic:pic>
              </a:graphicData>
            </a:graphic>
          </wp:inline>
        </w:drawing>
      </w:r>
    </w:p>
    <w:p w:rsidR="00DD6DFD" w:rsidRPr="00E169F9" w:rsidRDefault="00C3415D" w:rsidP="00DD6DFD">
      <w:pPr>
        <w:rPr>
          <w:rFonts w:cstheme="minorHAnsi"/>
        </w:rPr>
      </w:pPr>
      <w:r>
        <w:rPr>
          <w:rFonts w:cstheme="minorHAnsi"/>
        </w:rPr>
        <w:t xml:space="preserve">The Graph below </w:t>
      </w:r>
      <w:r w:rsidR="000E0750">
        <w:rPr>
          <w:rFonts w:cstheme="minorHAnsi"/>
        </w:rPr>
        <w:t xml:space="preserve">indicates </w:t>
      </w:r>
      <w:r w:rsidR="00E82069">
        <w:rPr>
          <w:rFonts w:cstheme="minorHAnsi"/>
        </w:rPr>
        <w:t xml:space="preserve">a gap of approximately £96m after accounting for the impact of work planned in 2015/16. However £53m of this will be covered by Cost Improvement Plans, which will be profiled into the graph. This leaves a residual gap of approximately £43m. </w:t>
      </w:r>
    </w:p>
    <w:p w:rsidR="00DD6DFD" w:rsidRPr="003E5D9C" w:rsidRDefault="00C3415D" w:rsidP="003E5D9C">
      <w:pPr>
        <w:jc w:val="center"/>
        <w:rPr>
          <w:rFonts w:cstheme="minorHAnsi"/>
          <w:u w:val="single"/>
        </w:rPr>
      </w:pPr>
      <w:r>
        <w:rPr>
          <w:noProof/>
          <w:lang w:eastAsia="en-GB"/>
        </w:rPr>
        <w:drawing>
          <wp:inline distT="0" distB="0" distL="0" distR="0" wp14:anchorId="187D2EB7" wp14:editId="1575E29F">
            <wp:extent cx="5724525" cy="3181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24525" cy="3181350"/>
                    </a:xfrm>
                    <a:prstGeom prst="rect">
                      <a:avLst/>
                    </a:prstGeom>
                  </pic:spPr>
                </pic:pic>
              </a:graphicData>
            </a:graphic>
          </wp:inline>
        </w:drawing>
      </w:r>
    </w:p>
    <w:p w:rsidR="003E5D9C" w:rsidRPr="003E5D9C" w:rsidRDefault="003E5D9C" w:rsidP="003E5D9C">
      <w:pPr>
        <w:rPr>
          <w:rFonts w:cstheme="minorHAnsi"/>
        </w:rPr>
      </w:pPr>
    </w:p>
    <w:p w:rsidR="00353C1F" w:rsidRDefault="00353C1F" w:rsidP="00353C1F">
      <w:pPr>
        <w:pStyle w:val="ListParagraph"/>
        <w:numPr>
          <w:ilvl w:val="0"/>
          <w:numId w:val="2"/>
        </w:numPr>
        <w:rPr>
          <w:rFonts w:asciiTheme="minorHAnsi" w:hAnsiTheme="minorHAnsi" w:cstheme="minorHAnsi"/>
          <w:u w:val="single"/>
        </w:rPr>
      </w:pPr>
      <w:r>
        <w:rPr>
          <w:rFonts w:asciiTheme="minorHAnsi" w:hAnsiTheme="minorHAnsi" w:cstheme="minorHAnsi"/>
          <w:u w:val="single"/>
        </w:rPr>
        <w:lastRenderedPageBreak/>
        <w:t xml:space="preserve">Programme Risk Summary </w:t>
      </w:r>
      <w:r w:rsidR="00C3415D">
        <w:rPr>
          <w:rFonts w:asciiTheme="minorHAnsi" w:hAnsiTheme="minorHAnsi" w:cstheme="minorHAnsi"/>
          <w:u w:val="single"/>
        </w:rPr>
        <w:t xml:space="preserve"> </w:t>
      </w:r>
    </w:p>
    <w:p w:rsidR="003E5D9C" w:rsidRPr="003E5D9C" w:rsidRDefault="003E5D9C" w:rsidP="003E5D9C">
      <w:pPr>
        <w:pStyle w:val="ListParagraph"/>
        <w:rPr>
          <w:rFonts w:asciiTheme="minorHAnsi" w:hAnsiTheme="minorHAnsi" w:cstheme="minorHAnsi"/>
          <w:u w:val="single"/>
        </w:rPr>
      </w:pPr>
    </w:p>
    <w:p w:rsidR="00654BC6" w:rsidRPr="00581E7C" w:rsidRDefault="00353C1F" w:rsidP="00581E7C">
      <w:pPr>
        <w:rPr>
          <w:rFonts w:cstheme="minorHAnsi"/>
        </w:rPr>
      </w:pPr>
      <w:r w:rsidRPr="006F744C">
        <w:rPr>
          <w:rFonts w:cstheme="minorHAnsi"/>
        </w:rPr>
        <w:t>Below is a summary of the HLHF programme risks that score 15 or above on the risk matrix. There is a full HLHF risk register that is monitore</w:t>
      </w:r>
      <w:r w:rsidR="00581E7C">
        <w:rPr>
          <w:rFonts w:cstheme="minorHAnsi"/>
        </w:rPr>
        <w:t xml:space="preserve">d by the HLHF Programme Board. </w:t>
      </w:r>
    </w:p>
    <w:p w:rsidR="00EA0FDB" w:rsidRDefault="00581E7C" w:rsidP="00654BC6">
      <w:pPr>
        <w:rPr>
          <w:sz w:val="24"/>
        </w:rPr>
      </w:pPr>
      <w:r>
        <w:rPr>
          <w:noProof/>
          <w:sz w:val="24"/>
          <w:lang w:eastAsia="en-GB"/>
        </w:rPr>
        <w:drawing>
          <wp:inline distT="0" distB="0" distL="0" distR="0" wp14:anchorId="2CF947C7">
            <wp:extent cx="6858000" cy="5495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5495925"/>
                    </a:xfrm>
                    <a:prstGeom prst="rect">
                      <a:avLst/>
                    </a:prstGeom>
                    <a:noFill/>
                  </pic:spPr>
                </pic:pic>
              </a:graphicData>
            </a:graphic>
          </wp:inline>
        </w:drawing>
      </w:r>
    </w:p>
    <w:p w:rsidR="00654BC6" w:rsidRPr="003E5D9C" w:rsidRDefault="003E5D9C" w:rsidP="003E5D9C">
      <w:pPr>
        <w:pStyle w:val="ListParagraph"/>
        <w:numPr>
          <w:ilvl w:val="0"/>
          <w:numId w:val="2"/>
        </w:numPr>
        <w:rPr>
          <w:rFonts w:asciiTheme="minorHAnsi" w:hAnsiTheme="minorHAnsi" w:cstheme="minorHAnsi"/>
          <w:u w:val="single"/>
        </w:rPr>
      </w:pPr>
      <w:r w:rsidRPr="003E5D9C">
        <w:rPr>
          <w:rFonts w:asciiTheme="minorHAnsi" w:hAnsiTheme="minorHAnsi" w:cstheme="minorHAnsi"/>
          <w:u w:val="single"/>
        </w:rPr>
        <w:t xml:space="preserve">Programme Timeline </w:t>
      </w:r>
    </w:p>
    <w:p w:rsidR="003E5D9C" w:rsidRPr="004C22AC" w:rsidRDefault="003E5D9C" w:rsidP="00654BC6">
      <w:pPr>
        <w:rPr>
          <w:sz w:val="24"/>
        </w:rPr>
      </w:pPr>
      <w:r>
        <w:rPr>
          <w:noProof/>
          <w:lang w:eastAsia="en-GB"/>
        </w:rPr>
        <w:drawing>
          <wp:inline distT="0" distB="0" distL="0" distR="0" wp14:anchorId="2495D5DB" wp14:editId="041760F2">
            <wp:extent cx="6705600" cy="30289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705600" cy="3028950"/>
                    </a:xfrm>
                    <a:prstGeom prst="rect">
                      <a:avLst/>
                    </a:prstGeom>
                  </pic:spPr>
                </pic:pic>
              </a:graphicData>
            </a:graphic>
          </wp:inline>
        </w:drawing>
      </w:r>
    </w:p>
    <w:sectPr w:rsidR="003E5D9C" w:rsidRPr="004C22AC" w:rsidSect="00EA0F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E28FC"/>
    <w:multiLevelType w:val="hybridMultilevel"/>
    <w:tmpl w:val="17C4436C"/>
    <w:lvl w:ilvl="0" w:tplc="E222D3BA">
      <w:start w:val="1"/>
      <w:numFmt w:val="bullet"/>
      <w:lvlText w:val="•"/>
      <w:lvlJc w:val="left"/>
      <w:pPr>
        <w:tabs>
          <w:tab w:val="num" w:pos="720"/>
        </w:tabs>
        <w:ind w:left="720" w:hanging="360"/>
      </w:pPr>
      <w:rPr>
        <w:rFonts w:ascii="Arial" w:hAnsi="Arial" w:hint="default"/>
      </w:rPr>
    </w:lvl>
    <w:lvl w:ilvl="1" w:tplc="0644C036" w:tentative="1">
      <w:start w:val="1"/>
      <w:numFmt w:val="bullet"/>
      <w:lvlText w:val="•"/>
      <w:lvlJc w:val="left"/>
      <w:pPr>
        <w:tabs>
          <w:tab w:val="num" w:pos="1440"/>
        </w:tabs>
        <w:ind w:left="1440" w:hanging="360"/>
      </w:pPr>
      <w:rPr>
        <w:rFonts w:ascii="Arial" w:hAnsi="Arial" w:hint="default"/>
      </w:rPr>
    </w:lvl>
    <w:lvl w:ilvl="2" w:tplc="819813F2" w:tentative="1">
      <w:start w:val="1"/>
      <w:numFmt w:val="bullet"/>
      <w:lvlText w:val="•"/>
      <w:lvlJc w:val="left"/>
      <w:pPr>
        <w:tabs>
          <w:tab w:val="num" w:pos="2160"/>
        </w:tabs>
        <w:ind w:left="2160" w:hanging="360"/>
      </w:pPr>
      <w:rPr>
        <w:rFonts w:ascii="Arial" w:hAnsi="Arial" w:hint="default"/>
      </w:rPr>
    </w:lvl>
    <w:lvl w:ilvl="3" w:tplc="A96C0724" w:tentative="1">
      <w:start w:val="1"/>
      <w:numFmt w:val="bullet"/>
      <w:lvlText w:val="•"/>
      <w:lvlJc w:val="left"/>
      <w:pPr>
        <w:tabs>
          <w:tab w:val="num" w:pos="2880"/>
        </w:tabs>
        <w:ind w:left="2880" w:hanging="360"/>
      </w:pPr>
      <w:rPr>
        <w:rFonts w:ascii="Arial" w:hAnsi="Arial" w:hint="default"/>
      </w:rPr>
    </w:lvl>
    <w:lvl w:ilvl="4" w:tplc="2D80E5FE" w:tentative="1">
      <w:start w:val="1"/>
      <w:numFmt w:val="bullet"/>
      <w:lvlText w:val="•"/>
      <w:lvlJc w:val="left"/>
      <w:pPr>
        <w:tabs>
          <w:tab w:val="num" w:pos="3600"/>
        </w:tabs>
        <w:ind w:left="3600" w:hanging="360"/>
      </w:pPr>
      <w:rPr>
        <w:rFonts w:ascii="Arial" w:hAnsi="Arial" w:hint="default"/>
      </w:rPr>
    </w:lvl>
    <w:lvl w:ilvl="5" w:tplc="EFEE3A34" w:tentative="1">
      <w:start w:val="1"/>
      <w:numFmt w:val="bullet"/>
      <w:lvlText w:val="•"/>
      <w:lvlJc w:val="left"/>
      <w:pPr>
        <w:tabs>
          <w:tab w:val="num" w:pos="4320"/>
        </w:tabs>
        <w:ind w:left="4320" w:hanging="360"/>
      </w:pPr>
      <w:rPr>
        <w:rFonts w:ascii="Arial" w:hAnsi="Arial" w:hint="default"/>
      </w:rPr>
    </w:lvl>
    <w:lvl w:ilvl="6" w:tplc="42F64586" w:tentative="1">
      <w:start w:val="1"/>
      <w:numFmt w:val="bullet"/>
      <w:lvlText w:val="•"/>
      <w:lvlJc w:val="left"/>
      <w:pPr>
        <w:tabs>
          <w:tab w:val="num" w:pos="5040"/>
        </w:tabs>
        <w:ind w:left="5040" w:hanging="360"/>
      </w:pPr>
      <w:rPr>
        <w:rFonts w:ascii="Arial" w:hAnsi="Arial" w:hint="default"/>
      </w:rPr>
    </w:lvl>
    <w:lvl w:ilvl="7" w:tplc="BAF28546" w:tentative="1">
      <w:start w:val="1"/>
      <w:numFmt w:val="bullet"/>
      <w:lvlText w:val="•"/>
      <w:lvlJc w:val="left"/>
      <w:pPr>
        <w:tabs>
          <w:tab w:val="num" w:pos="5760"/>
        </w:tabs>
        <w:ind w:left="5760" w:hanging="360"/>
      </w:pPr>
      <w:rPr>
        <w:rFonts w:ascii="Arial" w:hAnsi="Arial" w:hint="default"/>
      </w:rPr>
    </w:lvl>
    <w:lvl w:ilvl="8" w:tplc="40D6D154" w:tentative="1">
      <w:start w:val="1"/>
      <w:numFmt w:val="bullet"/>
      <w:lvlText w:val="•"/>
      <w:lvlJc w:val="left"/>
      <w:pPr>
        <w:tabs>
          <w:tab w:val="num" w:pos="6480"/>
        </w:tabs>
        <w:ind w:left="6480" w:hanging="360"/>
      </w:pPr>
      <w:rPr>
        <w:rFonts w:ascii="Arial" w:hAnsi="Arial" w:hint="default"/>
      </w:rPr>
    </w:lvl>
  </w:abstractNum>
  <w:abstractNum w:abstractNumId="1">
    <w:nsid w:val="4BF07DE3"/>
    <w:multiLevelType w:val="hybridMultilevel"/>
    <w:tmpl w:val="7212A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D31"/>
    <w:rsid w:val="00083EF6"/>
    <w:rsid w:val="000E0750"/>
    <w:rsid w:val="00200E4A"/>
    <w:rsid w:val="00265A2C"/>
    <w:rsid w:val="00353C1F"/>
    <w:rsid w:val="003E5D9C"/>
    <w:rsid w:val="004702FB"/>
    <w:rsid w:val="004C22AC"/>
    <w:rsid w:val="00581E7C"/>
    <w:rsid w:val="005F31F1"/>
    <w:rsid w:val="00654BC6"/>
    <w:rsid w:val="006F744C"/>
    <w:rsid w:val="007234A2"/>
    <w:rsid w:val="007A1026"/>
    <w:rsid w:val="007A515F"/>
    <w:rsid w:val="00A87537"/>
    <w:rsid w:val="00B3460D"/>
    <w:rsid w:val="00B51AAE"/>
    <w:rsid w:val="00C21DF4"/>
    <w:rsid w:val="00C3415D"/>
    <w:rsid w:val="00C60E9B"/>
    <w:rsid w:val="00CE220B"/>
    <w:rsid w:val="00CE4690"/>
    <w:rsid w:val="00D2166A"/>
    <w:rsid w:val="00D901E4"/>
    <w:rsid w:val="00DA4D31"/>
    <w:rsid w:val="00DD6DFD"/>
    <w:rsid w:val="00DE0851"/>
    <w:rsid w:val="00E169F9"/>
    <w:rsid w:val="00E82069"/>
    <w:rsid w:val="00EA0FDB"/>
    <w:rsid w:val="00F96FF3"/>
    <w:rsid w:val="00FB53E7"/>
    <w:rsid w:val="00FD4A3F"/>
    <w:rsid w:val="00FD5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4A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D4A3F"/>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D4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A3F"/>
    <w:rPr>
      <w:rFonts w:ascii="Tahoma" w:hAnsi="Tahoma" w:cs="Tahoma"/>
      <w:sz w:val="16"/>
      <w:szCs w:val="16"/>
    </w:rPr>
  </w:style>
  <w:style w:type="table" w:styleId="TableGrid">
    <w:name w:val="Table Grid"/>
    <w:basedOn w:val="TableNormal"/>
    <w:uiPriority w:val="59"/>
    <w:rsid w:val="007A1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0E075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0E075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4A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D4A3F"/>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D4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A3F"/>
    <w:rPr>
      <w:rFonts w:ascii="Tahoma" w:hAnsi="Tahoma" w:cs="Tahoma"/>
      <w:sz w:val="16"/>
      <w:szCs w:val="16"/>
    </w:rPr>
  </w:style>
  <w:style w:type="table" w:styleId="TableGrid">
    <w:name w:val="Table Grid"/>
    <w:basedOn w:val="TableNormal"/>
    <w:uiPriority w:val="59"/>
    <w:rsid w:val="007A1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0E075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0E075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898052">
      <w:bodyDiv w:val="1"/>
      <w:marLeft w:val="0"/>
      <w:marRight w:val="0"/>
      <w:marTop w:val="0"/>
      <w:marBottom w:val="0"/>
      <w:divBdr>
        <w:top w:val="none" w:sz="0" w:space="0" w:color="auto"/>
        <w:left w:val="none" w:sz="0" w:space="0" w:color="auto"/>
        <w:bottom w:val="none" w:sz="0" w:space="0" w:color="auto"/>
        <w:right w:val="none" w:sz="0" w:space="0" w:color="auto"/>
      </w:divBdr>
      <w:divsChild>
        <w:div w:id="873346136">
          <w:marLeft w:val="274"/>
          <w:marRight w:val="0"/>
          <w:marTop w:val="0"/>
          <w:marBottom w:val="0"/>
          <w:divBdr>
            <w:top w:val="none" w:sz="0" w:space="0" w:color="auto"/>
            <w:left w:val="none" w:sz="0" w:space="0" w:color="auto"/>
            <w:bottom w:val="none" w:sz="0" w:space="0" w:color="auto"/>
            <w:right w:val="none" w:sz="0" w:space="0" w:color="auto"/>
          </w:divBdr>
        </w:div>
        <w:div w:id="495150021">
          <w:marLeft w:val="274"/>
          <w:marRight w:val="0"/>
          <w:marTop w:val="0"/>
          <w:marBottom w:val="0"/>
          <w:divBdr>
            <w:top w:val="none" w:sz="0" w:space="0" w:color="auto"/>
            <w:left w:val="none" w:sz="0" w:space="0" w:color="auto"/>
            <w:bottom w:val="none" w:sz="0" w:space="0" w:color="auto"/>
            <w:right w:val="none" w:sz="0" w:space="0" w:color="auto"/>
          </w:divBdr>
        </w:div>
        <w:div w:id="400296597">
          <w:marLeft w:val="274"/>
          <w:marRight w:val="0"/>
          <w:marTop w:val="0"/>
          <w:marBottom w:val="0"/>
          <w:divBdr>
            <w:top w:val="none" w:sz="0" w:space="0" w:color="auto"/>
            <w:left w:val="none" w:sz="0" w:space="0" w:color="auto"/>
            <w:bottom w:val="none" w:sz="0" w:space="0" w:color="auto"/>
            <w:right w:val="none" w:sz="0" w:space="0" w:color="auto"/>
          </w:divBdr>
        </w:div>
        <w:div w:id="1076904904">
          <w:marLeft w:val="274"/>
          <w:marRight w:val="0"/>
          <w:marTop w:val="0"/>
          <w:marBottom w:val="0"/>
          <w:divBdr>
            <w:top w:val="none" w:sz="0" w:space="0" w:color="auto"/>
            <w:left w:val="none" w:sz="0" w:space="0" w:color="auto"/>
            <w:bottom w:val="none" w:sz="0" w:space="0" w:color="auto"/>
            <w:right w:val="none" w:sz="0" w:space="0" w:color="auto"/>
          </w:divBdr>
        </w:div>
        <w:div w:id="909466161">
          <w:marLeft w:val="274"/>
          <w:marRight w:val="0"/>
          <w:marTop w:val="0"/>
          <w:marBottom w:val="0"/>
          <w:divBdr>
            <w:top w:val="none" w:sz="0" w:space="0" w:color="auto"/>
            <w:left w:val="none" w:sz="0" w:space="0" w:color="auto"/>
            <w:bottom w:val="none" w:sz="0" w:space="0" w:color="auto"/>
            <w:right w:val="none" w:sz="0" w:space="0" w:color="auto"/>
          </w:divBdr>
        </w:div>
        <w:div w:id="78330925">
          <w:marLeft w:val="274"/>
          <w:marRight w:val="0"/>
          <w:marTop w:val="0"/>
          <w:marBottom w:val="0"/>
          <w:divBdr>
            <w:top w:val="none" w:sz="0" w:space="0" w:color="auto"/>
            <w:left w:val="none" w:sz="0" w:space="0" w:color="auto"/>
            <w:bottom w:val="none" w:sz="0" w:space="0" w:color="auto"/>
            <w:right w:val="none" w:sz="0" w:space="0" w:color="auto"/>
          </w:divBdr>
        </w:div>
        <w:div w:id="2007319588">
          <w:marLeft w:val="274"/>
          <w:marRight w:val="0"/>
          <w:marTop w:val="0"/>
          <w:marBottom w:val="0"/>
          <w:divBdr>
            <w:top w:val="none" w:sz="0" w:space="0" w:color="auto"/>
            <w:left w:val="none" w:sz="0" w:space="0" w:color="auto"/>
            <w:bottom w:val="none" w:sz="0" w:space="0" w:color="auto"/>
            <w:right w:val="none" w:sz="0" w:space="0" w:color="auto"/>
          </w:divBdr>
        </w:div>
        <w:div w:id="1410076310">
          <w:marLeft w:val="274"/>
          <w:marRight w:val="0"/>
          <w:marTop w:val="0"/>
          <w:marBottom w:val="0"/>
          <w:divBdr>
            <w:top w:val="none" w:sz="0" w:space="0" w:color="auto"/>
            <w:left w:val="none" w:sz="0" w:space="0" w:color="auto"/>
            <w:bottom w:val="none" w:sz="0" w:space="0" w:color="auto"/>
            <w:right w:val="none" w:sz="0" w:space="0" w:color="auto"/>
          </w:divBdr>
        </w:div>
        <w:div w:id="2023050442">
          <w:marLeft w:val="274"/>
          <w:marRight w:val="0"/>
          <w:marTop w:val="0"/>
          <w:marBottom w:val="0"/>
          <w:divBdr>
            <w:top w:val="none" w:sz="0" w:space="0" w:color="auto"/>
            <w:left w:val="none" w:sz="0" w:space="0" w:color="auto"/>
            <w:bottom w:val="none" w:sz="0" w:space="0" w:color="auto"/>
            <w:right w:val="none" w:sz="0" w:space="0" w:color="auto"/>
          </w:divBdr>
        </w:div>
        <w:div w:id="879442651">
          <w:marLeft w:val="274"/>
          <w:marRight w:val="0"/>
          <w:marTop w:val="0"/>
          <w:marBottom w:val="0"/>
          <w:divBdr>
            <w:top w:val="none" w:sz="0" w:space="0" w:color="auto"/>
            <w:left w:val="none" w:sz="0" w:space="0" w:color="auto"/>
            <w:bottom w:val="none" w:sz="0" w:space="0" w:color="auto"/>
            <w:right w:val="none" w:sz="0" w:space="0" w:color="auto"/>
          </w:divBdr>
        </w:div>
        <w:div w:id="2064400867">
          <w:marLeft w:val="274"/>
          <w:marRight w:val="0"/>
          <w:marTop w:val="0"/>
          <w:marBottom w:val="0"/>
          <w:divBdr>
            <w:top w:val="none" w:sz="0" w:space="0" w:color="auto"/>
            <w:left w:val="none" w:sz="0" w:space="0" w:color="auto"/>
            <w:bottom w:val="none" w:sz="0" w:space="0" w:color="auto"/>
            <w:right w:val="none" w:sz="0" w:space="0" w:color="auto"/>
          </w:divBdr>
        </w:div>
        <w:div w:id="223760357">
          <w:marLeft w:val="274"/>
          <w:marRight w:val="0"/>
          <w:marTop w:val="0"/>
          <w:marBottom w:val="0"/>
          <w:divBdr>
            <w:top w:val="none" w:sz="0" w:space="0" w:color="auto"/>
            <w:left w:val="none" w:sz="0" w:space="0" w:color="auto"/>
            <w:bottom w:val="none" w:sz="0" w:space="0" w:color="auto"/>
            <w:right w:val="none" w:sz="0" w:space="0" w:color="auto"/>
          </w:divBdr>
        </w:div>
        <w:div w:id="523247878">
          <w:marLeft w:val="274"/>
          <w:marRight w:val="0"/>
          <w:marTop w:val="0"/>
          <w:marBottom w:val="0"/>
          <w:divBdr>
            <w:top w:val="none" w:sz="0" w:space="0" w:color="auto"/>
            <w:left w:val="none" w:sz="0" w:space="0" w:color="auto"/>
            <w:bottom w:val="none" w:sz="0" w:space="0" w:color="auto"/>
            <w:right w:val="none" w:sz="0" w:space="0" w:color="auto"/>
          </w:divBdr>
        </w:div>
        <w:div w:id="2003503025">
          <w:marLeft w:val="274"/>
          <w:marRight w:val="0"/>
          <w:marTop w:val="0"/>
          <w:marBottom w:val="0"/>
          <w:divBdr>
            <w:top w:val="none" w:sz="0" w:space="0" w:color="auto"/>
            <w:left w:val="none" w:sz="0" w:space="0" w:color="auto"/>
            <w:bottom w:val="none" w:sz="0" w:space="0" w:color="auto"/>
            <w:right w:val="none" w:sz="0" w:space="0" w:color="auto"/>
          </w:divBdr>
        </w:div>
        <w:div w:id="847602153">
          <w:marLeft w:val="274"/>
          <w:marRight w:val="0"/>
          <w:marTop w:val="0"/>
          <w:marBottom w:val="0"/>
          <w:divBdr>
            <w:top w:val="none" w:sz="0" w:space="0" w:color="auto"/>
            <w:left w:val="none" w:sz="0" w:space="0" w:color="auto"/>
            <w:bottom w:val="none" w:sz="0" w:space="0" w:color="auto"/>
            <w:right w:val="none" w:sz="0" w:space="0" w:color="auto"/>
          </w:divBdr>
        </w:div>
        <w:div w:id="52455758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HLHF</a:t>
            </a:r>
            <a:r>
              <a:rPr lang="en-GB" baseline="0"/>
              <a:t> </a:t>
            </a:r>
            <a:r>
              <a:rPr lang="en-GB"/>
              <a:t>Gateway</a:t>
            </a:r>
            <a:r>
              <a:rPr lang="en-GB" baseline="0"/>
              <a:t> Summary - April 2015  </a:t>
            </a:r>
            <a:r>
              <a:rPr lang="en-GB"/>
              <a:t> </a:t>
            </a:r>
          </a:p>
        </c:rich>
      </c:tx>
      <c:overlay val="0"/>
    </c:title>
    <c:autoTitleDeleted val="0"/>
    <c:plotArea>
      <c:layout/>
      <c:barChart>
        <c:barDir val="col"/>
        <c:grouping val="clustered"/>
        <c:varyColors val="0"/>
        <c:ser>
          <c:idx val="0"/>
          <c:order val="0"/>
          <c:tx>
            <c:strRef>
              <c:f>Sheet1!$C$11</c:f>
              <c:strCache>
                <c:ptCount val="1"/>
                <c:pt idx="0">
                  <c:v>number of schemes </c:v>
                </c:pt>
              </c:strCache>
            </c:strRef>
          </c:tx>
          <c:invertIfNegative val="0"/>
          <c:cat>
            <c:strRef>
              <c:f>Sheet1!$B$12:$B$17</c:f>
              <c:strCache>
                <c:ptCount val="6"/>
                <c:pt idx="0">
                  <c:v>Gateway 0</c:v>
                </c:pt>
                <c:pt idx="1">
                  <c:v>Gateway 1 </c:v>
                </c:pt>
                <c:pt idx="2">
                  <c:v>Gateway 2 </c:v>
                </c:pt>
                <c:pt idx="3">
                  <c:v>Gateway 3</c:v>
                </c:pt>
                <c:pt idx="4">
                  <c:v>Gateway 4</c:v>
                </c:pt>
                <c:pt idx="5">
                  <c:v>Gateway 5</c:v>
                </c:pt>
              </c:strCache>
            </c:strRef>
          </c:cat>
          <c:val>
            <c:numRef>
              <c:f>Sheet1!$C$12:$C$17</c:f>
              <c:numCache>
                <c:formatCode>General</c:formatCode>
                <c:ptCount val="6"/>
                <c:pt idx="0">
                  <c:v>16</c:v>
                </c:pt>
                <c:pt idx="1">
                  <c:v>16</c:v>
                </c:pt>
                <c:pt idx="2">
                  <c:v>11</c:v>
                </c:pt>
                <c:pt idx="3">
                  <c:v>5</c:v>
                </c:pt>
                <c:pt idx="4">
                  <c:v>3</c:v>
                </c:pt>
                <c:pt idx="5">
                  <c:v>0</c:v>
                </c:pt>
              </c:numCache>
            </c:numRef>
          </c:val>
        </c:ser>
        <c:dLbls>
          <c:showLegendKey val="0"/>
          <c:showVal val="0"/>
          <c:showCatName val="0"/>
          <c:showSerName val="0"/>
          <c:showPercent val="0"/>
          <c:showBubbleSize val="0"/>
        </c:dLbls>
        <c:gapWidth val="150"/>
        <c:axId val="81873536"/>
        <c:axId val="81910016"/>
      </c:barChart>
      <c:catAx>
        <c:axId val="81873536"/>
        <c:scaling>
          <c:orientation val="minMax"/>
        </c:scaling>
        <c:delete val="0"/>
        <c:axPos val="b"/>
        <c:majorTickMark val="out"/>
        <c:minorTickMark val="none"/>
        <c:tickLblPos val="nextTo"/>
        <c:crossAx val="81910016"/>
        <c:crosses val="autoZero"/>
        <c:auto val="1"/>
        <c:lblAlgn val="ctr"/>
        <c:lblOffset val="100"/>
        <c:noMultiLvlLbl val="0"/>
      </c:catAx>
      <c:valAx>
        <c:axId val="81910016"/>
        <c:scaling>
          <c:orientation val="minMax"/>
        </c:scaling>
        <c:delete val="0"/>
        <c:axPos val="l"/>
        <c:majorGridlines/>
        <c:numFmt formatCode="General" sourceLinked="1"/>
        <c:majorTickMark val="out"/>
        <c:minorTickMark val="none"/>
        <c:tickLblPos val="nextTo"/>
        <c:crossAx val="8187353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Karen Stamp</cp:lastModifiedBy>
  <cp:revision>4</cp:revision>
  <dcterms:created xsi:type="dcterms:W3CDTF">2015-05-07T15:43:00Z</dcterms:created>
  <dcterms:modified xsi:type="dcterms:W3CDTF">2015-05-08T09:58:00Z</dcterms:modified>
</cp:coreProperties>
</file>