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87" w:rsidRPr="00DD7564" w:rsidRDefault="00794187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9A7A7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15c</w:t>
                            </w:r>
                          </w:p>
                          <w:p w:rsidR="00794187" w:rsidRDefault="00794187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794187" w:rsidRPr="00DD7564" w:rsidRDefault="00794187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9A7A7B">
                        <w:rPr>
                          <w:rFonts w:ascii="Arial" w:hAnsi="Arial" w:cs="Arial"/>
                          <w:sz w:val="32"/>
                          <w:szCs w:val="32"/>
                        </w:rPr>
                        <w:t>15c</w:t>
                      </w:r>
                    </w:p>
                    <w:p w:rsidR="00794187" w:rsidRDefault="00794187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7941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794187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Kennedy, Deputy Chief Executive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65126" w:rsidP="007941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4187">
              <w:rPr>
                <w:rFonts w:ascii="Arial" w:hAnsi="Arial" w:cs="Arial"/>
                <w:bCs/>
                <w:sz w:val="22"/>
                <w:szCs w:val="22"/>
              </w:rPr>
              <w:t>4 May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0B5472" w:rsidP="007941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Constitution </w:t>
            </w:r>
            <w:r w:rsidR="00794187">
              <w:rPr>
                <w:rFonts w:ascii="Arial" w:hAnsi="Arial" w:cs="Arial"/>
                <w:bCs/>
                <w:sz w:val="22"/>
                <w:szCs w:val="22"/>
              </w:rPr>
              <w:t xml:space="preserve">bi-annual refresh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752FD6" w:rsidRDefault="00240FF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0B5472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5472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advise the Partnership Board of the amendments that have been made to the CCG Constitution </w:t>
            </w:r>
          </w:p>
          <w:p w:rsidR="00794187" w:rsidRDefault="00794187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These amendment were submitted to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on 5 May 2015</w:t>
            </w:r>
          </w:p>
          <w:p w:rsidR="00794187" w:rsidRDefault="00794187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4187" w:rsidRDefault="00794187" w:rsidP="007941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</w:t>
            </w:r>
            <w:r w:rsidRPr="00005BC2">
              <w:rPr>
                <w:rFonts w:ascii="Arial" w:hAnsi="Arial" w:cs="Arial"/>
                <w:bCs/>
                <w:sz w:val="22"/>
                <w:szCs w:val="22"/>
              </w:rPr>
              <w:t>plications for amendment of the Constitution can be submitted to 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HS England on a bi-annual basis.  </w:t>
            </w:r>
          </w:p>
          <w:p w:rsidR="006B0D73" w:rsidRDefault="006B0D73" w:rsidP="006B0D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Default="006B0D73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key changes are listed within appendix one – Schedule of Amendments</w:t>
            </w:r>
          </w:p>
          <w:p w:rsidR="00240FFB" w:rsidRDefault="00240FFB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240FFB" w:rsidP="00240F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0FFB">
              <w:rPr>
                <w:rFonts w:ascii="Arial" w:hAnsi="Arial" w:cs="Arial"/>
                <w:bCs/>
                <w:sz w:val="22"/>
                <w:szCs w:val="22"/>
              </w:rPr>
              <w:t xml:space="preserve">The agreed changes are now subject to approval/ratification by NHS England at a date 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has yet to be confirmed 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0B5472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CCG constitution underpins all aspects of the Governance of the CCG and hence the delivery of the strategy.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0B5472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Implications of the individual changes have been advised to, and agreed by, the Partnership Board under its delegated authority as set out in the Scheme of Delegation.</w:t>
            </w: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5472" w:rsidRPr="00752FD6" w:rsidRDefault="000B5472" w:rsidP="001C56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1C560F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asked to note the constitution amendments.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9A7A7B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D73" w:rsidRDefault="006B0D73" w:rsidP="00D7033C">
      <w:pPr>
        <w:rPr>
          <w:rFonts w:ascii="Arial" w:hAnsi="Arial" w:cs="Arial"/>
          <w:b/>
          <w:bCs/>
          <w:sz w:val="22"/>
          <w:szCs w:val="22"/>
        </w:rPr>
      </w:pPr>
    </w:p>
    <w:p w:rsidR="006B0D73" w:rsidRDefault="006B0D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B0D73" w:rsidRDefault="006B0D73" w:rsidP="00D7033C">
      <w:pPr>
        <w:rPr>
          <w:rFonts w:ascii="Arial" w:hAnsi="Arial" w:cs="Arial"/>
          <w:b/>
          <w:bCs/>
          <w:sz w:val="22"/>
          <w:szCs w:val="22"/>
        </w:rPr>
        <w:sectPr w:rsidR="006B0D73" w:rsidSect="00DD7564">
          <w:footerReference w:type="default" r:id="rId10"/>
          <w:pgSz w:w="11906" w:h="16838"/>
          <w:pgMar w:top="902" w:right="902" w:bottom="902" w:left="1077" w:header="720" w:footer="720" w:gutter="0"/>
          <w:cols w:space="720"/>
          <w:docGrid w:linePitch="360"/>
        </w:sectPr>
      </w:pPr>
    </w:p>
    <w:p w:rsidR="004B6CEA" w:rsidRDefault="00794187" w:rsidP="00794187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bookmarkStart w:id="3" w:name="_MON_1486535336"/>
      <w:bookmarkEnd w:id="3"/>
      <w:r w:rsidRPr="00794187">
        <w:rPr>
          <w:rFonts w:ascii="Arial" w:eastAsiaTheme="minorHAnsi" w:hAnsi="Arial" w:cs="Arial"/>
          <w:b/>
          <w:bCs/>
          <w:sz w:val="28"/>
          <w:szCs w:val="28"/>
          <w:lang w:eastAsia="en-US"/>
        </w:rPr>
        <w:lastRenderedPageBreak/>
        <w:t xml:space="preserve">NHS North East Lincolnshire Clinical Commissioning Group </w:t>
      </w:r>
    </w:p>
    <w:p w:rsidR="00794187" w:rsidRPr="00794187" w:rsidRDefault="00794187" w:rsidP="00794187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79418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Constitution – June 2015</w:t>
      </w:r>
    </w:p>
    <w:p w:rsidR="00794187" w:rsidRPr="00794187" w:rsidRDefault="00794187" w:rsidP="00794187">
      <w:pPr>
        <w:tabs>
          <w:tab w:val="left" w:pos="612"/>
        </w:tabs>
        <w:spacing w:after="200"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79418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Summary of amendments</w:t>
      </w:r>
    </w:p>
    <w:p w:rsidR="00794187" w:rsidRPr="00794187" w:rsidRDefault="00794187" w:rsidP="00794187">
      <w:pPr>
        <w:tabs>
          <w:tab w:val="left" w:pos="612"/>
        </w:tabs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9418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Table 1</w:t>
      </w:r>
    </w:p>
    <w:tbl>
      <w:tblPr>
        <w:tblStyle w:val="TableGrid2"/>
        <w:tblW w:w="14709" w:type="dxa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3118"/>
        <w:gridCol w:w="8364"/>
      </w:tblGrid>
      <w:tr w:rsidR="00794187" w:rsidRPr="00794187" w:rsidTr="00794187">
        <w:tc>
          <w:tcPr>
            <w:tcW w:w="1101" w:type="dxa"/>
          </w:tcPr>
          <w:p w:rsidR="00794187" w:rsidRPr="00794187" w:rsidRDefault="00794187" w:rsidP="00794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4187">
              <w:rPr>
                <w:rFonts w:ascii="Arial" w:hAnsi="Arial"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126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4187">
              <w:rPr>
                <w:rFonts w:ascii="Arial" w:hAnsi="Arial" w:cs="Arial"/>
                <w:b/>
                <w:sz w:val="22"/>
                <w:szCs w:val="22"/>
              </w:rPr>
              <w:t>Paragraph Reference</w:t>
            </w:r>
          </w:p>
        </w:tc>
        <w:tc>
          <w:tcPr>
            <w:tcW w:w="11482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4187">
              <w:rPr>
                <w:rFonts w:ascii="Arial" w:hAnsi="Arial" w:cs="Arial"/>
                <w:b/>
                <w:sz w:val="22"/>
                <w:szCs w:val="22"/>
              </w:rPr>
              <w:t>Summary of change made</w:t>
            </w:r>
          </w:p>
        </w:tc>
      </w:tr>
      <w:tr w:rsidR="00794187" w:rsidRPr="00794187" w:rsidTr="00794187">
        <w:tc>
          <w:tcPr>
            <w:tcW w:w="1101" w:type="dxa"/>
          </w:tcPr>
          <w:p w:rsidR="00794187" w:rsidRPr="00794187" w:rsidRDefault="00794187" w:rsidP="007941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126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Appendix C (5.11.3)</w:t>
            </w:r>
          </w:p>
        </w:tc>
        <w:tc>
          <w:tcPr>
            <w:tcW w:w="11482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Slight amendment to wording:- Unless stated otherwise in the Terms of Reference, for all other of the group’s committees and sub-committees including the Governing Body’s committees and sub-committee, voting shall be by a simple majority of those present with each member having a single vote. Deputies shall not vote</w:t>
            </w:r>
          </w:p>
        </w:tc>
      </w:tr>
      <w:tr w:rsidR="00794187" w:rsidRPr="00794187" w:rsidTr="00794187">
        <w:tc>
          <w:tcPr>
            <w:tcW w:w="14709" w:type="dxa"/>
            <w:gridSpan w:val="5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General amendments have been made to ensure consistency, within main body &amp; appendices</w:t>
            </w:r>
          </w:p>
        </w:tc>
      </w:tr>
      <w:tr w:rsidR="00794187" w:rsidRPr="00794187" w:rsidTr="00794187">
        <w:tc>
          <w:tcPr>
            <w:tcW w:w="1101" w:type="dxa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26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6.8.4</w:t>
            </w:r>
          </w:p>
        </w:tc>
        <w:tc>
          <w:tcPr>
            <w:tcW w:w="11482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 xml:space="preserve">Updated review of Terms of Reference for sub-committees of partnership board </w:t>
            </w:r>
          </w:p>
        </w:tc>
      </w:tr>
      <w:tr w:rsidR="00794187" w:rsidRPr="00794187" w:rsidTr="00794187">
        <w:tc>
          <w:tcPr>
            <w:tcW w:w="1101" w:type="dxa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26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6.9.3</w:t>
            </w:r>
          </w:p>
        </w:tc>
        <w:tc>
          <w:tcPr>
            <w:tcW w:w="11482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 xml:space="preserve">Approved committee change from Governing Body to Council of Member </w:t>
            </w:r>
          </w:p>
        </w:tc>
      </w:tr>
      <w:tr w:rsidR="00794187" w:rsidRPr="00794187" w:rsidTr="00794187">
        <w:tc>
          <w:tcPr>
            <w:tcW w:w="1101" w:type="dxa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26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Appendix C</w:t>
            </w:r>
          </w:p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(5.9.2)</w:t>
            </w:r>
          </w:p>
        </w:tc>
        <w:tc>
          <w:tcPr>
            <w:tcW w:w="11482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Wording updated to ensure consistency within main body of document</w:t>
            </w:r>
          </w:p>
        </w:tc>
      </w:tr>
      <w:tr w:rsidR="00794187" w:rsidRPr="00794187" w:rsidTr="00794187">
        <w:tc>
          <w:tcPr>
            <w:tcW w:w="1101" w:type="dxa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126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Appendix C</w:t>
            </w:r>
          </w:p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(6.2.1)</w:t>
            </w:r>
          </w:p>
        </w:tc>
        <w:tc>
          <w:tcPr>
            <w:tcW w:w="11482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Wording updated to ensure consistency within main body of document</w:t>
            </w:r>
          </w:p>
        </w:tc>
      </w:tr>
      <w:tr w:rsidR="00794187" w:rsidRPr="00794187" w:rsidTr="00794187">
        <w:tc>
          <w:tcPr>
            <w:tcW w:w="1101" w:type="dxa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65 -67</w:t>
            </w:r>
          </w:p>
        </w:tc>
        <w:tc>
          <w:tcPr>
            <w:tcW w:w="2126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Appendix H</w:t>
            </w:r>
          </w:p>
        </w:tc>
        <w:tc>
          <w:tcPr>
            <w:tcW w:w="11482" w:type="dxa"/>
            <w:gridSpan w:val="2"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 xml:space="preserve">Scheme of delegation updated to ensure consistency within main body of document </w:t>
            </w:r>
          </w:p>
        </w:tc>
      </w:tr>
      <w:tr w:rsidR="00794187" w:rsidRPr="00794187" w:rsidTr="00794187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7" w:rsidRPr="00794187" w:rsidRDefault="00794187" w:rsidP="007941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4187">
              <w:rPr>
                <w:rFonts w:ascii="Arial" w:hAnsi="Arial" w:cs="Arial"/>
                <w:bCs/>
                <w:sz w:val="22"/>
                <w:szCs w:val="22"/>
              </w:rPr>
              <w:t>The final draft is embedded below with track changes</w:t>
            </w:r>
          </w:p>
          <w:bookmarkStart w:id="4" w:name="_MON_1492863975"/>
          <w:bookmarkEnd w:id="4"/>
          <w:bookmarkStart w:id="5" w:name="_MON_1492864950"/>
          <w:bookmarkEnd w:id="5"/>
          <w:p w:rsidR="00794187" w:rsidRPr="00794187" w:rsidRDefault="00794187" w:rsidP="007941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94187">
              <w:rPr>
                <w:rFonts w:ascii="Arial" w:eastAsia="Times New Roman" w:hAnsi="Arial" w:cs="Arial"/>
                <w:bCs/>
                <w:sz w:val="22"/>
                <w:szCs w:val="22"/>
                <w:lang w:eastAsia="en-GB"/>
              </w:rP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pt" o:ole="">
                  <v:imagedata r:id="rId11" o:title=""/>
                </v:shape>
                <o:OLEObject Type="Embed" ProgID="Word.Document.8" ShapeID="_x0000_i1025" DrawAspect="Icon" ObjectID="_1493034639" r:id="rId12">
                  <o:FieldCodes>\s</o:FieldCodes>
                </o:OLEObject>
              </w:object>
            </w:r>
          </w:p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187" w:rsidRPr="00794187" w:rsidTr="00794187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In addition to the above, various minor formatting changes have been made to the constitution. Please refer to the table below for breakdown of these changes.</w:t>
            </w:r>
          </w:p>
        </w:tc>
      </w:tr>
      <w:tr w:rsidR="00794187" w:rsidRPr="00794187" w:rsidTr="00794187">
        <w:trPr>
          <w:gridAfter w:val="1"/>
          <w:wAfter w:w="8364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 xml:space="preserve">Section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Amendment</w:t>
            </w:r>
          </w:p>
        </w:tc>
      </w:tr>
      <w:tr w:rsidR="00794187" w:rsidRPr="00794187" w:rsidTr="00794187">
        <w:trPr>
          <w:gridAfter w:val="1"/>
          <w:wAfter w:w="8364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 xml:space="preserve">Contents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Page numbers updated</w:t>
            </w:r>
          </w:p>
        </w:tc>
      </w:tr>
      <w:tr w:rsidR="00794187" w:rsidRPr="00794187" w:rsidTr="00794187">
        <w:trPr>
          <w:gridAfter w:val="1"/>
          <w:wAfter w:w="8364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6.7.3 &amp; 6.8.2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7" w:rsidRPr="00794187" w:rsidRDefault="00794187" w:rsidP="00794187">
            <w:pPr>
              <w:rPr>
                <w:rFonts w:ascii="Arial" w:hAnsi="Arial" w:cs="Arial"/>
                <w:sz w:val="22"/>
                <w:szCs w:val="22"/>
              </w:rPr>
            </w:pPr>
            <w:r w:rsidRPr="00794187">
              <w:rPr>
                <w:rFonts w:ascii="Arial" w:hAnsi="Arial" w:cs="Arial"/>
                <w:sz w:val="22"/>
                <w:szCs w:val="22"/>
              </w:rPr>
              <w:t>Numbers did not match committee members – updated accordingly</w:t>
            </w:r>
          </w:p>
        </w:tc>
      </w:tr>
    </w:tbl>
    <w:p w:rsidR="00240FFB" w:rsidRPr="00240FFB" w:rsidRDefault="00240FFB" w:rsidP="00240FFB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794187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87" w:rsidRDefault="00794187">
      <w:r>
        <w:separator/>
      </w:r>
    </w:p>
  </w:endnote>
  <w:endnote w:type="continuationSeparator" w:id="0">
    <w:p w:rsidR="00794187" w:rsidRDefault="0079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87" w:rsidRDefault="00794187" w:rsidP="00DC3218">
    <w:pPr>
      <w:pStyle w:val="Footer"/>
      <w:jc w:val="right"/>
    </w:pPr>
    <w:r>
      <w:rPr>
        <w:noProof/>
      </w:rPr>
      <w:drawing>
        <wp:inline distT="0" distB="0" distL="0" distR="0" wp14:anchorId="4E228182" wp14:editId="1CCF34FE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30A2CE" wp14:editId="68E28AF5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87" w:rsidRPr="00336122" w:rsidRDefault="00794187" w:rsidP="00794187">
    <w:pPr>
      <w:tabs>
        <w:tab w:val="center" w:pos="4513"/>
        <w:tab w:val="right" w:pos="9026"/>
      </w:tabs>
      <w:rPr>
        <w:rFonts w:ascii="Arial" w:eastAsia="Calibri" w:hAnsi="Arial" w:cs="Arial"/>
        <w:sz w:val="20"/>
        <w:szCs w:val="20"/>
      </w:rPr>
    </w:pPr>
    <w:r w:rsidRPr="00336122">
      <w:rPr>
        <w:rFonts w:ascii="Arial" w:eastAsia="Calibri" w:hAnsi="Arial" w:cs="Arial"/>
        <w:b/>
        <w:bCs/>
        <w:sz w:val="20"/>
        <w:szCs w:val="20"/>
      </w:rPr>
      <w:t xml:space="preserve">NHS North East Lincolnshire Clinical Commissioning Group’s Constitution </w:t>
    </w:r>
    <w:r w:rsidRPr="00336122">
      <w:rPr>
        <w:rFonts w:ascii="Arial" w:eastAsia="Calibri" w:hAnsi="Arial" w:cs="Arial"/>
        <w:sz w:val="20"/>
        <w:szCs w:val="20"/>
      </w:rPr>
      <w:tab/>
    </w:r>
  </w:p>
  <w:p w:rsidR="00794187" w:rsidRDefault="00794187" w:rsidP="00794187">
    <w:pPr>
      <w:pStyle w:val="Footer"/>
      <w:rPr>
        <w:rFonts w:ascii="Arial" w:eastAsia="Calibri" w:hAnsi="Arial" w:cs="Arial"/>
        <w:sz w:val="20"/>
        <w:szCs w:val="20"/>
      </w:rPr>
    </w:pPr>
    <w:r w:rsidRPr="00336122">
      <w:rPr>
        <w:rFonts w:ascii="Arial" w:eastAsia="Calibri" w:hAnsi="Arial" w:cs="Arial"/>
        <w:sz w:val="20"/>
        <w:szCs w:val="20"/>
      </w:rPr>
      <w:t xml:space="preserve">NHS England Effective Date: </w:t>
    </w:r>
    <w:r w:rsidR="004B6CEA">
      <w:rPr>
        <w:rFonts w:ascii="Arial" w:eastAsia="Calibri" w:hAnsi="Arial" w:cs="Arial"/>
        <w:sz w:val="20"/>
        <w:szCs w:val="20"/>
      </w:rPr>
      <w:t>June</w:t>
    </w:r>
    <w:r w:rsidRPr="00336122">
      <w:rPr>
        <w:rFonts w:ascii="Arial" w:eastAsia="Calibri" w:hAnsi="Arial" w:cs="Arial"/>
        <w:sz w:val="20"/>
        <w:szCs w:val="20"/>
      </w:rPr>
      <w:t xml:space="preserve"> 2015</w:t>
    </w:r>
  </w:p>
  <w:p w:rsidR="00794187" w:rsidRDefault="00794187" w:rsidP="00794187">
    <w:pPr>
      <w:pStyle w:val="Footer"/>
    </w:pPr>
    <w:r>
      <w:rPr>
        <w:rFonts w:ascii="Arial" w:eastAsia="Calibri" w:hAnsi="Arial" w:cs="Arial"/>
        <w:sz w:val="20"/>
        <w:szCs w:val="20"/>
      </w:rPr>
      <w:t xml:space="preserve">Additional changes </w:t>
    </w:r>
    <w:r>
      <w:rPr>
        <w:rFonts w:ascii="Arial" w:eastAsia="Calibri" w:hAnsi="Arial" w:cs="Arial"/>
        <w:sz w:val="20"/>
        <w:szCs w:val="20"/>
      </w:rPr>
      <w:fldChar w:fldCharType="begin"/>
    </w:r>
    <w:r>
      <w:rPr>
        <w:rFonts w:ascii="Arial" w:eastAsia="Calibri" w:hAnsi="Arial" w:cs="Arial"/>
        <w:sz w:val="20"/>
        <w:szCs w:val="20"/>
      </w:rPr>
      <w:instrText xml:space="preserve"> DATE \@ "dd/MM/yyyy" </w:instrText>
    </w:r>
    <w:r>
      <w:rPr>
        <w:rFonts w:ascii="Arial" w:eastAsia="Calibri" w:hAnsi="Arial" w:cs="Arial"/>
        <w:sz w:val="20"/>
        <w:szCs w:val="20"/>
      </w:rPr>
      <w:fldChar w:fldCharType="separate"/>
    </w:r>
    <w:r w:rsidR="009A7A7B">
      <w:rPr>
        <w:rFonts w:ascii="Arial" w:eastAsia="Calibri" w:hAnsi="Arial" w:cs="Arial"/>
        <w:noProof/>
        <w:sz w:val="20"/>
        <w:szCs w:val="20"/>
      </w:rPr>
      <w:t>13/05/2015</w:t>
    </w:r>
    <w:r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87" w:rsidRDefault="00794187">
      <w:r>
        <w:separator/>
      </w:r>
    </w:p>
  </w:footnote>
  <w:footnote w:type="continuationSeparator" w:id="0">
    <w:p w:rsidR="00794187" w:rsidRDefault="0079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D0EFA"/>
    <w:multiLevelType w:val="hybridMultilevel"/>
    <w:tmpl w:val="8DD6EC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6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9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3"/>
  </w:num>
  <w:num w:numId="5">
    <w:abstractNumId w:val="16"/>
  </w:num>
  <w:num w:numId="6">
    <w:abstractNumId w:val="21"/>
  </w:num>
  <w:num w:numId="7">
    <w:abstractNumId w:val="3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  <w:num w:numId="19">
    <w:abstractNumId w:val="22"/>
  </w:num>
  <w:num w:numId="20">
    <w:abstractNumId w:val="7"/>
  </w:num>
  <w:num w:numId="21">
    <w:abstractNumId w:val="6"/>
  </w:num>
  <w:num w:numId="22">
    <w:abstractNumId w:val="11"/>
  </w:num>
  <w:num w:numId="23">
    <w:abstractNumId w:val="4"/>
  </w:num>
  <w:num w:numId="2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B5472"/>
    <w:rsid w:val="000C440F"/>
    <w:rsid w:val="000E4269"/>
    <w:rsid w:val="000F4084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C560F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0FFB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B6CEA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0D73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04C6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187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542F2"/>
    <w:rsid w:val="00960460"/>
    <w:rsid w:val="00961032"/>
    <w:rsid w:val="009615DA"/>
    <w:rsid w:val="009646FA"/>
    <w:rsid w:val="00965126"/>
    <w:rsid w:val="0097160E"/>
    <w:rsid w:val="00975B74"/>
    <w:rsid w:val="009846C1"/>
    <w:rsid w:val="00995D16"/>
    <w:rsid w:val="009A0C1E"/>
    <w:rsid w:val="009A7A7B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1B1C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40F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94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40F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94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3234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Helen Askham</cp:lastModifiedBy>
  <cp:revision>2</cp:revision>
  <cp:lastPrinted>2011-06-01T15:50:00Z</cp:lastPrinted>
  <dcterms:created xsi:type="dcterms:W3CDTF">2015-05-13T14:04:00Z</dcterms:created>
  <dcterms:modified xsi:type="dcterms:W3CDTF">2015-05-13T14:04:00Z</dcterms:modified>
</cp:coreProperties>
</file>