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B57744"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1F19587D" wp14:editId="2A6485AF">
                <wp:simplePos x="0" y="0"/>
                <wp:positionH relativeFrom="column">
                  <wp:posOffset>-114300</wp:posOffset>
                </wp:positionH>
                <wp:positionV relativeFrom="paragraph">
                  <wp:posOffset>300990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041" w:rsidRPr="00DD7564" w:rsidRDefault="00780041" w:rsidP="00DD689C">
                            <w:pPr>
                              <w:rPr>
                                <w:rFonts w:ascii="Arial" w:hAnsi="Arial" w:cs="Arial"/>
                                <w:sz w:val="32"/>
                                <w:szCs w:val="32"/>
                              </w:rPr>
                            </w:pPr>
                            <w:r>
                              <w:rPr>
                                <w:rFonts w:ascii="Arial" w:hAnsi="Arial" w:cs="Arial"/>
                                <w:sz w:val="32"/>
                                <w:szCs w:val="32"/>
                              </w:rPr>
                              <w:t>Attachment 06</w:t>
                            </w:r>
                          </w:p>
                          <w:p w:rsidR="00780041" w:rsidRDefault="0078004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3.7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fIZ0K3gAAAAoBAAAPAAAAZHJzL2Rvd25yZXYueG1sTI/BTsMwDIbvSLxDZCQuaEs7wjpK&#10;0wmQQFw39gBuk7UVjVM12dq9PebEjrY//f7+Yju7XpztGDpPGtJlAsJS7U1HjYbD98diAyJEJIO9&#10;J6vhYgNsy9ubAnPjJ9rZ8z42gkMo5KihjXHIpQx1ax2GpR8s8e3oR4eRx7GRZsSJw10vV0mylg47&#10;4g8tDva9tfXP/uQ0HL+mh6fnqfqMh2yn1m/YZZW/aH1/N7++gIh2jv8w/OmzOpTsVPkTmSB6DYt0&#10;w12iBpUpEAw8qhUvKiaTVIEsC3ldofwFAAD//wMAUEsBAi0AFAAGAAgAAAAhALaDOJL+AAAA4QEA&#10;ABMAAAAAAAAAAAAAAAAAAAAAAFtDb250ZW50X1R5cGVzXS54bWxQSwECLQAUAAYACAAAACEAOP0h&#10;/9YAAACUAQAACwAAAAAAAAAAAAAAAAAvAQAAX3JlbHMvLnJlbHNQSwECLQAUAAYACAAAACEAgh68&#10;sYMCAAAPBQAADgAAAAAAAAAAAAAAAAAuAgAAZHJzL2Uyb0RvYy54bWxQSwECLQAUAAYACAAAACEA&#10;XyGdCt4AAAAK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B57744">
                        <w:rPr>
                          <w:rFonts w:ascii="Arial" w:hAnsi="Arial" w:cs="Arial"/>
                          <w:sz w:val="32"/>
                          <w:szCs w:val="32"/>
                        </w:rPr>
                        <w:t>06</w:t>
                      </w:r>
                    </w:p>
                    <w:p w:rsidR="005F0C84" w:rsidRDefault="005F0C84" w:rsidP="00DD689C">
                      <w:pPr>
                        <w:rPr>
                          <w:sz w:val="36"/>
                        </w:rPr>
                      </w:pPr>
                    </w:p>
                  </w:txbxContent>
                </v:textbox>
              </v:shape>
            </w:pict>
          </mc:Fallback>
        </mc:AlternateContent>
      </w:r>
      <w:r w:rsidR="001D78A2">
        <w:rPr>
          <w:noProof/>
        </w:rPr>
        <w:drawing>
          <wp:inline distT="0" distB="0" distL="0" distR="0" wp14:anchorId="6B2AD025" wp14:editId="64800A55">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5F11AA" w:rsidP="00BA763E">
      <w:pPr>
        <w:pStyle w:val="Header"/>
        <w:jc w:val="right"/>
        <w:rPr>
          <w:b/>
          <w:color w:val="365F91"/>
        </w:rPr>
      </w:pPr>
    </w:p>
    <w:tbl>
      <w:tblPr>
        <w:tblpPr w:leftFromText="180" w:rightFromText="180" w:vertAnchor="text" w:horzAnchor="margin" w:tblpY="60"/>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B57744" w:rsidRPr="00752FD6" w:rsidTr="00B57744">
        <w:tc>
          <w:tcPr>
            <w:tcW w:w="2028" w:type="dxa"/>
            <w:shd w:val="clear" w:color="auto" w:fill="auto"/>
          </w:tcPr>
          <w:p w:rsidR="00B57744" w:rsidRPr="00752FD6" w:rsidRDefault="00B57744" w:rsidP="00B57744">
            <w:pPr>
              <w:rPr>
                <w:rFonts w:ascii="Arial" w:hAnsi="Arial" w:cs="Arial"/>
                <w:b/>
                <w:bCs/>
                <w:sz w:val="22"/>
                <w:szCs w:val="22"/>
              </w:rPr>
            </w:pPr>
          </w:p>
        </w:tc>
        <w:tc>
          <w:tcPr>
            <w:tcW w:w="7861" w:type="dxa"/>
            <w:shd w:val="clear" w:color="auto" w:fill="auto"/>
          </w:tcPr>
          <w:p w:rsidR="00B57744" w:rsidRPr="00752FD6" w:rsidRDefault="00B57744" w:rsidP="00B57744">
            <w:pPr>
              <w:rPr>
                <w:rFonts w:ascii="Arial" w:hAnsi="Arial" w:cs="Arial"/>
                <w:b/>
                <w:bCs/>
                <w:sz w:val="22"/>
                <w:szCs w:val="22"/>
              </w:rPr>
            </w:pPr>
          </w:p>
        </w:tc>
      </w:tr>
      <w:tr w:rsidR="00B57744" w:rsidRPr="00752FD6" w:rsidTr="00B57744">
        <w:tc>
          <w:tcPr>
            <w:tcW w:w="2028" w:type="dxa"/>
            <w:shd w:val="clear" w:color="auto" w:fill="auto"/>
          </w:tcPr>
          <w:p w:rsidR="00B57744" w:rsidRPr="00752FD6" w:rsidRDefault="00B57744" w:rsidP="00B57744">
            <w:pPr>
              <w:rPr>
                <w:rFonts w:ascii="Arial" w:hAnsi="Arial" w:cs="Arial"/>
                <w:b/>
                <w:bCs/>
                <w:sz w:val="22"/>
                <w:szCs w:val="22"/>
              </w:rPr>
            </w:pPr>
            <w:r w:rsidRPr="00752FD6">
              <w:rPr>
                <w:rFonts w:ascii="Arial" w:hAnsi="Arial" w:cs="Arial"/>
                <w:b/>
                <w:bCs/>
                <w:sz w:val="22"/>
                <w:szCs w:val="22"/>
              </w:rPr>
              <w:t>Report to:</w:t>
            </w:r>
          </w:p>
          <w:p w:rsidR="00B57744" w:rsidRPr="00752FD6" w:rsidRDefault="00B57744" w:rsidP="00B57744">
            <w:pPr>
              <w:rPr>
                <w:rFonts w:ascii="Arial" w:hAnsi="Arial" w:cs="Arial"/>
                <w:b/>
                <w:bCs/>
                <w:sz w:val="22"/>
                <w:szCs w:val="22"/>
              </w:rPr>
            </w:pPr>
          </w:p>
        </w:tc>
        <w:tc>
          <w:tcPr>
            <w:tcW w:w="7861" w:type="dxa"/>
            <w:shd w:val="clear" w:color="auto" w:fill="auto"/>
          </w:tcPr>
          <w:p w:rsidR="00B57744" w:rsidRPr="00752FD6" w:rsidRDefault="00B57744" w:rsidP="00B57744">
            <w:pPr>
              <w:rPr>
                <w:rFonts w:ascii="Arial" w:hAnsi="Arial" w:cs="Arial"/>
                <w:bCs/>
                <w:sz w:val="22"/>
                <w:szCs w:val="22"/>
              </w:rPr>
            </w:pPr>
            <w:r>
              <w:rPr>
                <w:rFonts w:ascii="Arial" w:hAnsi="Arial" w:cs="Arial"/>
                <w:bCs/>
                <w:sz w:val="22"/>
                <w:szCs w:val="22"/>
              </w:rPr>
              <w:t>NEL CCG Partnership Board</w:t>
            </w:r>
          </w:p>
        </w:tc>
      </w:tr>
      <w:tr w:rsidR="00B57744" w:rsidRPr="00752FD6" w:rsidTr="00B57744">
        <w:tc>
          <w:tcPr>
            <w:tcW w:w="2028" w:type="dxa"/>
            <w:shd w:val="clear" w:color="auto" w:fill="auto"/>
          </w:tcPr>
          <w:p w:rsidR="00B57744" w:rsidRPr="00752FD6" w:rsidRDefault="00B57744" w:rsidP="00B57744">
            <w:pPr>
              <w:rPr>
                <w:rFonts w:ascii="Arial" w:hAnsi="Arial" w:cs="Arial"/>
                <w:b/>
                <w:bCs/>
                <w:sz w:val="22"/>
                <w:szCs w:val="22"/>
              </w:rPr>
            </w:pPr>
            <w:r w:rsidRPr="00752FD6">
              <w:rPr>
                <w:rFonts w:ascii="Arial" w:hAnsi="Arial" w:cs="Arial"/>
                <w:b/>
                <w:bCs/>
                <w:sz w:val="22"/>
                <w:szCs w:val="22"/>
              </w:rPr>
              <w:t>Presented by:</w:t>
            </w:r>
          </w:p>
          <w:p w:rsidR="00B57744" w:rsidRPr="00752FD6" w:rsidRDefault="00B57744" w:rsidP="00B57744">
            <w:pPr>
              <w:rPr>
                <w:rFonts w:ascii="Arial" w:hAnsi="Arial" w:cs="Arial"/>
                <w:b/>
                <w:bCs/>
                <w:sz w:val="22"/>
                <w:szCs w:val="22"/>
              </w:rPr>
            </w:pPr>
          </w:p>
        </w:tc>
        <w:tc>
          <w:tcPr>
            <w:tcW w:w="7861" w:type="dxa"/>
            <w:shd w:val="clear" w:color="auto" w:fill="auto"/>
          </w:tcPr>
          <w:p w:rsidR="00B57744" w:rsidRPr="00752FD6" w:rsidRDefault="00B57744" w:rsidP="00B57744">
            <w:pPr>
              <w:rPr>
                <w:rFonts w:ascii="Arial" w:hAnsi="Arial" w:cs="Arial"/>
                <w:bCs/>
                <w:sz w:val="22"/>
                <w:szCs w:val="22"/>
              </w:rPr>
            </w:pPr>
            <w:r>
              <w:rPr>
                <w:rFonts w:ascii="Arial" w:hAnsi="Arial" w:cs="Arial"/>
                <w:bCs/>
                <w:sz w:val="22"/>
                <w:szCs w:val="22"/>
              </w:rPr>
              <w:t>Cathy Kennedy</w:t>
            </w:r>
          </w:p>
        </w:tc>
      </w:tr>
      <w:tr w:rsidR="00B57744" w:rsidRPr="00752FD6" w:rsidTr="00B57744">
        <w:tc>
          <w:tcPr>
            <w:tcW w:w="2028" w:type="dxa"/>
            <w:shd w:val="clear" w:color="auto" w:fill="auto"/>
          </w:tcPr>
          <w:p w:rsidR="00B57744" w:rsidRPr="00752FD6" w:rsidRDefault="00B57744" w:rsidP="00B57744">
            <w:pPr>
              <w:rPr>
                <w:rFonts w:ascii="Arial" w:hAnsi="Arial" w:cs="Arial"/>
                <w:b/>
                <w:bCs/>
                <w:sz w:val="22"/>
                <w:szCs w:val="22"/>
              </w:rPr>
            </w:pPr>
            <w:r w:rsidRPr="00752FD6">
              <w:rPr>
                <w:rFonts w:ascii="Arial" w:hAnsi="Arial" w:cs="Arial"/>
                <w:b/>
                <w:bCs/>
                <w:sz w:val="22"/>
                <w:szCs w:val="22"/>
              </w:rPr>
              <w:t>Date of Meeting:</w:t>
            </w:r>
          </w:p>
          <w:p w:rsidR="00B57744" w:rsidRPr="00752FD6" w:rsidRDefault="00B57744" w:rsidP="00B57744">
            <w:pPr>
              <w:rPr>
                <w:rFonts w:ascii="Arial" w:hAnsi="Arial" w:cs="Arial"/>
                <w:b/>
                <w:bCs/>
                <w:sz w:val="22"/>
                <w:szCs w:val="22"/>
              </w:rPr>
            </w:pPr>
          </w:p>
        </w:tc>
        <w:tc>
          <w:tcPr>
            <w:tcW w:w="7861" w:type="dxa"/>
            <w:shd w:val="clear" w:color="auto" w:fill="auto"/>
          </w:tcPr>
          <w:p w:rsidR="00B57744" w:rsidRPr="00752FD6" w:rsidRDefault="00B57744" w:rsidP="00B57744">
            <w:pPr>
              <w:rPr>
                <w:rFonts w:ascii="Arial" w:hAnsi="Arial" w:cs="Arial"/>
                <w:bCs/>
                <w:sz w:val="22"/>
                <w:szCs w:val="22"/>
              </w:rPr>
            </w:pPr>
            <w:r>
              <w:rPr>
                <w:rFonts w:ascii="Arial" w:hAnsi="Arial" w:cs="Arial"/>
                <w:bCs/>
                <w:sz w:val="22"/>
                <w:szCs w:val="22"/>
              </w:rPr>
              <w:t>15 January 2015</w:t>
            </w:r>
          </w:p>
        </w:tc>
      </w:tr>
      <w:tr w:rsidR="00B57744" w:rsidRPr="00752FD6" w:rsidTr="00B57744">
        <w:trPr>
          <w:trHeight w:val="438"/>
        </w:trPr>
        <w:tc>
          <w:tcPr>
            <w:tcW w:w="2028" w:type="dxa"/>
            <w:shd w:val="clear" w:color="auto" w:fill="auto"/>
          </w:tcPr>
          <w:p w:rsidR="00B57744" w:rsidRPr="00752FD6" w:rsidRDefault="00B57744" w:rsidP="00B57744">
            <w:pPr>
              <w:rPr>
                <w:rFonts w:ascii="Arial" w:hAnsi="Arial" w:cs="Arial"/>
                <w:b/>
                <w:bCs/>
                <w:sz w:val="22"/>
                <w:szCs w:val="22"/>
              </w:rPr>
            </w:pPr>
            <w:r w:rsidRPr="00752FD6">
              <w:rPr>
                <w:rFonts w:ascii="Arial" w:hAnsi="Arial" w:cs="Arial"/>
                <w:b/>
                <w:bCs/>
                <w:sz w:val="22"/>
                <w:szCs w:val="22"/>
              </w:rPr>
              <w:t>Subject:</w:t>
            </w:r>
          </w:p>
          <w:p w:rsidR="00B57744" w:rsidRPr="00752FD6" w:rsidRDefault="00B57744" w:rsidP="00B57744">
            <w:pPr>
              <w:rPr>
                <w:rFonts w:ascii="Arial" w:hAnsi="Arial" w:cs="Arial"/>
                <w:b/>
                <w:bCs/>
                <w:sz w:val="22"/>
                <w:szCs w:val="22"/>
              </w:rPr>
            </w:pPr>
          </w:p>
        </w:tc>
        <w:tc>
          <w:tcPr>
            <w:tcW w:w="7861" w:type="dxa"/>
            <w:shd w:val="clear" w:color="auto" w:fill="auto"/>
          </w:tcPr>
          <w:p w:rsidR="00B57744" w:rsidRPr="00752FD6" w:rsidRDefault="00B57744" w:rsidP="00B57744">
            <w:pPr>
              <w:rPr>
                <w:rFonts w:ascii="Arial" w:hAnsi="Arial" w:cs="Arial"/>
                <w:bCs/>
                <w:sz w:val="22"/>
                <w:szCs w:val="22"/>
              </w:rPr>
            </w:pPr>
            <w:r>
              <w:rPr>
                <w:rFonts w:ascii="Arial" w:hAnsi="Arial" w:cs="Arial"/>
                <w:bCs/>
                <w:sz w:val="22"/>
                <w:szCs w:val="22"/>
              </w:rPr>
              <w:t>Primary Medical Services Co-commissioning</w:t>
            </w:r>
          </w:p>
        </w:tc>
      </w:tr>
      <w:tr w:rsidR="00B57744" w:rsidRPr="00752FD6" w:rsidTr="00B57744">
        <w:tc>
          <w:tcPr>
            <w:tcW w:w="2028" w:type="dxa"/>
            <w:shd w:val="clear" w:color="auto" w:fill="auto"/>
          </w:tcPr>
          <w:p w:rsidR="00B57744" w:rsidRPr="00752FD6" w:rsidRDefault="00B57744" w:rsidP="00B57744">
            <w:pPr>
              <w:rPr>
                <w:rFonts w:ascii="Arial" w:hAnsi="Arial" w:cs="Arial"/>
                <w:b/>
                <w:bCs/>
                <w:sz w:val="22"/>
                <w:szCs w:val="22"/>
              </w:rPr>
            </w:pPr>
            <w:r w:rsidRPr="00752FD6">
              <w:rPr>
                <w:rFonts w:ascii="Arial" w:hAnsi="Arial" w:cs="Arial"/>
                <w:b/>
                <w:bCs/>
                <w:sz w:val="22"/>
                <w:szCs w:val="22"/>
              </w:rPr>
              <w:t>Status:</w:t>
            </w:r>
          </w:p>
          <w:p w:rsidR="00B57744" w:rsidRPr="00752FD6" w:rsidRDefault="00B57744" w:rsidP="00B57744">
            <w:pPr>
              <w:rPr>
                <w:rFonts w:ascii="Arial" w:hAnsi="Arial" w:cs="Arial"/>
                <w:b/>
                <w:bCs/>
                <w:sz w:val="22"/>
                <w:szCs w:val="22"/>
              </w:rPr>
            </w:pPr>
          </w:p>
        </w:tc>
        <w:bookmarkStart w:id="0" w:name="Check4"/>
        <w:tc>
          <w:tcPr>
            <w:tcW w:w="7861" w:type="dxa"/>
            <w:shd w:val="clear" w:color="auto" w:fill="auto"/>
          </w:tcPr>
          <w:p w:rsidR="00B57744" w:rsidRPr="00752FD6" w:rsidRDefault="00B57744" w:rsidP="00B57744">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Pr="00752FD6">
              <w:rPr>
                <w:rFonts w:ascii="Arial" w:hAnsi="Arial" w:cs="Arial"/>
                <w:sz w:val="22"/>
                <w:szCs w:val="22"/>
              </w:rPr>
              <w:t xml:space="preserve"> OPEN</w:t>
            </w:r>
            <w:r w:rsidRPr="00752FD6">
              <w:rPr>
                <w:rFonts w:ascii="Arial" w:hAnsi="Arial" w:cs="Arial"/>
                <w:sz w:val="22"/>
                <w:szCs w:val="22"/>
              </w:rPr>
              <w:tab/>
              <w:t xml:space="preserve">           </w:t>
            </w:r>
            <w:r w:rsidRPr="00752FD6">
              <w:rPr>
                <w:rFonts w:ascii="Arial" w:hAnsi="Arial" w:cs="Arial"/>
                <w:sz w:val="22"/>
                <w:szCs w:val="22"/>
              </w:rPr>
              <w:fldChar w:fldCharType="begin">
                <w:ffData>
                  <w:name w:val="Check8"/>
                  <w:enabled/>
                  <w:calcOnExit w:val="0"/>
                  <w:checkBox>
                    <w:sizeAuto/>
                    <w:default w:val="0"/>
                  </w:checkBox>
                </w:ffData>
              </w:fldChar>
            </w:r>
            <w:bookmarkStart w:id="1" w:name="Check8"/>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bookmarkEnd w:id="1"/>
            <w:r w:rsidRPr="00752FD6">
              <w:rPr>
                <w:rFonts w:ascii="Arial" w:hAnsi="Arial" w:cs="Arial"/>
                <w:sz w:val="22"/>
                <w:szCs w:val="22"/>
              </w:rPr>
              <w:t xml:space="preserve"> CLOSED</w:t>
            </w:r>
          </w:p>
        </w:tc>
      </w:tr>
      <w:tr w:rsidR="00B57744" w:rsidRPr="00752FD6" w:rsidTr="00B57744">
        <w:tc>
          <w:tcPr>
            <w:tcW w:w="2028" w:type="dxa"/>
            <w:shd w:val="clear" w:color="auto" w:fill="auto"/>
          </w:tcPr>
          <w:p w:rsidR="00B57744" w:rsidRPr="00752FD6" w:rsidRDefault="00B57744" w:rsidP="00B57744">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B57744" w:rsidRPr="00752FD6" w:rsidRDefault="00B57744" w:rsidP="00B5774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3D09CB" w:rsidRDefault="003D09CB" w:rsidP="009306C6">
            <w:pPr>
              <w:rPr>
                <w:rFonts w:ascii="Arial" w:hAnsi="Arial" w:cs="Arial"/>
                <w:bCs/>
                <w:sz w:val="22"/>
                <w:szCs w:val="22"/>
              </w:rPr>
            </w:pPr>
            <w:r>
              <w:rPr>
                <w:rFonts w:ascii="Arial" w:hAnsi="Arial" w:cs="Arial"/>
                <w:bCs/>
                <w:sz w:val="22"/>
                <w:szCs w:val="22"/>
              </w:rPr>
              <w:t>This report is brought to the board in order to:</w:t>
            </w:r>
          </w:p>
          <w:p w:rsidR="003D09CB" w:rsidRDefault="003D09CB" w:rsidP="003D09CB">
            <w:pPr>
              <w:pStyle w:val="ListParagraph"/>
              <w:numPr>
                <w:ilvl w:val="0"/>
                <w:numId w:val="24"/>
              </w:numPr>
              <w:rPr>
                <w:rFonts w:ascii="Arial" w:hAnsi="Arial" w:cs="Arial"/>
                <w:bCs/>
                <w:sz w:val="22"/>
                <w:szCs w:val="22"/>
              </w:rPr>
            </w:pPr>
            <w:r w:rsidRPr="003D09CB">
              <w:rPr>
                <w:rFonts w:ascii="Arial" w:hAnsi="Arial" w:cs="Arial"/>
                <w:bCs/>
                <w:sz w:val="22"/>
                <w:szCs w:val="22"/>
              </w:rPr>
              <w:t>Notify the board of the</w:t>
            </w:r>
            <w:r>
              <w:rPr>
                <w:rFonts w:ascii="Arial" w:hAnsi="Arial" w:cs="Arial"/>
                <w:bCs/>
                <w:sz w:val="22"/>
                <w:szCs w:val="22"/>
              </w:rPr>
              <w:t xml:space="preserve"> decision taken under</w:t>
            </w:r>
            <w:r w:rsidRPr="003D09CB">
              <w:rPr>
                <w:rFonts w:ascii="Arial" w:hAnsi="Arial" w:cs="Arial"/>
                <w:bCs/>
                <w:sz w:val="22"/>
                <w:szCs w:val="22"/>
              </w:rPr>
              <w:t xml:space="preserve"> Chairman’s action taken on 23</w:t>
            </w:r>
            <w:r w:rsidRPr="003D09CB">
              <w:rPr>
                <w:rFonts w:ascii="Arial" w:hAnsi="Arial" w:cs="Arial"/>
                <w:bCs/>
                <w:sz w:val="22"/>
                <w:szCs w:val="22"/>
                <w:vertAlign w:val="superscript"/>
              </w:rPr>
              <w:t>rd</w:t>
            </w:r>
            <w:r w:rsidRPr="003D09CB">
              <w:rPr>
                <w:rFonts w:ascii="Arial" w:hAnsi="Arial" w:cs="Arial"/>
                <w:bCs/>
                <w:sz w:val="22"/>
                <w:szCs w:val="22"/>
              </w:rPr>
              <w:t xml:space="preserve"> December 2014</w:t>
            </w:r>
          </w:p>
          <w:p w:rsidR="003D09CB" w:rsidRDefault="003D09CB" w:rsidP="003D09CB">
            <w:pPr>
              <w:pStyle w:val="ListParagraph"/>
              <w:numPr>
                <w:ilvl w:val="0"/>
                <w:numId w:val="24"/>
              </w:numPr>
              <w:rPr>
                <w:rFonts w:ascii="Arial" w:hAnsi="Arial" w:cs="Arial"/>
                <w:bCs/>
                <w:sz w:val="22"/>
                <w:szCs w:val="22"/>
              </w:rPr>
            </w:pPr>
            <w:r>
              <w:rPr>
                <w:rFonts w:ascii="Arial" w:hAnsi="Arial" w:cs="Arial"/>
                <w:bCs/>
                <w:sz w:val="22"/>
                <w:szCs w:val="22"/>
              </w:rPr>
              <w:t>Ask the board to consider and comment on the emerging proposals for local arrangements</w:t>
            </w:r>
          </w:p>
          <w:p w:rsidR="003D09CB" w:rsidRPr="003D09CB" w:rsidRDefault="003D09CB" w:rsidP="003D09CB">
            <w:pPr>
              <w:pStyle w:val="ListParagraph"/>
              <w:numPr>
                <w:ilvl w:val="0"/>
                <w:numId w:val="24"/>
              </w:numPr>
              <w:rPr>
                <w:rFonts w:ascii="Arial" w:hAnsi="Arial" w:cs="Arial"/>
                <w:bCs/>
                <w:sz w:val="22"/>
                <w:szCs w:val="22"/>
              </w:rPr>
            </w:pPr>
            <w:r>
              <w:rPr>
                <w:rFonts w:ascii="Arial" w:hAnsi="Arial" w:cs="Arial"/>
                <w:bCs/>
                <w:sz w:val="22"/>
                <w:szCs w:val="22"/>
              </w:rPr>
              <w:t>Agree delegation of authority for finalising and submitting the application</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3D09CB" w:rsidP="003D09CB">
            <w:pPr>
              <w:rPr>
                <w:rFonts w:ascii="Arial" w:hAnsi="Arial" w:cs="Arial"/>
                <w:bCs/>
                <w:sz w:val="22"/>
                <w:szCs w:val="22"/>
              </w:rPr>
            </w:pPr>
            <w:r>
              <w:rPr>
                <w:rFonts w:ascii="Arial" w:hAnsi="Arial" w:cs="Arial"/>
                <w:bCs/>
                <w:sz w:val="22"/>
                <w:szCs w:val="22"/>
              </w:rPr>
              <w:t>The effective commissioning of primary medical services is critical to the delivery of the local service strategy, and in particular the Healthy Lives Healthy Futures programme.</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3D09CB" w:rsidP="00585083">
            <w:pPr>
              <w:jc w:val="both"/>
              <w:rPr>
                <w:rFonts w:ascii="Arial" w:hAnsi="Arial" w:cs="Arial"/>
                <w:bCs/>
                <w:sz w:val="22"/>
                <w:szCs w:val="22"/>
              </w:rPr>
            </w:pPr>
            <w:r>
              <w:rPr>
                <w:rFonts w:ascii="Arial" w:hAnsi="Arial" w:cs="Arial"/>
                <w:bCs/>
                <w:sz w:val="22"/>
                <w:szCs w:val="22"/>
              </w:rPr>
              <w:t>The enclosed papers provide an overview of key risks.</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3D09CB">
        <w:trPr>
          <w:trHeight w:val="1162"/>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3D09CB" w:rsidRDefault="003D09CB" w:rsidP="009306C6">
            <w:pPr>
              <w:rPr>
                <w:rFonts w:ascii="Arial" w:hAnsi="Arial" w:cs="Arial"/>
                <w:b/>
                <w:bCs/>
                <w:sz w:val="22"/>
                <w:szCs w:val="22"/>
              </w:rPr>
            </w:pPr>
          </w:p>
          <w:p w:rsidR="003D09CB" w:rsidRPr="00752FD6" w:rsidRDefault="003D09CB" w:rsidP="009306C6">
            <w:pPr>
              <w:rPr>
                <w:rFonts w:ascii="Arial" w:hAnsi="Arial" w:cs="Arial"/>
                <w:b/>
                <w:bCs/>
                <w:sz w:val="22"/>
                <w:szCs w:val="22"/>
              </w:rPr>
            </w:pPr>
            <w:r>
              <w:rPr>
                <w:rFonts w:ascii="Arial" w:hAnsi="Arial" w:cs="Arial"/>
                <w:b/>
                <w:bCs/>
                <w:sz w:val="22"/>
                <w:szCs w:val="22"/>
              </w:rPr>
              <w:t xml:space="preserve">The board is asked to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Default="003D09CB" w:rsidP="003D09CB">
            <w:pPr>
              <w:pStyle w:val="ListParagraph"/>
              <w:numPr>
                <w:ilvl w:val="0"/>
                <w:numId w:val="25"/>
              </w:numPr>
              <w:rPr>
                <w:rFonts w:ascii="Arial" w:hAnsi="Arial" w:cs="Arial"/>
                <w:bCs/>
                <w:sz w:val="22"/>
                <w:szCs w:val="22"/>
              </w:rPr>
            </w:pPr>
            <w:r>
              <w:rPr>
                <w:rFonts w:ascii="Arial" w:hAnsi="Arial" w:cs="Arial"/>
                <w:bCs/>
                <w:sz w:val="22"/>
                <w:szCs w:val="22"/>
              </w:rPr>
              <w:t>Note and ratify the decision taken by the Chairman on 23</w:t>
            </w:r>
            <w:r w:rsidRPr="003D09CB">
              <w:rPr>
                <w:rFonts w:ascii="Arial" w:hAnsi="Arial" w:cs="Arial"/>
                <w:bCs/>
                <w:sz w:val="22"/>
                <w:szCs w:val="22"/>
                <w:vertAlign w:val="superscript"/>
              </w:rPr>
              <w:t>rd</w:t>
            </w:r>
            <w:r>
              <w:rPr>
                <w:rFonts w:ascii="Arial" w:hAnsi="Arial" w:cs="Arial"/>
                <w:bCs/>
                <w:sz w:val="22"/>
                <w:szCs w:val="22"/>
              </w:rPr>
              <w:t xml:space="preserve"> December 2014 to proceed with Joint (Level 2) co-commissioning arrangements</w:t>
            </w:r>
            <w:r w:rsidR="0008774E">
              <w:rPr>
                <w:rFonts w:ascii="Arial" w:hAnsi="Arial" w:cs="Arial"/>
                <w:bCs/>
                <w:sz w:val="22"/>
                <w:szCs w:val="22"/>
              </w:rPr>
              <w:t xml:space="preserve"> for Primary M</w:t>
            </w:r>
            <w:r>
              <w:rPr>
                <w:rFonts w:ascii="Arial" w:hAnsi="Arial" w:cs="Arial"/>
                <w:bCs/>
                <w:sz w:val="22"/>
                <w:szCs w:val="22"/>
              </w:rPr>
              <w:t>ed</w:t>
            </w:r>
            <w:r w:rsidR="0008774E">
              <w:rPr>
                <w:rFonts w:ascii="Arial" w:hAnsi="Arial" w:cs="Arial"/>
                <w:bCs/>
                <w:sz w:val="22"/>
                <w:szCs w:val="22"/>
              </w:rPr>
              <w:t>ical Services from</w:t>
            </w:r>
            <w:r>
              <w:rPr>
                <w:rFonts w:ascii="Arial" w:hAnsi="Arial" w:cs="Arial"/>
                <w:bCs/>
                <w:sz w:val="22"/>
                <w:szCs w:val="22"/>
              </w:rPr>
              <w:t xml:space="preserve"> 1 April 2015</w:t>
            </w:r>
          </w:p>
          <w:p w:rsidR="003D09CB" w:rsidRDefault="003D09CB" w:rsidP="003D09CB">
            <w:pPr>
              <w:pStyle w:val="ListParagraph"/>
              <w:numPr>
                <w:ilvl w:val="0"/>
                <w:numId w:val="25"/>
              </w:numPr>
              <w:rPr>
                <w:rFonts w:ascii="Arial" w:hAnsi="Arial" w:cs="Arial"/>
                <w:bCs/>
                <w:sz w:val="22"/>
                <w:szCs w:val="22"/>
              </w:rPr>
            </w:pPr>
            <w:r>
              <w:rPr>
                <w:rFonts w:ascii="Arial" w:hAnsi="Arial" w:cs="Arial"/>
                <w:bCs/>
                <w:sz w:val="22"/>
                <w:szCs w:val="22"/>
              </w:rPr>
              <w:t>Consider and comment on the emerging proposals</w:t>
            </w:r>
            <w:r w:rsidR="0008774E">
              <w:rPr>
                <w:rFonts w:ascii="Arial" w:hAnsi="Arial" w:cs="Arial"/>
                <w:bCs/>
                <w:sz w:val="22"/>
                <w:szCs w:val="22"/>
              </w:rPr>
              <w:t xml:space="preserve"> for local arrangements</w:t>
            </w:r>
          </w:p>
          <w:p w:rsidR="003D09CB" w:rsidRPr="003D09CB" w:rsidRDefault="00B57744" w:rsidP="0008774E">
            <w:pPr>
              <w:pStyle w:val="ListParagraph"/>
              <w:numPr>
                <w:ilvl w:val="0"/>
                <w:numId w:val="25"/>
              </w:numPr>
              <w:rPr>
                <w:rFonts w:ascii="Arial" w:hAnsi="Arial" w:cs="Arial"/>
                <w:bCs/>
                <w:sz w:val="22"/>
                <w:szCs w:val="22"/>
              </w:rPr>
            </w:pPr>
            <w:r>
              <w:rPr>
                <w:rFonts w:ascii="Arial" w:hAnsi="Arial" w:cs="Arial"/>
                <w:bCs/>
                <w:sz w:val="22"/>
                <w:szCs w:val="22"/>
              </w:rPr>
              <w:t xml:space="preserve">Authorise the </w:t>
            </w:r>
            <w:r w:rsidR="003D09CB">
              <w:rPr>
                <w:rFonts w:ascii="Arial" w:hAnsi="Arial" w:cs="Arial"/>
                <w:bCs/>
                <w:sz w:val="22"/>
                <w:szCs w:val="22"/>
              </w:rPr>
              <w:t xml:space="preserve">Clinical </w:t>
            </w:r>
            <w:r>
              <w:rPr>
                <w:rFonts w:ascii="Arial" w:hAnsi="Arial" w:cs="Arial"/>
                <w:bCs/>
                <w:sz w:val="22"/>
                <w:szCs w:val="22"/>
              </w:rPr>
              <w:t xml:space="preserve">Chief </w:t>
            </w:r>
            <w:r w:rsidR="003D09CB">
              <w:rPr>
                <w:rFonts w:ascii="Arial" w:hAnsi="Arial" w:cs="Arial"/>
                <w:bCs/>
                <w:sz w:val="22"/>
                <w:szCs w:val="22"/>
              </w:rPr>
              <w:t xml:space="preserve">Officer to </w:t>
            </w:r>
            <w:r w:rsidR="0008774E">
              <w:rPr>
                <w:rFonts w:ascii="Arial" w:hAnsi="Arial" w:cs="Arial"/>
                <w:bCs/>
                <w:sz w:val="22"/>
                <w:szCs w:val="22"/>
              </w:rPr>
              <w:t>approve the content of the CCG application on 30</w:t>
            </w:r>
            <w:r w:rsidR="0008774E" w:rsidRPr="0008774E">
              <w:rPr>
                <w:rFonts w:ascii="Arial" w:hAnsi="Arial" w:cs="Arial"/>
                <w:bCs/>
                <w:sz w:val="22"/>
                <w:szCs w:val="22"/>
                <w:vertAlign w:val="superscript"/>
              </w:rPr>
              <w:t>th</w:t>
            </w:r>
            <w:r w:rsidR="0008774E">
              <w:rPr>
                <w:rFonts w:ascii="Arial" w:hAnsi="Arial" w:cs="Arial"/>
                <w:bCs/>
                <w:sz w:val="22"/>
                <w:szCs w:val="22"/>
              </w:rPr>
              <w:t xml:space="preserve"> January 2015</w:t>
            </w: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pPr w:leftFromText="180" w:rightFromText="180" w:vertAnchor="text" w:horzAnchor="margin" w:tblpY="264"/>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B57744" w:rsidRPr="00752FD6" w:rsidTr="00B57744">
        <w:trPr>
          <w:trHeight w:val="822"/>
          <w:tblHeader/>
        </w:trPr>
        <w:tc>
          <w:tcPr>
            <w:tcW w:w="720" w:type="dxa"/>
            <w:shd w:val="clear" w:color="auto" w:fill="C0C0C0"/>
            <w:vAlign w:val="center"/>
          </w:tcPr>
          <w:p w:rsidR="00B57744" w:rsidRPr="00752FD6" w:rsidRDefault="00B57744" w:rsidP="00B57744">
            <w:pPr>
              <w:spacing w:before="80" w:after="80"/>
              <w:jc w:val="center"/>
              <w:rPr>
                <w:rFonts w:ascii="Arial" w:hAnsi="Arial" w:cs="Arial"/>
                <w:b/>
                <w:sz w:val="22"/>
                <w:szCs w:val="22"/>
              </w:rPr>
            </w:pPr>
          </w:p>
        </w:tc>
        <w:tc>
          <w:tcPr>
            <w:tcW w:w="4230" w:type="dxa"/>
            <w:shd w:val="clear" w:color="auto" w:fill="C0C0C0"/>
            <w:vAlign w:val="center"/>
          </w:tcPr>
          <w:p w:rsidR="00B57744" w:rsidRPr="00752FD6" w:rsidRDefault="00B57744" w:rsidP="00B57744">
            <w:pPr>
              <w:spacing w:before="80" w:after="80"/>
              <w:rPr>
                <w:rFonts w:ascii="Arial" w:hAnsi="Arial" w:cs="Arial"/>
                <w:b/>
                <w:sz w:val="22"/>
                <w:szCs w:val="22"/>
              </w:rPr>
            </w:pPr>
          </w:p>
        </w:tc>
        <w:tc>
          <w:tcPr>
            <w:tcW w:w="1170" w:type="dxa"/>
            <w:shd w:val="clear" w:color="auto" w:fill="C0C0C0"/>
            <w:vAlign w:val="center"/>
          </w:tcPr>
          <w:p w:rsidR="00B57744" w:rsidRPr="00752FD6" w:rsidRDefault="00B57744" w:rsidP="00B57744">
            <w:pPr>
              <w:spacing w:before="80" w:after="80"/>
              <w:jc w:val="center"/>
              <w:rPr>
                <w:rFonts w:ascii="Arial" w:hAnsi="Arial" w:cs="Arial"/>
                <w:b/>
                <w:sz w:val="22"/>
                <w:szCs w:val="22"/>
              </w:rPr>
            </w:pPr>
          </w:p>
          <w:p w:rsidR="00B57744" w:rsidRPr="00752FD6" w:rsidRDefault="00B57744" w:rsidP="00B57744">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B57744" w:rsidRPr="00752FD6" w:rsidRDefault="00B57744" w:rsidP="00B57744">
            <w:pPr>
              <w:spacing w:before="80" w:after="80"/>
              <w:jc w:val="center"/>
              <w:rPr>
                <w:rFonts w:ascii="Arial" w:hAnsi="Arial" w:cs="Arial"/>
                <w:b/>
                <w:sz w:val="22"/>
                <w:szCs w:val="22"/>
              </w:rPr>
            </w:pPr>
            <w:r w:rsidRPr="00752FD6">
              <w:rPr>
                <w:rFonts w:ascii="Arial" w:hAnsi="Arial" w:cs="Arial"/>
                <w:b/>
                <w:sz w:val="22"/>
                <w:szCs w:val="22"/>
              </w:rPr>
              <w:t>Comments</w:t>
            </w: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p>
        </w:tc>
        <w:tc>
          <w:tcPr>
            <w:tcW w:w="423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B57744" w:rsidRPr="00752FD6" w:rsidRDefault="00B57744" w:rsidP="00B57744">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r w:rsidR="00B57744" w:rsidRPr="00752FD6" w:rsidTr="00B57744">
        <w:tc>
          <w:tcPr>
            <w:tcW w:w="720" w:type="dxa"/>
            <w:shd w:val="clear" w:color="auto" w:fill="auto"/>
          </w:tcPr>
          <w:p w:rsidR="00B57744" w:rsidRPr="00752FD6" w:rsidRDefault="00B57744" w:rsidP="00B57744">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B57744" w:rsidRDefault="00B57744" w:rsidP="00B57744">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B57744" w:rsidRPr="00752FD6" w:rsidRDefault="00780041" w:rsidP="00B57744">
            <w:pPr>
              <w:spacing w:before="80" w:after="80"/>
              <w:rPr>
                <w:rFonts w:ascii="Arial" w:hAnsi="Arial" w:cs="Arial"/>
                <w:sz w:val="22"/>
                <w:szCs w:val="22"/>
              </w:rPr>
            </w:pPr>
            <w:hyperlink r:id="rId9" w:history="1">
              <w:r w:rsidR="00B57744"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B57744" w:rsidRPr="00752FD6" w:rsidRDefault="00B57744" w:rsidP="00B5774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B57744" w:rsidRPr="00752FD6" w:rsidRDefault="00B57744" w:rsidP="00B57744">
            <w:pPr>
              <w:spacing w:before="80" w:after="80"/>
              <w:rPr>
                <w:rFonts w:ascii="Arial" w:hAnsi="Arial" w:cs="Arial"/>
                <w:sz w:val="22"/>
                <w:szCs w:val="22"/>
              </w:rPr>
            </w:pPr>
          </w:p>
        </w:tc>
      </w:tr>
    </w:tbl>
    <w:p w:rsidR="00DC3218" w:rsidRDefault="00DC3218">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6D6021" w:rsidRDefault="006D6021">
      <w:pPr>
        <w:rPr>
          <w:rFonts w:ascii="Arial" w:hAnsi="Arial" w:cs="Arial"/>
          <w:b/>
          <w:bCs/>
          <w:sz w:val="22"/>
          <w:szCs w:val="22"/>
        </w:rPr>
      </w:pPr>
    </w:p>
    <w:p w:rsidR="00E24F8A" w:rsidRDefault="00E24F8A">
      <w:pPr>
        <w:rPr>
          <w:rFonts w:ascii="Arial" w:hAnsi="Arial" w:cs="Arial"/>
          <w:b/>
          <w:bCs/>
          <w:sz w:val="22"/>
          <w:szCs w:val="22"/>
        </w:rPr>
        <w:sectPr w:rsidR="00E24F8A" w:rsidSect="00CA2039">
          <w:footerReference w:type="default" r:id="rId10"/>
          <w:footerReference w:type="first" r:id="rId11"/>
          <w:pgSz w:w="11906" w:h="16838"/>
          <w:pgMar w:top="902" w:right="902" w:bottom="902" w:left="1077" w:header="720" w:footer="720" w:gutter="0"/>
          <w:cols w:space="720"/>
          <w:titlePg/>
          <w:docGrid w:linePitch="360"/>
        </w:sectPr>
      </w:pPr>
    </w:p>
    <w:p w:rsidR="00E24F8A" w:rsidRPr="00E24F8A" w:rsidRDefault="00E24F8A" w:rsidP="00780041">
      <w:pPr>
        <w:spacing w:after="200" w:line="276" w:lineRule="auto"/>
        <w:jc w:val="center"/>
        <w:rPr>
          <w:rFonts w:asciiTheme="minorHAnsi" w:eastAsiaTheme="minorHAnsi" w:hAnsiTheme="minorHAnsi" w:cstheme="minorBidi"/>
          <w:b/>
          <w:sz w:val="22"/>
          <w:szCs w:val="22"/>
          <w:u w:val="single"/>
          <w:lang w:eastAsia="en-US"/>
        </w:rPr>
      </w:pPr>
      <w:r w:rsidRPr="00E24F8A">
        <w:rPr>
          <w:rFonts w:asciiTheme="minorHAnsi" w:eastAsiaTheme="minorHAnsi" w:hAnsiTheme="minorHAnsi" w:cstheme="minorBidi"/>
          <w:b/>
          <w:sz w:val="22"/>
          <w:szCs w:val="22"/>
          <w:u w:val="single"/>
          <w:lang w:eastAsia="en-US"/>
        </w:rPr>
        <w:lastRenderedPageBreak/>
        <w:t>PRIMARY CARE CO-COMMISSIONING DECISION AND SUBMISSION</w:t>
      </w:r>
    </w:p>
    <w:p w:rsidR="00E24F8A" w:rsidRPr="00E24F8A" w:rsidRDefault="00E24F8A" w:rsidP="00E24F8A">
      <w:pPr>
        <w:numPr>
          <w:ilvl w:val="0"/>
          <w:numId w:val="31"/>
        </w:numPr>
        <w:spacing w:after="200" w:line="276" w:lineRule="auto"/>
        <w:rPr>
          <w:rFonts w:ascii="Calibri" w:eastAsiaTheme="minorHAnsi" w:hAnsi="Calibri" w:cs="Calibri"/>
          <w:b/>
          <w:sz w:val="22"/>
          <w:szCs w:val="22"/>
          <w:u w:val="single"/>
          <w:lang w:eastAsia="en-US"/>
        </w:rPr>
      </w:pPr>
      <w:r w:rsidRPr="00E24F8A">
        <w:rPr>
          <w:rFonts w:ascii="Calibri" w:eastAsiaTheme="minorHAnsi" w:hAnsi="Calibri" w:cs="Calibri"/>
          <w:b/>
          <w:sz w:val="22"/>
          <w:szCs w:val="22"/>
          <w:u w:val="single"/>
          <w:lang w:eastAsia="en-US"/>
        </w:rPr>
        <w:t>Chairman’s Action</w:t>
      </w:r>
    </w:p>
    <w:p w:rsidR="00E24F8A" w:rsidRPr="00E24F8A" w:rsidRDefault="00E24F8A" w:rsidP="00E24F8A">
      <w:pPr>
        <w:spacing w:after="200" w:line="276" w:lineRule="auto"/>
        <w:rPr>
          <w:rFonts w:asciiTheme="minorHAnsi" w:eastAsiaTheme="minorHAnsi" w:hAnsiTheme="minorHAnsi" w:cstheme="minorBidi"/>
          <w:sz w:val="22"/>
          <w:szCs w:val="22"/>
          <w:lang w:eastAsia="en-US"/>
        </w:rPr>
      </w:pPr>
      <w:r w:rsidRPr="00E24F8A">
        <w:rPr>
          <w:rFonts w:asciiTheme="minorHAnsi" w:eastAsiaTheme="minorHAnsi" w:hAnsiTheme="minorHAnsi" w:cstheme="minorBidi"/>
          <w:sz w:val="22"/>
          <w:szCs w:val="22"/>
          <w:lang w:eastAsia="en-US"/>
        </w:rPr>
        <w:t>In recent weeks a number of briefings and discussions have been undertaken with the limited information</w:t>
      </w:r>
      <w:bookmarkStart w:id="2" w:name="_GoBack"/>
      <w:bookmarkEnd w:id="2"/>
      <w:r w:rsidRPr="00E24F8A">
        <w:rPr>
          <w:rFonts w:asciiTheme="minorHAnsi" w:eastAsiaTheme="minorHAnsi" w:hAnsiTheme="minorHAnsi" w:cstheme="minorBidi"/>
          <w:sz w:val="22"/>
          <w:szCs w:val="22"/>
          <w:lang w:eastAsia="en-US"/>
        </w:rPr>
        <w:t xml:space="preserve"> available at the time at Council of Members, with clinical leads, and with board lay members. However, the timescales recently set by NHS England for expressing interest in co-commissioning required the board decision to be made in advance of the 15</w:t>
      </w:r>
      <w:r w:rsidRPr="00E24F8A">
        <w:rPr>
          <w:rFonts w:asciiTheme="minorHAnsi" w:eastAsiaTheme="minorHAnsi" w:hAnsiTheme="minorHAnsi" w:cstheme="minorBidi"/>
          <w:sz w:val="22"/>
          <w:szCs w:val="22"/>
          <w:vertAlign w:val="superscript"/>
          <w:lang w:eastAsia="en-US"/>
        </w:rPr>
        <w:t>th</w:t>
      </w:r>
      <w:r w:rsidRPr="00E24F8A">
        <w:rPr>
          <w:rFonts w:asciiTheme="minorHAnsi" w:eastAsiaTheme="minorHAnsi" w:hAnsiTheme="minorHAnsi" w:cstheme="minorBidi"/>
          <w:sz w:val="22"/>
          <w:szCs w:val="22"/>
          <w:lang w:eastAsia="en-US"/>
        </w:rPr>
        <w:t xml:space="preserve"> January 2015 board meeting. It was therefore determined that the decision should be taken through Chairman’s action. The embedded document was circulated to all board members on 19</w:t>
      </w:r>
      <w:r w:rsidRPr="00E24F8A">
        <w:rPr>
          <w:rFonts w:asciiTheme="minorHAnsi" w:eastAsiaTheme="minorHAnsi" w:hAnsiTheme="minorHAnsi" w:cstheme="minorBidi"/>
          <w:sz w:val="22"/>
          <w:szCs w:val="22"/>
          <w:vertAlign w:val="superscript"/>
          <w:lang w:eastAsia="en-US"/>
        </w:rPr>
        <w:t>th</w:t>
      </w:r>
      <w:r w:rsidRPr="00E24F8A">
        <w:rPr>
          <w:rFonts w:asciiTheme="minorHAnsi" w:eastAsiaTheme="minorHAnsi" w:hAnsiTheme="minorHAnsi" w:cstheme="minorBidi"/>
          <w:sz w:val="22"/>
          <w:szCs w:val="22"/>
          <w:lang w:eastAsia="en-US"/>
        </w:rPr>
        <w:t xml:space="preserve"> December 2014 explaining the need for this approach, and requesting members to comment to inform the chairman’s decision. </w:t>
      </w:r>
    </w:p>
    <w:p w:rsidR="00E24F8A" w:rsidRPr="00E24F8A" w:rsidRDefault="00E24F8A" w:rsidP="00E24F8A">
      <w:pPr>
        <w:spacing w:after="200" w:line="276" w:lineRule="auto"/>
        <w:rPr>
          <w:rFonts w:asciiTheme="minorHAnsi" w:eastAsiaTheme="minorHAnsi" w:hAnsiTheme="minorHAnsi" w:cstheme="minorBidi"/>
          <w:sz w:val="22"/>
          <w:szCs w:val="22"/>
          <w:lang w:eastAsia="en-US"/>
        </w:rPr>
      </w:pPr>
      <w:r w:rsidRPr="00E24F8A">
        <w:rPr>
          <w:rFonts w:asciiTheme="minorHAnsi" w:eastAsiaTheme="minorHAnsi" w:hAnsiTheme="minorHAnsi" w:cstheme="minorBidi"/>
          <w:sz w:val="22"/>
          <w:szCs w:val="22"/>
          <w:lang w:eastAsia="en-US"/>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6.8pt" o:ole="">
            <v:imagedata r:id="rId12" o:title=""/>
          </v:shape>
          <o:OLEObject Type="Embed" ProgID="Word.Document.12" ShapeID="_x0000_i1025" DrawAspect="Icon" ObjectID="_1481527782" r:id="rId13">
            <o:FieldCodes>\s</o:FieldCodes>
          </o:OLEObject>
        </w:object>
      </w:r>
    </w:p>
    <w:p w:rsidR="00E24F8A" w:rsidRPr="00E24F8A" w:rsidRDefault="00E24F8A" w:rsidP="00E24F8A">
      <w:pPr>
        <w:spacing w:after="200" w:line="276" w:lineRule="auto"/>
        <w:rPr>
          <w:rFonts w:asciiTheme="minorHAnsi" w:eastAsiaTheme="minorHAnsi" w:hAnsiTheme="minorHAnsi" w:cstheme="minorBidi"/>
          <w:sz w:val="22"/>
          <w:szCs w:val="22"/>
          <w:lang w:eastAsia="en-US"/>
        </w:rPr>
      </w:pPr>
      <w:r w:rsidRPr="00E24F8A">
        <w:rPr>
          <w:rFonts w:asciiTheme="minorHAnsi" w:eastAsiaTheme="minorHAnsi" w:hAnsiTheme="minorHAnsi" w:cstheme="minorBidi"/>
          <w:sz w:val="22"/>
          <w:szCs w:val="22"/>
          <w:lang w:eastAsia="en-US"/>
        </w:rPr>
        <w:t>On 23</w:t>
      </w:r>
      <w:r w:rsidRPr="00E24F8A">
        <w:rPr>
          <w:rFonts w:asciiTheme="minorHAnsi" w:eastAsiaTheme="minorHAnsi" w:hAnsiTheme="minorHAnsi" w:cstheme="minorBidi"/>
          <w:sz w:val="22"/>
          <w:szCs w:val="22"/>
          <w:vertAlign w:val="superscript"/>
          <w:lang w:eastAsia="en-US"/>
        </w:rPr>
        <w:t>rd</w:t>
      </w:r>
      <w:r w:rsidRPr="00E24F8A">
        <w:rPr>
          <w:rFonts w:asciiTheme="minorHAnsi" w:eastAsiaTheme="minorHAnsi" w:hAnsiTheme="minorHAnsi" w:cstheme="minorBidi"/>
          <w:sz w:val="22"/>
          <w:szCs w:val="22"/>
          <w:lang w:eastAsia="en-US"/>
        </w:rPr>
        <w:t xml:space="preserve"> December 2014 the Chairman notified board members by email (below) of his decision that the CCG should progress an application for Joint co-commissioning arrangements with NHS England from 1</w:t>
      </w:r>
      <w:r w:rsidRPr="00E24F8A">
        <w:rPr>
          <w:rFonts w:asciiTheme="minorHAnsi" w:eastAsiaTheme="minorHAnsi" w:hAnsiTheme="minorHAnsi" w:cstheme="minorBidi"/>
          <w:sz w:val="22"/>
          <w:szCs w:val="22"/>
          <w:vertAlign w:val="superscript"/>
          <w:lang w:eastAsia="en-US"/>
        </w:rPr>
        <w:t>st</w:t>
      </w:r>
      <w:r w:rsidRPr="00E24F8A">
        <w:rPr>
          <w:rFonts w:asciiTheme="minorHAnsi" w:eastAsiaTheme="minorHAnsi" w:hAnsiTheme="minorHAnsi" w:cstheme="minorBidi"/>
          <w:sz w:val="22"/>
          <w:szCs w:val="22"/>
          <w:lang w:eastAsia="en-US"/>
        </w:rPr>
        <w:t xml:space="preserve"> April 2015. </w:t>
      </w:r>
    </w:p>
    <w:p w:rsidR="00E24F8A" w:rsidRPr="00E24F8A" w:rsidRDefault="00E24F8A" w:rsidP="00E24F8A">
      <w:pPr>
        <w:spacing w:after="200" w:line="276" w:lineRule="auto"/>
        <w:rPr>
          <w:rFonts w:asciiTheme="minorHAnsi" w:eastAsiaTheme="minorHAnsi" w:hAnsiTheme="minorHAnsi" w:cstheme="minorBidi"/>
          <w:i/>
          <w:color w:val="1F497D"/>
          <w:sz w:val="22"/>
          <w:szCs w:val="22"/>
          <w:lang w:eastAsia="en-US"/>
        </w:rPr>
      </w:pPr>
      <w:r w:rsidRPr="00E24F8A">
        <w:rPr>
          <w:rFonts w:asciiTheme="minorHAnsi" w:eastAsiaTheme="minorHAnsi" w:hAnsiTheme="minorHAnsi" w:cstheme="minorBidi"/>
          <w:i/>
          <w:color w:val="1F497D"/>
          <w:sz w:val="22"/>
          <w:szCs w:val="22"/>
          <w:lang w:eastAsia="en-US"/>
        </w:rPr>
        <w:t>Hi all, many thanks to those of you who sent your views on this important matter. I have also had further discussions with Peter Melton and Helen Kenyon.</w:t>
      </w:r>
    </w:p>
    <w:p w:rsidR="00E24F8A" w:rsidRPr="00E24F8A" w:rsidRDefault="00E24F8A" w:rsidP="00E24F8A">
      <w:pPr>
        <w:spacing w:after="200" w:line="276" w:lineRule="auto"/>
        <w:rPr>
          <w:rFonts w:asciiTheme="minorHAnsi" w:eastAsiaTheme="minorHAnsi" w:hAnsiTheme="minorHAnsi" w:cstheme="minorBidi"/>
          <w:i/>
          <w:color w:val="1F497D"/>
          <w:sz w:val="22"/>
          <w:szCs w:val="22"/>
          <w:lang w:eastAsia="en-US"/>
        </w:rPr>
      </w:pPr>
      <w:r w:rsidRPr="00E24F8A">
        <w:rPr>
          <w:rFonts w:asciiTheme="minorHAnsi" w:eastAsiaTheme="minorHAnsi" w:hAnsiTheme="minorHAnsi" w:cstheme="minorBidi"/>
          <w:i/>
          <w:color w:val="1F497D"/>
          <w:sz w:val="22"/>
          <w:szCs w:val="22"/>
          <w:lang w:eastAsia="en-US"/>
        </w:rPr>
        <w:t>There was a lot of mixed views on going for co commissioning at level 3 (full delegation) or level two (Joint with the Area team). There are clearly advantages and risks with both. One offers the chance of getting full control of the budget but comes with the requirement to manage the core contracts and some of the existing challenges faced by the Area team on our own with no extra resource. The other represents a more staged approach, working with the Area team, but creates a risk of not being in control of our budgets as we face an uncertain election year.</w:t>
      </w:r>
    </w:p>
    <w:p w:rsidR="00E24F8A" w:rsidRPr="00E24F8A" w:rsidRDefault="00E24F8A" w:rsidP="00E24F8A">
      <w:pPr>
        <w:spacing w:after="200" w:line="276" w:lineRule="auto"/>
        <w:rPr>
          <w:rFonts w:asciiTheme="minorHAnsi" w:eastAsiaTheme="minorHAnsi" w:hAnsiTheme="minorHAnsi" w:cstheme="minorBidi"/>
          <w:i/>
          <w:color w:val="1F497D"/>
          <w:sz w:val="22"/>
          <w:szCs w:val="22"/>
        </w:rPr>
      </w:pPr>
      <w:r w:rsidRPr="00E24F8A">
        <w:rPr>
          <w:rFonts w:asciiTheme="minorHAnsi" w:eastAsiaTheme="minorHAnsi" w:hAnsiTheme="minorHAnsi" w:cstheme="minorBidi"/>
          <w:i/>
          <w:color w:val="1F497D"/>
          <w:sz w:val="22"/>
          <w:szCs w:val="22"/>
          <w:lang w:eastAsia="en-US"/>
        </w:rPr>
        <w:t xml:space="preserve">A number of soundings have been taken from NHS England, and various reassurances offered with regard to current funding being protected. On balance I have decided  we would be better off going for managing  the “PMS” / discretionary elements of the budget (level 2) and take the opportunity that will be provided to us after the election has taken place to reassess our position and if needed move on to full delegation (level 3) in 2016/17. </w:t>
      </w:r>
    </w:p>
    <w:p w:rsidR="00E24F8A" w:rsidRPr="00E24F8A" w:rsidRDefault="00E24F8A" w:rsidP="00E24F8A">
      <w:pPr>
        <w:spacing w:after="200" w:line="276" w:lineRule="auto"/>
        <w:rPr>
          <w:rFonts w:asciiTheme="minorHAnsi" w:eastAsiaTheme="minorHAnsi" w:hAnsiTheme="minorHAnsi" w:cstheme="minorBidi"/>
          <w:i/>
          <w:color w:val="1F497D"/>
          <w:sz w:val="22"/>
          <w:szCs w:val="22"/>
          <w:lang w:eastAsia="en-US"/>
        </w:rPr>
      </w:pPr>
      <w:r w:rsidRPr="00E24F8A">
        <w:rPr>
          <w:rFonts w:asciiTheme="minorHAnsi" w:eastAsiaTheme="minorHAnsi" w:hAnsiTheme="minorHAnsi" w:cstheme="minorBidi"/>
          <w:i/>
          <w:color w:val="1F497D"/>
          <w:sz w:val="22"/>
          <w:szCs w:val="22"/>
          <w:lang w:eastAsia="en-US"/>
        </w:rPr>
        <w:t>This is clearly the safer option and although we have never been an organisation to flinch from innovation, during these uncertain times proceeding caution is perhaps the best advice.</w:t>
      </w:r>
    </w:p>
    <w:p w:rsidR="00780041" w:rsidRPr="00780041" w:rsidRDefault="00E24F8A" w:rsidP="00E24F8A">
      <w:pPr>
        <w:spacing w:after="200" w:line="276" w:lineRule="auto"/>
        <w:rPr>
          <w:rFonts w:asciiTheme="minorHAnsi" w:eastAsiaTheme="minorHAnsi" w:hAnsiTheme="minorHAnsi" w:cstheme="minorBidi"/>
          <w:i/>
          <w:color w:val="1F497D"/>
          <w:sz w:val="22"/>
          <w:szCs w:val="22"/>
          <w:lang w:eastAsia="en-US"/>
        </w:rPr>
      </w:pPr>
      <w:r w:rsidRPr="00E24F8A">
        <w:rPr>
          <w:rFonts w:asciiTheme="minorHAnsi" w:eastAsiaTheme="minorHAnsi" w:hAnsiTheme="minorHAnsi" w:cstheme="minorBidi"/>
          <w:i/>
          <w:color w:val="1F497D"/>
          <w:sz w:val="22"/>
          <w:szCs w:val="22"/>
          <w:lang w:eastAsia="en-US"/>
        </w:rPr>
        <w:t>Regards Mark</w:t>
      </w:r>
    </w:p>
    <w:p w:rsidR="00E24F8A" w:rsidRPr="00E24F8A" w:rsidRDefault="00E24F8A" w:rsidP="00E24F8A">
      <w:pPr>
        <w:numPr>
          <w:ilvl w:val="0"/>
          <w:numId w:val="31"/>
        </w:numPr>
        <w:spacing w:after="200" w:line="276" w:lineRule="auto"/>
        <w:rPr>
          <w:rFonts w:ascii="Calibri" w:eastAsiaTheme="minorHAnsi" w:hAnsi="Calibri" w:cs="Calibri"/>
          <w:b/>
          <w:sz w:val="22"/>
          <w:szCs w:val="22"/>
          <w:u w:val="single"/>
          <w:lang w:eastAsia="en-US"/>
        </w:rPr>
      </w:pPr>
      <w:r w:rsidRPr="00E24F8A">
        <w:rPr>
          <w:rFonts w:ascii="Calibri" w:eastAsiaTheme="minorHAnsi" w:hAnsi="Calibri" w:cs="Calibri"/>
          <w:b/>
          <w:sz w:val="22"/>
          <w:szCs w:val="22"/>
          <w:u w:val="single"/>
          <w:lang w:eastAsia="en-US"/>
        </w:rPr>
        <w:t>Emerging Local Proposals</w:t>
      </w:r>
    </w:p>
    <w:p w:rsidR="00E24F8A" w:rsidRPr="00E24F8A" w:rsidRDefault="00E24F8A" w:rsidP="00E24F8A">
      <w:pPr>
        <w:ind w:left="720"/>
        <w:rPr>
          <w:rFonts w:ascii="Calibri" w:eastAsiaTheme="minorHAnsi" w:hAnsi="Calibri" w:cs="Calibri"/>
          <w:sz w:val="22"/>
          <w:szCs w:val="22"/>
          <w:lang w:eastAsia="en-US"/>
        </w:rPr>
      </w:pPr>
      <w:r w:rsidRPr="00E24F8A">
        <w:rPr>
          <w:rFonts w:ascii="Calibri" w:eastAsiaTheme="minorHAnsi" w:hAnsi="Calibri" w:cs="Calibri"/>
          <w:sz w:val="22"/>
          <w:szCs w:val="22"/>
          <w:lang w:eastAsia="en-US"/>
        </w:rPr>
        <w:t xml:space="preserve">The wide range of risks and benefits in Joint Co-commissioning are summarised in the annex to the embedded document above. The local arrangements will seek to mitigate the risks wherever possible (without reducing the potential benefits) </w:t>
      </w:r>
    </w:p>
    <w:p w:rsidR="00E24F8A" w:rsidRDefault="00E24F8A" w:rsidP="00E24F8A">
      <w:pPr>
        <w:ind w:left="720"/>
        <w:rPr>
          <w:rFonts w:ascii="Calibri" w:eastAsiaTheme="minorHAnsi" w:hAnsi="Calibri" w:cs="Calibri"/>
          <w:sz w:val="22"/>
          <w:szCs w:val="22"/>
          <w:lang w:eastAsia="en-US"/>
        </w:rPr>
      </w:pPr>
    </w:p>
    <w:p w:rsidR="00780041" w:rsidRDefault="00780041" w:rsidP="00E24F8A">
      <w:pPr>
        <w:ind w:left="720"/>
        <w:rPr>
          <w:rFonts w:ascii="Calibri" w:eastAsiaTheme="minorHAnsi" w:hAnsi="Calibri" w:cs="Calibri"/>
          <w:sz w:val="22"/>
          <w:szCs w:val="22"/>
          <w:lang w:eastAsia="en-US"/>
        </w:rPr>
      </w:pPr>
    </w:p>
    <w:p w:rsidR="00780041" w:rsidRDefault="00780041" w:rsidP="00E24F8A">
      <w:pPr>
        <w:ind w:left="720"/>
        <w:rPr>
          <w:rFonts w:ascii="Calibri" w:eastAsiaTheme="minorHAnsi" w:hAnsi="Calibri" w:cs="Calibri"/>
          <w:sz w:val="22"/>
          <w:szCs w:val="22"/>
          <w:lang w:eastAsia="en-US"/>
        </w:rPr>
      </w:pPr>
    </w:p>
    <w:p w:rsidR="00780041" w:rsidRPr="00E24F8A" w:rsidRDefault="00780041" w:rsidP="00E24F8A">
      <w:pPr>
        <w:ind w:left="720"/>
        <w:rPr>
          <w:rFonts w:ascii="Calibri" w:eastAsiaTheme="minorHAnsi" w:hAnsi="Calibri" w:cs="Calibri"/>
          <w:sz w:val="22"/>
          <w:szCs w:val="22"/>
          <w:lang w:eastAsia="en-US"/>
        </w:rPr>
      </w:pPr>
    </w:p>
    <w:p w:rsidR="00E24F8A" w:rsidRPr="00E24F8A" w:rsidRDefault="00E24F8A" w:rsidP="00E24F8A">
      <w:pPr>
        <w:numPr>
          <w:ilvl w:val="1"/>
          <w:numId w:val="31"/>
        </w:numPr>
        <w:spacing w:after="200" w:line="276" w:lineRule="auto"/>
        <w:rPr>
          <w:rFonts w:ascii="Calibri" w:eastAsiaTheme="minorHAnsi" w:hAnsi="Calibri" w:cs="Calibri"/>
          <w:b/>
          <w:sz w:val="22"/>
          <w:szCs w:val="22"/>
          <w:lang w:eastAsia="en-US"/>
        </w:rPr>
      </w:pPr>
      <w:r w:rsidRPr="00E24F8A">
        <w:rPr>
          <w:rFonts w:ascii="Calibri" w:eastAsiaTheme="minorHAnsi" w:hAnsi="Calibri" w:cs="Calibri"/>
          <w:b/>
          <w:sz w:val="22"/>
          <w:szCs w:val="22"/>
          <w:lang w:eastAsia="en-US"/>
        </w:rPr>
        <w:lastRenderedPageBreak/>
        <w:t>National Requirements</w:t>
      </w:r>
    </w:p>
    <w:p w:rsidR="00E24F8A" w:rsidRPr="00E24F8A" w:rsidRDefault="00E24F8A" w:rsidP="00E24F8A">
      <w:pPr>
        <w:rPr>
          <w:rFonts w:ascii="Calibri" w:eastAsiaTheme="minorHAnsi" w:hAnsi="Calibri" w:cs="Calibri"/>
          <w:sz w:val="22"/>
          <w:szCs w:val="22"/>
          <w:lang w:eastAsia="en-US"/>
        </w:rPr>
      </w:pPr>
      <w:r w:rsidRPr="00E24F8A">
        <w:rPr>
          <w:rFonts w:ascii="Calibri" w:eastAsiaTheme="minorHAnsi" w:hAnsi="Calibri" w:cs="Calibri"/>
          <w:sz w:val="22"/>
          <w:szCs w:val="22"/>
          <w:lang w:eastAsia="en-US"/>
        </w:rPr>
        <w:t xml:space="preserve">There are a number of NHS England requirements that have been set for the co-commissioning arrangements, but those enable a reasonably high degree of local flexibility for Joint arrangements.  More details and background regarding general co-commissioning arrangements are available at </w:t>
      </w:r>
      <w:hyperlink r:id="rId14" w:history="1">
        <w:r w:rsidRPr="00E24F8A">
          <w:rPr>
            <w:rFonts w:ascii="Calibri" w:eastAsiaTheme="minorHAnsi" w:hAnsi="Calibri" w:cs="Calibri"/>
            <w:color w:val="0000FF"/>
            <w:sz w:val="22"/>
            <w:szCs w:val="22"/>
            <w:u w:val="single"/>
            <w:lang w:eastAsia="en-US"/>
          </w:rPr>
          <w:t>https://www.england.nhs.uk/commissioning/pc-co-comms/</w:t>
        </w:r>
      </w:hyperlink>
    </w:p>
    <w:p w:rsidR="00E24F8A" w:rsidRPr="00E24F8A" w:rsidRDefault="00E24F8A" w:rsidP="00E24F8A">
      <w:pPr>
        <w:autoSpaceDE w:val="0"/>
        <w:autoSpaceDN w:val="0"/>
        <w:adjustRightInd w:val="0"/>
        <w:rPr>
          <w:rFonts w:asciiTheme="minorHAnsi" w:eastAsiaTheme="minorHAnsi" w:hAnsiTheme="minorHAnsi" w:cstheme="minorHAnsi"/>
          <w:sz w:val="22"/>
          <w:szCs w:val="22"/>
          <w:lang w:eastAsia="en-US"/>
        </w:rPr>
      </w:pPr>
    </w:p>
    <w:p w:rsidR="00E24F8A" w:rsidRPr="00E24F8A" w:rsidRDefault="00E24F8A" w:rsidP="00E24F8A">
      <w:pPr>
        <w:autoSpaceDE w:val="0"/>
        <w:autoSpaceDN w:val="0"/>
        <w:adjustRightInd w:val="0"/>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 xml:space="preserve">Recent national guidelines (including Conflicts of Interest and templates for Joint Committee Terms of Reference) that set out some key principles as follows: </w:t>
      </w:r>
    </w:p>
    <w:p w:rsidR="00E24F8A" w:rsidRPr="00E24F8A" w:rsidRDefault="00E24F8A" w:rsidP="0012608B">
      <w:pPr>
        <w:numPr>
          <w:ilvl w:val="0"/>
          <w:numId w:val="28"/>
        </w:numPr>
        <w:autoSpaceDE w:val="0"/>
        <w:autoSpaceDN w:val="0"/>
        <w:adjustRightInd w:val="0"/>
        <w:ind w:left="714" w:hanging="357"/>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the membership of the committee should be constituted so as to ensure that the majority is held by lay and executive members</w:t>
      </w:r>
    </w:p>
    <w:p w:rsidR="00E24F8A" w:rsidRPr="00E24F8A" w:rsidRDefault="00E24F8A" w:rsidP="0012608B">
      <w:pPr>
        <w:numPr>
          <w:ilvl w:val="0"/>
          <w:numId w:val="28"/>
        </w:numPr>
        <w:autoSpaceDE w:val="0"/>
        <w:autoSpaceDN w:val="0"/>
        <w:adjustRightInd w:val="0"/>
        <w:rPr>
          <w:rFonts w:asciiTheme="minorHAnsi" w:eastAsiaTheme="minorHAnsi" w:hAnsiTheme="minorHAnsi" w:cstheme="minorHAnsi"/>
          <w:sz w:val="22"/>
          <w:szCs w:val="22"/>
          <w:lang w:eastAsia="en-US"/>
        </w:rPr>
      </w:pPr>
      <w:proofErr w:type="gramStart"/>
      <w:r w:rsidRPr="00E24F8A">
        <w:rPr>
          <w:rFonts w:asciiTheme="minorHAnsi" w:eastAsiaTheme="minorHAnsi" w:hAnsiTheme="minorHAnsi" w:cstheme="minorHAnsi"/>
          <w:sz w:val="22"/>
          <w:szCs w:val="22"/>
          <w:lang w:eastAsia="en-US"/>
        </w:rPr>
        <w:t>the</w:t>
      </w:r>
      <w:proofErr w:type="gramEnd"/>
      <w:r w:rsidRPr="00E24F8A">
        <w:rPr>
          <w:rFonts w:asciiTheme="minorHAnsi" w:eastAsiaTheme="minorHAnsi" w:hAnsiTheme="minorHAnsi" w:cstheme="minorHAnsi"/>
          <w:sz w:val="22"/>
          <w:szCs w:val="22"/>
          <w:lang w:eastAsia="en-US"/>
        </w:rPr>
        <w:t xml:space="preserve"> specific composition is a matter of determination for individual CCGs, subject to the provisions of their constitution. However, the chair and vice-chair must always be lay members of the committee</w:t>
      </w:r>
    </w:p>
    <w:p w:rsidR="00E24F8A" w:rsidRPr="00E24F8A" w:rsidRDefault="00E24F8A" w:rsidP="0012608B">
      <w:pPr>
        <w:numPr>
          <w:ilvl w:val="0"/>
          <w:numId w:val="28"/>
        </w:numPr>
        <w:autoSpaceDE w:val="0"/>
        <w:autoSpaceDN w:val="0"/>
        <w:adjustRightInd w:val="0"/>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 xml:space="preserve">a standing invitation must be made to the CCG’s local </w:t>
      </w:r>
      <w:proofErr w:type="spellStart"/>
      <w:r w:rsidRPr="00E24F8A">
        <w:rPr>
          <w:rFonts w:asciiTheme="minorHAnsi" w:eastAsiaTheme="minorHAnsi" w:hAnsiTheme="minorHAnsi" w:cstheme="minorHAnsi"/>
          <w:sz w:val="22"/>
          <w:szCs w:val="22"/>
          <w:lang w:eastAsia="en-US"/>
        </w:rPr>
        <w:t>Healthwatch</w:t>
      </w:r>
      <w:proofErr w:type="spellEnd"/>
      <w:r w:rsidRPr="00E24F8A">
        <w:rPr>
          <w:rFonts w:asciiTheme="minorHAnsi" w:eastAsiaTheme="minorHAnsi" w:hAnsiTheme="minorHAnsi" w:cstheme="minorHAnsi"/>
          <w:sz w:val="22"/>
          <w:szCs w:val="22"/>
          <w:lang w:eastAsia="en-US"/>
        </w:rPr>
        <w:t xml:space="preserve"> and Health and Wellbeing Board to appoint representatives to attend commissioning committee meetings, including, where appropriate, for items where the public is excluded from a particular item or meeting for reasons of confidentiality. These representatives would not form part of the membership of the committee</w:t>
      </w:r>
    </w:p>
    <w:p w:rsidR="00E24F8A" w:rsidRPr="00E24F8A" w:rsidRDefault="00E24F8A" w:rsidP="0012608B">
      <w:pPr>
        <w:numPr>
          <w:ilvl w:val="0"/>
          <w:numId w:val="28"/>
        </w:numPr>
        <w:autoSpaceDE w:val="0"/>
        <w:autoSpaceDN w:val="0"/>
        <w:adjustRightInd w:val="0"/>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as a general rule, meetings of these committees, including the decision-making and the deliberations leading up to the decision, should be held in public (unless the CCG has concluded it is appropriate to exclude the public)</w:t>
      </w:r>
    </w:p>
    <w:p w:rsidR="00E24F8A" w:rsidRPr="00E24F8A" w:rsidRDefault="00E24F8A" w:rsidP="00E24F8A">
      <w:pPr>
        <w:numPr>
          <w:ilvl w:val="0"/>
          <w:numId w:val="28"/>
        </w:numPr>
        <w:autoSpaceDE w:val="0"/>
        <w:autoSpaceDN w:val="0"/>
        <w:adjustRightInd w:val="0"/>
        <w:spacing w:after="200" w:line="276" w:lineRule="auto"/>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 xml:space="preserve">the arrangements for primary medical care decision making do not preclude GP participation in strategic discussions on primary care issues, subject to appropriate management of conflicts of interest </w:t>
      </w:r>
    </w:p>
    <w:p w:rsidR="00E24F8A" w:rsidRPr="00E24F8A" w:rsidRDefault="00E24F8A" w:rsidP="00E24F8A">
      <w:pPr>
        <w:numPr>
          <w:ilvl w:val="1"/>
          <w:numId w:val="31"/>
        </w:numPr>
        <w:spacing w:after="200" w:line="276" w:lineRule="auto"/>
        <w:rPr>
          <w:rFonts w:ascii="Calibri" w:eastAsiaTheme="minorHAnsi" w:hAnsi="Calibri" w:cstheme="minorHAnsi"/>
          <w:b/>
          <w:bCs/>
          <w:sz w:val="22"/>
          <w:szCs w:val="22"/>
          <w:lang w:eastAsia="en-US"/>
        </w:rPr>
      </w:pPr>
      <w:r w:rsidRPr="00E24F8A">
        <w:rPr>
          <w:rFonts w:ascii="Calibri" w:eastAsiaTheme="minorHAnsi" w:hAnsi="Calibri" w:cstheme="minorHAnsi"/>
          <w:b/>
          <w:bCs/>
          <w:sz w:val="22"/>
          <w:szCs w:val="22"/>
          <w:lang w:eastAsia="en-US"/>
        </w:rPr>
        <w:t>Local Governance draft proposal – Joint Committee</w:t>
      </w:r>
    </w:p>
    <w:p w:rsidR="00E24F8A" w:rsidRPr="00E24F8A" w:rsidRDefault="00E24F8A" w:rsidP="00E24F8A">
      <w:pPr>
        <w:spacing w:after="200" w:line="276" w:lineRule="auto"/>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The joint committee would be established across three organisations – CCG, NHS England and NEL council. Membership proposal is currently:</w:t>
      </w:r>
    </w:p>
    <w:p w:rsidR="00E24F8A" w:rsidRPr="00E24F8A" w:rsidRDefault="00E24F8A" w:rsidP="0012608B">
      <w:pPr>
        <w:numPr>
          <w:ilvl w:val="0"/>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Lay chair – one of CCG Governing Body lay members</w:t>
      </w:r>
    </w:p>
    <w:p w:rsidR="00E24F8A" w:rsidRPr="00E24F8A" w:rsidRDefault="00E24F8A" w:rsidP="0012608B">
      <w:pPr>
        <w:numPr>
          <w:ilvl w:val="0"/>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2 NELC members</w:t>
      </w:r>
    </w:p>
    <w:p w:rsidR="00E24F8A" w:rsidRPr="00E24F8A" w:rsidRDefault="00E24F8A" w:rsidP="0012608B">
      <w:pPr>
        <w:numPr>
          <w:ilvl w:val="1"/>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elected member nomination (potentially chair of H&amp;WB board)</w:t>
      </w:r>
    </w:p>
    <w:p w:rsidR="00E24F8A" w:rsidRPr="00E24F8A" w:rsidRDefault="00E24F8A" w:rsidP="0012608B">
      <w:pPr>
        <w:numPr>
          <w:ilvl w:val="1"/>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NELC officer (probably DPH/deputy DPH)</w:t>
      </w:r>
    </w:p>
    <w:p w:rsidR="00E24F8A" w:rsidRPr="00E24F8A" w:rsidRDefault="00E24F8A" w:rsidP="0012608B">
      <w:pPr>
        <w:numPr>
          <w:ilvl w:val="0"/>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NHS England representative</w:t>
      </w:r>
    </w:p>
    <w:p w:rsidR="00E24F8A" w:rsidRPr="00E24F8A" w:rsidRDefault="00E24F8A" w:rsidP="0012608B">
      <w:pPr>
        <w:numPr>
          <w:ilvl w:val="0"/>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2 GPs</w:t>
      </w:r>
    </w:p>
    <w:p w:rsidR="00E24F8A" w:rsidRPr="00E24F8A" w:rsidRDefault="00E24F8A" w:rsidP="0012608B">
      <w:pPr>
        <w:numPr>
          <w:ilvl w:val="1"/>
          <w:numId w:val="26"/>
        </w:numPr>
        <w:rPr>
          <w:rFonts w:asciiTheme="minorHAnsi" w:eastAsiaTheme="minorHAnsi" w:hAnsiTheme="minorHAnsi" w:cstheme="minorHAnsi"/>
          <w:sz w:val="22"/>
          <w:szCs w:val="22"/>
          <w:lang w:eastAsia="en-US"/>
        </w:rPr>
      </w:pPr>
      <w:proofErr w:type="spellStart"/>
      <w:r w:rsidRPr="00E24F8A">
        <w:rPr>
          <w:rFonts w:asciiTheme="minorHAnsi" w:eastAsiaTheme="minorHAnsi" w:hAnsiTheme="minorHAnsi" w:cstheme="minorHAnsi"/>
          <w:sz w:val="22"/>
          <w:szCs w:val="22"/>
          <w:lang w:eastAsia="en-US"/>
        </w:rPr>
        <w:t>CoM</w:t>
      </w:r>
      <w:proofErr w:type="spellEnd"/>
      <w:r w:rsidRPr="00E24F8A">
        <w:rPr>
          <w:rFonts w:asciiTheme="minorHAnsi" w:eastAsiaTheme="minorHAnsi" w:hAnsiTheme="minorHAnsi" w:cstheme="minorHAnsi"/>
          <w:sz w:val="22"/>
          <w:szCs w:val="22"/>
          <w:lang w:eastAsia="en-US"/>
        </w:rPr>
        <w:t xml:space="preserve"> chair/governing body vice chair</w:t>
      </w:r>
    </w:p>
    <w:p w:rsidR="00E24F8A" w:rsidRPr="00E24F8A" w:rsidRDefault="00E24F8A" w:rsidP="0012608B">
      <w:pPr>
        <w:numPr>
          <w:ilvl w:val="1"/>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CCG clinical lead for primary care/</w:t>
      </w:r>
      <w:proofErr w:type="spellStart"/>
      <w:r w:rsidRPr="00E24F8A">
        <w:rPr>
          <w:rFonts w:asciiTheme="minorHAnsi" w:eastAsiaTheme="minorHAnsi" w:hAnsiTheme="minorHAnsi" w:cstheme="minorHAnsi"/>
          <w:sz w:val="22"/>
          <w:szCs w:val="22"/>
          <w:lang w:eastAsia="en-US"/>
        </w:rPr>
        <w:t>CoM</w:t>
      </w:r>
      <w:proofErr w:type="spellEnd"/>
      <w:r w:rsidRPr="00E24F8A">
        <w:rPr>
          <w:rFonts w:asciiTheme="minorHAnsi" w:eastAsiaTheme="minorHAnsi" w:hAnsiTheme="minorHAnsi" w:cstheme="minorHAnsi"/>
          <w:sz w:val="22"/>
          <w:szCs w:val="22"/>
          <w:lang w:eastAsia="en-US"/>
        </w:rPr>
        <w:t xml:space="preserve"> vice chair</w:t>
      </w:r>
    </w:p>
    <w:p w:rsidR="00E24F8A" w:rsidRPr="00E24F8A" w:rsidRDefault="00E24F8A" w:rsidP="0012608B">
      <w:pPr>
        <w:numPr>
          <w:ilvl w:val="0"/>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CCG Chief Financial Officer</w:t>
      </w:r>
    </w:p>
    <w:p w:rsidR="00E24F8A" w:rsidRPr="00E24F8A" w:rsidRDefault="00E24F8A" w:rsidP="0012608B">
      <w:pPr>
        <w:numPr>
          <w:ilvl w:val="0"/>
          <w:numId w:val="26"/>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Community representative - nominated by CCG (Accord member)</w:t>
      </w:r>
    </w:p>
    <w:p w:rsidR="0012608B" w:rsidRDefault="0012608B" w:rsidP="0012608B">
      <w:pPr>
        <w:rPr>
          <w:rFonts w:asciiTheme="minorHAnsi" w:eastAsiaTheme="minorHAnsi" w:hAnsiTheme="minorHAnsi" w:cstheme="minorHAnsi"/>
          <w:sz w:val="22"/>
          <w:szCs w:val="22"/>
          <w:lang w:eastAsia="en-US"/>
        </w:rPr>
      </w:pPr>
    </w:p>
    <w:p w:rsidR="00E24F8A" w:rsidRDefault="00E24F8A" w:rsidP="0012608B">
      <w:p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Attendees:  </w:t>
      </w:r>
      <w:proofErr w:type="spellStart"/>
      <w:r w:rsidRPr="00E24F8A">
        <w:rPr>
          <w:rFonts w:asciiTheme="minorHAnsi" w:eastAsiaTheme="minorHAnsi" w:hAnsiTheme="minorHAnsi" w:cstheme="minorHAnsi"/>
          <w:sz w:val="22"/>
          <w:szCs w:val="22"/>
          <w:lang w:eastAsia="en-US"/>
        </w:rPr>
        <w:t>Healthwatch</w:t>
      </w:r>
      <w:proofErr w:type="spellEnd"/>
      <w:r w:rsidRPr="00E24F8A">
        <w:rPr>
          <w:rFonts w:asciiTheme="minorHAnsi" w:eastAsiaTheme="minorHAnsi" w:hAnsiTheme="minorHAnsi" w:cstheme="minorHAnsi"/>
          <w:sz w:val="22"/>
          <w:szCs w:val="22"/>
          <w:lang w:eastAsia="en-US"/>
        </w:rPr>
        <w:t xml:space="preserve"> representative, H&amp;WB board representative (if not included above). There is also a suggestion that we may wish to have a local provider organisation representative either as a full member, or in attendance.</w:t>
      </w:r>
    </w:p>
    <w:p w:rsidR="0012608B" w:rsidRPr="00E24F8A" w:rsidRDefault="0012608B" w:rsidP="0012608B">
      <w:pPr>
        <w:rPr>
          <w:rFonts w:asciiTheme="minorHAnsi" w:eastAsiaTheme="minorHAnsi" w:hAnsiTheme="minorHAnsi" w:cstheme="minorHAnsi"/>
          <w:sz w:val="22"/>
          <w:szCs w:val="22"/>
          <w:lang w:eastAsia="en-US"/>
        </w:rPr>
      </w:pPr>
    </w:p>
    <w:p w:rsidR="00E24F8A" w:rsidRDefault="00E24F8A" w:rsidP="0012608B">
      <w:pPr>
        <w:rPr>
          <w:rFonts w:asciiTheme="minorHAnsi" w:eastAsiaTheme="minorHAnsi" w:hAnsiTheme="minorHAnsi" w:cstheme="minorHAnsi"/>
          <w:sz w:val="22"/>
          <w:szCs w:val="22"/>
          <w:lang w:eastAsia="en-US"/>
        </w:rPr>
      </w:pPr>
      <w:proofErr w:type="spellStart"/>
      <w:proofErr w:type="gramStart"/>
      <w:r w:rsidRPr="00E24F8A">
        <w:rPr>
          <w:rFonts w:asciiTheme="minorHAnsi" w:eastAsiaTheme="minorHAnsi" w:hAnsiTheme="minorHAnsi" w:cstheme="minorHAnsi"/>
          <w:sz w:val="22"/>
          <w:szCs w:val="22"/>
          <w:lang w:eastAsia="en-US"/>
        </w:rPr>
        <w:t>Quoracy</w:t>
      </w:r>
      <w:proofErr w:type="spellEnd"/>
      <w:r w:rsidRPr="00E24F8A">
        <w:rPr>
          <w:rFonts w:asciiTheme="minorHAnsi" w:eastAsiaTheme="minorHAnsi" w:hAnsiTheme="minorHAnsi" w:cstheme="minorHAnsi"/>
          <w:sz w:val="22"/>
          <w:szCs w:val="22"/>
          <w:lang w:eastAsia="en-US"/>
        </w:rPr>
        <w:t xml:space="preserve"> :</w:t>
      </w:r>
      <w:proofErr w:type="gramEnd"/>
      <w:r w:rsidRPr="00E24F8A">
        <w:rPr>
          <w:rFonts w:asciiTheme="minorHAnsi" w:eastAsiaTheme="minorHAnsi" w:hAnsiTheme="minorHAnsi" w:cstheme="minorHAnsi"/>
          <w:sz w:val="22"/>
          <w:szCs w:val="22"/>
          <w:lang w:eastAsia="en-US"/>
        </w:rPr>
        <w:t xml:space="preserve"> 4 (of 8), with at least two of the three member organisations represented and non-GP attendees being in the majority.</w:t>
      </w:r>
    </w:p>
    <w:p w:rsidR="0012608B" w:rsidRPr="00E24F8A" w:rsidRDefault="0012608B" w:rsidP="0012608B">
      <w:pPr>
        <w:rPr>
          <w:rFonts w:asciiTheme="minorHAnsi" w:eastAsiaTheme="minorHAnsi" w:hAnsiTheme="minorHAnsi" w:cstheme="minorHAnsi"/>
          <w:sz w:val="22"/>
          <w:szCs w:val="22"/>
          <w:lang w:eastAsia="en-US"/>
        </w:rPr>
      </w:pPr>
    </w:p>
    <w:p w:rsidR="00E24F8A" w:rsidRPr="00E24F8A" w:rsidRDefault="00E24F8A" w:rsidP="0012608B">
      <w:p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Frequency of meetings: minimum bi-annual (probably quarterly initially)</w:t>
      </w:r>
    </w:p>
    <w:p w:rsidR="00E24F8A" w:rsidRPr="00E24F8A" w:rsidRDefault="00E24F8A" w:rsidP="00E24F8A">
      <w:pPr>
        <w:spacing w:after="200" w:line="276" w:lineRule="auto"/>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lastRenderedPageBreak/>
        <w:t>Advisory sub group: based on the existing CCG primary care (GP) development group, which has wide General Practice attendance as well as LMC, NELC and NHS England representatives.</w:t>
      </w:r>
    </w:p>
    <w:p w:rsidR="00E24F8A" w:rsidRPr="00E24F8A" w:rsidRDefault="00E24F8A" w:rsidP="00E24F8A">
      <w:pPr>
        <w:numPr>
          <w:ilvl w:val="1"/>
          <w:numId w:val="31"/>
        </w:numPr>
        <w:spacing w:after="200" w:line="276" w:lineRule="auto"/>
        <w:rPr>
          <w:rFonts w:ascii="Calibri" w:eastAsiaTheme="minorHAnsi" w:hAnsi="Calibri" w:cstheme="minorHAnsi"/>
          <w:b/>
          <w:bCs/>
          <w:sz w:val="22"/>
          <w:szCs w:val="22"/>
          <w:lang w:eastAsia="en-US"/>
        </w:rPr>
      </w:pPr>
      <w:r w:rsidRPr="00E24F8A">
        <w:rPr>
          <w:rFonts w:ascii="Calibri" w:eastAsiaTheme="minorHAnsi" w:hAnsi="Calibri" w:cstheme="minorHAnsi"/>
          <w:b/>
          <w:bCs/>
          <w:sz w:val="22"/>
          <w:szCs w:val="22"/>
          <w:lang w:eastAsia="en-US"/>
        </w:rPr>
        <w:t>Local Governance draft proposal – Pooled funds</w:t>
      </w:r>
    </w:p>
    <w:p w:rsidR="00E24F8A" w:rsidRPr="00E24F8A" w:rsidRDefault="00E24F8A" w:rsidP="00E24F8A">
      <w:pPr>
        <w:spacing w:after="200" w:line="276" w:lineRule="auto"/>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 xml:space="preserve">A section 75 pooled fund is proposed, hosted by the CCG, which all three organisations may contribute to. </w:t>
      </w:r>
    </w:p>
    <w:p w:rsidR="00E24F8A" w:rsidRPr="00E24F8A" w:rsidRDefault="00E24F8A" w:rsidP="00E24F8A">
      <w:pPr>
        <w:spacing w:after="200" w:line="276" w:lineRule="auto"/>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At 1</w:t>
      </w:r>
      <w:r w:rsidRPr="00E24F8A">
        <w:rPr>
          <w:rFonts w:asciiTheme="minorHAnsi" w:eastAsiaTheme="minorHAnsi" w:hAnsiTheme="minorHAnsi" w:cstheme="minorHAnsi"/>
          <w:sz w:val="22"/>
          <w:szCs w:val="22"/>
          <w:vertAlign w:val="superscript"/>
          <w:lang w:eastAsia="en-US"/>
        </w:rPr>
        <w:t>st</w:t>
      </w:r>
      <w:r w:rsidRPr="00E24F8A">
        <w:rPr>
          <w:rFonts w:asciiTheme="minorHAnsi" w:eastAsiaTheme="minorHAnsi" w:hAnsiTheme="minorHAnsi" w:cstheme="minorHAnsi"/>
          <w:sz w:val="22"/>
          <w:szCs w:val="22"/>
          <w:lang w:eastAsia="en-US"/>
        </w:rPr>
        <w:t xml:space="preserve"> April 2015 NHS England contribution will not include core contract funding or primary care estate, but will include all other (discretionary) NHSE primary care budgets for NEL practices. CCG will contribute all its primary care budgets. NELC will not contribute at this stage. </w:t>
      </w:r>
    </w:p>
    <w:p w:rsidR="00E24F8A" w:rsidRPr="00E24F8A" w:rsidRDefault="00E24F8A" w:rsidP="00E24F8A">
      <w:pPr>
        <w:spacing w:after="200" w:line="276" w:lineRule="auto"/>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A risk management protocol will be drawn up – content proposals are not yet agreed but they will include contributions, and management of overspends and underspends. For example:</w:t>
      </w:r>
    </w:p>
    <w:p w:rsidR="00E24F8A" w:rsidRPr="00E24F8A" w:rsidRDefault="00E24F8A" w:rsidP="0012608B">
      <w:pPr>
        <w:numPr>
          <w:ilvl w:val="0"/>
          <w:numId w:val="30"/>
        </w:numPr>
        <w:rPr>
          <w:rFonts w:ascii="Calibri" w:eastAsiaTheme="minorHAnsi" w:hAnsi="Calibri" w:cstheme="minorHAnsi"/>
          <w:sz w:val="22"/>
          <w:szCs w:val="22"/>
          <w:lang w:eastAsia="en-US"/>
        </w:rPr>
      </w:pPr>
      <w:r w:rsidRPr="00E24F8A">
        <w:rPr>
          <w:rFonts w:ascii="Calibri" w:eastAsiaTheme="minorHAnsi" w:hAnsi="Calibri" w:cstheme="minorHAnsi"/>
          <w:sz w:val="22"/>
          <w:szCs w:val="22"/>
          <w:lang w:eastAsia="en-US"/>
        </w:rPr>
        <w:t>No organisation to take money out of pool in-year unless agreed by the joint committee</w:t>
      </w:r>
    </w:p>
    <w:p w:rsidR="00E24F8A" w:rsidRPr="00E24F8A" w:rsidRDefault="00E24F8A" w:rsidP="0012608B">
      <w:pPr>
        <w:numPr>
          <w:ilvl w:val="0"/>
          <w:numId w:val="29"/>
        </w:numPr>
        <w:rPr>
          <w:rFonts w:ascii="Calibri" w:eastAsiaTheme="minorHAnsi" w:hAnsi="Calibri" w:cstheme="minorHAnsi"/>
          <w:sz w:val="22"/>
          <w:szCs w:val="22"/>
          <w:lang w:eastAsia="en-US"/>
        </w:rPr>
      </w:pPr>
      <w:r w:rsidRPr="00E24F8A">
        <w:rPr>
          <w:rFonts w:ascii="Calibri" w:eastAsiaTheme="minorHAnsi" w:hAnsi="Calibri" w:cstheme="minorHAnsi"/>
          <w:sz w:val="22"/>
          <w:szCs w:val="22"/>
          <w:lang w:eastAsia="en-US"/>
        </w:rPr>
        <w:t xml:space="preserve">The value of the contributions will be determined annually by the contributing organisation, but must reflect (at a minimum) the level of unavoidable cost commitment for services that the organisation is accountable for. </w:t>
      </w:r>
    </w:p>
    <w:p w:rsidR="00E24F8A" w:rsidRPr="00E24F8A" w:rsidRDefault="00E24F8A" w:rsidP="0012608B">
      <w:pPr>
        <w:numPr>
          <w:ilvl w:val="0"/>
          <w:numId w:val="29"/>
        </w:numPr>
        <w:rPr>
          <w:rFonts w:ascii="Calibri" w:eastAsiaTheme="minorHAnsi" w:hAnsi="Calibri" w:cstheme="minorHAnsi"/>
          <w:sz w:val="22"/>
          <w:szCs w:val="22"/>
          <w:lang w:eastAsia="en-US"/>
        </w:rPr>
      </w:pPr>
      <w:r w:rsidRPr="00E24F8A">
        <w:rPr>
          <w:rFonts w:ascii="Calibri" w:eastAsiaTheme="minorHAnsi" w:hAnsi="Calibri" w:cstheme="minorHAnsi"/>
          <w:sz w:val="22"/>
          <w:szCs w:val="22"/>
          <w:lang w:eastAsia="en-US"/>
        </w:rPr>
        <w:t>Any in-year underspends will be ring fenced for investment in primary medical services, and their use determined by the joint committee</w:t>
      </w:r>
    </w:p>
    <w:p w:rsidR="00E24F8A" w:rsidRPr="0012608B" w:rsidRDefault="00E24F8A" w:rsidP="0012608B">
      <w:pPr>
        <w:numPr>
          <w:ilvl w:val="0"/>
          <w:numId w:val="29"/>
        </w:numPr>
        <w:rPr>
          <w:rFonts w:asciiTheme="minorHAnsi" w:eastAsiaTheme="minorHAnsi" w:hAnsiTheme="minorHAnsi" w:cstheme="minorHAnsi"/>
          <w:sz w:val="22"/>
          <w:szCs w:val="22"/>
          <w:lang w:eastAsia="en-US"/>
        </w:rPr>
      </w:pPr>
      <w:r w:rsidRPr="00E24F8A">
        <w:rPr>
          <w:rFonts w:ascii="Calibri" w:eastAsiaTheme="minorHAnsi" w:hAnsi="Calibri" w:cstheme="minorHAnsi"/>
          <w:sz w:val="22"/>
          <w:szCs w:val="22"/>
          <w:lang w:eastAsia="en-US"/>
        </w:rPr>
        <w:t>Any in-year overspends that cannot be recovered in year or through use of prior year underspends will be shared between contributing partners (pro rata to the level of contribution to the pool)</w:t>
      </w:r>
    </w:p>
    <w:p w:rsidR="0012608B" w:rsidRPr="00E24F8A" w:rsidRDefault="0012608B" w:rsidP="0012608B">
      <w:pPr>
        <w:ind w:left="360"/>
        <w:rPr>
          <w:rFonts w:asciiTheme="minorHAnsi" w:eastAsiaTheme="minorHAnsi" w:hAnsiTheme="minorHAnsi" w:cstheme="minorHAnsi"/>
          <w:sz w:val="22"/>
          <w:szCs w:val="22"/>
          <w:lang w:eastAsia="en-US"/>
        </w:rPr>
      </w:pPr>
    </w:p>
    <w:p w:rsidR="00E24F8A" w:rsidRPr="00E24F8A" w:rsidRDefault="00E24F8A" w:rsidP="00E24F8A">
      <w:pPr>
        <w:numPr>
          <w:ilvl w:val="0"/>
          <w:numId w:val="31"/>
        </w:numPr>
        <w:spacing w:after="200" w:line="276" w:lineRule="auto"/>
        <w:rPr>
          <w:rFonts w:ascii="Calibri" w:eastAsiaTheme="minorHAnsi" w:hAnsi="Calibri" w:cstheme="minorHAnsi"/>
          <w:b/>
          <w:sz w:val="22"/>
          <w:szCs w:val="22"/>
          <w:u w:val="single"/>
          <w:lang w:eastAsia="en-US"/>
        </w:rPr>
      </w:pPr>
      <w:r w:rsidRPr="00E24F8A">
        <w:rPr>
          <w:rFonts w:ascii="Calibri" w:eastAsiaTheme="minorHAnsi" w:hAnsi="Calibri" w:cstheme="minorHAnsi"/>
          <w:b/>
          <w:sz w:val="22"/>
          <w:szCs w:val="22"/>
          <w:u w:val="single"/>
          <w:lang w:eastAsia="en-US"/>
        </w:rPr>
        <w:t>Submission Timetable</w:t>
      </w:r>
    </w:p>
    <w:p w:rsidR="00E24F8A" w:rsidRDefault="00E24F8A" w:rsidP="0012608B">
      <w:p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By 30</w:t>
      </w:r>
      <w:r w:rsidRPr="00E24F8A">
        <w:rPr>
          <w:rFonts w:asciiTheme="minorHAnsi" w:eastAsiaTheme="minorHAnsi" w:hAnsiTheme="minorHAnsi" w:cstheme="minorHAnsi"/>
          <w:sz w:val="22"/>
          <w:szCs w:val="22"/>
          <w:vertAlign w:val="superscript"/>
          <w:lang w:eastAsia="en-US"/>
        </w:rPr>
        <w:t>th</w:t>
      </w:r>
      <w:r w:rsidRPr="00E24F8A">
        <w:rPr>
          <w:rFonts w:asciiTheme="minorHAnsi" w:eastAsiaTheme="minorHAnsi" w:hAnsiTheme="minorHAnsi" w:cstheme="minorHAnsi"/>
          <w:sz w:val="22"/>
          <w:szCs w:val="22"/>
          <w:lang w:eastAsia="en-US"/>
        </w:rPr>
        <w:t xml:space="preserve"> January the CCG must agree with its partners the following documents for submission</w:t>
      </w:r>
    </w:p>
    <w:p w:rsidR="0012608B" w:rsidRPr="00E24F8A" w:rsidRDefault="0012608B" w:rsidP="0012608B">
      <w:pPr>
        <w:rPr>
          <w:rFonts w:asciiTheme="minorHAnsi" w:eastAsiaTheme="minorHAnsi" w:hAnsiTheme="minorHAnsi" w:cstheme="minorHAnsi"/>
          <w:sz w:val="22"/>
          <w:szCs w:val="22"/>
          <w:lang w:eastAsia="en-US"/>
        </w:rPr>
      </w:pPr>
    </w:p>
    <w:p w:rsidR="00E24F8A" w:rsidRPr="00E24F8A" w:rsidRDefault="00E24F8A" w:rsidP="0012608B">
      <w:pPr>
        <w:numPr>
          <w:ilvl w:val="0"/>
          <w:numId w:val="27"/>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Submission summary</w:t>
      </w:r>
    </w:p>
    <w:p w:rsidR="00E24F8A" w:rsidRPr="00E24F8A" w:rsidRDefault="00E24F8A" w:rsidP="0012608B">
      <w:pPr>
        <w:numPr>
          <w:ilvl w:val="0"/>
          <w:numId w:val="27"/>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Terms of Reference and Scheme of delegation for the Joint Committee</w:t>
      </w:r>
    </w:p>
    <w:p w:rsidR="00E24F8A" w:rsidRPr="00E24F8A" w:rsidRDefault="00E24F8A" w:rsidP="0012608B">
      <w:pPr>
        <w:numPr>
          <w:ilvl w:val="0"/>
          <w:numId w:val="27"/>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 xml:space="preserve">Draft Section 75 agreement </w:t>
      </w:r>
    </w:p>
    <w:p w:rsidR="00E24F8A" w:rsidRPr="00E24F8A" w:rsidRDefault="00E24F8A" w:rsidP="0012608B">
      <w:pPr>
        <w:numPr>
          <w:ilvl w:val="0"/>
          <w:numId w:val="27"/>
        </w:num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Governance arrangements including conflict of interest management and CCG constitution changes</w:t>
      </w:r>
    </w:p>
    <w:p w:rsidR="0012608B" w:rsidRDefault="0012608B" w:rsidP="0012608B">
      <w:pPr>
        <w:rPr>
          <w:rFonts w:asciiTheme="minorHAnsi" w:eastAsiaTheme="minorHAnsi" w:hAnsiTheme="minorHAnsi" w:cstheme="minorHAnsi"/>
          <w:sz w:val="22"/>
          <w:szCs w:val="22"/>
          <w:lang w:eastAsia="en-US"/>
        </w:rPr>
      </w:pPr>
    </w:p>
    <w:p w:rsidR="00E24F8A" w:rsidRPr="00E24F8A" w:rsidRDefault="00E24F8A" w:rsidP="0012608B">
      <w:pPr>
        <w:rPr>
          <w:rFonts w:asciiTheme="minorHAnsi" w:eastAsiaTheme="minorHAnsi" w:hAnsiTheme="minorHAnsi" w:cstheme="minorHAnsi"/>
          <w:sz w:val="22"/>
          <w:szCs w:val="22"/>
          <w:lang w:eastAsia="en-US"/>
        </w:rPr>
      </w:pPr>
      <w:r w:rsidRPr="00E24F8A">
        <w:rPr>
          <w:rFonts w:asciiTheme="minorHAnsi" w:eastAsiaTheme="minorHAnsi" w:hAnsiTheme="minorHAnsi" w:cstheme="minorHAnsi"/>
          <w:sz w:val="22"/>
          <w:szCs w:val="22"/>
          <w:lang w:eastAsia="en-US"/>
        </w:rPr>
        <w:t xml:space="preserve">A working group of the three partners has been established to develop these documents during January, and procedures for them to be agreed are in hand within NEL council and with relevant NHS England officers. It is proposed that the CCG Chief Clinical Officer is authorised to agree them on behalf of the CCG.  </w:t>
      </w:r>
    </w:p>
    <w:p w:rsidR="006D6021" w:rsidRDefault="006D6021">
      <w:pPr>
        <w:rPr>
          <w:rFonts w:ascii="Arial" w:hAnsi="Arial" w:cs="Arial"/>
          <w:b/>
          <w:bCs/>
          <w:sz w:val="22"/>
          <w:szCs w:val="22"/>
        </w:rPr>
      </w:pPr>
    </w:p>
    <w:sectPr w:rsidR="006D6021" w:rsidSect="00780041">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41" w:rsidRDefault="00780041">
      <w:r>
        <w:separator/>
      </w:r>
    </w:p>
  </w:endnote>
  <w:endnote w:type="continuationSeparator" w:id="0">
    <w:p w:rsidR="00780041" w:rsidRDefault="0078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41" w:rsidRDefault="00780041" w:rsidP="00DC321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41" w:rsidRDefault="00780041" w:rsidP="00CA2039">
    <w:pPr>
      <w:pStyle w:val="Footer"/>
      <w:jc w:val="right"/>
    </w:pPr>
    <w:r>
      <w:rPr>
        <w:noProof/>
      </w:rPr>
      <w:drawing>
        <wp:inline distT="0" distB="0" distL="0" distR="0" wp14:anchorId="7F22DAB1" wp14:editId="772CBD25">
          <wp:extent cx="2659380" cy="350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350520"/>
                  </a:xfrm>
                  <a:prstGeom prst="rect">
                    <a:avLst/>
                  </a:prstGeom>
                  <a:noFill/>
                  <a:ln>
                    <a:noFill/>
                  </a:ln>
                </pic:spPr>
              </pic:pic>
            </a:graphicData>
          </a:graphic>
        </wp:inline>
      </w:drawing>
    </w:r>
    <w:r>
      <w:rPr>
        <w:noProof/>
      </w:rPr>
      <w:drawing>
        <wp:inline distT="0" distB="0" distL="0" distR="0" wp14:anchorId="0A613698" wp14:editId="4E782C53">
          <wp:extent cx="103632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41" w:rsidRDefault="00780041">
      <w:r>
        <w:separator/>
      </w:r>
    </w:p>
  </w:footnote>
  <w:footnote w:type="continuationSeparator" w:id="0">
    <w:p w:rsidR="00780041" w:rsidRDefault="00780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47C1BCD"/>
    <w:multiLevelType w:val="hybridMultilevel"/>
    <w:tmpl w:val="5B38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95219"/>
    <w:multiLevelType w:val="hybridMultilevel"/>
    <w:tmpl w:val="941A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181FC0"/>
    <w:multiLevelType w:val="hybridMultilevel"/>
    <w:tmpl w:val="FC0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9DA6E7B"/>
    <w:multiLevelType w:val="multilevel"/>
    <w:tmpl w:val="CC0EEB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C147291"/>
    <w:multiLevelType w:val="hybridMultilevel"/>
    <w:tmpl w:val="CD12E262"/>
    <w:lvl w:ilvl="0" w:tplc="94FE55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DF3C72"/>
    <w:multiLevelType w:val="hybridMultilevel"/>
    <w:tmpl w:val="4D90F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CA0189"/>
    <w:multiLevelType w:val="hybridMultilevel"/>
    <w:tmpl w:val="00E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FA4495"/>
    <w:multiLevelType w:val="hybridMultilevel"/>
    <w:tmpl w:val="9FAAC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1"/>
  </w:num>
  <w:num w:numId="6">
    <w:abstractNumId w:val="26"/>
  </w:num>
  <w:num w:numId="7">
    <w:abstractNumId w:val="3"/>
  </w:num>
  <w:num w:numId="8">
    <w:abstractNumId w:val="19"/>
  </w:num>
  <w:num w:numId="9">
    <w:abstractNumId w:val="23"/>
  </w:num>
  <w:num w:numId="10">
    <w:abstractNumId w:val="5"/>
  </w:num>
  <w:num w:numId="11">
    <w:abstractNumId w:val="9"/>
  </w:num>
  <w:num w:numId="12">
    <w:abstractNumId w:val="25"/>
  </w:num>
  <w:num w:numId="13">
    <w:abstractNumId w:val="13"/>
  </w:num>
  <w:num w:numId="14">
    <w:abstractNumId w:val="1"/>
  </w:num>
  <w:num w:numId="15">
    <w:abstractNumId w:val="16"/>
  </w:num>
  <w:num w:numId="16">
    <w:abstractNumId w:val="10"/>
  </w:num>
  <w:num w:numId="17">
    <w:abstractNumId w:val="22"/>
  </w:num>
  <w:num w:numId="18">
    <w:abstractNumId w:val="15"/>
  </w:num>
  <w:num w:numId="19">
    <w:abstractNumId w:val="28"/>
  </w:num>
  <w:num w:numId="20">
    <w:abstractNumId w:val="8"/>
  </w:num>
  <w:num w:numId="21">
    <w:abstractNumId w:val="7"/>
  </w:num>
  <w:num w:numId="22">
    <w:abstractNumId w:val="12"/>
  </w:num>
  <w:num w:numId="23">
    <w:abstractNumId w:val="4"/>
  </w:num>
  <w:num w:numId="24">
    <w:abstractNumId w:val="11"/>
  </w:num>
  <w:num w:numId="25">
    <w:abstractNumId w:val="18"/>
  </w:num>
  <w:num w:numId="26">
    <w:abstractNumId w:val="30"/>
  </w:num>
  <w:num w:numId="27">
    <w:abstractNumId w:val="20"/>
  </w:num>
  <w:num w:numId="28">
    <w:abstractNumId w:val="27"/>
  </w:num>
  <w:num w:numId="29">
    <w:abstractNumId w:val="14"/>
  </w:num>
  <w:num w:numId="30">
    <w:abstractNumId w:val="6"/>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8774E"/>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2608B"/>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09CB"/>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1E13"/>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D6021"/>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0041"/>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57744"/>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2039"/>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4F8A"/>
    <w:rsid w:val="00E2557D"/>
    <w:rsid w:val="00E320A8"/>
    <w:rsid w:val="00E43FD9"/>
    <w:rsid w:val="00E46EFA"/>
    <w:rsid w:val="00E47C0B"/>
    <w:rsid w:val="00E5159C"/>
    <w:rsid w:val="00E538AF"/>
    <w:rsid w:val="00E550FE"/>
    <w:rsid w:val="00E617F9"/>
    <w:rsid w:val="00E67668"/>
    <w:rsid w:val="00E72A60"/>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hyperlink" Target="https://www.england.nhs.uk/commissioning/pc-co-com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1406</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9466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9</cp:revision>
  <cp:lastPrinted>2011-06-01T15:50:00Z</cp:lastPrinted>
  <dcterms:created xsi:type="dcterms:W3CDTF">2014-05-06T14:26:00Z</dcterms:created>
  <dcterms:modified xsi:type="dcterms:W3CDTF">2014-12-31T10:43:00Z</dcterms:modified>
</cp:coreProperties>
</file>