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Default="006A74AF" w:rsidP="00BA763E">
      <w:pPr>
        <w:pStyle w:val="Header"/>
        <w:jc w:val="right"/>
        <w:rPr>
          <w:noProof/>
        </w:rPr>
      </w:pPr>
      <w:r>
        <w:rPr>
          <w:rFonts w:ascii="Arial" w:hAnsi="Arial" w:cs="Arial"/>
          <w:b/>
          <w:noProof/>
          <w:sz w:val="52"/>
          <w:szCs w:val="52"/>
        </w:rPr>
        <mc:AlternateContent>
          <mc:Choice Requires="wps">
            <w:drawing>
              <wp:anchor distT="0" distB="0" distL="114300" distR="114300" simplePos="0" relativeHeight="251657728" behindDoc="0" locked="0" layoutInCell="1" allowOverlap="1" wp14:anchorId="0E32B8CF" wp14:editId="4AE8A7D4">
                <wp:simplePos x="0" y="0"/>
                <wp:positionH relativeFrom="column">
                  <wp:posOffset>-114300</wp:posOffset>
                </wp:positionH>
                <wp:positionV relativeFrom="paragraph">
                  <wp:posOffset>232410</wp:posOffset>
                </wp:positionV>
                <wp:extent cx="2286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502D" w:rsidRPr="00DD7564" w:rsidRDefault="0093502D" w:rsidP="00DD689C">
                            <w:pPr>
                              <w:rPr>
                                <w:rFonts w:ascii="Arial" w:hAnsi="Arial" w:cs="Arial"/>
                                <w:sz w:val="32"/>
                                <w:szCs w:val="32"/>
                              </w:rPr>
                            </w:pPr>
                            <w:r>
                              <w:rPr>
                                <w:rFonts w:ascii="Arial" w:hAnsi="Arial" w:cs="Arial"/>
                                <w:sz w:val="32"/>
                                <w:szCs w:val="32"/>
                              </w:rPr>
                              <w:t xml:space="preserve">Attachment </w:t>
                            </w:r>
                            <w:r w:rsidR="00AD192D">
                              <w:rPr>
                                <w:rFonts w:ascii="Arial" w:hAnsi="Arial" w:cs="Arial"/>
                                <w:sz w:val="32"/>
                                <w:szCs w:val="32"/>
                              </w:rPr>
                              <w:t>06</w:t>
                            </w:r>
                          </w:p>
                          <w:p w:rsidR="0093502D" w:rsidRDefault="0093502D"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8.3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" stroked="f">
                <v:textbox>
                  <w:txbxContent>
                    <w:p w:rsidR="0093502D" w:rsidRPr="00DD7564" w:rsidRDefault="0093502D" w:rsidP="00DD689C">
                      <w:pPr>
                        <w:rPr>
                          <w:rFonts w:ascii="Arial" w:hAnsi="Arial" w:cs="Arial"/>
                          <w:sz w:val="32"/>
                          <w:szCs w:val="32"/>
                        </w:rPr>
                      </w:pPr>
                      <w:r>
                        <w:rPr>
                          <w:rFonts w:ascii="Arial" w:hAnsi="Arial" w:cs="Arial"/>
                          <w:sz w:val="32"/>
                          <w:szCs w:val="32"/>
                        </w:rPr>
                        <w:t xml:space="preserve">Attachment </w:t>
                      </w:r>
                      <w:r w:rsidR="00AD192D">
                        <w:rPr>
                          <w:rFonts w:ascii="Arial" w:hAnsi="Arial" w:cs="Arial"/>
                          <w:sz w:val="32"/>
                          <w:szCs w:val="32"/>
                        </w:rPr>
                        <w:t>06</w:t>
                      </w:r>
                    </w:p>
                    <w:p w:rsidR="0093502D" w:rsidRDefault="0093502D" w:rsidP="00DD689C">
                      <w:pPr>
                        <w:rPr>
                          <w:sz w:val="36"/>
                        </w:rPr>
                      </w:pPr>
                    </w:p>
                  </w:txbxContent>
                </v:textbox>
              </v:shape>
            </w:pict>
          </mc:Fallback>
        </mc:AlternateContent>
      </w:r>
      <w:r w:rsidR="001D78A2">
        <w:rPr>
          <w:noProof/>
        </w:rPr>
        <w:drawing>
          <wp:inline distT="0" distB="0" distL="0" distR="0" wp14:anchorId="219E91CC" wp14:editId="5B4C0398">
            <wp:extent cx="777240" cy="312225"/>
            <wp:effectExtent l="0" t="0" r="3810" b="0"/>
            <wp:docPr id="1" name="Picture 2" descr="Description: http://upload.wikimedia.org/wikipedia/commons/0/0b/N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upload.wikimedia.org/wikipedia/commons/0/0b/NH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240" cy="312225"/>
                    </a:xfrm>
                    <a:prstGeom prst="rect">
                      <a:avLst/>
                    </a:prstGeom>
                    <a:noFill/>
                    <a:ln>
                      <a:noFill/>
                    </a:ln>
                  </pic:spPr>
                </pic:pic>
              </a:graphicData>
            </a:graphic>
          </wp:inline>
        </w:drawing>
      </w:r>
    </w:p>
    <w:p w:rsidR="00DD689C" w:rsidRDefault="00BA763E" w:rsidP="006A74AF">
      <w:pPr>
        <w:pStyle w:val="Header"/>
        <w:jc w:val="right"/>
        <w:rPr>
          <w:b/>
          <w:color w:val="365F91"/>
        </w:rPr>
      </w:pPr>
      <w:bookmarkStart w:id="0" w:name="_GoBack"/>
      <w:bookmarkEnd w:id="0"/>
      <w:r>
        <w:rPr>
          <w:b/>
          <w:color w:val="365F91"/>
        </w:rPr>
        <w:t>North East Lincolnshire CCG</w:t>
      </w:r>
    </w:p>
    <w:p w:rsidR="006A74AF" w:rsidRPr="006A74AF" w:rsidRDefault="006A74AF" w:rsidP="006A74AF">
      <w:pPr>
        <w:pStyle w:val="Header"/>
        <w:rPr>
          <w:b/>
          <w:color w:val="365F91"/>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8003"/>
      </w:tblGrid>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DD689C" w:rsidP="009306C6">
            <w:pPr>
              <w:rPr>
                <w:rFonts w:ascii="Arial" w:hAnsi="Arial" w:cs="Arial"/>
                <w:b/>
                <w:bCs/>
                <w:sz w:val="22"/>
                <w:szCs w:val="22"/>
              </w:rPr>
            </w:pP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Report to:</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7E6A63" w:rsidP="00A531CD">
            <w:pPr>
              <w:rPr>
                <w:rFonts w:ascii="Arial" w:hAnsi="Arial" w:cs="Arial"/>
                <w:bCs/>
                <w:sz w:val="22"/>
                <w:szCs w:val="22"/>
              </w:rPr>
            </w:pPr>
            <w:r>
              <w:rPr>
                <w:rFonts w:ascii="Arial" w:hAnsi="Arial" w:cs="Arial"/>
                <w:bCs/>
                <w:sz w:val="22"/>
                <w:szCs w:val="22"/>
              </w:rPr>
              <w:t xml:space="preserve">NEL </w:t>
            </w:r>
            <w:r w:rsidR="007927F8">
              <w:rPr>
                <w:rFonts w:ascii="Arial" w:hAnsi="Arial" w:cs="Arial"/>
                <w:bCs/>
                <w:sz w:val="22"/>
                <w:szCs w:val="22"/>
              </w:rPr>
              <w:t xml:space="preserve">CCG </w:t>
            </w:r>
            <w:r w:rsidR="00A531CD">
              <w:rPr>
                <w:rFonts w:ascii="Arial" w:hAnsi="Arial" w:cs="Arial"/>
                <w:bCs/>
                <w:sz w:val="22"/>
                <w:szCs w:val="22"/>
              </w:rPr>
              <w:t>Partnership Board</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Presented by:</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082D82" w:rsidP="009306C6">
            <w:pPr>
              <w:rPr>
                <w:rFonts w:ascii="Arial" w:hAnsi="Arial" w:cs="Arial"/>
                <w:bCs/>
                <w:sz w:val="22"/>
                <w:szCs w:val="22"/>
              </w:rPr>
            </w:pPr>
            <w:r>
              <w:rPr>
                <w:rFonts w:ascii="Arial" w:hAnsi="Arial" w:cs="Arial"/>
                <w:bCs/>
                <w:sz w:val="22"/>
                <w:szCs w:val="22"/>
              </w:rPr>
              <w:t>Laura Whitton</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Date of Meeting:</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082D82" w:rsidP="00BC5CEC">
            <w:pPr>
              <w:rPr>
                <w:rFonts w:ascii="Arial" w:hAnsi="Arial" w:cs="Arial"/>
                <w:bCs/>
                <w:sz w:val="22"/>
                <w:szCs w:val="22"/>
              </w:rPr>
            </w:pPr>
            <w:r>
              <w:rPr>
                <w:rFonts w:ascii="Arial" w:hAnsi="Arial" w:cs="Arial"/>
                <w:bCs/>
                <w:sz w:val="22"/>
                <w:szCs w:val="22"/>
              </w:rPr>
              <w:t>9</w:t>
            </w:r>
            <w:r w:rsidRPr="00082D82">
              <w:rPr>
                <w:rFonts w:ascii="Arial" w:hAnsi="Arial" w:cs="Arial"/>
                <w:bCs/>
                <w:sz w:val="22"/>
                <w:szCs w:val="22"/>
                <w:vertAlign w:val="superscript"/>
              </w:rPr>
              <w:t>th</w:t>
            </w:r>
            <w:r>
              <w:rPr>
                <w:rFonts w:ascii="Arial" w:hAnsi="Arial" w:cs="Arial"/>
                <w:bCs/>
                <w:sz w:val="22"/>
                <w:szCs w:val="22"/>
              </w:rPr>
              <w:t xml:space="preserve"> July 2015</w:t>
            </w:r>
          </w:p>
        </w:tc>
      </w:tr>
      <w:tr w:rsidR="00DD689C" w:rsidRPr="00752FD6" w:rsidTr="00D7033C">
        <w:trPr>
          <w:trHeight w:val="438"/>
        </w:trPr>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Subject:</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082D82" w:rsidP="009306C6">
            <w:pPr>
              <w:rPr>
                <w:rFonts w:ascii="Arial" w:hAnsi="Arial" w:cs="Arial"/>
                <w:bCs/>
                <w:sz w:val="22"/>
                <w:szCs w:val="22"/>
              </w:rPr>
            </w:pPr>
            <w:r w:rsidRPr="00082D82">
              <w:rPr>
                <w:rFonts w:ascii="Arial" w:hAnsi="Arial" w:cs="Arial"/>
                <w:bCs/>
                <w:sz w:val="22"/>
                <w:szCs w:val="22"/>
              </w:rPr>
              <w:t>Commissioning Support</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Status:</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082D82" w:rsidP="00752FD6">
            <w:pPr>
              <w:spacing w:before="60"/>
              <w:rPr>
                <w:rFonts w:ascii="Arial" w:hAnsi="Arial" w:cs="Arial"/>
                <w:sz w:val="22"/>
                <w:szCs w:val="22"/>
              </w:rPr>
            </w:pPr>
            <w:bookmarkStart w:id="1" w:name="Check4"/>
            <w:r>
              <w:rPr>
                <w:rFonts w:ascii="Arial" w:hAnsi="Arial" w:cs="Arial"/>
                <w:sz w:val="22"/>
                <w:szCs w:val="22"/>
              </w:rPr>
              <w:t>x</w:t>
            </w:r>
            <w:r w:rsidR="00DD7564">
              <w:rPr>
                <w:rFonts w:ascii="Arial" w:hAnsi="Arial" w:cs="Arial"/>
                <w:sz w:val="22"/>
                <w:szCs w:val="22"/>
              </w:rPr>
              <w:fldChar w:fldCharType="begin">
                <w:ffData>
                  <w:name w:val="Check4"/>
                  <w:enabled/>
                  <w:calcOnExit w:val="0"/>
                  <w:checkBox>
                    <w:sizeAuto/>
                    <w:default w:val="0"/>
                  </w:checkBox>
                </w:ffData>
              </w:fldChar>
            </w:r>
            <w:r w:rsidR="00DD7564">
              <w:rPr>
                <w:rFonts w:ascii="Arial" w:hAnsi="Arial" w:cs="Arial"/>
                <w:sz w:val="22"/>
                <w:szCs w:val="22"/>
              </w:rPr>
              <w:instrText xml:space="preserve"> FORMCHECKBOX </w:instrText>
            </w:r>
            <w:r w:rsidR="00DD7564">
              <w:rPr>
                <w:rFonts w:ascii="Arial" w:hAnsi="Arial" w:cs="Arial"/>
                <w:sz w:val="22"/>
                <w:szCs w:val="22"/>
              </w:rPr>
            </w:r>
            <w:r w:rsidR="00DD7564">
              <w:rPr>
                <w:rFonts w:ascii="Arial" w:hAnsi="Arial" w:cs="Arial"/>
                <w:sz w:val="22"/>
                <w:szCs w:val="22"/>
              </w:rPr>
              <w:fldChar w:fldCharType="end"/>
            </w:r>
            <w:bookmarkEnd w:id="1"/>
            <w:r w:rsidR="00DD689C" w:rsidRPr="00752FD6">
              <w:rPr>
                <w:rFonts w:ascii="Arial" w:hAnsi="Arial" w:cs="Arial"/>
                <w:sz w:val="22"/>
                <w:szCs w:val="22"/>
              </w:rPr>
              <w:t xml:space="preserve"> OPEN</w:t>
            </w:r>
            <w:r w:rsidR="00DD689C" w:rsidRPr="00752FD6">
              <w:rPr>
                <w:rFonts w:ascii="Arial" w:hAnsi="Arial" w:cs="Arial"/>
                <w:sz w:val="22"/>
                <w:szCs w:val="22"/>
              </w:rPr>
              <w:tab/>
              <w:t xml:space="preserve">           </w:t>
            </w:r>
            <w:r w:rsidR="00DD689C" w:rsidRPr="00752FD6">
              <w:rPr>
                <w:rFonts w:ascii="Arial" w:hAnsi="Arial" w:cs="Arial"/>
                <w:sz w:val="22"/>
                <w:szCs w:val="22"/>
              </w:rPr>
              <w:fldChar w:fldCharType="begin">
                <w:ffData>
                  <w:name w:val="Check8"/>
                  <w:enabled/>
                  <w:calcOnExit w:val="0"/>
                  <w:checkBox>
                    <w:sizeAuto/>
                    <w:default w:val="0"/>
                  </w:checkBox>
                </w:ffData>
              </w:fldChar>
            </w:r>
            <w:bookmarkStart w:id="2" w:name="Check8"/>
            <w:r w:rsidR="00DD689C" w:rsidRPr="00752FD6">
              <w:rPr>
                <w:rFonts w:ascii="Arial" w:hAnsi="Arial" w:cs="Arial"/>
                <w:sz w:val="22"/>
                <w:szCs w:val="22"/>
              </w:rPr>
              <w:instrText xml:space="preserve"> FORMCHECKBOX </w:instrText>
            </w:r>
            <w:r w:rsidR="00DD689C" w:rsidRPr="00752FD6">
              <w:rPr>
                <w:rFonts w:ascii="Arial" w:hAnsi="Arial" w:cs="Arial"/>
                <w:sz w:val="22"/>
                <w:szCs w:val="22"/>
              </w:rPr>
            </w:r>
            <w:r w:rsidR="00DD689C" w:rsidRPr="00752FD6">
              <w:rPr>
                <w:rFonts w:ascii="Arial" w:hAnsi="Arial" w:cs="Arial"/>
                <w:sz w:val="22"/>
                <w:szCs w:val="22"/>
              </w:rPr>
              <w:fldChar w:fldCharType="end"/>
            </w:r>
            <w:bookmarkEnd w:id="2"/>
            <w:r w:rsidR="00DD689C" w:rsidRPr="00752FD6">
              <w:rPr>
                <w:rFonts w:ascii="Arial" w:hAnsi="Arial" w:cs="Arial"/>
                <w:sz w:val="22"/>
                <w:szCs w:val="22"/>
              </w:rPr>
              <w:t xml:space="preserve"> CLOSED</w:t>
            </w:r>
          </w:p>
        </w:tc>
      </w:tr>
    </w:tbl>
    <w:p w:rsidR="00DD689C" w:rsidRPr="009D14DD" w:rsidRDefault="00DD689C" w:rsidP="00DD689C">
      <w:pPr>
        <w:rPr>
          <w:rFonts w:ascii="Arial" w:hAnsi="Arial" w:cs="Arial"/>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6A74AF" w:rsidRDefault="006A74AF" w:rsidP="009306C6">
            <w:pPr>
              <w:rPr>
                <w:rFonts w:ascii="Arial" w:hAnsi="Arial" w:cs="Arial"/>
                <w:b/>
                <w:bCs/>
                <w:sz w:val="22"/>
                <w:szCs w:val="22"/>
              </w:rPr>
            </w:pPr>
            <w:r w:rsidRPr="00752FD6">
              <w:rPr>
                <w:rFonts w:ascii="Arial" w:hAnsi="Arial" w:cs="Arial"/>
                <w:b/>
                <w:bCs/>
                <w:sz w:val="22"/>
                <w:szCs w:val="22"/>
              </w:rPr>
              <w:t>OBJECT OF REPORT</w:t>
            </w:r>
            <w:r>
              <w:rPr>
                <w:rFonts w:ascii="Arial" w:hAnsi="Arial" w:cs="Arial"/>
                <w:b/>
                <w:bCs/>
                <w:sz w:val="22"/>
                <w:szCs w:val="22"/>
              </w:rPr>
              <w:t>:</w:t>
            </w:r>
          </w:p>
        </w:tc>
      </w:tr>
      <w:tr w:rsidR="00DD689C" w:rsidRPr="00752FD6" w:rsidTr="00D7033C">
        <w:trPr>
          <w:trHeight w:val="856"/>
        </w:trPr>
        <w:tc>
          <w:tcPr>
            <w:tcW w:w="10031" w:type="dxa"/>
            <w:shd w:val="clear" w:color="auto" w:fill="auto"/>
          </w:tcPr>
          <w:p w:rsidR="00DD689C" w:rsidRDefault="00DD689C" w:rsidP="009306C6">
            <w:pPr>
              <w:rPr>
                <w:rFonts w:ascii="Arial" w:hAnsi="Arial" w:cs="Arial"/>
                <w:bCs/>
                <w:sz w:val="22"/>
                <w:szCs w:val="22"/>
              </w:rPr>
            </w:pPr>
          </w:p>
          <w:p w:rsidR="001D2557" w:rsidRDefault="001D2557" w:rsidP="001D2557">
            <w:pPr>
              <w:rPr>
                <w:rFonts w:ascii="Arial" w:hAnsi="Arial" w:cs="Arial"/>
                <w:bCs/>
                <w:sz w:val="22"/>
                <w:szCs w:val="22"/>
              </w:rPr>
            </w:pPr>
            <w:r>
              <w:rPr>
                <w:rFonts w:ascii="Arial" w:hAnsi="Arial" w:cs="Arial"/>
                <w:bCs/>
                <w:sz w:val="22"/>
                <w:szCs w:val="22"/>
              </w:rPr>
              <w:t>To update the Board on:-</w:t>
            </w:r>
          </w:p>
          <w:p w:rsidR="001D2557" w:rsidRDefault="001D2557" w:rsidP="001D2557">
            <w:pPr>
              <w:rPr>
                <w:rFonts w:ascii="Arial" w:hAnsi="Arial" w:cs="Arial"/>
                <w:bCs/>
                <w:sz w:val="22"/>
                <w:szCs w:val="22"/>
              </w:rPr>
            </w:pPr>
          </w:p>
          <w:p w:rsidR="001D2557" w:rsidRDefault="001D2557" w:rsidP="001D2557">
            <w:pPr>
              <w:numPr>
                <w:ilvl w:val="0"/>
                <w:numId w:val="24"/>
              </w:numPr>
              <w:jc w:val="both"/>
              <w:rPr>
                <w:rFonts w:ascii="Arial" w:hAnsi="Arial" w:cs="Arial"/>
                <w:bCs/>
                <w:sz w:val="22"/>
                <w:szCs w:val="22"/>
              </w:rPr>
            </w:pPr>
            <w:r>
              <w:rPr>
                <w:rFonts w:ascii="Arial" w:hAnsi="Arial" w:cs="Arial"/>
                <w:bCs/>
                <w:sz w:val="22"/>
                <w:szCs w:val="22"/>
              </w:rPr>
              <w:t xml:space="preserve">the CCGs Commissioning intentions with regard to </w:t>
            </w:r>
            <w:r w:rsidR="00747A7F">
              <w:rPr>
                <w:rFonts w:ascii="Arial" w:hAnsi="Arial" w:cs="Arial"/>
                <w:bCs/>
                <w:sz w:val="22"/>
                <w:szCs w:val="22"/>
              </w:rPr>
              <w:t xml:space="preserve">the </w:t>
            </w:r>
            <w:r>
              <w:rPr>
                <w:rFonts w:ascii="Arial" w:hAnsi="Arial" w:cs="Arial"/>
                <w:bCs/>
                <w:sz w:val="22"/>
                <w:szCs w:val="22"/>
              </w:rPr>
              <w:t xml:space="preserve">services currently bought from Yorkshire and Humber Commissioning Support </w:t>
            </w:r>
          </w:p>
          <w:p w:rsidR="001D2557" w:rsidRPr="001D2557" w:rsidRDefault="001D2557" w:rsidP="00B41D76">
            <w:pPr>
              <w:numPr>
                <w:ilvl w:val="0"/>
                <w:numId w:val="24"/>
              </w:numPr>
              <w:rPr>
                <w:rFonts w:ascii="Arial" w:hAnsi="Arial" w:cs="Arial"/>
                <w:bCs/>
                <w:sz w:val="22"/>
                <w:szCs w:val="22"/>
              </w:rPr>
            </w:pPr>
            <w:r w:rsidRPr="001D2557">
              <w:rPr>
                <w:rFonts w:ascii="Arial" w:hAnsi="Arial" w:cs="Arial"/>
                <w:bCs/>
                <w:sz w:val="22"/>
                <w:szCs w:val="22"/>
              </w:rPr>
              <w:t xml:space="preserve">the key timescales for the transfer of services from Yorkshire and Humber Commissioning Support to new arrangements </w:t>
            </w:r>
          </w:p>
          <w:p w:rsidR="001D2557" w:rsidRDefault="001D2557" w:rsidP="00B41D76">
            <w:pPr>
              <w:rPr>
                <w:rFonts w:ascii="Arial" w:hAnsi="Arial" w:cs="Arial"/>
                <w:bCs/>
                <w:sz w:val="22"/>
                <w:szCs w:val="22"/>
              </w:rPr>
            </w:pPr>
          </w:p>
          <w:p w:rsidR="006A74AF" w:rsidRPr="00752FD6" w:rsidRDefault="006A74AF" w:rsidP="00B41D7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6A74AF" w:rsidRDefault="006A74AF" w:rsidP="009306C6">
            <w:pPr>
              <w:rPr>
                <w:rFonts w:ascii="Arial" w:hAnsi="Arial" w:cs="Arial"/>
                <w:b/>
                <w:bCs/>
                <w:sz w:val="22"/>
                <w:szCs w:val="22"/>
              </w:rPr>
            </w:pPr>
            <w:r w:rsidRPr="00752FD6">
              <w:rPr>
                <w:rFonts w:ascii="Arial" w:hAnsi="Arial" w:cs="Arial"/>
                <w:b/>
                <w:bCs/>
                <w:sz w:val="22"/>
                <w:szCs w:val="22"/>
              </w:rPr>
              <w:t>STRATEGY</w:t>
            </w:r>
            <w:r>
              <w:rPr>
                <w:rFonts w:ascii="Arial" w:hAnsi="Arial" w:cs="Arial"/>
                <w:b/>
                <w:bCs/>
                <w:sz w:val="22"/>
                <w:szCs w:val="22"/>
              </w:rPr>
              <w:t>:</w:t>
            </w:r>
          </w:p>
        </w:tc>
      </w:tr>
      <w:tr w:rsidR="00DD689C" w:rsidRPr="00752FD6" w:rsidTr="00D7033C">
        <w:trPr>
          <w:trHeight w:val="637"/>
        </w:trPr>
        <w:tc>
          <w:tcPr>
            <w:tcW w:w="10031" w:type="dxa"/>
            <w:shd w:val="clear" w:color="auto" w:fill="auto"/>
          </w:tcPr>
          <w:p w:rsidR="00301655" w:rsidRDefault="00301655" w:rsidP="00B41D76">
            <w:pPr>
              <w:rPr>
                <w:rFonts w:ascii="Arial" w:hAnsi="Arial" w:cs="Arial"/>
                <w:bCs/>
                <w:sz w:val="22"/>
                <w:szCs w:val="22"/>
              </w:rPr>
            </w:pPr>
          </w:p>
          <w:p w:rsidR="006A74AF" w:rsidRPr="00752FD6" w:rsidRDefault="001D2557" w:rsidP="00B41D76">
            <w:pPr>
              <w:rPr>
                <w:rFonts w:ascii="Arial" w:hAnsi="Arial" w:cs="Arial"/>
                <w:bCs/>
                <w:sz w:val="22"/>
                <w:szCs w:val="22"/>
              </w:rPr>
            </w:pPr>
            <w:r w:rsidRPr="001D2557">
              <w:rPr>
                <w:rFonts w:ascii="Arial" w:hAnsi="Arial" w:cs="Arial"/>
                <w:bCs/>
                <w:sz w:val="22"/>
                <w:szCs w:val="22"/>
              </w:rPr>
              <w:t>To ensure sustainable, value for money (</w:t>
            </w:r>
            <w:proofErr w:type="spellStart"/>
            <w:r w:rsidRPr="001D2557">
              <w:rPr>
                <w:rFonts w:ascii="Arial" w:hAnsi="Arial" w:cs="Arial"/>
                <w:bCs/>
                <w:sz w:val="22"/>
                <w:szCs w:val="22"/>
              </w:rPr>
              <w:t>vfm</w:t>
            </w:r>
            <w:proofErr w:type="spellEnd"/>
            <w:r w:rsidRPr="001D2557">
              <w:rPr>
                <w:rFonts w:ascii="Arial" w:hAnsi="Arial" w:cs="Arial"/>
                <w:bCs/>
                <w:sz w:val="22"/>
                <w:szCs w:val="22"/>
              </w:rPr>
              <w:t>) &amp; quality commissioning support services</w:t>
            </w: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752FD6" w:rsidRDefault="006A74AF" w:rsidP="009306C6">
            <w:pPr>
              <w:rPr>
                <w:rFonts w:ascii="Arial" w:hAnsi="Arial" w:cs="Arial"/>
                <w:b/>
                <w:bCs/>
                <w:sz w:val="22"/>
                <w:szCs w:val="22"/>
              </w:rPr>
            </w:pPr>
            <w:r w:rsidRPr="00752FD6">
              <w:rPr>
                <w:rFonts w:ascii="Arial" w:hAnsi="Arial" w:cs="Arial"/>
                <w:b/>
                <w:bCs/>
                <w:sz w:val="22"/>
                <w:szCs w:val="22"/>
              </w:rPr>
              <w:t>IMPLICATIONS</w:t>
            </w:r>
            <w:r>
              <w:rPr>
                <w:rFonts w:ascii="Arial" w:hAnsi="Arial" w:cs="Arial"/>
                <w:b/>
                <w:bCs/>
                <w:sz w:val="22"/>
                <w:szCs w:val="22"/>
              </w:rPr>
              <w:t>:</w:t>
            </w:r>
          </w:p>
        </w:tc>
      </w:tr>
      <w:tr w:rsidR="00DD689C" w:rsidRPr="00752FD6" w:rsidTr="00D7033C">
        <w:trPr>
          <w:trHeight w:val="174"/>
        </w:trPr>
        <w:tc>
          <w:tcPr>
            <w:tcW w:w="10031" w:type="dxa"/>
            <w:shd w:val="clear" w:color="auto" w:fill="auto"/>
          </w:tcPr>
          <w:p w:rsidR="00585083" w:rsidRDefault="00585083" w:rsidP="00585083">
            <w:pPr>
              <w:jc w:val="both"/>
              <w:rPr>
                <w:rFonts w:ascii="Arial" w:hAnsi="Arial" w:cs="Arial"/>
                <w:bCs/>
                <w:sz w:val="22"/>
                <w:szCs w:val="22"/>
              </w:rPr>
            </w:pPr>
          </w:p>
          <w:p w:rsidR="001D2557" w:rsidRDefault="001D2557" w:rsidP="001D2557">
            <w:pPr>
              <w:jc w:val="both"/>
              <w:rPr>
                <w:rFonts w:ascii="Arial" w:hAnsi="Arial" w:cs="Arial"/>
                <w:b/>
                <w:bCs/>
                <w:sz w:val="22"/>
                <w:szCs w:val="22"/>
                <w:u w:val="single"/>
              </w:rPr>
            </w:pPr>
            <w:r>
              <w:rPr>
                <w:rFonts w:ascii="Arial" w:hAnsi="Arial" w:cs="Arial"/>
                <w:b/>
                <w:bCs/>
                <w:sz w:val="22"/>
                <w:szCs w:val="22"/>
                <w:u w:val="single"/>
              </w:rPr>
              <w:t>Purpose of paper / report</w:t>
            </w:r>
          </w:p>
          <w:p w:rsidR="001D2557" w:rsidRDefault="001D2557" w:rsidP="001D2557">
            <w:pPr>
              <w:jc w:val="both"/>
              <w:rPr>
                <w:rFonts w:ascii="Arial" w:hAnsi="Arial" w:cs="Arial"/>
                <w:bCs/>
                <w:sz w:val="22"/>
                <w:szCs w:val="22"/>
              </w:rPr>
            </w:pPr>
          </w:p>
          <w:p w:rsidR="001D2557" w:rsidRDefault="001D2557" w:rsidP="001D2557">
            <w:pPr>
              <w:jc w:val="both"/>
              <w:rPr>
                <w:rFonts w:ascii="Arial" w:hAnsi="Arial" w:cs="Arial"/>
                <w:sz w:val="22"/>
                <w:szCs w:val="22"/>
              </w:rPr>
            </w:pPr>
            <w:r>
              <w:rPr>
                <w:rFonts w:ascii="Arial" w:hAnsi="Arial" w:cs="Arial"/>
                <w:sz w:val="22"/>
                <w:szCs w:val="22"/>
              </w:rPr>
              <w:t>This report provides an overview of the future commissioning plans for Commissioning Support Services that the CCG currently buys from Yorkshire &amp; Humber Commissioning Support.</w:t>
            </w:r>
          </w:p>
          <w:p w:rsidR="001D2557" w:rsidRDefault="001D2557" w:rsidP="001D2557">
            <w:pPr>
              <w:jc w:val="both"/>
              <w:rPr>
                <w:rFonts w:ascii="Arial" w:hAnsi="Arial" w:cs="Arial"/>
                <w:sz w:val="22"/>
                <w:szCs w:val="22"/>
              </w:rPr>
            </w:pPr>
          </w:p>
          <w:p w:rsidR="001D2557" w:rsidRDefault="001D2557" w:rsidP="001D2557">
            <w:pPr>
              <w:jc w:val="both"/>
              <w:rPr>
                <w:rFonts w:ascii="Arial" w:hAnsi="Arial" w:cs="Arial"/>
                <w:b/>
                <w:sz w:val="22"/>
                <w:szCs w:val="22"/>
                <w:u w:val="single"/>
              </w:rPr>
            </w:pPr>
            <w:r>
              <w:rPr>
                <w:rFonts w:ascii="Arial" w:hAnsi="Arial" w:cs="Arial"/>
                <w:b/>
                <w:sz w:val="22"/>
                <w:szCs w:val="22"/>
                <w:u w:val="single"/>
              </w:rPr>
              <w:t>Background</w:t>
            </w:r>
          </w:p>
          <w:p w:rsidR="001D2557" w:rsidRDefault="001D2557" w:rsidP="001D2557">
            <w:pPr>
              <w:jc w:val="both"/>
              <w:rPr>
                <w:rFonts w:ascii="Arial" w:hAnsi="Arial" w:cs="Arial"/>
                <w:bCs/>
                <w:sz w:val="22"/>
                <w:szCs w:val="22"/>
              </w:rPr>
            </w:pPr>
          </w:p>
          <w:p w:rsidR="001D2557" w:rsidRDefault="001D2557" w:rsidP="001D2557">
            <w:pPr>
              <w:pStyle w:val="Default"/>
              <w:jc w:val="both"/>
              <w:rPr>
                <w:sz w:val="22"/>
                <w:szCs w:val="22"/>
              </w:rPr>
            </w:pPr>
            <w:r>
              <w:rPr>
                <w:sz w:val="22"/>
                <w:szCs w:val="22"/>
              </w:rPr>
              <w:t>The Lead Provider Framework (LPF) was established by NHS England to ensure that CCGs have a choice of quality assured support services. C</w:t>
            </w:r>
            <w:r w:rsidR="00D83E17">
              <w:rPr>
                <w:sz w:val="22"/>
                <w:szCs w:val="22"/>
              </w:rPr>
              <w:t xml:space="preserve">ommissioning </w:t>
            </w:r>
            <w:r>
              <w:rPr>
                <w:sz w:val="22"/>
                <w:szCs w:val="22"/>
              </w:rPr>
              <w:t>S</w:t>
            </w:r>
            <w:r w:rsidR="00D83E17">
              <w:rPr>
                <w:sz w:val="22"/>
                <w:szCs w:val="22"/>
              </w:rPr>
              <w:t xml:space="preserve">upport Providers </w:t>
            </w:r>
            <w:r>
              <w:rPr>
                <w:sz w:val="22"/>
                <w:szCs w:val="22"/>
              </w:rPr>
              <w:t>spent the past year preparing and refining their bids for the scheme.</w:t>
            </w:r>
          </w:p>
          <w:p w:rsidR="001D2557" w:rsidRDefault="001D2557" w:rsidP="001D2557">
            <w:pPr>
              <w:pStyle w:val="Default"/>
              <w:jc w:val="both"/>
              <w:rPr>
                <w:sz w:val="22"/>
                <w:szCs w:val="22"/>
              </w:rPr>
            </w:pPr>
          </w:p>
          <w:p w:rsidR="001D2557" w:rsidRDefault="001D2557" w:rsidP="001D2557">
            <w:pPr>
              <w:jc w:val="both"/>
              <w:rPr>
                <w:rFonts w:ascii="Arial" w:hAnsi="Arial" w:cs="Arial"/>
                <w:color w:val="000000"/>
                <w:sz w:val="22"/>
                <w:szCs w:val="22"/>
              </w:rPr>
            </w:pPr>
            <w:r>
              <w:rPr>
                <w:rFonts w:ascii="Arial" w:hAnsi="Arial" w:cs="Arial"/>
                <w:color w:val="000000"/>
                <w:sz w:val="22"/>
                <w:szCs w:val="22"/>
              </w:rPr>
              <w:t>Yorkshire and Humber CS (YHCS) learnt in early 2015 that they had been unsuccessful in their bid to gain a place on the lead provider framework. This means that YHCS will cease to exist, as a stand-alone organisation, after March16. The CCG currently buys £1.6m worth of services from YHCS.</w:t>
            </w:r>
          </w:p>
          <w:p w:rsidR="001D2557" w:rsidRDefault="001D2557" w:rsidP="001D2557">
            <w:pPr>
              <w:pStyle w:val="Default"/>
              <w:rPr>
                <w:sz w:val="22"/>
                <w:szCs w:val="22"/>
              </w:rPr>
            </w:pPr>
          </w:p>
          <w:p w:rsidR="006A74AF" w:rsidRDefault="006A74AF" w:rsidP="00585083">
            <w:pPr>
              <w:jc w:val="both"/>
              <w:rPr>
                <w:rFonts w:ascii="Arial" w:hAnsi="Arial" w:cs="Arial"/>
                <w:bCs/>
                <w:sz w:val="22"/>
                <w:szCs w:val="22"/>
              </w:rPr>
            </w:pPr>
          </w:p>
          <w:p w:rsidR="00512C9D" w:rsidRDefault="00512C9D" w:rsidP="00512C9D">
            <w:pPr>
              <w:pStyle w:val="Default"/>
              <w:jc w:val="both"/>
              <w:rPr>
                <w:sz w:val="22"/>
                <w:szCs w:val="22"/>
              </w:rPr>
            </w:pPr>
            <w:r>
              <w:rPr>
                <w:sz w:val="22"/>
                <w:szCs w:val="22"/>
              </w:rPr>
              <w:t xml:space="preserve">NEL CCG, along with the 22 other CCGs who currently </w:t>
            </w:r>
            <w:r w:rsidR="00747A7F">
              <w:rPr>
                <w:sz w:val="22"/>
                <w:szCs w:val="22"/>
              </w:rPr>
              <w:t>purchase</w:t>
            </w:r>
            <w:r>
              <w:rPr>
                <w:sz w:val="22"/>
                <w:szCs w:val="22"/>
              </w:rPr>
              <w:t xml:space="preserve"> </w:t>
            </w:r>
            <w:r w:rsidR="00747A7F">
              <w:rPr>
                <w:sz w:val="22"/>
                <w:szCs w:val="22"/>
              </w:rPr>
              <w:t>support</w:t>
            </w:r>
            <w:r>
              <w:rPr>
                <w:sz w:val="22"/>
                <w:szCs w:val="22"/>
              </w:rPr>
              <w:t xml:space="preserve"> from YHCS are working closely with NHSE and YHCS to ensure continuity of service whilst the new arrangements are put in place. </w:t>
            </w:r>
          </w:p>
          <w:p w:rsidR="00512C9D" w:rsidRDefault="00512C9D" w:rsidP="00512C9D">
            <w:pPr>
              <w:jc w:val="both"/>
              <w:rPr>
                <w:rFonts w:ascii="Arial" w:hAnsi="Arial" w:cs="Arial"/>
                <w:bCs/>
                <w:sz w:val="22"/>
                <w:szCs w:val="22"/>
              </w:rPr>
            </w:pPr>
          </w:p>
          <w:p w:rsidR="00512C9D" w:rsidRDefault="00512C9D" w:rsidP="00512C9D">
            <w:pPr>
              <w:pStyle w:val="Default"/>
              <w:rPr>
                <w:b/>
                <w:sz w:val="22"/>
                <w:szCs w:val="22"/>
                <w:u w:val="single"/>
              </w:rPr>
            </w:pPr>
            <w:r>
              <w:rPr>
                <w:b/>
                <w:sz w:val="22"/>
                <w:szCs w:val="22"/>
                <w:u w:val="single"/>
              </w:rPr>
              <w:t>Do, Share, Buy</w:t>
            </w:r>
            <w:r w:rsidR="00D83E17">
              <w:rPr>
                <w:b/>
                <w:sz w:val="22"/>
                <w:szCs w:val="22"/>
                <w:u w:val="single"/>
              </w:rPr>
              <w:t xml:space="preserve"> (Commissioning Intentions)</w:t>
            </w:r>
          </w:p>
          <w:p w:rsidR="00512C9D" w:rsidRDefault="00512C9D" w:rsidP="00512C9D">
            <w:pPr>
              <w:pStyle w:val="Default"/>
              <w:rPr>
                <w:sz w:val="22"/>
                <w:szCs w:val="22"/>
              </w:rPr>
            </w:pPr>
          </w:p>
          <w:p w:rsidR="00512C9D" w:rsidRDefault="00512C9D" w:rsidP="00512C9D">
            <w:pPr>
              <w:pStyle w:val="Default"/>
              <w:rPr>
                <w:sz w:val="22"/>
                <w:szCs w:val="22"/>
              </w:rPr>
            </w:pPr>
            <w:r>
              <w:rPr>
                <w:sz w:val="22"/>
                <w:szCs w:val="22"/>
              </w:rPr>
              <w:t>The CCG has reviewed all the services it currently buys from YHCS to assess whether to:-</w:t>
            </w:r>
          </w:p>
          <w:p w:rsidR="00512C9D" w:rsidRDefault="00512C9D" w:rsidP="00512C9D">
            <w:pPr>
              <w:pStyle w:val="Default"/>
              <w:rPr>
                <w:sz w:val="22"/>
                <w:szCs w:val="22"/>
              </w:rPr>
            </w:pPr>
          </w:p>
          <w:p w:rsidR="00512C9D" w:rsidRDefault="00512C9D" w:rsidP="00512C9D">
            <w:pPr>
              <w:pStyle w:val="Default"/>
              <w:numPr>
                <w:ilvl w:val="0"/>
                <w:numId w:val="26"/>
              </w:numPr>
              <w:rPr>
                <w:sz w:val="22"/>
                <w:szCs w:val="22"/>
              </w:rPr>
            </w:pPr>
            <w:r>
              <w:rPr>
                <w:sz w:val="22"/>
                <w:szCs w:val="22"/>
              </w:rPr>
              <w:t>bring the services in-house (Do),</w:t>
            </w:r>
          </w:p>
          <w:p w:rsidR="00512C9D" w:rsidRDefault="00512C9D" w:rsidP="00512C9D">
            <w:pPr>
              <w:pStyle w:val="Default"/>
              <w:numPr>
                <w:ilvl w:val="0"/>
                <w:numId w:val="26"/>
              </w:numPr>
              <w:rPr>
                <w:sz w:val="22"/>
                <w:szCs w:val="22"/>
              </w:rPr>
            </w:pPr>
            <w:r>
              <w:rPr>
                <w:sz w:val="22"/>
                <w:szCs w:val="22"/>
              </w:rPr>
              <w:t>to share the services with other CCG’s, or</w:t>
            </w:r>
          </w:p>
          <w:p w:rsidR="00512C9D" w:rsidRDefault="00512C9D" w:rsidP="00512C9D">
            <w:pPr>
              <w:pStyle w:val="Default"/>
              <w:numPr>
                <w:ilvl w:val="0"/>
                <w:numId w:val="26"/>
              </w:numPr>
              <w:rPr>
                <w:sz w:val="22"/>
                <w:szCs w:val="22"/>
              </w:rPr>
            </w:pPr>
            <w:r>
              <w:rPr>
                <w:sz w:val="22"/>
                <w:szCs w:val="22"/>
              </w:rPr>
              <w:t>continue to buy them in</w:t>
            </w:r>
          </w:p>
          <w:p w:rsidR="00512C9D" w:rsidRDefault="00512C9D" w:rsidP="00512C9D">
            <w:pPr>
              <w:pStyle w:val="Default"/>
              <w:rPr>
                <w:sz w:val="22"/>
                <w:szCs w:val="22"/>
              </w:rPr>
            </w:pPr>
          </w:p>
          <w:p w:rsidR="00512C9D" w:rsidRDefault="00512C9D" w:rsidP="00512C9D">
            <w:pPr>
              <w:pStyle w:val="Default"/>
              <w:rPr>
                <w:sz w:val="22"/>
                <w:szCs w:val="22"/>
              </w:rPr>
            </w:pPr>
            <w:r>
              <w:rPr>
                <w:sz w:val="22"/>
                <w:szCs w:val="22"/>
              </w:rPr>
              <w:t xml:space="preserve">Key considerations in deciding whether to go with option a, b, or c have been :- </w:t>
            </w:r>
          </w:p>
          <w:p w:rsidR="00512C9D" w:rsidRDefault="00512C9D" w:rsidP="00512C9D">
            <w:pPr>
              <w:pStyle w:val="Default"/>
              <w:rPr>
                <w:sz w:val="22"/>
                <w:szCs w:val="22"/>
              </w:rPr>
            </w:pPr>
          </w:p>
          <w:p w:rsidR="00512C9D" w:rsidRDefault="00512C9D" w:rsidP="00512C9D">
            <w:pPr>
              <w:pStyle w:val="Default"/>
              <w:numPr>
                <w:ilvl w:val="0"/>
                <w:numId w:val="27"/>
              </w:numPr>
              <w:rPr>
                <w:sz w:val="22"/>
                <w:szCs w:val="22"/>
              </w:rPr>
            </w:pPr>
            <w:r>
              <w:rPr>
                <w:sz w:val="22"/>
                <w:szCs w:val="22"/>
              </w:rPr>
              <w:t xml:space="preserve">value for money </w:t>
            </w:r>
          </w:p>
          <w:p w:rsidR="00512C9D" w:rsidRDefault="00512C9D" w:rsidP="00512C9D">
            <w:pPr>
              <w:pStyle w:val="Default"/>
              <w:numPr>
                <w:ilvl w:val="0"/>
                <w:numId w:val="27"/>
              </w:numPr>
              <w:rPr>
                <w:sz w:val="22"/>
                <w:szCs w:val="22"/>
              </w:rPr>
            </w:pPr>
            <w:r>
              <w:rPr>
                <w:sz w:val="22"/>
                <w:szCs w:val="22"/>
              </w:rPr>
              <w:t xml:space="preserve">quality of service </w:t>
            </w:r>
          </w:p>
          <w:p w:rsidR="00512C9D" w:rsidRDefault="00512C9D" w:rsidP="00512C9D">
            <w:pPr>
              <w:pStyle w:val="Default"/>
              <w:numPr>
                <w:ilvl w:val="0"/>
                <w:numId w:val="27"/>
              </w:numPr>
              <w:rPr>
                <w:sz w:val="22"/>
                <w:szCs w:val="22"/>
              </w:rPr>
            </w:pPr>
            <w:r>
              <w:rPr>
                <w:sz w:val="22"/>
                <w:szCs w:val="22"/>
              </w:rPr>
              <w:t xml:space="preserve">optimal footprint of service (e.g. NEL only, Humber, wider </w:t>
            </w:r>
            <w:proofErr w:type="spellStart"/>
            <w:r>
              <w:rPr>
                <w:sz w:val="22"/>
                <w:szCs w:val="22"/>
              </w:rPr>
              <w:t>etc</w:t>
            </w:r>
            <w:proofErr w:type="spellEnd"/>
            <w:r>
              <w:rPr>
                <w:sz w:val="22"/>
                <w:szCs w:val="22"/>
              </w:rPr>
              <w:t xml:space="preserve">) so as to ensure </w:t>
            </w:r>
            <w:r w:rsidR="00747A7F">
              <w:rPr>
                <w:sz w:val="22"/>
                <w:szCs w:val="22"/>
              </w:rPr>
              <w:t xml:space="preserve">a </w:t>
            </w:r>
            <w:r>
              <w:rPr>
                <w:sz w:val="22"/>
                <w:szCs w:val="22"/>
              </w:rPr>
              <w:t>local / resilient service</w:t>
            </w:r>
          </w:p>
          <w:p w:rsidR="00512C9D" w:rsidRDefault="00512C9D" w:rsidP="00512C9D">
            <w:pPr>
              <w:pStyle w:val="Default"/>
              <w:numPr>
                <w:ilvl w:val="0"/>
                <w:numId w:val="27"/>
              </w:numPr>
              <w:rPr>
                <w:sz w:val="22"/>
                <w:szCs w:val="22"/>
              </w:rPr>
            </w:pPr>
            <w:proofErr w:type="gramStart"/>
            <w:r>
              <w:rPr>
                <w:sz w:val="22"/>
                <w:szCs w:val="22"/>
              </w:rPr>
              <w:t>in-house</w:t>
            </w:r>
            <w:proofErr w:type="gramEnd"/>
            <w:r>
              <w:rPr>
                <w:sz w:val="22"/>
                <w:szCs w:val="22"/>
              </w:rPr>
              <w:t xml:space="preserve"> capacity and capability to manage new/expanded in-house functions.</w:t>
            </w:r>
          </w:p>
          <w:p w:rsidR="00512C9D" w:rsidRDefault="00512C9D" w:rsidP="00512C9D">
            <w:pPr>
              <w:jc w:val="both"/>
              <w:rPr>
                <w:rFonts w:ascii="Arial" w:hAnsi="Arial" w:cs="Arial"/>
                <w:bCs/>
                <w:sz w:val="22"/>
                <w:szCs w:val="22"/>
              </w:rPr>
            </w:pPr>
          </w:p>
          <w:p w:rsidR="00512C9D" w:rsidRDefault="00512C9D" w:rsidP="00512C9D">
            <w:pPr>
              <w:rPr>
                <w:rFonts w:ascii="Arial" w:hAnsi="Arial" w:cs="Arial"/>
                <w:b/>
                <w:bCs/>
                <w:sz w:val="22"/>
                <w:szCs w:val="22"/>
                <w:u w:val="single"/>
              </w:rPr>
            </w:pPr>
            <w:r>
              <w:rPr>
                <w:rFonts w:ascii="Arial" w:hAnsi="Arial" w:cs="Arial"/>
                <w:b/>
                <w:bCs/>
                <w:sz w:val="22"/>
                <w:szCs w:val="22"/>
                <w:u w:val="single"/>
              </w:rPr>
              <w:t>Commissioning Intentions</w:t>
            </w:r>
          </w:p>
          <w:p w:rsidR="0093502D" w:rsidRDefault="0093502D" w:rsidP="00512C9D">
            <w:pPr>
              <w:rPr>
                <w:rFonts w:ascii="Arial" w:hAnsi="Arial" w:cs="Arial"/>
                <w:bCs/>
                <w:sz w:val="22"/>
                <w:szCs w:val="22"/>
              </w:rPr>
            </w:pPr>
          </w:p>
          <w:p w:rsidR="00512C9D" w:rsidRDefault="00512C9D" w:rsidP="00512C9D">
            <w:pPr>
              <w:rPr>
                <w:rFonts w:ascii="Arial" w:hAnsi="Arial" w:cs="Arial"/>
                <w:bCs/>
                <w:sz w:val="22"/>
                <w:szCs w:val="22"/>
              </w:rPr>
            </w:pPr>
            <w:r>
              <w:rPr>
                <w:rFonts w:ascii="Arial" w:hAnsi="Arial" w:cs="Arial"/>
                <w:bCs/>
                <w:sz w:val="22"/>
                <w:szCs w:val="22"/>
              </w:rPr>
              <w:t>For services currently bought from Yorkshire &amp; Humber Commissioning Support, the CCGs proposed commissioning intentions are:-</w:t>
            </w:r>
          </w:p>
          <w:p w:rsidR="00512C9D" w:rsidRDefault="00512C9D" w:rsidP="00512C9D">
            <w:pPr>
              <w:rPr>
                <w:rFonts w:ascii="Arial" w:hAnsi="Arial" w:cs="Arial"/>
                <w:bCs/>
                <w:sz w:val="22"/>
                <w:szCs w:val="22"/>
              </w:rPr>
            </w:pPr>
          </w:p>
          <w:tbl>
            <w:tblPr>
              <w:tblW w:w="9492" w:type="dxa"/>
              <w:tblInd w:w="93" w:type="dxa"/>
              <w:tblLook w:val="04A0" w:firstRow="1" w:lastRow="0" w:firstColumn="1" w:lastColumn="0" w:noHBand="0" w:noVBand="1"/>
            </w:tblPr>
            <w:tblGrid>
              <w:gridCol w:w="5755"/>
              <w:gridCol w:w="3737"/>
            </w:tblGrid>
            <w:tr w:rsidR="00512C9D" w:rsidTr="005F3E6A">
              <w:trPr>
                <w:trHeight w:val="503"/>
              </w:trPr>
              <w:tc>
                <w:tcPr>
                  <w:tcW w:w="5755" w:type="dxa"/>
                  <w:tcBorders>
                    <w:top w:val="single" w:sz="4" w:space="0" w:color="auto"/>
                    <w:left w:val="single" w:sz="4" w:space="0" w:color="auto"/>
                    <w:bottom w:val="single" w:sz="4" w:space="0" w:color="auto"/>
                    <w:right w:val="single" w:sz="4" w:space="0" w:color="auto"/>
                  </w:tcBorders>
                  <w:vAlign w:val="center"/>
                  <w:hideMark/>
                </w:tcPr>
                <w:p w:rsidR="00512C9D" w:rsidRDefault="00512C9D">
                  <w:pPr>
                    <w:jc w:val="both"/>
                    <w:rPr>
                      <w:rFonts w:ascii="Arial" w:hAnsi="Arial" w:cs="Arial"/>
                      <w:b/>
                      <w:bCs/>
                      <w:sz w:val="22"/>
                      <w:szCs w:val="22"/>
                    </w:rPr>
                  </w:pPr>
                  <w:r>
                    <w:rPr>
                      <w:rFonts w:ascii="Arial" w:hAnsi="Arial" w:cs="Arial"/>
                      <w:b/>
                      <w:bCs/>
                      <w:sz w:val="22"/>
                      <w:szCs w:val="22"/>
                    </w:rPr>
                    <w:t xml:space="preserve">Service Area </w:t>
                  </w:r>
                </w:p>
              </w:tc>
              <w:tc>
                <w:tcPr>
                  <w:tcW w:w="3737" w:type="dxa"/>
                  <w:tcBorders>
                    <w:top w:val="single" w:sz="4" w:space="0" w:color="auto"/>
                    <w:left w:val="nil"/>
                    <w:bottom w:val="single" w:sz="4" w:space="0" w:color="auto"/>
                    <w:right w:val="single" w:sz="4" w:space="0" w:color="auto"/>
                  </w:tcBorders>
                  <w:vAlign w:val="center"/>
                  <w:hideMark/>
                </w:tcPr>
                <w:p w:rsidR="00512C9D" w:rsidRDefault="00512C9D">
                  <w:pPr>
                    <w:jc w:val="center"/>
                    <w:rPr>
                      <w:rFonts w:ascii="Arial" w:hAnsi="Arial" w:cs="Arial"/>
                      <w:b/>
                      <w:bCs/>
                      <w:color w:val="FFFFFF"/>
                      <w:sz w:val="22"/>
                      <w:szCs w:val="22"/>
                    </w:rPr>
                  </w:pPr>
                  <w:r>
                    <w:rPr>
                      <w:rFonts w:ascii="Arial" w:hAnsi="Arial" w:cs="Arial"/>
                      <w:b/>
                      <w:bCs/>
                      <w:sz w:val="22"/>
                      <w:szCs w:val="22"/>
                    </w:rPr>
                    <w:t>Proposal</w:t>
                  </w:r>
                </w:p>
              </w:tc>
            </w:tr>
            <w:tr w:rsidR="00512C9D" w:rsidTr="005F3E6A">
              <w:trPr>
                <w:trHeight w:val="285"/>
              </w:trPr>
              <w:tc>
                <w:tcPr>
                  <w:tcW w:w="5755" w:type="dxa"/>
                  <w:tcBorders>
                    <w:top w:val="single" w:sz="8" w:space="0" w:color="auto"/>
                    <w:left w:val="single" w:sz="8" w:space="0" w:color="auto"/>
                    <w:bottom w:val="single" w:sz="4" w:space="0" w:color="auto"/>
                    <w:right w:val="single" w:sz="4" w:space="0" w:color="auto"/>
                  </w:tcBorders>
                  <w:vAlign w:val="center"/>
                  <w:hideMark/>
                </w:tcPr>
                <w:p w:rsidR="00512C9D" w:rsidRDefault="00512C9D">
                  <w:pPr>
                    <w:rPr>
                      <w:rFonts w:ascii="Arial" w:hAnsi="Arial" w:cs="Arial"/>
                      <w:color w:val="000000"/>
                      <w:sz w:val="22"/>
                      <w:szCs w:val="22"/>
                    </w:rPr>
                  </w:pPr>
                  <w:r>
                    <w:rPr>
                      <w:rFonts w:ascii="Arial" w:hAnsi="Arial" w:cs="Arial"/>
                      <w:color w:val="000000"/>
                      <w:sz w:val="22"/>
                      <w:szCs w:val="22"/>
                    </w:rPr>
                    <w:t>Finance (Financial Services (interface with SBS))</w:t>
                  </w:r>
                </w:p>
              </w:tc>
              <w:tc>
                <w:tcPr>
                  <w:tcW w:w="3737" w:type="dxa"/>
                  <w:tcBorders>
                    <w:top w:val="single" w:sz="8" w:space="0" w:color="auto"/>
                    <w:left w:val="nil"/>
                    <w:bottom w:val="single" w:sz="4" w:space="0" w:color="auto"/>
                    <w:right w:val="single" w:sz="4" w:space="0" w:color="auto"/>
                  </w:tcBorders>
                  <w:vAlign w:val="center"/>
                  <w:hideMark/>
                </w:tcPr>
                <w:p w:rsidR="00512C9D" w:rsidRDefault="00512C9D">
                  <w:pPr>
                    <w:rPr>
                      <w:rFonts w:ascii="Arial" w:hAnsi="Arial" w:cs="Arial"/>
                      <w:color w:val="000000"/>
                      <w:sz w:val="22"/>
                      <w:szCs w:val="22"/>
                    </w:rPr>
                  </w:pPr>
                  <w:r>
                    <w:rPr>
                      <w:rFonts w:ascii="Arial" w:hAnsi="Arial" w:cs="Arial"/>
                      <w:sz w:val="22"/>
                      <w:szCs w:val="22"/>
                    </w:rPr>
                    <w:t>Buy</w:t>
                  </w:r>
                  <w:r>
                    <w:rPr>
                      <w:rFonts w:ascii="Arial" w:hAnsi="Arial" w:cs="Arial"/>
                      <w:color w:val="000000"/>
                      <w:sz w:val="22"/>
                      <w:szCs w:val="22"/>
                    </w:rPr>
                    <w:t> </w:t>
                  </w:r>
                </w:p>
              </w:tc>
            </w:tr>
            <w:tr w:rsidR="00512C9D" w:rsidTr="005F3E6A">
              <w:trPr>
                <w:trHeight w:val="285"/>
              </w:trPr>
              <w:tc>
                <w:tcPr>
                  <w:tcW w:w="5755" w:type="dxa"/>
                  <w:tcBorders>
                    <w:top w:val="nil"/>
                    <w:left w:val="single" w:sz="8" w:space="0" w:color="auto"/>
                    <w:bottom w:val="single" w:sz="8" w:space="0" w:color="auto"/>
                    <w:right w:val="single" w:sz="4" w:space="0" w:color="auto"/>
                  </w:tcBorders>
                  <w:vAlign w:val="center"/>
                  <w:hideMark/>
                </w:tcPr>
                <w:p w:rsidR="00512C9D" w:rsidRDefault="00512C9D">
                  <w:pPr>
                    <w:rPr>
                      <w:rFonts w:ascii="Arial" w:hAnsi="Arial" w:cs="Arial"/>
                      <w:sz w:val="22"/>
                      <w:szCs w:val="22"/>
                    </w:rPr>
                  </w:pPr>
                  <w:r>
                    <w:rPr>
                      <w:rFonts w:ascii="Arial" w:hAnsi="Arial" w:cs="Arial"/>
                      <w:sz w:val="22"/>
                      <w:szCs w:val="22"/>
                    </w:rPr>
                    <w:t>HR &amp; OD</w:t>
                  </w:r>
                </w:p>
              </w:tc>
              <w:tc>
                <w:tcPr>
                  <w:tcW w:w="3737" w:type="dxa"/>
                  <w:tcBorders>
                    <w:top w:val="nil"/>
                    <w:left w:val="nil"/>
                    <w:bottom w:val="single" w:sz="8" w:space="0" w:color="auto"/>
                    <w:right w:val="single" w:sz="4" w:space="0" w:color="auto"/>
                  </w:tcBorders>
                  <w:vAlign w:val="center"/>
                  <w:hideMark/>
                </w:tcPr>
                <w:p w:rsidR="00512C9D" w:rsidRDefault="00512C9D">
                  <w:pPr>
                    <w:rPr>
                      <w:rFonts w:ascii="Arial" w:hAnsi="Arial" w:cs="Arial"/>
                      <w:sz w:val="22"/>
                      <w:szCs w:val="22"/>
                    </w:rPr>
                  </w:pPr>
                  <w:r>
                    <w:rPr>
                      <w:rFonts w:ascii="Arial" w:hAnsi="Arial" w:cs="Arial"/>
                      <w:sz w:val="22"/>
                      <w:szCs w:val="22"/>
                    </w:rPr>
                    <w:t>Buy</w:t>
                  </w:r>
                </w:p>
              </w:tc>
            </w:tr>
            <w:tr w:rsidR="00512C9D" w:rsidTr="005F3E6A">
              <w:trPr>
                <w:trHeight w:val="285"/>
              </w:trPr>
              <w:tc>
                <w:tcPr>
                  <w:tcW w:w="5755" w:type="dxa"/>
                  <w:tcBorders>
                    <w:top w:val="single" w:sz="8" w:space="0" w:color="auto"/>
                    <w:left w:val="single" w:sz="8" w:space="0" w:color="auto"/>
                    <w:bottom w:val="single" w:sz="4" w:space="0" w:color="auto"/>
                    <w:right w:val="single" w:sz="4" w:space="0" w:color="auto"/>
                  </w:tcBorders>
                  <w:vAlign w:val="center"/>
                  <w:hideMark/>
                </w:tcPr>
                <w:p w:rsidR="00512C9D" w:rsidRDefault="00512C9D">
                  <w:pPr>
                    <w:rPr>
                      <w:rFonts w:ascii="Arial" w:hAnsi="Arial" w:cs="Arial"/>
                      <w:sz w:val="22"/>
                      <w:szCs w:val="22"/>
                    </w:rPr>
                  </w:pPr>
                  <w:r>
                    <w:rPr>
                      <w:rFonts w:ascii="Arial" w:hAnsi="Arial" w:cs="Arial"/>
                      <w:sz w:val="22"/>
                      <w:szCs w:val="22"/>
                    </w:rPr>
                    <w:t>IM&amp;T (including IT</w:t>
                  </w:r>
                  <w:r w:rsidR="005F3E6A">
                    <w:rPr>
                      <w:rFonts w:ascii="Arial" w:hAnsi="Arial" w:cs="Arial"/>
                      <w:sz w:val="22"/>
                      <w:szCs w:val="22"/>
                    </w:rPr>
                    <w:t>,</w:t>
                  </w:r>
                  <w:r w:rsidR="005F3E6A">
                    <w:t xml:space="preserve"> </w:t>
                  </w:r>
                  <w:r w:rsidR="005F3E6A" w:rsidRPr="0093502D">
                    <w:rPr>
                      <w:rFonts w:ascii="Arial" w:hAnsi="Arial" w:cs="Arial"/>
                      <w:i/>
                      <w:sz w:val="22"/>
                      <w:szCs w:val="22"/>
                    </w:rPr>
                    <w:t>Information Governance</w:t>
                  </w:r>
                  <w:r w:rsidR="009E511E">
                    <w:rPr>
                      <w:rStyle w:val="FootnoteReference"/>
                      <w:rFonts w:ascii="Arial" w:hAnsi="Arial" w:cs="Arial"/>
                      <w:i/>
                      <w:sz w:val="22"/>
                      <w:szCs w:val="22"/>
                    </w:rPr>
                    <w:footnoteReference w:id="1"/>
                  </w:r>
                  <w:r w:rsidR="005F3E6A">
                    <w:rPr>
                      <w:rFonts w:ascii="Arial" w:hAnsi="Arial" w:cs="Arial"/>
                      <w:sz w:val="22"/>
                      <w:szCs w:val="22"/>
                    </w:rPr>
                    <w:t xml:space="preserve"> </w:t>
                  </w:r>
                  <w:r>
                    <w:rPr>
                      <w:rFonts w:ascii="Arial" w:hAnsi="Arial" w:cs="Arial"/>
                      <w:sz w:val="22"/>
                      <w:szCs w:val="22"/>
                    </w:rPr>
                    <w:t>)</w:t>
                  </w:r>
                </w:p>
              </w:tc>
              <w:tc>
                <w:tcPr>
                  <w:tcW w:w="3737" w:type="dxa"/>
                  <w:tcBorders>
                    <w:top w:val="single" w:sz="8" w:space="0" w:color="auto"/>
                    <w:left w:val="nil"/>
                    <w:bottom w:val="single" w:sz="4" w:space="0" w:color="auto"/>
                    <w:right w:val="single" w:sz="4" w:space="0" w:color="auto"/>
                  </w:tcBorders>
                  <w:vAlign w:val="center"/>
                  <w:hideMark/>
                </w:tcPr>
                <w:p w:rsidR="00512C9D" w:rsidRDefault="00512C9D">
                  <w:pPr>
                    <w:rPr>
                      <w:rFonts w:ascii="Arial" w:hAnsi="Arial" w:cs="Arial"/>
                      <w:sz w:val="22"/>
                      <w:szCs w:val="22"/>
                    </w:rPr>
                  </w:pPr>
                  <w:r>
                    <w:rPr>
                      <w:rFonts w:ascii="Arial" w:hAnsi="Arial" w:cs="Arial"/>
                      <w:sz w:val="22"/>
                      <w:szCs w:val="22"/>
                    </w:rPr>
                    <w:t>Buy – Humber footprint</w:t>
                  </w:r>
                </w:p>
              </w:tc>
            </w:tr>
            <w:tr w:rsidR="00512C9D" w:rsidTr="005F3E6A">
              <w:trPr>
                <w:trHeight w:val="285"/>
              </w:trPr>
              <w:tc>
                <w:tcPr>
                  <w:tcW w:w="5755" w:type="dxa"/>
                  <w:tcBorders>
                    <w:top w:val="nil"/>
                    <w:left w:val="single" w:sz="8" w:space="0" w:color="auto"/>
                    <w:bottom w:val="single" w:sz="4" w:space="0" w:color="auto"/>
                    <w:right w:val="single" w:sz="4" w:space="0" w:color="auto"/>
                  </w:tcBorders>
                  <w:vAlign w:val="center"/>
                  <w:hideMark/>
                </w:tcPr>
                <w:p w:rsidR="00512C9D" w:rsidRDefault="00512C9D">
                  <w:pPr>
                    <w:rPr>
                      <w:rFonts w:ascii="Arial" w:hAnsi="Arial" w:cs="Arial"/>
                      <w:color w:val="000000"/>
                      <w:sz w:val="22"/>
                      <w:szCs w:val="22"/>
                    </w:rPr>
                  </w:pPr>
                  <w:r>
                    <w:rPr>
                      <w:rFonts w:ascii="Arial" w:hAnsi="Arial" w:cs="Arial"/>
                      <w:color w:val="000000"/>
                      <w:sz w:val="22"/>
                      <w:szCs w:val="22"/>
                    </w:rPr>
                    <w:t>Risk Management</w:t>
                  </w:r>
                </w:p>
              </w:tc>
              <w:tc>
                <w:tcPr>
                  <w:tcW w:w="3737" w:type="dxa"/>
                  <w:tcBorders>
                    <w:top w:val="single" w:sz="8" w:space="0" w:color="auto"/>
                    <w:left w:val="nil"/>
                    <w:bottom w:val="single" w:sz="4" w:space="0" w:color="auto"/>
                    <w:right w:val="single" w:sz="4" w:space="0" w:color="auto"/>
                  </w:tcBorders>
                  <w:vAlign w:val="center"/>
                  <w:hideMark/>
                </w:tcPr>
                <w:p w:rsidR="00512C9D" w:rsidRDefault="00512C9D">
                  <w:pPr>
                    <w:rPr>
                      <w:rFonts w:ascii="Arial" w:hAnsi="Arial" w:cs="Arial"/>
                      <w:color w:val="000000"/>
                      <w:sz w:val="22"/>
                      <w:szCs w:val="22"/>
                    </w:rPr>
                  </w:pPr>
                  <w:r>
                    <w:rPr>
                      <w:rFonts w:ascii="Arial" w:hAnsi="Arial" w:cs="Arial"/>
                      <w:color w:val="000000"/>
                      <w:sz w:val="22"/>
                      <w:szCs w:val="22"/>
                    </w:rPr>
                    <w:t>Do (bring in house)</w:t>
                  </w:r>
                </w:p>
              </w:tc>
            </w:tr>
            <w:tr w:rsidR="00512C9D" w:rsidTr="005F3E6A">
              <w:trPr>
                <w:trHeight w:val="285"/>
              </w:trPr>
              <w:tc>
                <w:tcPr>
                  <w:tcW w:w="5755" w:type="dxa"/>
                  <w:tcBorders>
                    <w:top w:val="single" w:sz="4" w:space="0" w:color="auto"/>
                    <w:left w:val="single" w:sz="4" w:space="0" w:color="auto"/>
                    <w:bottom w:val="single" w:sz="4" w:space="0" w:color="auto"/>
                    <w:right w:val="single" w:sz="4" w:space="0" w:color="auto"/>
                  </w:tcBorders>
                  <w:vAlign w:val="center"/>
                  <w:hideMark/>
                </w:tcPr>
                <w:p w:rsidR="00512C9D" w:rsidRDefault="00512C9D">
                  <w:pPr>
                    <w:rPr>
                      <w:rFonts w:ascii="Arial" w:hAnsi="Arial" w:cs="Arial"/>
                      <w:color w:val="000000"/>
                      <w:sz w:val="22"/>
                      <w:szCs w:val="22"/>
                    </w:rPr>
                  </w:pPr>
                  <w:r>
                    <w:rPr>
                      <w:rFonts w:ascii="Arial" w:hAnsi="Arial" w:cs="Arial"/>
                      <w:color w:val="000000"/>
                      <w:sz w:val="22"/>
                      <w:szCs w:val="22"/>
                    </w:rPr>
                    <w:t xml:space="preserve">Communications &amp; Media Management </w:t>
                  </w:r>
                </w:p>
              </w:tc>
              <w:tc>
                <w:tcPr>
                  <w:tcW w:w="3737" w:type="dxa"/>
                  <w:tcBorders>
                    <w:top w:val="single" w:sz="4" w:space="0" w:color="auto"/>
                    <w:left w:val="single" w:sz="8" w:space="0" w:color="auto"/>
                    <w:bottom w:val="single" w:sz="4" w:space="0" w:color="auto"/>
                    <w:right w:val="single" w:sz="8" w:space="0" w:color="auto"/>
                  </w:tcBorders>
                  <w:vAlign w:val="center"/>
                  <w:hideMark/>
                </w:tcPr>
                <w:p w:rsidR="00512C9D" w:rsidRDefault="00512C9D">
                  <w:pPr>
                    <w:rPr>
                      <w:rFonts w:ascii="Arial" w:hAnsi="Arial" w:cs="Arial"/>
                      <w:sz w:val="22"/>
                      <w:szCs w:val="22"/>
                    </w:rPr>
                  </w:pPr>
                  <w:r>
                    <w:rPr>
                      <w:rFonts w:ascii="Arial" w:hAnsi="Arial" w:cs="Arial"/>
                      <w:sz w:val="22"/>
                      <w:szCs w:val="22"/>
                    </w:rPr>
                    <w:t>Share with NL</w:t>
                  </w:r>
                  <w:r w:rsidR="009E511E">
                    <w:rPr>
                      <w:rFonts w:ascii="Arial" w:hAnsi="Arial" w:cs="Arial"/>
                      <w:sz w:val="22"/>
                      <w:szCs w:val="22"/>
                    </w:rPr>
                    <w:t xml:space="preserve"> </w:t>
                  </w:r>
                  <w:r>
                    <w:rPr>
                      <w:rFonts w:ascii="Arial" w:hAnsi="Arial" w:cs="Arial"/>
                      <w:sz w:val="22"/>
                      <w:szCs w:val="22"/>
                    </w:rPr>
                    <w:t>CCG</w:t>
                  </w:r>
                </w:p>
              </w:tc>
            </w:tr>
            <w:tr w:rsidR="00512C9D" w:rsidTr="005F3E6A">
              <w:trPr>
                <w:trHeight w:val="285"/>
              </w:trPr>
              <w:tc>
                <w:tcPr>
                  <w:tcW w:w="5755" w:type="dxa"/>
                  <w:tcBorders>
                    <w:top w:val="nil"/>
                    <w:left w:val="single" w:sz="4" w:space="0" w:color="auto"/>
                    <w:bottom w:val="single" w:sz="4" w:space="0" w:color="auto"/>
                    <w:right w:val="single" w:sz="4" w:space="0" w:color="auto"/>
                  </w:tcBorders>
                  <w:vAlign w:val="center"/>
                  <w:hideMark/>
                </w:tcPr>
                <w:p w:rsidR="00512C9D" w:rsidRDefault="00512C9D">
                  <w:pPr>
                    <w:rPr>
                      <w:rFonts w:ascii="Arial" w:hAnsi="Arial" w:cs="Arial"/>
                      <w:color w:val="000000"/>
                      <w:sz w:val="22"/>
                      <w:szCs w:val="22"/>
                    </w:rPr>
                  </w:pPr>
                  <w:r>
                    <w:rPr>
                      <w:rFonts w:ascii="Arial" w:hAnsi="Arial" w:cs="Arial"/>
                      <w:color w:val="000000"/>
                      <w:sz w:val="22"/>
                      <w:szCs w:val="22"/>
                    </w:rPr>
                    <w:t>Engagement &amp; PPI (Public, Patient, Involvement)</w:t>
                  </w:r>
                </w:p>
              </w:tc>
              <w:tc>
                <w:tcPr>
                  <w:tcW w:w="3737" w:type="dxa"/>
                  <w:tcBorders>
                    <w:top w:val="nil"/>
                    <w:left w:val="single" w:sz="8" w:space="0" w:color="auto"/>
                    <w:bottom w:val="single" w:sz="4" w:space="0" w:color="auto"/>
                    <w:right w:val="single" w:sz="8" w:space="0" w:color="auto"/>
                  </w:tcBorders>
                  <w:vAlign w:val="center"/>
                  <w:hideMark/>
                </w:tcPr>
                <w:p w:rsidR="00512C9D" w:rsidRDefault="00512C9D">
                  <w:pPr>
                    <w:rPr>
                      <w:rFonts w:ascii="Arial" w:hAnsi="Arial" w:cs="Arial"/>
                      <w:sz w:val="22"/>
                      <w:szCs w:val="22"/>
                    </w:rPr>
                  </w:pPr>
                  <w:r>
                    <w:rPr>
                      <w:rFonts w:ascii="Arial" w:hAnsi="Arial" w:cs="Arial"/>
                      <w:sz w:val="22"/>
                      <w:szCs w:val="22"/>
                    </w:rPr>
                    <w:t>Share with NL</w:t>
                  </w:r>
                  <w:r w:rsidR="009E511E">
                    <w:rPr>
                      <w:rFonts w:ascii="Arial" w:hAnsi="Arial" w:cs="Arial"/>
                      <w:sz w:val="22"/>
                      <w:szCs w:val="22"/>
                    </w:rPr>
                    <w:t xml:space="preserve"> </w:t>
                  </w:r>
                  <w:r>
                    <w:rPr>
                      <w:rFonts w:ascii="Arial" w:hAnsi="Arial" w:cs="Arial"/>
                      <w:sz w:val="22"/>
                      <w:szCs w:val="22"/>
                    </w:rPr>
                    <w:t>CCG</w:t>
                  </w:r>
                </w:p>
              </w:tc>
            </w:tr>
            <w:tr w:rsidR="00512C9D" w:rsidTr="005F3E6A">
              <w:trPr>
                <w:trHeight w:val="285"/>
              </w:trPr>
              <w:tc>
                <w:tcPr>
                  <w:tcW w:w="5755" w:type="dxa"/>
                  <w:tcBorders>
                    <w:top w:val="nil"/>
                    <w:left w:val="single" w:sz="8" w:space="0" w:color="auto"/>
                    <w:bottom w:val="single" w:sz="8" w:space="0" w:color="auto"/>
                    <w:right w:val="single" w:sz="4" w:space="0" w:color="auto"/>
                  </w:tcBorders>
                  <w:vAlign w:val="center"/>
                  <w:hideMark/>
                </w:tcPr>
                <w:p w:rsidR="00512C9D" w:rsidRDefault="00512C9D">
                  <w:pPr>
                    <w:rPr>
                      <w:rFonts w:ascii="Arial" w:hAnsi="Arial" w:cs="Arial"/>
                      <w:color w:val="000000"/>
                      <w:sz w:val="22"/>
                      <w:szCs w:val="22"/>
                    </w:rPr>
                  </w:pPr>
                  <w:r>
                    <w:rPr>
                      <w:rFonts w:ascii="Arial" w:hAnsi="Arial" w:cs="Arial"/>
                      <w:color w:val="000000"/>
                      <w:sz w:val="22"/>
                      <w:szCs w:val="22"/>
                    </w:rPr>
                    <w:t>Provider Management  - contracting (currently buy a limited service from YHCS)</w:t>
                  </w:r>
                </w:p>
              </w:tc>
              <w:tc>
                <w:tcPr>
                  <w:tcW w:w="3737" w:type="dxa"/>
                  <w:tcBorders>
                    <w:top w:val="nil"/>
                    <w:left w:val="single" w:sz="8" w:space="0" w:color="auto"/>
                    <w:bottom w:val="single" w:sz="4" w:space="0" w:color="auto"/>
                    <w:right w:val="single" w:sz="8" w:space="0" w:color="auto"/>
                  </w:tcBorders>
                  <w:vAlign w:val="center"/>
                  <w:hideMark/>
                </w:tcPr>
                <w:p w:rsidR="00512C9D" w:rsidRDefault="00512C9D">
                  <w:pPr>
                    <w:rPr>
                      <w:rFonts w:ascii="Arial" w:hAnsi="Arial" w:cs="Arial"/>
                      <w:sz w:val="22"/>
                      <w:szCs w:val="22"/>
                    </w:rPr>
                  </w:pPr>
                  <w:r>
                    <w:rPr>
                      <w:rFonts w:ascii="Arial" w:hAnsi="Arial" w:cs="Arial"/>
                      <w:sz w:val="22"/>
                      <w:szCs w:val="22"/>
                    </w:rPr>
                    <w:t>Share with NL</w:t>
                  </w:r>
                  <w:r w:rsidR="009E511E">
                    <w:rPr>
                      <w:rFonts w:ascii="Arial" w:hAnsi="Arial" w:cs="Arial"/>
                      <w:sz w:val="22"/>
                      <w:szCs w:val="22"/>
                    </w:rPr>
                    <w:t xml:space="preserve"> </w:t>
                  </w:r>
                  <w:r>
                    <w:rPr>
                      <w:rFonts w:ascii="Arial" w:hAnsi="Arial" w:cs="Arial"/>
                      <w:sz w:val="22"/>
                      <w:szCs w:val="22"/>
                    </w:rPr>
                    <w:t>CCG</w:t>
                  </w:r>
                </w:p>
              </w:tc>
            </w:tr>
            <w:tr w:rsidR="00512C9D" w:rsidTr="005F3E6A">
              <w:trPr>
                <w:trHeight w:val="285"/>
              </w:trPr>
              <w:tc>
                <w:tcPr>
                  <w:tcW w:w="5755" w:type="dxa"/>
                  <w:tcBorders>
                    <w:top w:val="single" w:sz="8" w:space="0" w:color="auto"/>
                    <w:left w:val="single" w:sz="8" w:space="0" w:color="auto"/>
                    <w:bottom w:val="single" w:sz="4" w:space="0" w:color="auto"/>
                    <w:right w:val="single" w:sz="4" w:space="0" w:color="auto"/>
                  </w:tcBorders>
                  <w:vAlign w:val="center"/>
                  <w:hideMark/>
                </w:tcPr>
                <w:p w:rsidR="00512C9D" w:rsidRDefault="00512C9D">
                  <w:pPr>
                    <w:rPr>
                      <w:rFonts w:ascii="Arial" w:hAnsi="Arial" w:cs="Arial"/>
                      <w:color w:val="000000"/>
                      <w:sz w:val="22"/>
                      <w:szCs w:val="22"/>
                    </w:rPr>
                  </w:pPr>
                  <w:r>
                    <w:rPr>
                      <w:rFonts w:ascii="Arial" w:hAnsi="Arial" w:cs="Arial"/>
                      <w:color w:val="000000"/>
                      <w:sz w:val="22"/>
                      <w:szCs w:val="22"/>
                    </w:rPr>
                    <w:t>Business Intelligence (Data Management/DMIC)</w:t>
                  </w:r>
                </w:p>
              </w:tc>
              <w:tc>
                <w:tcPr>
                  <w:tcW w:w="3737" w:type="dxa"/>
                  <w:tcBorders>
                    <w:top w:val="single" w:sz="4" w:space="0" w:color="auto"/>
                    <w:left w:val="nil"/>
                    <w:bottom w:val="single" w:sz="8" w:space="0" w:color="auto"/>
                    <w:right w:val="single" w:sz="4" w:space="0" w:color="auto"/>
                  </w:tcBorders>
                  <w:vAlign w:val="center"/>
                  <w:hideMark/>
                </w:tcPr>
                <w:p w:rsidR="00512C9D" w:rsidRDefault="00512C9D" w:rsidP="005F3E6A">
                  <w:pPr>
                    <w:rPr>
                      <w:rFonts w:ascii="Arial" w:hAnsi="Arial" w:cs="Arial"/>
                      <w:sz w:val="22"/>
                      <w:szCs w:val="22"/>
                    </w:rPr>
                  </w:pPr>
                  <w:r>
                    <w:rPr>
                      <w:rFonts w:ascii="Arial" w:hAnsi="Arial" w:cs="Arial"/>
                      <w:sz w:val="22"/>
                      <w:szCs w:val="22"/>
                    </w:rPr>
                    <w:t>Buy</w:t>
                  </w:r>
                  <w:r w:rsidR="005F3E6A">
                    <w:rPr>
                      <w:rFonts w:ascii="Arial" w:hAnsi="Arial" w:cs="Arial"/>
                      <w:sz w:val="22"/>
                      <w:szCs w:val="22"/>
                    </w:rPr>
                    <w:t xml:space="preserve"> (not part of LPF)</w:t>
                  </w:r>
                </w:p>
              </w:tc>
            </w:tr>
            <w:tr w:rsidR="00512C9D" w:rsidTr="005F3E6A">
              <w:trPr>
                <w:trHeight w:val="285"/>
              </w:trPr>
              <w:tc>
                <w:tcPr>
                  <w:tcW w:w="5755" w:type="dxa"/>
                  <w:tcBorders>
                    <w:top w:val="nil"/>
                    <w:left w:val="single" w:sz="8" w:space="0" w:color="auto"/>
                    <w:bottom w:val="single" w:sz="4" w:space="0" w:color="auto"/>
                    <w:right w:val="single" w:sz="4" w:space="0" w:color="auto"/>
                  </w:tcBorders>
                  <w:vAlign w:val="center"/>
                  <w:hideMark/>
                </w:tcPr>
                <w:p w:rsidR="00512C9D" w:rsidRDefault="00512C9D">
                  <w:pPr>
                    <w:rPr>
                      <w:rFonts w:ascii="Arial" w:hAnsi="Arial" w:cs="Arial"/>
                      <w:color w:val="000000"/>
                      <w:sz w:val="22"/>
                      <w:szCs w:val="22"/>
                    </w:rPr>
                  </w:pPr>
                  <w:r>
                    <w:rPr>
                      <w:rFonts w:ascii="Arial" w:hAnsi="Arial" w:cs="Arial"/>
                      <w:color w:val="000000"/>
                      <w:sz w:val="22"/>
                      <w:szCs w:val="22"/>
                    </w:rPr>
                    <w:t xml:space="preserve">NCA validation  </w:t>
                  </w:r>
                </w:p>
              </w:tc>
              <w:tc>
                <w:tcPr>
                  <w:tcW w:w="3737" w:type="dxa"/>
                  <w:tcBorders>
                    <w:top w:val="single" w:sz="4" w:space="0" w:color="auto"/>
                    <w:left w:val="nil"/>
                    <w:bottom w:val="single" w:sz="8" w:space="0" w:color="auto"/>
                    <w:right w:val="single" w:sz="4" w:space="0" w:color="auto"/>
                  </w:tcBorders>
                  <w:vAlign w:val="center"/>
                  <w:hideMark/>
                </w:tcPr>
                <w:p w:rsidR="00512C9D" w:rsidRDefault="00512C9D">
                  <w:pPr>
                    <w:rPr>
                      <w:rFonts w:ascii="Arial" w:hAnsi="Arial" w:cs="Arial"/>
                      <w:sz w:val="22"/>
                      <w:szCs w:val="22"/>
                    </w:rPr>
                  </w:pPr>
                  <w:r>
                    <w:rPr>
                      <w:rFonts w:ascii="Arial" w:hAnsi="Arial" w:cs="Arial"/>
                      <w:sz w:val="22"/>
                      <w:szCs w:val="22"/>
                    </w:rPr>
                    <w:t>Buy</w:t>
                  </w:r>
                  <w:r w:rsidR="005F3E6A">
                    <w:rPr>
                      <w:rFonts w:ascii="Arial" w:hAnsi="Arial" w:cs="Arial"/>
                      <w:sz w:val="22"/>
                      <w:szCs w:val="22"/>
                    </w:rPr>
                    <w:t xml:space="preserve"> (not part of LPF)</w:t>
                  </w:r>
                </w:p>
              </w:tc>
            </w:tr>
            <w:tr w:rsidR="00512C9D" w:rsidTr="005F3E6A">
              <w:trPr>
                <w:trHeight w:val="285"/>
              </w:trPr>
              <w:tc>
                <w:tcPr>
                  <w:tcW w:w="5755" w:type="dxa"/>
                  <w:tcBorders>
                    <w:top w:val="nil"/>
                    <w:left w:val="single" w:sz="8" w:space="0" w:color="auto"/>
                    <w:bottom w:val="single" w:sz="4" w:space="0" w:color="auto"/>
                    <w:right w:val="single" w:sz="4" w:space="0" w:color="auto"/>
                  </w:tcBorders>
                  <w:vAlign w:val="center"/>
                  <w:hideMark/>
                </w:tcPr>
                <w:p w:rsidR="00512C9D" w:rsidRPr="0093502D" w:rsidRDefault="00512C9D">
                  <w:pPr>
                    <w:rPr>
                      <w:rFonts w:ascii="Arial" w:hAnsi="Arial" w:cs="Arial"/>
                      <w:i/>
                      <w:sz w:val="22"/>
                      <w:szCs w:val="22"/>
                    </w:rPr>
                  </w:pPr>
                  <w:r w:rsidRPr="0093502D">
                    <w:rPr>
                      <w:rFonts w:ascii="Arial" w:hAnsi="Arial" w:cs="Arial"/>
                      <w:i/>
                      <w:sz w:val="22"/>
                      <w:szCs w:val="22"/>
                    </w:rPr>
                    <w:t>CHC Assessment – Retrospectives</w:t>
                  </w:r>
                  <w:r w:rsidR="009E511E">
                    <w:rPr>
                      <w:rStyle w:val="FootnoteReference"/>
                      <w:rFonts w:ascii="Arial" w:hAnsi="Arial" w:cs="Arial"/>
                      <w:i/>
                      <w:sz w:val="22"/>
                      <w:szCs w:val="22"/>
                    </w:rPr>
                    <w:footnoteReference w:id="2"/>
                  </w:r>
                </w:p>
              </w:tc>
              <w:tc>
                <w:tcPr>
                  <w:tcW w:w="3737" w:type="dxa"/>
                  <w:tcBorders>
                    <w:top w:val="single" w:sz="4" w:space="0" w:color="auto"/>
                    <w:left w:val="nil"/>
                    <w:bottom w:val="single" w:sz="8" w:space="0" w:color="auto"/>
                    <w:right w:val="single" w:sz="4" w:space="0" w:color="auto"/>
                  </w:tcBorders>
                  <w:vAlign w:val="center"/>
                  <w:hideMark/>
                </w:tcPr>
                <w:p w:rsidR="00512C9D" w:rsidRPr="0093502D" w:rsidRDefault="00FA70DC">
                  <w:pPr>
                    <w:rPr>
                      <w:rFonts w:ascii="Arial" w:hAnsi="Arial" w:cs="Arial"/>
                      <w:i/>
                      <w:sz w:val="22"/>
                      <w:szCs w:val="22"/>
                    </w:rPr>
                  </w:pPr>
                  <w:r w:rsidRPr="0093502D">
                    <w:rPr>
                      <w:rFonts w:ascii="Arial" w:hAnsi="Arial" w:cs="Arial"/>
                      <w:i/>
                      <w:sz w:val="22"/>
                      <w:szCs w:val="22"/>
                    </w:rPr>
                    <w:t>Share – Y&amp;H footprint</w:t>
                  </w:r>
                </w:p>
              </w:tc>
            </w:tr>
            <w:tr w:rsidR="00512C9D" w:rsidTr="005F3E6A">
              <w:trPr>
                <w:trHeight w:val="285"/>
              </w:trPr>
              <w:tc>
                <w:tcPr>
                  <w:tcW w:w="5755" w:type="dxa"/>
                  <w:tcBorders>
                    <w:top w:val="nil"/>
                    <w:left w:val="single" w:sz="8" w:space="0" w:color="auto"/>
                    <w:bottom w:val="single" w:sz="4" w:space="0" w:color="auto"/>
                    <w:right w:val="single" w:sz="4" w:space="0" w:color="auto"/>
                  </w:tcBorders>
                  <w:vAlign w:val="center"/>
                  <w:hideMark/>
                </w:tcPr>
                <w:p w:rsidR="00512C9D" w:rsidRPr="00FA70DC" w:rsidRDefault="00512C9D">
                  <w:pPr>
                    <w:rPr>
                      <w:rFonts w:ascii="Arial" w:hAnsi="Arial" w:cs="Arial"/>
                      <w:sz w:val="22"/>
                      <w:szCs w:val="22"/>
                    </w:rPr>
                  </w:pPr>
                  <w:r w:rsidRPr="00FA70DC">
                    <w:rPr>
                      <w:rFonts w:ascii="Arial" w:hAnsi="Arial" w:cs="Arial"/>
                      <w:sz w:val="22"/>
                      <w:szCs w:val="22"/>
                    </w:rPr>
                    <w:t>IFR</w:t>
                  </w:r>
                </w:p>
              </w:tc>
              <w:tc>
                <w:tcPr>
                  <w:tcW w:w="3737" w:type="dxa"/>
                  <w:tcBorders>
                    <w:top w:val="single" w:sz="4" w:space="0" w:color="auto"/>
                    <w:left w:val="nil"/>
                    <w:bottom w:val="single" w:sz="8" w:space="0" w:color="auto"/>
                    <w:right w:val="single" w:sz="4" w:space="0" w:color="auto"/>
                  </w:tcBorders>
                  <w:vAlign w:val="center"/>
                  <w:hideMark/>
                </w:tcPr>
                <w:p w:rsidR="00512C9D" w:rsidRDefault="00512C9D">
                  <w:pPr>
                    <w:rPr>
                      <w:rFonts w:ascii="Arial" w:hAnsi="Arial" w:cs="Arial"/>
                      <w:sz w:val="22"/>
                      <w:szCs w:val="22"/>
                    </w:rPr>
                  </w:pPr>
                  <w:r>
                    <w:rPr>
                      <w:rFonts w:ascii="Arial" w:hAnsi="Arial" w:cs="Arial"/>
                      <w:sz w:val="22"/>
                      <w:szCs w:val="22"/>
                    </w:rPr>
                    <w:t>Buy</w:t>
                  </w:r>
                </w:p>
              </w:tc>
            </w:tr>
            <w:tr w:rsidR="00512C9D" w:rsidTr="005F3E6A">
              <w:trPr>
                <w:trHeight w:val="285"/>
              </w:trPr>
              <w:tc>
                <w:tcPr>
                  <w:tcW w:w="5755" w:type="dxa"/>
                  <w:tcBorders>
                    <w:top w:val="single" w:sz="8" w:space="0" w:color="auto"/>
                    <w:left w:val="single" w:sz="8" w:space="0" w:color="auto"/>
                    <w:bottom w:val="single" w:sz="4" w:space="0" w:color="auto"/>
                    <w:right w:val="single" w:sz="4" w:space="0" w:color="auto"/>
                  </w:tcBorders>
                  <w:vAlign w:val="center"/>
                  <w:hideMark/>
                </w:tcPr>
                <w:p w:rsidR="00512C9D" w:rsidRPr="00FA70DC" w:rsidRDefault="00512C9D">
                  <w:pPr>
                    <w:rPr>
                      <w:rFonts w:ascii="Arial" w:hAnsi="Arial" w:cs="Arial"/>
                      <w:sz w:val="22"/>
                      <w:szCs w:val="22"/>
                    </w:rPr>
                  </w:pPr>
                  <w:r w:rsidRPr="00FA70DC">
                    <w:rPr>
                      <w:rFonts w:ascii="Arial" w:hAnsi="Arial" w:cs="Arial"/>
                      <w:sz w:val="22"/>
                      <w:szCs w:val="22"/>
                    </w:rPr>
                    <w:t>Medicines Management</w:t>
                  </w:r>
                </w:p>
              </w:tc>
              <w:tc>
                <w:tcPr>
                  <w:tcW w:w="3737" w:type="dxa"/>
                  <w:tcBorders>
                    <w:top w:val="single" w:sz="4" w:space="0" w:color="auto"/>
                    <w:left w:val="nil"/>
                    <w:bottom w:val="single" w:sz="8" w:space="0" w:color="auto"/>
                    <w:right w:val="single" w:sz="4" w:space="0" w:color="auto"/>
                  </w:tcBorders>
                  <w:vAlign w:val="center"/>
                  <w:hideMark/>
                </w:tcPr>
                <w:p w:rsidR="00512C9D" w:rsidRDefault="00512C9D">
                  <w:pPr>
                    <w:rPr>
                      <w:rFonts w:ascii="Arial" w:hAnsi="Arial" w:cs="Arial"/>
                      <w:sz w:val="22"/>
                      <w:szCs w:val="22"/>
                    </w:rPr>
                  </w:pPr>
                  <w:r>
                    <w:rPr>
                      <w:rFonts w:ascii="Arial" w:hAnsi="Arial" w:cs="Arial"/>
                      <w:sz w:val="22"/>
                      <w:szCs w:val="22"/>
                    </w:rPr>
                    <w:t>Buy – Humber footprint</w:t>
                  </w:r>
                </w:p>
              </w:tc>
            </w:tr>
            <w:tr w:rsidR="00512C9D" w:rsidTr="005F3E6A">
              <w:trPr>
                <w:trHeight w:val="285"/>
              </w:trPr>
              <w:tc>
                <w:tcPr>
                  <w:tcW w:w="5755" w:type="dxa"/>
                  <w:tcBorders>
                    <w:top w:val="nil"/>
                    <w:left w:val="single" w:sz="8" w:space="0" w:color="auto"/>
                    <w:bottom w:val="single" w:sz="8" w:space="0" w:color="auto"/>
                    <w:right w:val="single" w:sz="4" w:space="0" w:color="auto"/>
                  </w:tcBorders>
                  <w:vAlign w:val="center"/>
                  <w:hideMark/>
                </w:tcPr>
                <w:p w:rsidR="00512C9D" w:rsidRPr="00FA70DC" w:rsidRDefault="00512C9D">
                  <w:pPr>
                    <w:rPr>
                      <w:rFonts w:ascii="Arial" w:hAnsi="Arial" w:cs="Arial"/>
                      <w:sz w:val="22"/>
                      <w:szCs w:val="22"/>
                    </w:rPr>
                  </w:pPr>
                  <w:r w:rsidRPr="00FA70DC">
                    <w:rPr>
                      <w:rFonts w:ascii="Arial" w:hAnsi="Arial" w:cs="Arial"/>
                      <w:sz w:val="22"/>
                      <w:szCs w:val="22"/>
                    </w:rPr>
                    <w:t>Quality &amp; SUI management</w:t>
                  </w:r>
                </w:p>
              </w:tc>
              <w:tc>
                <w:tcPr>
                  <w:tcW w:w="3737" w:type="dxa"/>
                  <w:tcBorders>
                    <w:top w:val="single" w:sz="8" w:space="0" w:color="auto"/>
                    <w:left w:val="nil"/>
                    <w:bottom w:val="single" w:sz="4" w:space="0" w:color="auto"/>
                    <w:right w:val="single" w:sz="4" w:space="0" w:color="auto"/>
                  </w:tcBorders>
                  <w:vAlign w:val="center"/>
                  <w:hideMark/>
                </w:tcPr>
                <w:p w:rsidR="00512C9D" w:rsidRDefault="00512C9D">
                  <w:pPr>
                    <w:rPr>
                      <w:rFonts w:ascii="Arial" w:hAnsi="Arial" w:cs="Arial"/>
                      <w:sz w:val="22"/>
                      <w:szCs w:val="22"/>
                    </w:rPr>
                  </w:pPr>
                  <w:r>
                    <w:rPr>
                      <w:rFonts w:ascii="Arial" w:hAnsi="Arial" w:cs="Arial"/>
                      <w:sz w:val="22"/>
                      <w:szCs w:val="22"/>
                    </w:rPr>
                    <w:t>Share with NL</w:t>
                  </w:r>
                  <w:r w:rsidR="009E511E">
                    <w:rPr>
                      <w:rFonts w:ascii="Arial" w:hAnsi="Arial" w:cs="Arial"/>
                      <w:sz w:val="22"/>
                      <w:szCs w:val="22"/>
                    </w:rPr>
                    <w:t xml:space="preserve"> </w:t>
                  </w:r>
                  <w:r>
                    <w:rPr>
                      <w:rFonts w:ascii="Arial" w:hAnsi="Arial" w:cs="Arial"/>
                      <w:sz w:val="22"/>
                      <w:szCs w:val="22"/>
                    </w:rPr>
                    <w:t>CCG</w:t>
                  </w:r>
                </w:p>
              </w:tc>
            </w:tr>
            <w:tr w:rsidR="00512C9D" w:rsidTr="005F3E6A">
              <w:trPr>
                <w:trHeight w:val="285"/>
              </w:trPr>
              <w:tc>
                <w:tcPr>
                  <w:tcW w:w="5755" w:type="dxa"/>
                  <w:tcBorders>
                    <w:top w:val="single" w:sz="8" w:space="0" w:color="auto"/>
                    <w:left w:val="single" w:sz="8" w:space="0" w:color="auto"/>
                    <w:bottom w:val="single" w:sz="4" w:space="0" w:color="auto"/>
                    <w:right w:val="single" w:sz="4" w:space="0" w:color="auto"/>
                  </w:tcBorders>
                  <w:vAlign w:val="center"/>
                  <w:hideMark/>
                </w:tcPr>
                <w:p w:rsidR="00512C9D" w:rsidRPr="00FA70DC" w:rsidRDefault="00512C9D">
                  <w:pPr>
                    <w:rPr>
                      <w:rFonts w:ascii="Arial" w:hAnsi="Arial" w:cs="Arial"/>
                      <w:sz w:val="22"/>
                      <w:szCs w:val="22"/>
                    </w:rPr>
                  </w:pPr>
                  <w:r w:rsidRPr="00FA70DC">
                    <w:rPr>
                      <w:rFonts w:ascii="Arial" w:hAnsi="Arial" w:cs="Arial"/>
                      <w:sz w:val="22"/>
                      <w:szCs w:val="22"/>
                    </w:rPr>
                    <w:t>FOI (Freedom of Information)</w:t>
                  </w:r>
                </w:p>
              </w:tc>
              <w:tc>
                <w:tcPr>
                  <w:tcW w:w="3737" w:type="dxa"/>
                  <w:tcBorders>
                    <w:top w:val="single" w:sz="4" w:space="0" w:color="auto"/>
                    <w:left w:val="single" w:sz="8" w:space="0" w:color="auto"/>
                    <w:bottom w:val="single" w:sz="4" w:space="0" w:color="auto"/>
                    <w:right w:val="single" w:sz="8" w:space="0" w:color="auto"/>
                  </w:tcBorders>
                  <w:vAlign w:val="center"/>
                  <w:hideMark/>
                </w:tcPr>
                <w:p w:rsidR="00512C9D" w:rsidRDefault="00512C9D" w:rsidP="00FA70DC">
                  <w:pPr>
                    <w:rPr>
                      <w:rFonts w:ascii="Arial" w:hAnsi="Arial" w:cs="Arial"/>
                      <w:sz w:val="22"/>
                      <w:szCs w:val="22"/>
                    </w:rPr>
                  </w:pPr>
                  <w:r>
                    <w:rPr>
                      <w:rFonts w:ascii="Arial" w:hAnsi="Arial" w:cs="Arial"/>
                      <w:sz w:val="22"/>
                      <w:szCs w:val="22"/>
                    </w:rPr>
                    <w:t>Share –</w:t>
                  </w:r>
                  <w:r w:rsidR="00FA70DC">
                    <w:rPr>
                      <w:rFonts w:ascii="Arial" w:hAnsi="Arial" w:cs="Arial"/>
                      <w:sz w:val="22"/>
                      <w:szCs w:val="22"/>
                    </w:rPr>
                    <w:t xml:space="preserve"> </w:t>
                  </w:r>
                  <w:r>
                    <w:rPr>
                      <w:rFonts w:ascii="Arial" w:hAnsi="Arial" w:cs="Arial"/>
                      <w:sz w:val="22"/>
                      <w:szCs w:val="22"/>
                    </w:rPr>
                    <w:t>H</w:t>
                  </w:r>
                  <w:r w:rsidR="00FA70DC">
                    <w:rPr>
                      <w:rFonts w:ascii="Arial" w:hAnsi="Arial" w:cs="Arial"/>
                      <w:sz w:val="22"/>
                      <w:szCs w:val="22"/>
                    </w:rPr>
                    <w:t>umber</w:t>
                  </w:r>
                  <w:r>
                    <w:rPr>
                      <w:rFonts w:ascii="Arial" w:hAnsi="Arial" w:cs="Arial"/>
                      <w:sz w:val="22"/>
                      <w:szCs w:val="22"/>
                    </w:rPr>
                    <w:t xml:space="preserve"> footprint</w:t>
                  </w:r>
                </w:p>
              </w:tc>
            </w:tr>
            <w:tr w:rsidR="00512C9D" w:rsidTr="005F3E6A">
              <w:trPr>
                <w:trHeight w:val="285"/>
              </w:trPr>
              <w:tc>
                <w:tcPr>
                  <w:tcW w:w="5755" w:type="dxa"/>
                  <w:tcBorders>
                    <w:top w:val="single" w:sz="4" w:space="0" w:color="auto"/>
                    <w:left w:val="single" w:sz="8" w:space="0" w:color="auto"/>
                    <w:bottom w:val="single" w:sz="4" w:space="0" w:color="auto"/>
                    <w:right w:val="single" w:sz="4" w:space="0" w:color="auto"/>
                  </w:tcBorders>
                  <w:vAlign w:val="center"/>
                  <w:hideMark/>
                </w:tcPr>
                <w:p w:rsidR="00512C9D" w:rsidRDefault="00512C9D">
                  <w:pPr>
                    <w:rPr>
                      <w:rFonts w:ascii="Arial" w:hAnsi="Arial" w:cs="Arial"/>
                      <w:sz w:val="22"/>
                      <w:szCs w:val="22"/>
                    </w:rPr>
                  </w:pPr>
                  <w:r>
                    <w:rPr>
                      <w:rFonts w:ascii="Arial" w:hAnsi="Arial" w:cs="Arial"/>
                      <w:sz w:val="22"/>
                      <w:szCs w:val="22"/>
                    </w:rPr>
                    <w:t>HLHF Programme Management Office</w:t>
                  </w:r>
                </w:p>
              </w:tc>
              <w:tc>
                <w:tcPr>
                  <w:tcW w:w="3737" w:type="dxa"/>
                  <w:tcBorders>
                    <w:top w:val="single" w:sz="4" w:space="0" w:color="auto"/>
                    <w:left w:val="nil"/>
                    <w:bottom w:val="single" w:sz="4" w:space="0" w:color="auto"/>
                    <w:right w:val="single" w:sz="4" w:space="0" w:color="auto"/>
                  </w:tcBorders>
                  <w:vAlign w:val="center"/>
                  <w:hideMark/>
                </w:tcPr>
                <w:p w:rsidR="00512C9D" w:rsidRDefault="00512C9D">
                  <w:pPr>
                    <w:rPr>
                      <w:rFonts w:ascii="Arial" w:hAnsi="Arial" w:cs="Arial"/>
                      <w:sz w:val="22"/>
                      <w:szCs w:val="22"/>
                    </w:rPr>
                  </w:pPr>
                  <w:r>
                    <w:rPr>
                      <w:rFonts w:ascii="Arial" w:hAnsi="Arial" w:cs="Arial"/>
                      <w:sz w:val="22"/>
                      <w:szCs w:val="22"/>
                    </w:rPr>
                    <w:t>Share with NL</w:t>
                  </w:r>
                  <w:r w:rsidR="009E511E">
                    <w:rPr>
                      <w:rFonts w:ascii="Arial" w:hAnsi="Arial" w:cs="Arial"/>
                      <w:sz w:val="22"/>
                      <w:szCs w:val="22"/>
                    </w:rPr>
                    <w:t xml:space="preserve"> </w:t>
                  </w:r>
                  <w:r>
                    <w:rPr>
                      <w:rFonts w:ascii="Arial" w:hAnsi="Arial" w:cs="Arial"/>
                      <w:sz w:val="22"/>
                      <w:szCs w:val="22"/>
                    </w:rPr>
                    <w:t>CCG</w:t>
                  </w:r>
                </w:p>
              </w:tc>
            </w:tr>
            <w:tr w:rsidR="005F3E6A" w:rsidTr="005F3E6A">
              <w:trPr>
                <w:trHeight w:val="285"/>
              </w:trPr>
              <w:tc>
                <w:tcPr>
                  <w:tcW w:w="5755" w:type="dxa"/>
                  <w:tcBorders>
                    <w:top w:val="single" w:sz="4" w:space="0" w:color="auto"/>
                    <w:left w:val="single" w:sz="8" w:space="0" w:color="auto"/>
                    <w:bottom w:val="single" w:sz="8" w:space="0" w:color="auto"/>
                    <w:right w:val="single" w:sz="4" w:space="0" w:color="auto"/>
                  </w:tcBorders>
                  <w:vAlign w:val="center"/>
                </w:tcPr>
                <w:p w:rsidR="005F3E6A" w:rsidRDefault="005F3E6A">
                  <w:pPr>
                    <w:rPr>
                      <w:rFonts w:ascii="Arial" w:hAnsi="Arial" w:cs="Arial"/>
                      <w:sz w:val="22"/>
                      <w:szCs w:val="22"/>
                    </w:rPr>
                  </w:pPr>
                  <w:r>
                    <w:rPr>
                      <w:rFonts w:ascii="Arial" w:hAnsi="Arial" w:cs="Arial"/>
                      <w:sz w:val="22"/>
                      <w:szCs w:val="22"/>
                    </w:rPr>
                    <w:t>Research &amp; Development</w:t>
                  </w:r>
                </w:p>
              </w:tc>
              <w:tc>
                <w:tcPr>
                  <w:tcW w:w="3737" w:type="dxa"/>
                  <w:tcBorders>
                    <w:top w:val="single" w:sz="4" w:space="0" w:color="auto"/>
                    <w:left w:val="nil"/>
                    <w:bottom w:val="single" w:sz="8" w:space="0" w:color="auto"/>
                    <w:right w:val="single" w:sz="4" w:space="0" w:color="auto"/>
                  </w:tcBorders>
                  <w:vAlign w:val="center"/>
                </w:tcPr>
                <w:p w:rsidR="005F3E6A" w:rsidRDefault="005F3E6A">
                  <w:pPr>
                    <w:rPr>
                      <w:rFonts w:ascii="Arial" w:hAnsi="Arial" w:cs="Arial"/>
                      <w:sz w:val="22"/>
                      <w:szCs w:val="22"/>
                    </w:rPr>
                  </w:pPr>
                  <w:r>
                    <w:rPr>
                      <w:rFonts w:ascii="Arial" w:hAnsi="Arial" w:cs="Arial"/>
                      <w:sz w:val="22"/>
                      <w:szCs w:val="22"/>
                    </w:rPr>
                    <w:t>Share – NY&amp;H footprint</w:t>
                  </w:r>
                </w:p>
              </w:tc>
            </w:tr>
          </w:tbl>
          <w:p w:rsidR="00512C9D" w:rsidRDefault="00512C9D" w:rsidP="00585083">
            <w:pPr>
              <w:jc w:val="both"/>
              <w:rPr>
                <w:rFonts w:ascii="Arial" w:hAnsi="Arial" w:cs="Arial"/>
                <w:bCs/>
                <w:sz w:val="22"/>
                <w:szCs w:val="22"/>
              </w:rPr>
            </w:pPr>
          </w:p>
          <w:p w:rsidR="009E511E" w:rsidRDefault="009E511E" w:rsidP="0093502D">
            <w:pPr>
              <w:jc w:val="both"/>
              <w:rPr>
                <w:rFonts w:ascii="Arial" w:hAnsi="Arial" w:cs="Arial"/>
                <w:bCs/>
                <w:sz w:val="22"/>
                <w:szCs w:val="22"/>
              </w:rPr>
            </w:pPr>
          </w:p>
          <w:p w:rsidR="009E511E" w:rsidRDefault="009E511E" w:rsidP="0093502D">
            <w:pPr>
              <w:jc w:val="both"/>
              <w:rPr>
                <w:rFonts w:ascii="Arial" w:hAnsi="Arial" w:cs="Arial"/>
                <w:bCs/>
                <w:sz w:val="22"/>
                <w:szCs w:val="22"/>
              </w:rPr>
            </w:pPr>
          </w:p>
          <w:p w:rsidR="009E511E" w:rsidRDefault="009E511E" w:rsidP="0093502D">
            <w:pPr>
              <w:jc w:val="both"/>
              <w:rPr>
                <w:rFonts w:ascii="Arial" w:hAnsi="Arial" w:cs="Arial"/>
                <w:bCs/>
                <w:sz w:val="22"/>
                <w:szCs w:val="22"/>
              </w:rPr>
            </w:pPr>
          </w:p>
          <w:p w:rsidR="0093502D" w:rsidRDefault="0093502D" w:rsidP="0093502D">
            <w:pPr>
              <w:jc w:val="both"/>
              <w:rPr>
                <w:rFonts w:ascii="Arial" w:hAnsi="Arial" w:cs="Arial"/>
                <w:bCs/>
                <w:sz w:val="22"/>
                <w:szCs w:val="22"/>
              </w:rPr>
            </w:pPr>
            <w:r w:rsidRPr="0093502D">
              <w:rPr>
                <w:rFonts w:ascii="Arial" w:hAnsi="Arial" w:cs="Arial"/>
                <w:bCs/>
                <w:sz w:val="22"/>
                <w:szCs w:val="22"/>
              </w:rPr>
              <w:t>The CCGs proposed commissioning intentions were taken to the Care Contracting Committee in May for approval. Since then further work has been done to develop these commissioning intentions which has resulted in a couple of changes</w:t>
            </w:r>
            <w:r>
              <w:rPr>
                <w:rFonts w:ascii="Arial" w:hAnsi="Arial" w:cs="Arial"/>
                <w:bCs/>
                <w:sz w:val="22"/>
                <w:szCs w:val="22"/>
              </w:rPr>
              <w:t xml:space="preserve"> (in italics) to what was agreed at the Care Contracting committee.</w:t>
            </w:r>
          </w:p>
          <w:p w:rsidR="0093502D" w:rsidRDefault="0093502D" w:rsidP="0093502D">
            <w:pPr>
              <w:jc w:val="both"/>
              <w:rPr>
                <w:rFonts w:ascii="Arial" w:hAnsi="Arial" w:cs="Arial"/>
                <w:bCs/>
                <w:sz w:val="22"/>
                <w:szCs w:val="22"/>
              </w:rPr>
            </w:pPr>
          </w:p>
          <w:p w:rsidR="00FA70DC" w:rsidRDefault="00747A7F" w:rsidP="0093502D">
            <w:pPr>
              <w:jc w:val="both"/>
              <w:rPr>
                <w:rFonts w:ascii="Arial" w:hAnsi="Arial" w:cs="Arial"/>
                <w:bCs/>
                <w:sz w:val="22"/>
                <w:szCs w:val="22"/>
              </w:rPr>
            </w:pPr>
            <w:r>
              <w:rPr>
                <w:rFonts w:ascii="Arial" w:hAnsi="Arial" w:cs="Arial"/>
                <w:bCs/>
                <w:sz w:val="22"/>
                <w:szCs w:val="22"/>
              </w:rPr>
              <w:t xml:space="preserve">The commissioning intentions have been shared </w:t>
            </w:r>
            <w:r w:rsidR="00C154DF">
              <w:rPr>
                <w:rFonts w:ascii="Arial" w:hAnsi="Arial" w:cs="Arial"/>
                <w:bCs/>
                <w:sz w:val="22"/>
                <w:szCs w:val="22"/>
              </w:rPr>
              <w:t>by</w:t>
            </w:r>
            <w:r>
              <w:rPr>
                <w:rFonts w:ascii="Arial" w:hAnsi="Arial" w:cs="Arial"/>
                <w:bCs/>
                <w:sz w:val="22"/>
                <w:szCs w:val="22"/>
              </w:rPr>
              <w:t xml:space="preserve"> </w:t>
            </w:r>
            <w:r w:rsidRPr="00747A7F">
              <w:rPr>
                <w:rFonts w:ascii="Arial" w:hAnsi="Arial" w:cs="Arial"/>
                <w:bCs/>
                <w:sz w:val="22"/>
                <w:szCs w:val="22"/>
              </w:rPr>
              <w:t>Yorkshire &amp; Humber Commissioning Support</w:t>
            </w:r>
            <w:r>
              <w:rPr>
                <w:rFonts w:ascii="Arial" w:hAnsi="Arial" w:cs="Arial"/>
                <w:bCs/>
                <w:sz w:val="22"/>
                <w:szCs w:val="22"/>
              </w:rPr>
              <w:t xml:space="preserve"> </w:t>
            </w:r>
            <w:r w:rsidR="00C154DF">
              <w:rPr>
                <w:rFonts w:ascii="Arial" w:hAnsi="Arial" w:cs="Arial"/>
                <w:bCs/>
                <w:sz w:val="22"/>
                <w:szCs w:val="22"/>
              </w:rPr>
              <w:t xml:space="preserve">with their </w:t>
            </w:r>
            <w:r>
              <w:rPr>
                <w:rFonts w:ascii="Arial" w:hAnsi="Arial" w:cs="Arial"/>
                <w:bCs/>
                <w:sz w:val="22"/>
                <w:szCs w:val="22"/>
              </w:rPr>
              <w:t>staff.</w:t>
            </w:r>
          </w:p>
          <w:p w:rsidR="00FA70DC" w:rsidRDefault="00FA70DC" w:rsidP="00585083">
            <w:pPr>
              <w:jc w:val="both"/>
              <w:rPr>
                <w:rFonts w:ascii="Arial" w:hAnsi="Arial" w:cs="Arial"/>
                <w:bCs/>
                <w:sz w:val="22"/>
                <w:szCs w:val="22"/>
              </w:rPr>
            </w:pPr>
          </w:p>
          <w:p w:rsidR="00512C9D" w:rsidRDefault="00512C9D" w:rsidP="00512C9D">
            <w:pPr>
              <w:rPr>
                <w:rFonts w:ascii="Arial" w:hAnsi="Arial" w:cs="Arial"/>
                <w:b/>
                <w:bCs/>
                <w:sz w:val="22"/>
                <w:szCs w:val="22"/>
              </w:rPr>
            </w:pPr>
            <w:r>
              <w:rPr>
                <w:rFonts w:ascii="Arial" w:hAnsi="Arial" w:cs="Arial"/>
                <w:b/>
                <w:bCs/>
                <w:sz w:val="22"/>
                <w:szCs w:val="22"/>
              </w:rPr>
              <w:t>Timelines</w:t>
            </w:r>
          </w:p>
          <w:p w:rsidR="00512C9D" w:rsidRDefault="00512C9D" w:rsidP="00512C9D">
            <w:pPr>
              <w:rPr>
                <w:rFonts w:ascii="Arial" w:hAnsi="Arial" w:cs="Arial"/>
                <w:b/>
                <w:bCs/>
                <w:sz w:val="22"/>
                <w:szCs w:val="22"/>
              </w:rPr>
            </w:pPr>
          </w:p>
          <w:tbl>
            <w:tblPr>
              <w:tblW w:w="95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2"/>
              <w:gridCol w:w="1392"/>
            </w:tblGrid>
            <w:tr w:rsidR="00512C9D" w:rsidTr="00512C9D">
              <w:trPr>
                <w:trHeight w:val="252"/>
              </w:trPr>
              <w:tc>
                <w:tcPr>
                  <w:tcW w:w="8109" w:type="dxa"/>
                  <w:tcBorders>
                    <w:top w:val="single" w:sz="4" w:space="0" w:color="auto"/>
                    <w:left w:val="single" w:sz="4" w:space="0" w:color="auto"/>
                    <w:bottom w:val="single" w:sz="4" w:space="0" w:color="auto"/>
                    <w:right w:val="single" w:sz="4" w:space="0" w:color="auto"/>
                  </w:tcBorders>
                </w:tcPr>
                <w:p w:rsidR="00512C9D" w:rsidRDefault="00512C9D">
                  <w:pPr>
                    <w:rPr>
                      <w:rFonts w:ascii="Arial" w:hAnsi="Arial" w:cs="Arial"/>
                      <w:b/>
                      <w:bCs/>
                      <w:sz w:val="22"/>
                      <w:szCs w:val="22"/>
                    </w:rPr>
                  </w:pPr>
                  <w:r>
                    <w:rPr>
                      <w:rFonts w:ascii="Arial" w:hAnsi="Arial" w:cs="Arial"/>
                      <w:b/>
                      <w:bCs/>
                      <w:sz w:val="22"/>
                      <w:szCs w:val="22"/>
                    </w:rPr>
                    <w:t>Task</w:t>
                  </w:r>
                </w:p>
                <w:p w:rsidR="00512C9D" w:rsidRDefault="00512C9D">
                  <w:pPr>
                    <w:rPr>
                      <w:rFonts w:ascii="Arial" w:hAnsi="Arial" w:cs="Arial"/>
                      <w:b/>
                      <w:bCs/>
                      <w:sz w:val="22"/>
                      <w:szCs w:val="22"/>
                    </w:rPr>
                  </w:pPr>
                </w:p>
              </w:tc>
              <w:tc>
                <w:tcPr>
                  <w:tcW w:w="1392" w:type="dxa"/>
                  <w:tcBorders>
                    <w:top w:val="single" w:sz="4" w:space="0" w:color="auto"/>
                    <w:left w:val="single" w:sz="4" w:space="0" w:color="auto"/>
                    <w:bottom w:val="single" w:sz="4" w:space="0" w:color="auto"/>
                    <w:right w:val="single" w:sz="4" w:space="0" w:color="auto"/>
                  </w:tcBorders>
                  <w:hideMark/>
                </w:tcPr>
                <w:p w:rsidR="00512C9D" w:rsidRDefault="00512C9D">
                  <w:pPr>
                    <w:rPr>
                      <w:rFonts w:ascii="Arial" w:hAnsi="Arial" w:cs="Arial"/>
                      <w:b/>
                      <w:bCs/>
                      <w:sz w:val="22"/>
                      <w:szCs w:val="22"/>
                    </w:rPr>
                  </w:pPr>
                  <w:r>
                    <w:rPr>
                      <w:rFonts w:ascii="Arial" w:hAnsi="Arial" w:cs="Arial"/>
                      <w:b/>
                      <w:bCs/>
                      <w:sz w:val="22"/>
                      <w:szCs w:val="22"/>
                    </w:rPr>
                    <w:t>Timescale</w:t>
                  </w:r>
                </w:p>
              </w:tc>
            </w:tr>
            <w:tr w:rsidR="00512C9D" w:rsidTr="00512C9D">
              <w:trPr>
                <w:trHeight w:val="567"/>
              </w:trPr>
              <w:tc>
                <w:tcPr>
                  <w:tcW w:w="8109" w:type="dxa"/>
                  <w:tcBorders>
                    <w:top w:val="single" w:sz="4" w:space="0" w:color="auto"/>
                    <w:left w:val="single" w:sz="4" w:space="0" w:color="auto"/>
                    <w:bottom w:val="single" w:sz="4" w:space="0" w:color="auto"/>
                    <w:right w:val="single" w:sz="4" w:space="0" w:color="auto"/>
                  </w:tcBorders>
                </w:tcPr>
                <w:p w:rsidR="00512C9D" w:rsidRDefault="00512C9D">
                  <w:pPr>
                    <w:pStyle w:val="ListParagraph"/>
                    <w:ind w:left="0"/>
                    <w:rPr>
                      <w:rFonts w:ascii="Arial" w:hAnsi="Arial" w:cs="Arial"/>
                      <w:bCs/>
                      <w:sz w:val="22"/>
                      <w:szCs w:val="22"/>
                    </w:rPr>
                  </w:pPr>
                </w:p>
                <w:p w:rsidR="00512C9D" w:rsidRPr="00D97A7C" w:rsidRDefault="00512C9D">
                  <w:pPr>
                    <w:pStyle w:val="ListParagraph"/>
                    <w:ind w:left="0"/>
                    <w:rPr>
                      <w:rFonts w:ascii="Arial" w:hAnsi="Arial" w:cs="Arial"/>
                      <w:bCs/>
                      <w:sz w:val="22"/>
                      <w:szCs w:val="22"/>
                    </w:rPr>
                  </w:pPr>
                  <w:r w:rsidRPr="00D97A7C">
                    <w:rPr>
                      <w:rFonts w:ascii="Arial" w:hAnsi="Arial" w:cs="Arial"/>
                      <w:bCs/>
                      <w:sz w:val="22"/>
                      <w:szCs w:val="22"/>
                    </w:rPr>
                    <w:t xml:space="preserve">For In-housing business cases </w:t>
                  </w:r>
                </w:p>
                <w:p w:rsidR="00512C9D" w:rsidRPr="00D97A7C" w:rsidRDefault="00512C9D">
                  <w:pPr>
                    <w:pStyle w:val="ListParagraph"/>
                    <w:ind w:left="0"/>
                    <w:rPr>
                      <w:rFonts w:ascii="Arial" w:hAnsi="Arial" w:cs="Arial"/>
                      <w:bCs/>
                      <w:sz w:val="22"/>
                      <w:szCs w:val="22"/>
                    </w:rPr>
                  </w:pPr>
                  <w:r w:rsidRPr="00D97A7C">
                    <w:rPr>
                      <w:rFonts w:ascii="Arial" w:hAnsi="Arial" w:cs="Arial"/>
                      <w:bCs/>
                      <w:sz w:val="22"/>
                      <w:szCs w:val="22"/>
                    </w:rPr>
                    <w:t xml:space="preserve">- turn around by NHS England BDU team by the end of June. </w:t>
                  </w:r>
                  <w:r w:rsidR="00374C09">
                    <w:rPr>
                      <w:rFonts w:ascii="Arial" w:hAnsi="Arial" w:cs="Arial"/>
                      <w:bCs/>
                      <w:sz w:val="22"/>
                      <w:szCs w:val="22"/>
                    </w:rPr>
                    <w:t xml:space="preserve"> </w:t>
                  </w:r>
                </w:p>
                <w:p w:rsidR="00512C9D" w:rsidRDefault="00512C9D">
                  <w:pPr>
                    <w:pStyle w:val="ListParagraph"/>
                    <w:ind w:left="0"/>
                    <w:rPr>
                      <w:rFonts w:ascii="Arial" w:hAnsi="Arial" w:cs="Arial"/>
                      <w:bCs/>
                    </w:rPr>
                  </w:pPr>
                </w:p>
              </w:tc>
              <w:tc>
                <w:tcPr>
                  <w:tcW w:w="1392" w:type="dxa"/>
                  <w:tcBorders>
                    <w:top w:val="single" w:sz="4" w:space="0" w:color="auto"/>
                    <w:left w:val="single" w:sz="4" w:space="0" w:color="auto"/>
                    <w:bottom w:val="single" w:sz="4" w:space="0" w:color="auto"/>
                    <w:right w:val="single" w:sz="4" w:space="0" w:color="auto"/>
                  </w:tcBorders>
                </w:tcPr>
                <w:p w:rsidR="00512C9D" w:rsidRDefault="00512C9D">
                  <w:pPr>
                    <w:rPr>
                      <w:rFonts w:ascii="Arial" w:hAnsi="Arial" w:cs="Arial"/>
                      <w:bCs/>
                      <w:sz w:val="22"/>
                      <w:szCs w:val="22"/>
                    </w:rPr>
                  </w:pPr>
                </w:p>
                <w:p w:rsidR="00512C9D" w:rsidRDefault="00512C9D">
                  <w:pPr>
                    <w:rPr>
                      <w:rFonts w:ascii="Arial" w:hAnsi="Arial" w:cs="Arial"/>
                      <w:bCs/>
                      <w:sz w:val="22"/>
                      <w:szCs w:val="22"/>
                    </w:rPr>
                  </w:pPr>
                </w:p>
                <w:p w:rsidR="00512C9D" w:rsidRDefault="00512C9D">
                  <w:pPr>
                    <w:rPr>
                      <w:rFonts w:ascii="Arial" w:hAnsi="Arial" w:cs="Arial"/>
                      <w:bCs/>
                      <w:sz w:val="22"/>
                      <w:szCs w:val="22"/>
                    </w:rPr>
                  </w:pPr>
                  <w:r>
                    <w:rPr>
                      <w:rFonts w:ascii="Arial" w:hAnsi="Arial" w:cs="Arial"/>
                      <w:bCs/>
                      <w:sz w:val="22"/>
                      <w:szCs w:val="22"/>
                    </w:rPr>
                    <w:t>End of June</w:t>
                  </w:r>
                </w:p>
                <w:p w:rsidR="00512C9D" w:rsidRDefault="00512C9D">
                  <w:pPr>
                    <w:rPr>
                      <w:rFonts w:ascii="Arial" w:hAnsi="Arial" w:cs="Arial"/>
                      <w:bCs/>
                      <w:sz w:val="22"/>
                      <w:szCs w:val="22"/>
                    </w:rPr>
                  </w:pPr>
                </w:p>
              </w:tc>
            </w:tr>
            <w:tr w:rsidR="00512C9D" w:rsidTr="00512C9D">
              <w:trPr>
                <w:trHeight w:val="567"/>
              </w:trPr>
              <w:tc>
                <w:tcPr>
                  <w:tcW w:w="8109" w:type="dxa"/>
                  <w:tcBorders>
                    <w:top w:val="single" w:sz="4" w:space="0" w:color="auto"/>
                    <w:left w:val="single" w:sz="4" w:space="0" w:color="auto"/>
                    <w:bottom w:val="single" w:sz="4" w:space="0" w:color="auto"/>
                    <w:right w:val="single" w:sz="4" w:space="0" w:color="auto"/>
                  </w:tcBorders>
                </w:tcPr>
                <w:p w:rsidR="00512C9D" w:rsidRDefault="00512C9D">
                  <w:pPr>
                    <w:rPr>
                      <w:rFonts w:ascii="Arial" w:hAnsi="Arial" w:cs="Arial"/>
                      <w:bCs/>
                      <w:sz w:val="22"/>
                      <w:szCs w:val="22"/>
                    </w:rPr>
                  </w:pPr>
                </w:p>
                <w:p w:rsidR="00512C9D" w:rsidRDefault="00512C9D">
                  <w:pPr>
                    <w:rPr>
                      <w:rFonts w:ascii="Arial" w:hAnsi="Arial" w:cs="Arial"/>
                      <w:bCs/>
                      <w:sz w:val="22"/>
                      <w:szCs w:val="22"/>
                    </w:rPr>
                  </w:pPr>
                  <w:r>
                    <w:rPr>
                      <w:rFonts w:ascii="Arial" w:hAnsi="Arial" w:cs="Arial"/>
                      <w:bCs/>
                      <w:sz w:val="22"/>
                      <w:szCs w:val="22"/>
                    </w:rPr>
                    <w:t xml:space="preserve">For (LPF) Procurement </w:t>
                  </w:r>
                </w:p>
                <w:p w:rsidR="00512C9D" w:rsidRDefault="00512C9D">
                  <w:pPr>
                    <w:rPr>
                      <w:rFonts w:ascii="Arial" w:hAnsi="Arial" w:cs="Arial"/>
                      <w:bCs/>
                      <w:sz w:val="22"/>
                      <w:szCs w:val="22"/>
                    </w:rPr>
                  </w:pPr>
                  <w:r>
                    <w:rPr>
                      <w:rFonts w:ascii="Arial" w:hAnsi="Arial" w:cs="Arial"/>
                      <w:bCs/>
                      <w:sz w:val="22"/>
                      <w:szCs w:val="22"/>
                    </w:rPr>
                    <w:t xml:space="preserve">- CCG to </w:t>
                  </w:r>
                  <w:r w:rsidR="00D97A7C">
                    <w:rPr>
                      <w:rFonts w:ascii="Arial" w:hAnsi="Arial" w:cs="Arial"/>
                      <w:bCs/>
                      <w:sz w:val="22"/>
                      <w:szCs w:val="22"/>
                    </w:rPr>
                    <w:t>sign</w:t>
                  </w:r>
                  <w:r w:rsidR="004D4BD5">
                    <w:rPr>
                      <w:rFonts w:ascii="Arial" w:hAnsi="Arial" w:cs="Arial"/>
                      <w:bCs/>
                      <w:sz w:val="22"/>
                      <w:szCs w:val="22"/>
                    </w:rPr>
                    <w:t xml:space="preserve"> off the specifications / Invitation to tender (ITT) published</w:t>
                  </w:r>
                </w:p>
                <w:p w:rsidR="00512C9D" w:rsidRDefault="00512C9D">
                  <w:pPr>
                    <w:rPr>
                      <w:rFonts w:ascii="Arial" w:hAnsi="Arial" w:cs="Arial"/>
                      <w:bCs/>
                      <w:sz w:val="22"/>
                      <w:szCs w:val="22"/>
                    </w:rPr>
                  </w:pPr>
                  <w:r>
                    <w:rPr>
                      <w:rFonts w:ascii="Arial" w:hAnsi="Arial" w:cs="Arial"/>
                      <w:bCs/>
                      <w:sz w:val="22"/>
                      <w:szCs w:val="22"/>
                    </w:rPr>
                    <w:t xml:space="preserve">- </w:t>
                  </w:r>
                  <w:r w:rsidR="004D4BD5">
                    <w:rPr>
                      <w:rFonts w:ascii="Arial" w:hAnsi="Arial" w:cs="Arial"/>
                      <w:bCs/>
                      <w:sz w:val="22"/>
                      <w:szCs w:val="22"/>
                    </w:rPr>
                    <w:t>Submission of responses / start of CCG evaluation of bids</w:t>
                  </w:r>
                </w:p>
                <w:p w:rsidR="00512C9D" w:rsidRDefault="00512C9D">
                  <w:pPr>
                    <w:rPr>
                      <w:rFonts w:ascii="Arial" w:hAnsi="Arial" w:cs="Arial"/>
                      <w:bCs/>
                      <w:sz w:val="22"/>
                      <w:szCs w:val="22"/>
                    </w:rPr>
                  </w:pPr>
                  <w:r>
                    <w:rPr>
                      <w:rFonts w:ascii="Arial" w:hAnsi="Arial" w:cs="Arial"/>
                      <w:bCs/>
                      <w:sz w:val="22"/>
                      <w:szCs w:val="22"/>
                    </w:rPr>
                    <w:t xml:space="preserve">- </w:t>
                  </w:r>
                  <w:r w:rsidR="004D4BD5">
                    <w:rPr>
                      <w:rFonts w:ascii="Arial" w:hAnsi="Arial" w:cs="Arial"/>
                      <w:bCs/>
                      <w:sz w:val="22"/>
                      <w:szCs w:val="22"/>
                    </w:rPr>
                    <w:t>Successful bidder informed</w:t>
                  </w:r>
                </w:p>
                <w:p w:rsidR="00512C9D" w:rsidRDefault="004D4BD5">
                  <w:pPr>
                    <w:rPr>
                      <w:rFonts w:ascii="Arial" w:hAnsi="Arial" w:cs="Arial"/>
                      <w:bCs/>
                      <w:sz w:val="22"/>
                      <w:szCs w:val="22"/>
                    </w:rPr>
                  </w:pPr>
                  <w:r>
                    <w:rPr>
                      <w:rFonts w:ascii="Arial" w:hAnsi="Arial" w:cs="Arial"/>
                      <w:bCs/>
                      <w:sz w:val="22"/>
                      <w:szCs w:val="22"/>
                    </w:rPr>
                    <w:t>- Contract award</w:t>
                  </w:r>
                </w:p>
                <w:p w:rsidR="00512C9D" w:rsidRDefault="00512C9D">
                  <w:pPr>
                    <w:rPr>
                      <w:rFonts w:ascii="Arial" w:hAnsi="Arial" w:cs="Arial"/>
                      <w:bCs/>
                      <w:sz w:val="22"/>
                      <w:szCs w:val="22"/>
                    </w:rPr>
                  </w:pPr>
                </w:p>
              </w:tc>
              <w:tc>
                <w:tcPr>
                  <w:tcW w:w="1392" w:type="dxa"/>
                  <w:tcBorders>
                    <w:top w:val="single" w:sz="4" w:space="0" w:color="auto"/>
                    <w:left w:val="single" w:sz="4" w:space="0" w:color="auto"/>
                    <w:bottom w:val="single" w:sz="4" w:space="0" w:color="auto"/>
                    <w:right w:val="single" w:sz="4" w:space="0" w:color="auto"/>
                  </w:tcBorders>
                </w:tcPr>
                <w:p w:rsidR="00512C9D" w:rsidRDefault="00512C9D">
                  <w:pPr>
                    <w:rPr>
                      <w:rFonts w:ascii="Arial" w:hAnsi="Arial" w:cs="Arial"/>
                      <w:bCs/>
                      <w:sz w:val="22"/>
                      <w:szCs w:val="22"/>
                    </w:rPr>
                  </w:pPr>
                </w:p>
                <w:p w:rsidR="00D97A7C" w:rsidRDefault="00D97A7C">
                  <w:pPr>
                    <w:rPr>
                      <w:rFonts w:ascii="Arial" w:hAnsi="Arial" w:cs="Arial"/>
                      <w:bCs/>
                      <w:sz w:val="22"/>
                      <w:szCs w:val="22"/>
                    </w:rPr>
                  </w:pPr>
                </w:p>
                <w:p w:rsidR="00512C9D" w:rsidRDefault="00512C9D">
                  <w:pPr>
                    <w:rPr>
                      <w:rFonts w:ascii="Arial" w:hAnsi="Arial" w:cs="Arial"/>
                      <w:bCs/>
                      <w:sz w:val="22"/>
                      <w:szCs w:val="22"/>
                    </w:rPr>
                  </w:pPr>
                  <w:r>
                    <w:rPr>
                      <w:rFonts w:ascii="Arial" w:hAnsi="Arial" w:cs="Arial"/>
                      <w:bCs/>
                      <w:sz w:val="22"/>
                      <w:szCs w:val="22"/>
                    </w:rPr>
                    <w:t>1</w:t>
                  </w:r>
                  <w:r w:rsidR="00D97A7C">
                    <w:rPr>
                      <w:rFonts w:ascii="Arial" w:hAnsi="Arial" w:cs="Arial"/>
                      <w:bCs/>
                      <w:sz w:val="22"/>
                      <w:szCs w:val="22"/>
                    </w:rPr>
                    <w:t>7</w:t>
                  </w:r>
                  <w:r>
                    <w:rPr>
                      <w:rFonts w:ascii="Arial" w:hAnsi="Arial" w:cs="Arial"/>
                      <w:bCs/>
                      <w:sz w:val="22"/>
                      <w:szCs w:val="22"/>
                      <w:vertAlign w:val="superscript"/>
                    </w:rPr>
                    <w:t>th</w:t>
                  </w:r>
                  <w:r>
                    <w:rPr>
                      <w:rFonts w:ascii="Arial" w:hAnsi="Arial" w:cs="Arial"/>
                      <w:bCs/>
                      <w:sz w:val="22"/>
                      <w:szCs w:val="22"/>
                    </w:rPr>
                    <w:t xml:space="preserve"> June</w:t>
                  </w:r>
                </w:p>
                <w:p w:rsidR="004D4BD5" w:rsidRDefault="004D4BD5">
                  <w:pPr>
                    <w:rPr>
                      <w:rFonts w:ascii="Arial" w:hAnsi="Arial" w:cs="Arial"/>
                      <w:bCs/>
                      <w:sz w:val="22"/>
                      <w:szCs w:val="22"/>
                    </w:rPr>
                  </w:pPr>
                  <w:r>
                    <w:rPr>
                      <w:rFonts w:ascii="Arial" w:hAnsi="Arial" w:cs="Arial"/>
                      <w:bCs/>
                      <w:sz w:val="22"/>
                      <w:szCs w:val="22"/>
                    </w:rPr>
                    <w:t>7</w:t>
                  </w:r>
                  <w:r w:rsidRPr="004D4BD5">
                    <w:rPr>
                      <w:rFonts w:ascii="Arial" w:hAnsi="Arial" w:cs="Arial"/>
                      <w:bCs/>
                      <w:sz w:val="22"/>
                      <w:szCs w:val="22"/>
                      <w:vertAlign w:val="superscript"/>
                    </w:rPr>
                    <w:t>th</w:t>
                  </w:r>
                  <w:r>
                    <w:rPr>
                      <w:rFonts w:ascii="Arial" w:hAnsi="Arial" w:cs="Arial"/>
                      <w:bCs/>
                      <w:sz w:val="22"/>
                      <w:szCs w:val="22"/>
                    </w:rPr>
                    <w:t xml:space="preserve"> Sept</w:t>
                  </w:r>
                </w:p>
                <w:p w:rsidR="00512C9D" w:rsidRDefault="004D4BD5">
                  <w:pPr>
                    <w:rPr>
                      <w:rFonts w:ascii="Arial" w:hAnsi="Arial" w:cs="Arial"/>
                      <w:bCs/>
                      <w:sz w:val="22"/>
                      <w:szCs w:val="22"/>
                    </w:rPr>
                  </w:pPr>
                  <w:r>
                    <w:rPr>
                      <w:rFonts w:ascii="Arial" w:hAnsi="Arial" w:cs="Arial"/>
                      <w:bCs/>
                      <w:sz w:val="22"/>
                      <w:szCs w:val="22"/>
                    </w:rPr>
                    <w:t>9</w:t>
                  </w:r>
                  <w:r w:rsidRPr="004D4BD5">
                    <w:rPr>
                      <w:rFonts w:ascii="Arial" w:hAnsi="Arial" w:cs="Arial"/>
                      <w:bCs/>
                      <w:sz w:val="22"/>
                      <w:szCs w:val="22"/>
                      <w:vertAlign w:val="superscript"/>
                    </w:rPr>
                    <w:t>th</w:t>
                  </w:r>
                  <w:r>
                    <w:rPr>
                      <w:rFonts w:ascii="Arial" w:hAnsi="Arial" w:cs="Arial"/>
                      <w:bCs/>
                      <w:sz w:val="22"/>
                      <w:szCs w:val="22"/>
                    </w:rPr>
                    <w:t xml:space="preserve"> Oct</w:t>
                  </w:r>
                </w:p>
                <w:p w:rsidR="004D4BD5" w:rsidRDefault="004D4BD5">
                  <w:pPr>
                    <w:rPr>
                      <w:rFonts w:ascii="Arial" w:hAnsi="Arial" w:cs="Arial"/>
                      <w:bCs/>
                      <w:sz w:val="22"/>
                      <w:szCs w:val="22"/>
                    </w:rPr>
                  </w:pPr>
                  <w:r>
                    <w:rPr>
                      <w:rFonts w:ascii="Arial" w:hAnsi="Arial" w:cs="Arial"/>
                      <w:bCs/>
                      <w:sz w:val="22"/>
                      <w:szCs w:val="22"/>
                    </w:rPr>
                    <w:t>23</w:t>
                  </w:r>
                  <w:r w:rsidRPr="004D4BD5">
                    <w:rPr>
                      <w:rFonts w:ascii="Arial" w:hAnsi="Arial" w:cs="Arial"/>
                      <w:bCs/>
                      <w:sz w:val="22"/>
                      <w:szCs w:val="22"/>
                      <w:vertAlign w:val="superscript"/>
                    </w:rPr>
                    <w:t>rd</w:t>
                  </w:r>
                  <w:r>
                    <w:rPr>
                      <w:rFonts w:ascii="Arial" w:hAnsi="Arial" w:cs="Arial"/>
                      <w:bCs/>
                      <w:sz w:val="22"/>
                      <w:szCs w:val="22"/>
                    </w:rPr>
                    <w:t xml:space="preserve"> Oct</w:t>
                  </w:r>
                </w:p>
              </w:tc>
            </w:tr>
            <w:tr w:rsidR="00512C9D" w:rsidTr="00512C9D">
              <w:trPr>
                <w:trHeight w:val="567"/>
              </w:trPr>
              <w:tc>
                <w:tcPr>
                  <w:tcW w:w="8109" w:type="dxa"/>
                  <w:tcBorders>
                    <w:top w:val="single" w:sz="4" w:space="0" w:color="auto"/>
                    <w:left w:val="single" w:sz="4" w:space="0" w:color="auto"/>
                    <w:bottom w:val="single" w:sz="4" w:space="0" w:color="auto"/>
                    <w:right w:val="single" w:sz="4" w:space="0" w:color="auto"/>
                  </w:tcBorders>
                </w:tcPr>
                <w:p w:rsidR="00512C9D" w:rsidRDefault="00512C9D">
                  <w:pPr>
                    <w:rPr>
                      <w:rFonts w:ascii="Arial" w:hAnsi="Arial" w:cs="Arial"/>
                      <w:bCs/>
                      <w:sz w:val="22"/>
                      <w:szCs w:val="22"/>
                    </w:rPr>
                  </w:pPr>
                </w:p>
                <w:p w:rsidR="00512C9D" w:rsidRDefault="00512C9D">
                  <w:pPr>
                    <w:rPr>
                      <w:rFonts w:ascii="Arial" w:hAnsi="Arial" w:cs="Arial"/>
                      <w:bCs/>
                      <w:sz w:val="22"/>
                      <w:szCs w:val="22"/>
                    </w:rPr>
                  </w:pPr>
                  <w:r>
                    <w:rPr>
                      <w:rFonts w:ascii="Arial" w:hAnsi="Arial" w:cs="Arial"/>
                      <w:bCs/>
                      <w:sz w:val="22"/>
                      <w:szCs w:val="22"/>
                    </w:rPr>
                    <w:t>Mobilisation Process</w:t>
                  </w:r>
                </w:p>
                <w:p w:rsidR="00512C9D" w:rsidRDefault="00512C9D" w:rsidP="0039016F">
                  <w:pPr>
                    <w:ind w:left="63"/>
                    <w:rPr>
                      <w:rFonts w:ascii="Arial" w:hAnsi="Arial" w:cs="Arial"/>
                      <w:bCs/>
                      <w:sz w:val="22"/>
                      <w:szCs w:val="22"/>
                    </w:rPr>
                  </w:pPr>
                  <w:r>
                    <w:rPr>
                      <w:rFonts w:ascii="Arial" w:hAnsi="Arial" w:cs="Arial"/>
                      <w:bCs/>
                      <w:sz w:val="22"/>
                      <w:szCs w:val="22"/>
                    </w:rPr>
                    <w:t xml:space="preserve">- 5 week mobilisation process (but it may take to </w:t>
                  </w:r>
                  <w:r w:rsidR="00D97A7C">
                    <w:rPr>
                      <w:rFonts w:ascii="Arial" w:hAnsi="Arial" w:cs="Arial"/>
                      <w:bCs/>
                      <w:sz w:val="22"/>
                      <w:szCs w:val="22"/>
                    </w:rPr>
                    <w:t>Jan</w:t>
                  </w:r>
                  <w:r>
                    <w:rPr>
                      <w:rFonts w:ascii="Arial" w:hAnsi="Arial" w:cs="Arial"/>
                      <w:bCs/>
                      <w:sz w:val="22"/>
                      <w:szCs w:val="22"/>
                    </w:rPr>
                    <w:t xml:space="preserve"> to get all staff transferred) </w:t>
                  </w:r>
                </w:p>
              </w:tc>
              <w:tc>
                <w:tcPr>
                  <w:tcW w:w="1392" w:type="dxa"/>
                  <w:tcBorders>
                    <w:top w:val="single" w:sz="4" w:space="0" w:color="auto"/>
                    <w:left w:val="single" w:sz="4" w:space="0" w:color="auto"/>
                    <w:bottom w:val="single" w:sz="4" w:space="0" w:color="auto"/>
                    <w:right w:val="single" w:sz="4" w:space="0" w:color="auto"/>
                  </w:tcBorders>
                </w:tcPr>
                <w:p w:rsidR="00512C9D" w:rsidRDefault="00512C9D">
                  <w:pPr>
                    <w:rPr>
                      <w:rFonts w:ascii="Arial" w:hAnsi="Arial" w:cs="Arial"/>
                      <w:bCs/>
                      <w:sz w:val="22"/>
                      <w:szCs w:val="22"/>
                    </w:rPr>
                  </w:pPr>
                </w:p>
                <w:p w:rsidR="00512C9D" w:rsidRDefault="00512C9D">
                  <w:pPr>
                    <w:rPr>
                      <w:rFonts w:ascii="Arial" w:hAnsi="Arial" w:cs="Arial"/>
                      <w:bCs/>
                      <w:sz w:val="22"/>
                      <w:szCs w:val="22"/>
                    </w:rPr>
                  </w:pPr>
                </w:p>
                <w:p w:rsidR="00512C9D" w:rsidRDefault="00D97A7C">
                  <w:pPr>
                    <w:rPr>
                      <w:rFonts w:ascii="Arial" w:hAnsi="Arial" w:cs="Arial"/>
                      <w:bCs/>
                      <w:sz w:val="22"/>
                      <w:szCs w:val="22"/>
                    </w:rPr>
                  </w:pPr>
                  <w:r>
                    <w:rPr>
                      <w:rFonts w:ascii="Arial" w:hAnsi="Arial" w:cs="Arial"/>
                      <w:bCs/>
                      <w:sz w:val="22"/>
                      <w:szCs w:val="22"/>
                    </w:rPr>
                    <w:t>Oct - Jan</w:t>
                  </w:r>
                </w:p>
                <w:p w:rsidR="00512C9D" w:rsidRDefault="00512C9D">
                  <w:pPr>
                    <w:rPr>
                      <w:rFonts w:ascii="Arial" w:hAnsi="Arial" w:cs="Arial"/>
                      <w:bCs/>
                      <w:sz w:val="22"/>
                      <w:szCs w:val="22"/>
                    </w:rPr>
                  </w:pPr>
                </w:p>
              </w:tc>
            </w:tr>
          </w:tbl>
          <w:p w:rsidR="00512C9D" w:rsidRDefault="00512C9D" w:rsidP="00512C9D">
            <w:pPr>
              <w:jc w:val="both"/>
              <w:rPr>
                <w:rFonts w:ascii="Arial" w:hAnsi="Arial" w:cs="Arial"/>
                <w:bCs/>
                <w:sz w:val="22"/>
                <w:szCs w:val="22"/>
              </w:rPr>
            </w:pPr>
          </w:p>
          <w:p w:rsidR="00DD7564" w:rsidRPr="00752FD6" w:rsidRDefault="00DD7564" w:rsidP="00DC3218">
            <w:pPr>
              <w:jc w:val="both"/>
              <w:rPr>
                <w:rFonts w:ascii="Arial" w:hAnsi="Arial" w:cs="Arial"/>
                <w:bCs/>
                <w:sz w:val="22"/>
                <w:szCs w:val="22"/>
              </w:rPr>
            </w:pPr>
          </w:p>
        </w:tc>
      </w:tr>
    </w:tbl>
    <w:p w:rsidR="00A03A97" w:rsidRPr="009D14DD" w:rsidRDefault="00A03A97"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50"/>
        <w:gridCol w:w="9781"/>
      </w:tblGrid>
      <w:tr w:rsidR="006A2E19" w:rsidRPr="00752FD6" w:rsidTr="0039016F">
        <w:trPr>
          <w:trHeight w:val="567"/>
        </w:trPr>
        <w:tc>
          <w:tcPr>
            <w:tcW w:w="10031" w:type="dxa"/>
            <w:gridSpan w:val="2"/>
            <w:shd w:val="clear" w:color="auto" w:fill="auto"/>
          </w:tcPr>
          <w:p w:rsidR="006A2E19" w:rsidRPr="00752FD6" w:rsidRDefault="006A2E19" w:rsidP="009306C6">
            <w:pPr>
              <w:rPr>
                <w:rFonts w:ascii="Arial" w:hAnsi="Arial" w:cs="Arial"/>
                <w:b/>
                <w:bCs/>
                <w:sz w:val="22"/>
                <w:szCs w:val="22"/>
              </w:rPr>
            </w:pPr>
          </w:p>
          <w:p w:rsidR="00C154DF" w:rsidRPr="00752FD6" w:rsidRDefault="006A2E19" w:rsidP="00C154DF">
            <w:pPr>
              <w:rPr>
                <w:rFonts w:ascii="Arial" w:hAnsi="Arial" w:cs="Arial"/>
                <w:b/>
                <w:bCs/>
                <w:sz w:val="22"/>
                <w:szCs w:val="22"/>
              </w:rPr>
            </w:pPr>
            <w:r w:rsidRPr="00752FD6">
              <w:rPr>
                <w:rFonts w:ascii="Arial" w:hAnsi="Arial" w:cs="Arial"/>
                <w:b/>
                <w:bCs/>
                <w:sz w:val="22"/>
                <w:szCs w:val="22"/>
              </w:rPr>
              <w:t>RECOMMENDATIONS (R) AND ACTIONS (A) FOR AGREEMENT</w:t>
            </w:r>
            <w:r w:rsidR="006A74AF">
              <w:rPr>
                <w:rFonts w:ascii="Arial" w:hAnsi="Arial" w:cs="Arial"/>
                <w:b/>
                <w:bCs/>
                <w:sz w:val="22"/>
                <w:szCs w:val="22"/>
              </w:rPr>
              <w:t>:</w:t>
            </w:r>
            <w:r w:rsidR="00C154DF">
              <w:rPr>
                <w:rFonts w:ascii="Arial" w:hAnsi="Arial" w:cs="Arial"/>
                <w:b/>
                <w:bCs/>
                <w:sz w:val="22"/>
                <w:szCs w:val="22"/>
              </w:rPr>
              <w:t xml:space="preserve"> </w:t>
            </w:r>
          </w:p>
        </w:tc>
      </w:tr>
      <w:tr w:rsidR="006A74AF" w:rsidRPr="00752FD6" w:rsidTr="00C154DF">
        <w:trPr>
          <w:trHeight w:val="68"/>
        </w:trPr>
        <w:tc>
          <w:tcPr>
            <w:tcW w:w="250" w:type="dxa"/>
            <w:shd w:val="clear" w:color="auto" w:fill="auto"/>
          </w:tcPr>
          <w:p w:rsidR="006A74AF" w:rsidRPr="00752FD6" w:rsidRDefault="006A74AF" w:rsidP="009306C6">
            <w:pPr>
              <w:rPr>
                <w:rFonts w:ascii="Arial" w:hAnsi="Arial" w:cs="Arial"/>
                <w:bCs/>
                <w:sz w:val="22"/>
                <w:szCs w:val="22"/>
              </w:rPr>
            </w:pPr>
          </w:p>
        </w:tc>
        <w:tc>
          <w:tcPr>
            <w:tcW w:w="9781" w:type="dxa"/>
            <w:shd w:val="clear" w:color="auto" w:fill="auto"/>
          </w:tcPr>
          <w:p w:rsidR="006A74AF" w:rsidRDefault="00C154DF" w:rsidP="009306C6">
            <w:pPr>
              <w:rPr>
                <w:rFonts w:ascii="Arial" w:hAnsi="Arial" w:cs="Arial"/>
                <w:bCs/>
                <w:sz w:val="22"/>
                <w:szCs w:val="22"/>
              </w:rPr>
            </w:pPr>
            <w:r w:rsidRPr="00C154DF">
              <w:rPr>
                <w:rFonts w:ascii="Arial" w:hAnsi="Arial" w:cs="Arial"/>
                <w:bCs/>
                <w:sz w:val="22"/>
                <w:szCs w:val="22"/>
              </w:rPr>
              <w:t xml:space="preserve">To note the CCGs commissioning intentions and the key timelines  </w:t>
            </w:r>
          </w:p>
          <w:p w:rsidR="00C154DF" w:rsidRPr="00752FD6" w:rsidRDefault="00C154DF" w:rsidP="009306C6">
            <w:pPr>
              <w:rPr>
                <w:rFonts w:ascii="Arial" w:hAnsi="Arial" w:cs="Arial"/>
                <w:bCs/>
                <w:sz w:val="22"/>
                <w:szCs w:val="22"/>
              </w:rPr>
            </w:pPr>
          </w:p>
        </w:tc>
      </w:tr>
    </w:tbl>
    <w:p w:rsidR="001A003B" w:rsidRDefault="001A003B" w:rsidP="00D7033C">
      <w:pPr>
        <w:rPr>
          <w:rFonts w:ascii="Arial" w:hAnsi="Arial" w:cs="Arial"/>
          <w:b/>
          <w:bCs/>
          <w:sz w:val="22"/>
          <w:szCs w:val="22"/>
        </w:rPr>
      </w:pPr>
    </w:p>
    <w:p w:rsidR="009E511E" w:rsidRDefault="009E511E">
      <w:pPr>
        <w:rPr>
          <w:rFonts w:ascii="Arial" w:hAnsi="Arial" w:cs="Arial"/>
          <w:b/>
          <w:bCs/>
          <w:i/>
          <w:sz w:val="22"/>
          <w:szCs w:val="22"/>
        </w:rPr>
      </w:pPr>
      <w:r>
        <w:rPr>
          <w:rFonts w:ascii="Arial" w:hAnsi="Arial" w:cs="Arial"/>
          <w:b/>
          <w:bCs/>
          <w:i/>
          <w:sz w:val="22"/>
          <w:szCs w:val="22"/>
        </w:rPr>
        <w:br w:type="page"/>
      </w:r>
    </w:p>
    <w:p w:rsidR="00C154DF" w:rsidRDefault="00C154DF" w:rsidP="00D7033C">
      <w:pPr>
        <w:rPr>
          <w:rFonts w:ascii="Arial" w:hAnsi="Arial" w:cs="Arial"/>
          <w:b/>
          <w:bCs/>
          <w:i/>
          <w:sz w:val="22"/>
          <w:szCs w:val="22"/>
        </w:rPr>
      </w:pPr>
    </w:p>
    <w:tbl>
      <w:tblPr>
        <w:tblpPr w:leftFromText="180" w:rightFromText="180" w:vertAnchor="text" w:horzAnchor="margin" w:tblpY="113"/>
        <w:tblW w:w="1003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68"/>
        <w:gridCol w:w="6520"/>
        <w:gridCol w:w="851"/>
        <w:gridCol w:w="2092"/>
      </w:tblGrid>
      <w:tr w:rsidR="00C154DF" w:rsidRPr="00C154DF" w:rsidTr="00C154DF">
        <w:trPr>
          <w:trHeight w:val="822"/>
          <w:tblHeader/>
        </w:trPr>
        <w:tc>
          <w:tcPr>
            <w:tcW w:w="568" w:type="dxa"/>
            <w:shd w:val="clear" w:color="auto" w:fill="C0C0C0"/>
            <w:vAlign w:val="center"/>
          </w:tcPr>
          <w:p w:rsidR="00C154DF" w:rsidRPr="00C154DF" w:rsidRDefault="00C154DF" w:rsidP="00C154DF">
            <w:pPr>
              <w:spacing w:before="80" w:after="80"/>
              <w:jc w:val="center"/>
              <w:rPr>
                <w:rFonts w:ascii="Arial" w:hAnsi="Arial" w:cs="Arial"/>
                <w:b/>
                <w:i/>
                <w:sz w:val="22"/>
                <w:szCs w:val="22"/>
              </w:rPr>
            </w:pPr>
          </w:p>
        </w:tc>
        <w:tc>
          <w:tcPr>
            <w:tcW w:w="6520" w:type="dxa"/>
            <w:shd w:val="clear" w:color="auto" w:fill="C0C0C0"/>
            <w:vAlign w:val="center"/>
          </w:tcPr>
          <w:p w:rsidR="00C154DF" w:rsidRPr="00C154DF" w:rsidRDefault="00C154DF" w:rsidP="00C154DF">
            <w:pPr>
              <w:spacing w:before="80" w:after="80"/>
              <w:rPr>
                <w:rFonts w:ascii="Arial" w:hAnsi="Arial" w:cs="Arial"/>
                <w:b/>
                <w:i/>
                <w:sz w:val="22"/>
                <w:szCs w:val="22"/>
              </w:rPr>
            </w:pPr>
          </w:p>
        </w:tc>
        <w:tc>
          <w:tcPr>
            <w:tcW w:w="851" w:type="dxa"/>
            <w:shd w:val="clear" w:color="auto" w:fill="C0C0C0"/>
            <w:vAlign w:val="center"/>
          </w:tcPr>
          <w:p w:rsidR="00C154DF" w:rsidRPr="00C154DF" w:rsidRDefault="00C154DF" w:rsidP="00C154DF">
            <w:pPr>
              <w:spacing w:before="80" w:after="80"/>
              <w:jc w:val="center"/>
              <w:rPr>
                <w:rFonts w:ascii="Arial" w:hAnsi="Arial" w:cs="Arial"/>
                <w:b/>
                <w:i/>
                <w:sz w:val="22"/>
                <w:szCs w:val="22"/>
              </w:rPr>
            </w:pPr>
          </w:p>
          <w:p w:rsidR="00C154DF" w:rsidRPr="00C154DF" w:rsidRDefault="00C154DF" w:rsidP="00C154DF">
            <w:pPr>
              <w:spacing w:before="80" w:after="80"/>
              <w:jc w:val="center"/>
              <w:rPr>
                <w:rFonts w:ascii="Arial" w:hAnsi="Arial" w:cs="Arial"/>
                <w:b/>
                <w:i/>
                <w:sz w:val="22"/>
                <w:szCs w:val="22"/>
              </w:rPr>
            </w:pPr>
            <w:r w:rsidRPr="00C154DF">
              <w:rPr>
                <w:rFonts w:ascii="Arial" w:hAnsi="Arial" w:cs="Arial"/>
                <w:b/>
                <w:i/>
                <w:sz w:val="22"/>
                <w:szCs w:val="22"/>
              </w:rPr>
              <w:t>Yes/</w:t>
            </w:r>
          </w:p>
          <w:p w:rsidR="00C154DF" w:rsidRPr="00C154DF" w:rsidRDefault="00C154DF" w:rsidP="00C154DF">
            <w:pPr>
              <w:spacing w:before="80" w:after="80"/>
              <w:jc w:val="center"/>
              <w:rPr>
                <w:rFonts w:ascii="Arial" w:hAnsi="Arial" w:cs="Arial"/>
                <w:b/>
                <w:i/>
                <w:sz w:val="22"/>
                <w:szCs w:val="22"/>
              </w:rPr>
            </w:pPr>
            <w:r w:rsidRPr="00C154DF">
              <w:rPr>
                <w:rFonts w:ascii="Arial" w:hAnsi="Arial" w:cs="Arial"/>
                <w:b/>
                <w:i/>
                <w:sz w:val="22"/>
                <w:szCs w:val="22"/>
              </w:rPr>
              <w:t>No</w:t>
            </w:r>
          </w:p>
        </w:tc>
        <w:tc>
          <w:tcPr>
            <w:tcW w:w="2092" w:type="dxa"/>
            <w:shd w:val="clear" w:color="auto" w:fill="C0C0C0"/>
            <w:vAlign w:val="center"/>
          </w:tcPr>
          <w:p w:rsidR="00C154DF" w:rsidRPr="00C154DF" w:rsidRDefault="00C154DF" w:rsidP="00C154DF">
            <w:pPr>
              <w:spacing w:before="80" w:after="80"/>
              <w:jc w:val="center"/>
              <w:rPr>
                <w:rFonts w:ascii="Arial" w:hAnsi="Arial" w:cs="Arial"/>
                <w:b/>
                <w:i/>
                <w:sz w:val="22"/>
                <w:szCs w:val="22"/>
              </w:rPr>
            </w:pPr>
            <w:r w:rsidRPr="00C154DF">
              <w:rPr>
                <w:rFonts w:ascii="Arial" w:hAnsi="Arial" w:cs="Arial"/>
                <w:b/>
                <w:i/>
                <w:sz w:val="22"/>
                <w:szCs w:val="22"/>
              </w:rPr>
              <w:t>Comments</w:t>
            </w:r>
          </w:p>
        </w:tc>
      </w:tr>
      <w:tr w:rsidR="00C154DF" w:rsidRPr="00C154DF" w:rsidTr="00C154DF">
        <w:tc>
          <w:tcPr>
            <w:tcW w:w="568" w:type="dxa"/>
            <w:shd w:val="clear" w:color="auto" w:fill="auto"/>
          </w:tcPr>
          <w:p w:rsidR="00C154DF" w:rsidRPr="00C154DF" w:rsidRDefault="00C154DF" w:rsidP="00C154DF">
            <w:pPr>
              <w:spacing w:before="80" w:after="80"/>
              <w:rPr>
                <w:rFonts w:ascii="Arial" w:hAnsi="Arial" w:cs="Arial"/>
                <w:i/>
                <w:sz w:val="22"/>
                <w:szCs w:val="22"/>
              </w:rPr>
            </w:pPr>
          </w:p>
        </w:tc>
        <w:tc>
          <w:tcPr>
            <w:tcW w:w="6520" w:type="dxa"/>
            <w:shd w:val="clear" w:color="auto" w:fill="auto"/>
          </w:tcPr>
          <w:p w:rsidR="00C154DF" w:rsidRPr="00C154DF" w:rsidRDefault="00C154DF" w:rsidP="00C154DF">
            <w:pPr>
              <w:spacing w:before="80" w:after="80"/>
              <w:rPr>
                <w:rFonts w:ascii="Arial" w:hAnsi="Arial" w:cs="Arial"/>
                <w:i/>
                <w:sz w:val="22"/>
                <w:szCs w:val="22"/>
              </w:rPr>
            </w:pPr>
            <w:r w:rsidRPr="00C154DF">
              <w:rPr>
                <w:rFonts w:ascii="Arial" w:hAnsi="Arial" w:cs="Arial"/>
                <w:i/>
                <w:sz w:val="22"/>
                <w:szCs w:val="22"/>
              </w:rPr>
              <w:t>Does the document take account of and meet the requirements of the following:</w:t>
            </w:r>
          </w:p>
        </w:tc>
        <w:tc>
          <w:tcPr>
            <w:tcW w:w="851" w:type="dxa"/>
            <w:shd w:val="clear" w:color="auto" w:fill="auto"/>
          </w:tcPr>
          <w:p w:rsidR="00C154DF" w:rsidRPr="00C154DF" w:rsidRDefault="00C154DF" w:rsidP="00C154DF">
            <w:pPr>
              <w:spacing w:before="80" w:after="80"/>
              <w:jc w:val="center"/>
              <w:rPr>
                <w:rFonts w:ascii="Arial" w:hAnsi="Arial" w:cs="Arial"/>
                <w:i/>
                <w:sz w:val="22"/>
                <w:szCs w:val="22"/>
              </w:rPr>
            </w:pPr>
          </w:p>
        </w:tc>
        <w:tc>
          <w:tcPr>
            <w:tcW w:w="2092" w:type="dxa"/>
            <w:shd w:val="clear" w:color="auto" w:fill="auto"/>
          </w:tcPr>
          <w:p w:rsidR="00C154DF" w:rsidRPr="00C154DF" w:rsidRDefault="00C154DF" w:rsidP="00C154DF">
            <w:pPr>
              <w:spacing w:before="80" w:after="80"/>
              <w:rPr>
                <w:rFonts w:ascii="Arial" w:hAnsi="Arial" w:cs="Arial"/>
                <w:i/>
                <w:sz w:val="22"/>
                <w:szCs w:val="22"/>
              </w:rPr>
            </w:pPr>
          </w:p>
        </w:tc>
      </w:tr>
      <w:tr w:rsidR="00C154DF" w:rsidRPr="00C154DF" w:rsidTr="00C154DF">
        <w:tc>
          <w:tcPr>
            <w:tcW w:w="568" w:type="dxa"/>
            <w:shd w:val="clear" w:color="auto" w:fill="auto"/>
          </w:tcPr>
          <w:p w:rsidR="00C154DF" w:rsidRPr="00C154DF" w:rsidRDefault="00C154DF" w:rsidP="00C154DF">
            <w:pPr>
              <w:spacing w:before="80" w:after="80"/>
              <w:rPr>
                <w:rFonts w:ascii="Arial" w:hAnsi="Arial" w:cs="Arial"/>
                <w:i/>
                <w:sz w:val="22"/>
                <w:szCs w:val="22"/>
              </w:rPr>
            </w:pPr>
            <w:r w:rsidRPr="00C154DF">
              <w:rPr>
                <w:rFonts w:ascii="Arial" w:hAnsi="Arial" w:cs="Arial"/>
                <w:i/>
                <w:sz w:val="22"/>
                <w:szCs w:val="22"/>
              </w:rPr>
              <w:t>i)</w:t>
            </w:r>
          </w:p>
        </w:tc>
        <w:tc>
          <w:tcPr>
            <w:tcW w:w="6520" w:type="dxa"/>
            <w:shd w:val="clear" w:color="auto" w:fill="auto"/>
          </w:tcPr>
          <w:p w:rsidR="00C154DF" w:rsidRPr="00C154DF" w:rsidRDefault="00C154DF" w:rsidP="00C154DF">
            <w:pPr>
              <w:spacing w:before="80" w:after="80"/>
              <w:rPr>
                <w:rFonts w:ascii="Arial" w:hAnsi="Arial" w:cs="Arial"/>
                <w:i/>
                <w:sz w:val="22"/>
                <w:szCs w:val="22"/>
              </w:rPr>
            </w:pPr>
            <w:r w:rsidRPr="00C154DF">
              <w:rPr>
                <w:rFonts w:ascii="Arial" w:hAnsi="Arial" w:cs="Arial"/>
                <w:i/>
                <w:sz w:val="22"/>
                <w:szCs w:val="22"/>
              </w:rPr>
              <w:t>Mental Capacity Act</w:t>
            </w:r>
          </w:p>
        </w:tc>
        <w:tc>
          <w:tcPr>
            <w:tcW w:w="851" w:type="dxa"/>
            <w:shd w:val="clear" w:color="auto" w:fill="auto"/>
          </w:tcPr>
          <w:p w:rsidR="00C154DF" w:rsidRPr="00C154DF" w:rsidRDefault="00C154DF" w:rsidP="00C154DF">
            <w:pPr>
              <w:spacing w:before="80" w:after="80"/>
              <w:jc w:val="center"/>
              <w:rPr>
                <w:rFonts w:ascii="Arial" w:hAnsi="Arial" w:cs="Arial"/>
                <w:i/>
                <w:sz w:val="22"/>
                <w:szCs w:val="22"/>
              </w:rPr>
            </w:pPr>
            <w:r w:rsidRPr="00C154DF">
              <w:rPr>
                <w:rFonts w:ascii="Arial" w:hAnsi="Arial" w:cs="Arial"/>
                <w:i/>
                <w:sz w:val="22"/>
                <w:szCs w:val="22"/>
              </w:rPr>
              <w:t>Y</w:t>
            </w:r>
          </w:p>
        </w:tc>
        <w:tc>
          <w:tcPr>
            <w:tcW w:w="2092" w:type="dxa"/>
            <w:shd w:val="clear" w:color="auto" w:fill="auto"/>
          </w:tcPr>
          <w:p w:rsidR="00C154DF" w:rsidRPr="00C154DF" w:rsidRDefault="00C154DF" w:rsidP="00C154DF">
            <w:pPr>
              <w:spacing w:before="80" w:after="80"/>
              <w:rPr>
                <w:rFonts w:ascii="Arial" w:hAnsi="Arial" w:cs="Arial"/>
                <w:i/>
                <w:sz w:val="22"/>
                <w:szCs w:val="22"/>
              </w:rPr>
            </w:pPr>
          </w:p>
        </w:tc>
      </w:tr>
      <w:tr w:rsidR="00C154DF" w:rsidRPr="00C154DF" w:rsidTr="00C154DF">
        <w:tc>
          <w:tcPr>
            <w:tcW w:w="568" w:type="dxa"/>
            <w:shd w:val="clear" w:color="auto" w:fill="auto"/>
          </w:tcPr>
          <w:p w:rsidR="00C154DF" w:rsidRPr="00C154DF" w:rsidRDefault="00C154DF" w:rsidP="00C154DF">
            <w:pPr>
              <w:spacing w:before="80" w:after="80"/>
              <w:rPr>
                <w:rFonts w:ascii="Arial" w:hAnsi="Arial" w:cs="Arial"/>
                <w:i/>
                <w:sz w:val="22"/>
                <w:szCs w:val="22"/>
              </w:rPr>
            </w:pPr>
            <w:r w:rsidRPr="00C154DF">
              <w:rPr>
                <w:rFonts w:ascii="Arial" w:hAnsi="Arial" w:cs="Arial"/>
                <w:i/>
                <w:sz w:val="22"/>
                <w:szCs w:val="22"/>
              </w:rPr>
              <w:t>ii)</w:t>
            </w:r>
          </w:p>
        </w:tc>
        <w:tc>
          <w:tcPr>
            <w:tcW w:w="6520" w:type="dxa"/>
            <w:shd w:val="clear" w:color="auto" w:fill="auto"/>
          </w:tcPr>
          <w:p w:rsidR="00C154DF" w:rsidRPr="00C154DF" w:rsidRDefault="00C154DF" w:rsidP="00C154DF">
            <w:pPr>
              <w:spacing w:before="80" w:after="80"/>
              <w:rPr>
                <w:rFonts w:ascii="Arial" w:hAnsi="Arial" w:cs="Arial"/>
                <w:i/>
                <w:sz w:val="22"/>
                <w:szCs w:val="22"/>
              </w:rPr>
            </w:pPr>
            <w:r w:rsidRPr="00C154DF">
              <w:rPr>
                <w:rFonts w:ascii="Arial" w:hAnsi="Arial" w:cs="Arial"/>
                <w:i/>
                <w:sz w:val="22"/>
                <w:szCs w:val="22"/>
              </w:rPr>
              <w:t>CCG  Equality Impact Assessment</w:t>
            </w:r>
          </w:p>
        </w:tc>
        <w:tc>
          <w:tcPr>
            <w:tcW w:w="851" w:type="dxa"/>
            <w:shd w:val="clear" w:color="auto" w:fill="auto"/>
          </w:tcPr>
          <w:p w:rsidR="00C154DF" w:rsidRPr="00C154DF" w:rsidRDefault="00C154DF" w:rsidP="00C154DF">
            <w:pPr>
              <w:spacing w:before="80" w:after="80"/>
              <w:jc w:val="center"/>
              <w:rPr>
                <w:rFonts w:ascii="Arial" w:hAnsi="Arial" w:cs="Arial"/>
                <w:i/>
                <w:sz w:val="22"/>
                <w:szCs w:val="22"/>
              </w:rPr>
            </w:pPr>
            <w:r w:rsidRPr="00C154DF">
              <w:rPr>
                <w:rFonts w:ascii="Arial" w:hAnsi="Arial" w:cs="Arial"/>
                <w:i/>
                <w:sz w:val="22"/>
                <w:szCs w:val="22"/>
              </w:rPr>
              <w:t>Y</w:t>
            </w:r>
          </w:p>
        </w:tc>
        <w:tc>
          <w:tcPr>
            <w:tcW w:w="2092" w:type="dxa"/>
            <w:shd w:val="clear" w:color="auto" w:fill="auto"/>
          </w:tcPr>
          <w:p w:rsidR="00C154DF" w:rsidRPr="00C154DF" w:rsidRDefault="00C154DF" w:rsidP="00C154DF">
            <w:pPr>
              <w:spacing w:before="80" w:after="80"/>
              <w:rPr>
                <w:rFonts w:ascii="Arial" w:hAnsi="Arial" w:cs="Arial"/>
                <w:i/>
                <w:sz w:val="22"/>
                <w:szCs w:val="22"/>
              </w:rPr>
            </w:pPr>
          </w:p>
        </w:tc>
      </w:tr>
      <w:tr w:rsidR="00C154DF" w:rsidRPr="00C154DF" w:rsidTr="00C154DF">
        <w:tc>
          <w:tcPr>
            <w:tcW w:w="568" w:type="dxa"/>
            <w:shd w:val="clear" w:color="auto" w:fill="auto"/>
          </w:tcPr>
          <w:p w:rsidR="00C154DF" w:rsidRPr="00C154DF" w:rsidRDefault="00C154DF" w:rsidP="00C154DF">
            <w:pPr>
              <w:spacing w:before="80" w:after="80"/>
              <w:rPr>
                <w:rFonts w:ascii="Arial" w:hAnsi="Arial" w:cs="Arial"/>
                <w:i/>
                <w:sz w:val="22"/>
                <w:szCs w:val="22"/>
              </w:rPr>
            </w:pPr>
            <w:r w:rsidRPr="00C154DF">
              <w:rPr>
                <w:rFonts w:ascii="Arial" w:hAnsi="Arial" w:cs="Arial"/>
                <w:i/>
                <w:sz w:val="22"/>
                <w:szCs w:val="22"/>
              </w:rPr>
              <w:t>iii)</w:t>
            </w:r>
          </w:p>
        </w:tc>
        <w:tc>
          <w:tcPr>
            <w:tcW w:w="6520" w:type="dxa"/>
            <w:shd w:val="clear" w:color="auto" w:fill="auto"/>
          </w:tcPr>
          <w:p w:rsidR="00C154DF" w:rsidRPr="00C154DF" w:rsidRDefault="00C154DF" w:rsidP="00C154DF">
            <w:pPr>
              <w:spacing w:before="80" w:after="80"/>
              <w:rPr>
                <w:rFonts w:ascii="Arial" w:hAnsi="Arial" w:cs="Arial"/>
                <w:i/>
                <w:sz w:val="22"/>
                <w:szCs w:val="22"/>
              </w:rPr>
            </w:pPr>
            <w:r w:rsidRPr="00C154DF">
              <w:rPr>
                <w:rFonts w:ascii="Arial" w:hAnsi="Arial" w:cs="Arial"/>
                <w:i/>
                <w:sz w:val="22"/>
                <w:szCs w:val="22"/>
              </w:rPr>
              <w:t>Human Rights Act 1998</w:t>
            </w:r>
          </w:p>
        </w:tc>
        <w:tc>
          <w:tcPr>
            <w:tcW w:w="851" w:type="dxa"/>
            <w:shd w:val="clear" w:color="auto" w:fill="auto"/>
          </w:tcPr>
          <w:p w:rsidR="00C154DF" w:rsidRPr="00C154DF" w:rsidRDefault="00C154DF" w:rsidP="00C154DF">
            <w:pPr>
              <w:spacing w:before="80" w:after="80"/>
              <w:jc w:val="center"/>
              <w:rPr>
                <w:rFonts w:ascii="Arial" w:hAnsi="Arial" w:cs="Arial"/>
                <w:i/>
                <w:sz w:val="22"/>
                <w:szCs w:val="22"/>
              </w:rPr>
            </w:pPr>
            <w:r w:rsidRPr="00C154DF">
              <w:rPr>
                <w:rFonts w:ascii="Arial" w:hAnsi="Arial" w:cs="Arial"/>
                <w:i/>
                <w:sz w:val="22"/>
                <w:szCs w:val="22"/>
              </w:rPr>
              <w:t>Y</w:t>
            </w:r>
          </w:p>
        </w:tc>
        <w:tc>
          <w:tcPr>
            <w:tcW w:w="2092" w:type="dxa"/>
            <w:shd w:val="clear" w:color="auto" w:fill="auto"/>
          </w:tcPr>
          <w:p w:rsidR="00C154DF" w:rsidRPr="00C154DF" w:rsidRDefault="00C154DF" w:rsidP="00C154DF">
            <w:pPr>
              <w:spacing w:before="80" w:after="80"/>
              <w:rPr>
                <w:rFonts w:ascii="Arial" w:hAnsi="Arial" w:cs="Arial"/>
                <w:i/>
                <w:sz w:val="22"/>
                <w:szCs w:val="22"/>
              </w:rPr>
            </w:pPr>
          </w:p>
        </w:tc>
      </w:tr>
      <w:tr w:rsidR="00C154DF" w:rsidRPr="00C154DF" w:rsidTr="00C154DF">
        <w:tc>
          <w:tcPr>
            <w:tcW w:w="568" w:type="dxa"/>
            <w:shd w:val="clear" w:color="auto" w:fill="auto"/>
          </w:tcPr>
          <w:p w:rsidR="00C154DF" w:rsidRPr="00C154DF" w:rsidRDefault="00C154DF" w:rsidP="00C154DF">
            <w:pPr>
              <w:spacing w:before="80" w:after="80"/>
              <w:rPr>
                <w:rFonts w:ascii="Arial" w:hAnsi="Arial" w:cs="Arial"/>
                <w:i/>
                <w:sz w:val="22"/>
                <w:szCs w:val="22"/>
              </w:rPr>
            </w:pPr>
            <w:r w:rsidRPr="00C154DF">
              <w:rPr>
                <w:rFonts w:ascii="Arial" w:hAnsi="Arial" w:cs="Arial"/>
                <w:i/>
                <w:sz w:val="22"/>
                <w:szCs w:val="22"/>
              </w:rPr>
              <w:t>iv)</w:t>
            </w:r>
          </w:p>
        </w:tc>
        <w:tc>
          <w:tcPr>
            <w:tcW w:w="6520" w:type="dxa"/>
            <w:shd w:val="clear" w:color="auto" w:fill="auto"/>
          </w:tcPr>
          <w:p w:rsidR="00C154DF" w:rsidRPr="00C154DF" w:rsidRDefault="00C154DF" w:rsidP="00C154DF">
            <w:pPr>
              <w:spacing w:before="80" w:after="80"/>
              <w:rPr>
                <w:rFonts w:ascii="Arial" w:hAnsi="Arial" w:cs="Arial"/>
                <w:i/>
                <w:sz w:val="22"/>
                <w:szCs w:val="22"/>
              </w:rPr>
            </w:pPr>
            <w:r w:rsidRPr="00C154DF">
              <w:rPr>
                <w:rFonts w:ascii="Arial" w:hAnsi="Arial" w:cs="Arial"/>
                <w:i/>
                <w:sz w:val="22"/>
                <w:szCs w:val="22"/>
              </w:rPr>
              <w:t>Health and Safety at Work Act 1974</w:t>
            </w:r>
          </w:p>
        </w:tc>
        <w:tc>
          <w:tcPr>
            <w:tcW w:w="851" w:type="dxa"/>
            <w:shd w:val="clear" w:color="auto" w:fill="auto"/>
          </w:tcPr>
          <w:p w:rsidR="00C154DF" w:rsidRPr="00C154DF" w:rsidRDefault="00C154DF" w:rsidP="00C154DF">
            <w:pPr>
              <w:spacing w:before="80" w:after="80"/>
              <w:jc w:val="center"/>
              <w:rPr>
                <w:rFonts w:ascii="Arial" w:hAnsi="Arial" w:cs="Arial"/>
                <w:i/>
                <w:sz w:val="22"/>
                <w:szCs w:val="22"/>
              </w:rPr>
            </w:pPr>
            <w:r w:rsidRPr="00C154DF">
              <w:rPr>
                <w:rFonts w:ascii="Arial" w:hAnsi="Arial" w:cs="Arial"/>
                <w:i/>
                <w:sz w:val="22"/>
                <w:szCs w:val="22"/>
              </w:rPr>
              <w:t>Y</w:t>
            </w:r>
          </w:p>
        </w:tc>
        <w:tc>
          <w:tcPr>
            <w:tcW w:w="2092" w:type="dxa"/>
            <w:shd w:val="clear" w:color="auto" w:fill="auto"/>
          </w:tcPr>
          <w:p w:rsidR="00C154DF" w:rsidRPr="00C154DF" w:rsidRDefault="00C154DF" w:rsidP="00C154DF">
            <w:pPr>
              <w:spacing w:before="80" w:after="80"/>
              <w:rPr>
                <w:rFonts w:ascii="Arial" w:hAnsi="Arial" w:cs="Arial"/>
                <w:i/>
                <w:sz w:val="22"/>
                <w:szCs w:val="22"/>
              </w:rPr>
            </w:pPr>
          </w:p>
        </w:tc>
      </w:tr>
      <w:tr w:rsidR="00C154DF" w:rsidRPr="00C154DF" w:rsidTr="00C154DF">
        <w:tc>
          <w:tcPr>
            <w:tcW w:w="568" w:type="dxa"/>
            <w:shd w:val="clear" w:color="auto" w:fill="auto"/>
          </w:tcPr>
          <w:p w:rsidR="00C154DF" w:rsidRPr="00C154DF" w:rsidRDefault="00C154DF" w:rsidP="00C154DF">
            <w:pPr>
              <w:spacing w:before="80" w:after="80"/>
              <w:rPr>
                <w:rFonts w:ascii="Arial" w:hAnsi="Arial" w:cs="Arial"/>
                <w:i/>
                <w:sz w:val="22"/>
                <w:szCs w:val="22"/>
              </w:rPr>
            </w:pPr>
            <w:r w:rsidRPr="00C154DF">
              <w:rPr>
                <w:rFonts w:ascii="Arial" w:hAnsi="Arial" w:cs="Arial"/>
                <w:i/>
                <w:sz w:val="22"/>
                <w:szCs w:val="22"/>
              </w:rPr>
              <w:t>v)</w:t>
            </w:r>
          </w:p>
        </w:tc>
        <w:tc>
          <w:tcPr>
            <w:tcW w:w="6520" w:type="dxa"/>
            <w:shd w:val="clear" w:color="auto" w:fill="auto"/>
          </w:tcPr>
          <w:p w:rsidR="00C154DF" w:rsidRPr="00C154DF" w:rsidRDefault="00C154DF" w:rsidP="00C154DF">
            <w:pPr>
              <w:spacing w:before="80" w:after="80"/>
              <w:rPr>
                <w:rFonts w:ascii="Arial" w:hAnsi="Arial" w:cs="Arial"/>
                <w:i/>
                <w:sz w:val="22"/>
                <w:szCs w:val="22"/>
              </w:rPr>
            </w:pPr>
            <w:r w:rsidRPr="00C154DF">
              <w:rPr>
                <w:rFonts w:ascii="Arial" w:hAnsi="Arial" w:cs="Arial"/>
                <w:i/>
                <w:sz w:val="22"/>
                <w:szCs w:val="22"/>
              </w:rPr>
              <w:t>Freedom of Information Act 2000 / Data Protection Act 1998</w:t>
            </w:r>
          </w:p>
        </w:tc>
        <w:tc>
          <w:tcPr>
            <w:tcW w:w="851" w:type="dxa"/>
            <w:shd w:val="clear" w:color="auto" w:fill="auto"/>
          </w:tcPr>
          <w:p w:rsidR="00C154DF" w:rsidRPr="00C154DF" w:rsidRDefault="00C154DF" w:rsidP="00C154DF">
            <w:pPr>
              <w:spacing w:before="80" w:after="80"/>
              <w:jc w:val="center"/>
              <w:rPr>
                <w:rFonts w:ascii="Arial" w:hAnsi="Arial" w:cs="Arial"/>
                <w:i/>
                <w:sz w:val="22"/>
                <w:szCs w:val="22"/>
              </w:rPr>
            </w:pPr>
            <w:r w:rsidRPr="00C154DF">
              <w:rPr>
                <w:rFonts w:ascii="Arial" w:hAnsi="Arial" w:cs="Arial"/>
                <w:i/>
                <w:sz w:val="22"/>
                <w:szCs w:val="22"/>
              </w:rPr>
              <w:t>Y</w:t>
            </w:r>
          </w:p>
        </w:tc>
        <w:tc>
          <w:tcPr>
            <w:tcW w:w="2092" w:type="dxa"/>
            <w:shd w:val="clear" w:color="auto" w:fill="auto"/>
          </w:tcPr>
          <w:p w:rsidR="00C154DF" w:rsidRPr="00C154DF" w:rsidRDefault="00C154DF" w:rsidP="00C154DF">
            <w:pPr>
              <w:spacing w:before="80" w:after="80"/>
              <w:rPr>
                <w:rFonts w:ascii="Arial" w:hAnsi="Arial" w:cs="Arial"/>
                <w:i/>
                <w:sz w:val="22"/>
                <w:szCs w:val="22"/>
              </w:rPr>
            </w:pPr>
          </w:p>
        </w:tc>
      </w:tr>
      <w:tr w:rsidR="00C154DF" w:rsidRPr="00C154DF" w:rsidTr="00C154DF">
        <w:tc>
          <w:tcPr>
            <w:tcW w:w="568" w:type="dxa"/>
            <w:shd w:val="clear" w:color="auto" w:fill="auto"/>
          </w:tcPr>
          <w:p w:rsidR="00C154DF" w:rsidRPr="00C154DF" w:rsidRDefault="00C154DF" w:rsidP="00C154DF">
            <w:pPr>
              <w:spacing w:before="80" w:after="80"/>
              <w:rPr>
                <w:rFonts w:ascii="Arial" w:hAnsi="Arial" w:cs="Arial"/>
                <w:i/>
                <w:sz w:val="22"/>
                <w:szCs w:val="22"/>
              </w:rPr>
            </w:pPr>
            <w:r w:rsidRPr="00C154DF">
              <w:rPr>
                <w:rFonts w:ascii="Arial" w:hAnsi="Arial" w:cs="Arial"/>
                <w:i/>
                <w:sz w:val="22"/>
                <w:szCs w:val="22"/>
              </w:rPr>
              <w:t>iv)</w:t>
            </w:r>
          </w:p>
        </w:tc>
        <w:tc>
          <w:tcPr>
            <w:tcW w:w="6520" w:type="dxa"/>
            <w:shd w:val="clear" w:color="auto" w:fill="auto"/>
          </w:tcPr>
          <w:p w:rsidR="00C154DF" w:rsidRPr="00C154DF" w:rsidRDefault="00C154DF" w:rsidP="00C154DF">
            <w:pPr>
              <w:spacing w:before="80" w:after="80"/>
              <w:rPr>
                <w:rFonts w:ascii="Arial" w:hAnsi="Arial" w:cs="Arial"/>
                <w:i/>
                <w:sz w:val="22"/>
                <w:szCs w:val="22"/>
              </w:rPr>
            </w:pPr>
            <w:r w:rsidRPr="00C154DF">
              <w:rPr>
                <w:rFonts w:ascii="Arial" w:hAnsi="Arial" w:cs="Arial"/>
                <w:i/>
                <w:sz w:val="22"/>
                <w:szCs w:val="22"/>
              </w:rPr>
              <w:t>Does the report have regard of the principles and values of the NHS Constitution?</w:t>
            </w:r>
          </w:p>
          <w:p w:rsidR="00C154DF" w:rsidRPr="00C154DF" w:rsidRDefault="00AD192D" w:rsidP="00C154DF">
            <w:pPr>
              <w:spacing w:before="80" w:after="80"/>
              <w:rPr>
                <w:rFonts w:ascii="Arial" w:hAnsi="Arial" w:cs="Arial"/>
                <w:i/>
                <w:sz w:val="22"/>
                <w:szCs w:val="22"/>
              </w:rPr>
            </w:pPr>
            <w:hyperlink r:id="rId10" w:history="1">
              <w:r w:rsidR="00C154DF" w:rsidRPr="00C154DF">
                <w:rPr>
                  <w:rStyle w:val="Hyperlink"/>
                  <w:rFonts w:ascii="Arial" w:hAnsi="Arial" w:cs="Arial"/>
                  <w:i/>
                  <w:sz w:val="22"/>
                  <w:szCs w:val="22"/>
                </w:rPr>
                <w:t>www.dh.gov.uk/en/Publicationsandstatistics/Publications/PublicationsPolicyAndGuidance/DH_113613</w:t>
              </w:r>
            </w:hyperlink>
          </w:p>
        </w:tc>
        <w:tc>
          <w:tcPr>
            <w:tcW w:w="851" w:type="dxa"/>
            <w:shd w:val="clear" w:color="auto" w:fill="auto"/>
          </w:tcPr>
          <w:p w:rsidR="00C154DF" w:rsidRPr="00C154DF" w:rsidRDefault="00C154DF" w:rsidP="00C154DF">
            <w:pPr>
              <w:spacing w:before="80" w:after="80"/>
              <w:jc w:val="center"/>
              <w:rPr>
                <w:rFonts w:ascii="Arial" w:hAnsi="Arial" w:cs="Arial"/>
                <w:i/>
                <w:sz w:val="22"/>
                <w:szCs w:val="22"/>
              </w:rPr>
            </w:pPr>
            <w:r w:rsidRPr="00C154DF">
              <w:rPr>
                <w:rFonts w:ascii="Arial" w:hAnsi="Arial" w:cs="Arial"/>
                <w:i/>
                <w:sz w:val="22"/>
                <w:szCs w:val="22"/>
              </w:rPr>
              <w:t>Y</w:t>
            </w:r>
          </w:p>
        </w:tc>
        <w:tc>
          <w:tcPr>
            <w:tcW w:w="2092" w:type="dxa"/>
            <w:shd w:val="clear" w:color="auto" w:fill="auto"/>
          </w:tcPr>
          <w:p w:rsidR="00C154DF" w:rsidRPr="00C154DF" w:rsidRDefault="00C154DF" w:rsidP="00C154DF">
            <w:pPr>
              <w:spacing w:before="80" w:after="80"/>
              <w:rPr>
                <w:rFonts w:ascii="Arial" w:hAnsi="Arial" w:cs="Arial"/>
                <w:i/>
                <w:sz w:val="22"/>
                <w:szCs w:val="22"/>
              </w:rPr>
            </w:pPr>
          </w:p>
        </w:tc>
      </w:tr>
    </w:tbl>
    <w:p w:rsidR="00C154DF" w:rsidRDefault="00C154DF" w:rsidP="00D7033C">
      <w:pPr>
        <w:rPr>
          <w:rFonts w:ascii="Arial" w:hAnsi="Arial" w:cs="Arial"/>
          <w:b/>
          <w:bCs/>
          <w:i/>
          <w:sz w:val="22"/>
          <w:szCs w:val="22"/>
        </w:rPr>
      </w:pPr>
    </w:p>
    <w:p w:rsidR="00C154DF" w:rsidRDefault="00C154DF" w:rsidP="00D7033C">
      <w:pPr>
        <w:rPr>
          <w:rFonts w:ascii="Arial" w:hAnsi="Arial" w:cs="Arial"/>
          <w:b/>
          <w:bCs/>
          <w:i/>
          <w:sz w:val="22"/>
          <w:szCs w:val="22"/>
        </w:rPr>
      </w:pPr>
    </w:p>
    <w:p w:rsidR="00C154DF" w:rsidRDefault="00C154DF" w:rsidP="00D7033C">
      <w:pPr>
        <w:rPr>
          <w:rFonts w:ascii="Arial" w:hAnsi="Arial" w:cs="Arial"/>
          <w:b/>
          <w:bCs/>
          <w:i/>
          <w:sz w:val="22"/>
          <w:szCs w:val="22"/>
        </w:rPr>
      </w:pPr>
    </w:p>
    <w:p w:rsidR="00C154DF" w:rsidRDefault="00C154DF" w:rsidP="00D7033C">
      <w:pPr>
        <w:rPr>
          <w:rFonts w:ascii="Arial" w:hAnsi="Arial" w:cs="Arial"/>
          <w:b/>
          <w:bCs/>
          <w:i/>
          <w:sz w:val="22"/>
          <w:szCs w:val="22"/>
        </w:rPr>
      </w:pPr>
    </w:p>
    <w:p w:rsidR="00C154DF" w:rsidRDefault="00C154DF" w:rsidP="00D7033C">
      <w:pPr>
        <w:rPr>
          <w:rFonts w:ascii="Arial" w:hAnsi="Arial" w:cs="Arial"/>
          <w:b/>
          <w:bCs/>
          <w:i/>
          <w:sz w:val="22"/>
          <w:szCs w:val="22"/>
        </w:rPr>
      </w:pPr>
    </w:p>
    <w:p w:rsidR="00C154DF" w:rsidRDefault="00C154DF" w:rsidP="00D7033C">
      <w:pPr>
        <w:rPr>
          <w:rFonts w:ascii="Arial" w:hAnsi="Arial" w:cs="Arial"/>
          <w:b/>
          <w:bCs/>
          <w:i/>
          <w:sz w:val="22"/>
          <w:szCs w:val="22"/>
        </w:rPr>
      </w:pPr>
    </w:p>
    <w:p w:rsidR="00C154DF" w:rsidRDefault="00C154DF" w:rsidP="00D7033C">
      <w:pPr>
        <w:rPr>
          <w:rFonts w:ascii="Arial" w:hAnsi="Arial" w:cs="Arial"/>
          <w:b/>
          <w:bCs/>
          <w:i/>
          <w:sz w:val="22"/>
          <w:szCs w:val="22"/>
        </w:rPr>
      </w:pPr>
    </w:p>
    <w:p w:rsidR="00C154DF" w:rsidRDefault="00C154DF" w:rsidP="00D7033C">
      <w:pPr>
        <w:rPr>
          <w:rFonts w:ascii="Arial" w:hAnsi="Arial" w:cs="Arial"/>
          <w:b/>
          <w:bCs/>
          <w:i/>
          <w:sz w:val="22"/>
          <w:szCs w:val="22"/>
        </w:rPr>
      </w:pPr>
    </w:p>
    <w:p w:rsidR="00C154DF" w:rsidRDefault="00C154DF" w:rsidP="00D7033C">
      <w:pPr>
        <w:rPr>
          <w:rFonts w:ascii="Arial" w:hAnsi="Arial" w:cs="Arial"/>
          <w:b/>
          <w:bCs/>
          <w:i/>
          <w:sz w:val="22"/>
          <w:szCs w:val="22"/>
        </w:rPr>
      </w:pPr>
    </w:p>
    <w:p w:rsidR="00C154DF" w:rsidRDefault="00C154DF" w:rsidP="00D7033C">
      <w:pPr>
        <w:rPr>
          <w:rFonts w:ascii="Arial" w:hAnsi="Arial" w:cs="Arial"/>
          <w:b/>
          <w:bCs/>
          <w:i/>
          <w:sz w:val="22"/>
          <w:szCs w:val="22"/>
        </w:rPr>
      </w:pPr>
    </w:p>
    <w:p w:rsidR="00C154DF" w:rsidRDefault="00C154DF" w:rsidP="00D7033C">
      <w:pPr>
        <w:rPr>
          <w:rFonts w:ascii="Arial" w:hAnsi="Arial" w:cs="Arial"/>
          <w:b/>
          <w:bCs/>
          <w:i/>
          <w:sz w:val="22"/>
          <w:szCs w:val="22"/>
        </w:rPr>
      </w:pPr>
    </w:p>
    <w:p w:rsidR="00C154DF" w:rsidRDefault="00C154DF" w:rsidP="00D7033C">
      <w:pPr>
        <w:rPr>
          <w:rFonts w:ascii="Arial" w:hAnsi="Arial" w:cs="Arial"/>
          <w:b/>
          <w:bCs/>
          <w:i/>
          <w:sz w:val="22"/>
          <w:szCs w:val="22"/>
        </w:rPr>
      </w:pPr>
    </w:p>
    <w:p w:rsidR="00C154DF" w:rsidRDefault="00C154DF" w:rsidP="00D7033C">
      <w:pPr>
        <w:rPr>
          <w:rFonts w:ascii="Arial" w:hAnsi="Arial" w:cs="Arial"/>
          <w:b/>
          <w:bCs/>
          <w:i/>
          <w:sz w:val="22"/>
          <w:szCs w:val="22"/>
        </w:rPr>
      </w:pPr>
    </w:p>
    <w:p w:rsidR="00C154DF" w:rsidRDefault="00C154DF" w:rsidP="00D7033C">
      <w:pPr>
        <w:rPr>
          <w:rFonts w:ascii="Arial" w:hAnsi="Arial" w:cs="Arial"/>
          <w:b/>
          <w:bCs/>
          <w:i/>
          <w:sz w:val="22"/>
          <w:szCs w:val="22"/>
        </w:rPr>
      </w:pPr>
    </w:p>
    <w:p w:rsidR="00C154DF" w:rsidRDefault="00C154DF" w:rsidP="00D7033C">
      <w:pPr>
        <w:rPr>
          <w:rFonts w:ascii="Arial" w:hAnsi="Arial" w:cs="Arial"/>
          <w:b/>
          <w:bCs/>
          <w:i/>
          <w:sz w:val="22"/>
          <w:szCs w:val="22"/>
        </w:rPr>
      </w:pPr>
    </w:p>
    <w:p w:rsidR="00C154DF" w:rsidRDefault="00C154DF" w:rsidP="00D7033C">
      <w:pPr>
        <w:rPr>
          <w:rFonts w:ascii="Arial" w:hAnsi="Arial" w:cs="Arial"/>
          <w:b/>
          <w:bCs/>
          <w:i/>
          <w:sz w:val="22"/>
          <w:szCs w:val="22"/>
        </w:rPr>
      </w:pPr>
    </w:p>
    <w:p w:rsidR="00C154DF" w:rsidRDefault="00C154DF" w:rsidP="00D7033C">
      <w:pPr>
        <w:rPr>
          <w:rFonts w:ascii="Arial" w:hAnsi="Arial" w:cs="Arial"/>
          <w:b/>
          <w:bCs/>
          <w:i/>
          <w:sz w:val="22"/>
          <w:szCs w:val="22"/>
        </w:rPr>
      </w:pPr>
    </w:p>
    <w:p w:rsidR="00C154DF" w:rsidRDefault="00C154DF" w:rsidP="00D7033C">
      <w:pPr>
        <w:rPr>
          <w:rFonts w:ascii="Arial" w:hAnsi="Arial" w:cs="Arial"/>
          <w:b/>
          <w:bCs/>
          <w:i/>
          <w:sz w:val="22"/>
          <w:szCs w:val="22"/>
        </w:rPr>
      </w:pPr>
    </w:p>
    <w:p w:rsidR="00C154DF" w:rsidRPr="00C154DF" w:rsidRDefault="00C154DF" w:rsidP="00D7033C">
      <w:pPr>
        <w:rPr>
          <w:rFonts w:ascii="Arial" w:hAnsi="Arial" w:cs="Arial"/>
          <w:b/>
          <w:bCs/>
          <w:i/>
          <w:sz w:val="22"/>
          <w:szCs w:val="22"/>
        </w:rPr>
      </w:pPr>
    </w:p>
    <w:p w:rsidR="001A003B" w:rsidRDefault="001A003B" w:rsidP="00D7033C">
      <w:pPr>
        <w:rPr>
          <w:rFonts w:ascii="Arial" w:hAnsi="Arial" w:cs="Arial"/>
          <w:b/>
          <w:bCs/>
          <w:sz w:val="22"/>
          <w:szCs w:val="22"/>
        </w:rPr>
      </w:pPr>
    </w:p>
    <w:p w:rsidR="001A003B" w:rsidRDefault="001A003B" w:rsidP="00D7033C">
      <w:pPr>
        <w:rPr>
          <w:rFonts w:ascii="Arial" w:hAnsi="Arial" w:cs="Arial"/>
          <w:b/>
          <w:bCs/>
          <w:sz w:val="22"/>
          <w:szCs w:val="22"/>
        </w:rPr>
      </w:pPr>
    </w:p>
    <w:p w:rsidR="001A003B" w:rsidRDefault="001A003B" w:rsidP="00D7033C">
      <w:pPr>
        <w:rPr>
          <w:rFonts w:ascii="Arial" w:hAnsi="Arial" w:cs="Arial"/>
          <w:b/>
          <w:bCs/>
          <w:sz w:val="22"/>
          <w:szCs w:val="22"/>
        </w:rPr>
      </w:pPr>
    </w:p>
    <w:p w:rsidR="001A003B" w:rsidRDefault="001A003B" w:rsidP="00D7033C">
      <w:pPr>
        <w:rPr>
          <w:rFonts w:ascii="Arial" w:hAnsi="Arial" w:cs="Arial"/>
          <w:b/>
          <w:bCs/>
          <w:sz w:val="22"/>
          <w:szCs w:val="22"/>
        </w:rPr>
      </w:pPr>
    </w:p>
    <w:p w:rsidR="001A003B" w:rsidRDefault="001A003B" w:rsidP="00D7033C">
      <w:pPr>
        <w:rPr>
          <w:rFonts w:ascii="Arial" w:hAnsi="Arial" w:cs="Arial"/>
          <w:b/>
          <w:bCs/>
          <w:sz w:val="22"/>
          <w:szCs w:val="22"/>
        </w:rPr>
      </w:pPr>
    </w:p>
    <w:p w:rsidR="001A003B" w:rsidRDefault="001A003B" w:rsidP="00D7033C">
      <w:pPr>
        <w:rPr>
          <w:rFonts w:ascii="Arial" w:hAnsi="Arial" w:cs="Arial"/>
          <w:b/>
          <w:bCs/>
          <w:sz w:val="22"/>
          <w:szCs w:val="22"/>
        </w:rPr>
      </w:pPr>
    </w:p>
    <w:p w:rsidR="001A003B" w:rsidRDefault="001A003B" w:rsidP="00D7033C">
      <w:pPr>
        <w:rPr>
          <w:rFonts w:ascii="Arial" w:hAnsi="Arial" w:cs="Arial"/>
          <w:b/>
          <w:bCs/>
          <w:sz w:val="22"/>
          <w:szCs w:val="22"/>
        </w:rPr>
      </w:pPr>
    </w:p>
    <w:sectPr w:rsidR="001A003B" w:rsidSect="00DD7564">
      <w:footerReference w:type="default" r:id="rId11"/>
      <w:pgSz w:w="11906" w:h="16838"/>
      <w:pgMar w:top="902" w:right="902" w:bottom="902"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02D" w:rsidRDefault="0093502D">
      <w:r>
        <w:separator/>
      </w:r>
    </w:p>
  </w:endnote>
  <w:endnote w:type="continuationSeparator" w:id="0">
    <w:p w:rsidR="0093502D" w:rsidRDefault="00935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02D" w:rsidRDefault="0093502D" w:rsidP="00DC3218">
    <w:pPr>
      <w:pStyle w:val="Footer"/>
      <w:jc w:val="right"/>
    </w:pPr>
    <w:r>
      <w:rPr>
        <w:noProof/>
      </w:rPr>
      <w:drawing>
        <wp:inline distT="0" distB="0" distL="0" distR="0" wp14:anchorId="38F7AE6A" wp14:editId="10EADC79">
          <wp:extent cx="2658110" cy="35369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53695"/>
                  </a:xfrm>
                  <a:prstGeom prst="rect">
                    <a:avLst/>
                  </a:prstGeom>
                  <a:noFill/>
                </pic:spPr>
              </pic:pic>
            </a:graphicData>
          </a:graphic>
        </wp:inline>
      </w:drawing>
    </w:r>
    <w:r>
      <w:rPr>
        <w:noProof/>
      </w:rPr>
      <w:drawing>
        <wp:inline distT="0" distB="0" distL="0" distR="0" wp14:anchorId="1D18B7C5" wp14:editId="584EC1AE">
          <wp:extent cx="1036320" cy="8782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8782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02D" w:rsidRDefault="0093502D">
      <w:r>
        <w:separator/>
      </w:r>
    </w:p>
  </w:footnote>
  <w:footnote w:type="continuationSeparator" w:id="0">
    <w:p w:rsidR="0093502D" w:rsidRDefault="0093502D">
      <w:r>
        <w:continuationSeparator/>
      </w:r>
    </w:p>
  </w:footnote>
  <w:footnote w:id="1">
    <w:p w:rsidR="009E511E" w:rsidRDefault="009E511E">
      <w:pPr>
        <w:pStyle w:val="FootnoteText"/>
      </w:pPr>
      <w:r>
        <w:rPr>
          <w:rStyle w:val="FootnoteReference"/>
        </w:rPr>
        <w:footnoteRef/>
      </w:r>
      <w:r>
        <w:t xml:space="preserve"> Previously share</w:t>
      </w:r>
    </w:p>
  </w:footnote>
  <w:footnote w:id="2">
    <w:p w:rsidR="009E511E" w:rsidRDefault="009E511E">
      <w:pPr>
        <w:pStyle w:val="FootnoteText"/>
      </w:pPr>
      <w:r>
        <w:rPr>
          <w:rStyle w:val="FootnoteReference"/>
        </w:rPr>
        <w:footnoteRef/>
      </w:r>
      <w:r>
        <w:t xml:space="preserve"> Previously buy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083C1AFB"/>
    <w:multiLevelType w:val="hybridMultilevel"/>
    <w:tmpl w:val="9A868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CC93485"/>
    <w:multiLevelType w:val="hybridMultilevel"/>
    <w:tmpl w:val="0FA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0EBC00A0"/>
    <w:multiLevelType w:val="hybridMultilevel"/>
    <w:tmpl w:val="4A02A31E"/>
    <w:lvl w:ilvl="0" w:tplc="FE581748">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94B0D30"/>
    <w:multiLevelType w:val="hybridMultilevel"/>
    <w:tmpl w:val="31B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4D01B3"/>
    <w:multiLevelType w:val="hybridMultilevel"/>
    <w:tmpl w:val="D88ADAFC"/>
    <w:lvl w:ilvl="0" w:tplc="805CF284">
      <w:start w:val="1"/>
      <w:numFmt w:val="bullet"/>
      <w:lvlText w:val="•"/>
      <w:lvlJc w:val="left"/>
      <w:pPr>
        <w:tabs>
          <w:tab w:val="num" w:pos="720"/>
        </w:tabs>
        <w:ind w:left="720" w:hanging="360"/>
      </w:pPr>
      <w:rPr>
        <w:rFonts w:ascii="Arial" w:hAnsi="Arial" w:hint="default"/>
      </w:rPr>
    </w:lvl>
    <w:lvl w:ilvl="1" w:tplc="5FA832A4" w:tentative="1">
      <w:start w:val="1"/>
      <w:numFmt w:val="bullet"/>
      <w:lvlText w:val="•"/>
      <w:lvlJc w:val="left"/>
      <w:pPr>
        <w:tabs>
          <w:tab w:val="num" w:pos="1440"/>
        </w:tabs>
        <w:ind w:left="1440" w:hanging="360"/>
      </w:pPr>
      <w:rPr>
        <w:rFonts w:ascii="Arial" w:hAnsi="Arial" w:hint="default"/>
      </w:rPr>
    </w:lvl>
    <w:lvl w:ilvl="2" w:tplc="073E5862" w:tentative="1">
      <w:start w:val="1"/>
      <w:numFmt w:val="bullet"/>
      <w:lvlText w:val="•"/>
      <w:lvlJc w:val="left"/>
      <w:pPr>
        <w:tabs>
          <w:tab w:val="num" w:pos="2160"/>
        </w:tabs>
        <w:ind w:left="2160" w:hanging="360"/>
      </w:pPr>
      <w:rPr>
        <w:rFonts w:ascii="Arial" w:hAnsi="Arial" w:hint="default"/>
      </w:rPr>
    </w:lvl>
    <w:lvl w:ilvl="3" w:tplc="33886D60" w:tentative="1">
      <w:start w:val="1"/>
      <w:numFmt w:val="bullet"/>
      <w:lvlText w:val="•"/>
      <w:lvlJc w:val="left"/>
      <w:pPr>
        <w:tabs>
          <w:tab w:val="num" w:pos="2880"/>
        </w:tabs>
        <w:ind w:left="2880" w:hanging="360"/>
      </w:pPr>
      <w:rPr>
        <w:rFonts w:ascii="Arial" w:hAnsi="Arial" w:hint="default"/>
      </w:rPr>
    </w:lvl>
    <w:lvl w:ilvl="4" w:tplc="794015BA" w:tentative="1">
      <w:start w:val="1"/>
      <w:numFmt w:val="bullet"/>
      <w:lvlText w:val="•"/>
      <w:lvlJc w:val="left"/>
      <w:pPr>
        <w:tabs>
          <w:tab w:val="num" w:pos="3600"/>
        </w:tabs>
        <w:ind w:left="3600" w:hanging="360"/>
      </w:pPr>
      <w:rPr>
        <w:rFonts w:ascii="Arial" w:hAnsi="Arial" w:hint="default"/>
      </w:rPr>
    </w:lvl>
    <w:lvl w:ilvl="5" w:tplc="BEE03586" w:tentative="1">
      <w:start w:val="1"/>
      <w:numFmt w:val="bullet"/>
      <w:lvlText w:val="•"/>
      <w:lvlJc w:val="left"/>
      <w:pPr>
        <w:tabs>
          <w:tab w:val="num" w:pos="4320"/>
        </w:tabs>
        <w:ind w:left="4320" w:hanging="360"/>
      </w:pPr>
      <w:rPr>
        <w:rFonts w:ascii="Arial" w:hAnsi="Arial" w:hint="default"/>
      </w:rPr>
    </w:lvl>
    <w:lvl w:ilvl="6" w:tplc="A6CC4BDE" w:tentative="1">
      <w:start w:val="1"/>
      <w:numFmt w:val="bullet"/>
      <w:lvlText w:val="•"/>
      <w:lvlJc w:val="left"/>
      <w:pPr>
        <w:tabs>
          <w:tab w:val="num" w:pos="5040"/>
        </w:tabs>
        <w:ind w:left="5040" w:hanging="360"/>
      </w:pPr>
      <w:rPr>
        <w:rFonts w:ascii="Arial" w:hAnsi="Arial" w:hint="default"/>
      </w:rPr>
    </w:lvl>
    <w:lvl w:ilvl="7" w:tplc="097424E6" w:tentative="1">
      <w:start w:val="1"/>
      <w:numFmt w:val="bullet"/>
      <w:lvlText w:val="•"/>
      <w:lvlJc w:val="left"/>
      <w:pPr>
        <w:tabs>
          <w:tab w:val="num" w:pos="5760"/>
        </w:tabs>
        <w:ind w:left="5760" w:hanging="360"/>
      </w:pPr>
      <w:rPr>
        <w:rFonts w:ascii="Arial" w:hAnsi="Arial" w:hint="default"/>
      </w:rPr>
    </w:lvl>
    <w:lvl w:ilvl="8" w:tplc="D67E3AC2" w:tentative="1">
      <w:start w:val="1"/>
      <w:numFmt w:val="bullet"/>
      <w:lvlText w:val="•"/>
      <w:lvlJc w:val="left"/>
      <w:pPr>
        <w:tabs>
          <w:tab w:val="num" w:pos="6480"/>
        </w:tabs>
        <w:ind w:left="6480" w:hanging="360"/>
      </w:pPr>
      <w:rPr>
        <w:rFonts w:ascii="Arial" w:hAnsi="Arial" w:hint="default"/>
      </w:rPr>
    </w:lvl>
  </w:abstractNum>
  <w:abstractNum w:abstractNumId="10">
    <w:nsid w:val="23EC4842"/>
    <w:multiLevelType w:val="hybridMultilevel"/>
    <w:tmpl w:val="EECA7BC8"/>
    <w:lvl w:ilvl="0" w:tplc="76B46F00">
      <w:start w:val="1"/>
      <w:numFmt w:val="lowerLetter"/>
      <w:lvlText w:val="%1)"/>
      <w:lvlJc w:val="left"/>
      <w:pPr>
        <w:ind w:left="924" w:hanging="564"/>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331AFD"/>
    <w:multiLevelType w:val="hybridMultilevel"/>
    <w:tmpl w:val="04C0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18">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21">
    <w:nsid w:val="55590508"/>
    <w:multiLevelType w:val="hybridMultilevel"/>
    <w:tmpl w:val="EC4CE718"/>
    <w:lvl w:ilvl="0" w:tplc="FE581748">
      <w:numFmt w:val="bullet"/>
      <w:lvlText w:val="•"/>
      <w:lvlJc w:val="left"/>
      <w:pPr>
        <w:ind w:left="1440" w:hanging="720"/>
      </w:pPr>
      <w:rPr>
        <w:rFonts w:ascii="Arial" w:eastAsia="Times New Roman" w:hAnsi="Arial" w:cs="Arial" w:hint="default"/>
      </w:rPr>
    </w:lvl>
    <w:lvl w:ilvl="1" w:tplc="249267C2">
      <w:numFmt w:val="bullet"/>
      <w:lvlText w:val="-"/>
      <w:lvlJc w:val="left"/>
      <w:pPr>
        <w:ind w:left="2160" w:hanging="720"/>
      </w:pPr>
      <w:rPr>
        <w:rFonts w:ascii="Arial" w:eastAsia="Times New Roman" w:hAnsi="Arial" w:cs="Aria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2">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
  </w:num>
  <w:num w:numId="3">
    <w:abstractNumId w:val="0"/>
  </w:num>
  <w:num w:numId="4">
    <w:abstractNumId w:val="26"/>
  </w:num>
  <w:num w:numId="5">
    <w:abstractNumId w:val="18"/>
  </w:num>
  <w:num w:numId="6">
    <w:abstractNumId w:val="24"/>
  </w:num>
  <w:num w:numId="7">
    <w:abstractNumId w:val="3"/>
  </w:num>
  <w:num w:numId="8">
    <w:abstractNumId w:val="17"/>
  </w:num>
  <w:num w:numId="9">
    <w:abstractNumId w:val="20"/>
  </w:num>
  <w:num w:numId="10">
    <w:abstractNumId w:val="6"/>
  </w:num>
  <w:num w:numId="11">
    <w:abstractNumId w:val="11"/>
  </w:num>
  <w:num w:numId="12">
    <w:abstractNumId w:val="23"/>
  </w:num>
  <w:num w:numId="13">
    <w:abstractNumId w:val="14"/>
  </w:num>
  <w:num w:numId="14">
    <w:abstractNumId w:val="1"/>
  </w:num>
  <w:num w:numId="15">
    <w:abstractNumId w:val="16"/>
  </w:num>
  <w:num w:numId="16">
    <w:abstractNumId w:val="12"/>
  </w:num>
  <w:num w:numId="17">
    <w:abstractNumId w:val="19"/>
  </w:num>
  <w:num w:numId="18">
    <w:abstractNumId w:val="15"/>
  </w:num>
  <w:num w:numId="19">
    <w:abstractNumId w:val="25"/>
  </w:num>
  <w:num w:numId="20">
    <w:abstractNumId w:val="9"/>
  </w:num>
  <w:num w:numId="21">
    <w:abstractNumId w:val="8"/>
  </w:num>
  <w:num w:numId="22">
    <w:abstractNumId w:val="13"/>
  </w:num>
  <w:num w:numId="23">
    <w:abstractNumId w:val="5"/>
  </w:num>
  <w:num w:numId="24">
    <w:abstractNumId w:val="4"/>
  </w:num>
  <w:num w:numId="25">
    <w:abstractNumId w:val="21"/>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2EFA"/>
    <w:rsid w:val="00005597"/>
    <w:rsid w:val="00015F2C"/>
    <w:rsid w:val="00017A77"/>
    <w:rsid w:val="00020184"/>
    <w:rsid w:val="0003526D"/>
    <w:rsid w:val="00050A68"/>
    <w:rsid w:val="00053013"/>
    <w:rsid w:val="000553ED"/>
    <w:rsid w:val="00060BE3"/>
    <w:rsid w:val="00062ABA"/>
    <w:rsid w:val="00067D66"/>
    <w:rsid w:val="000804F5"/>
    <w:rsid w:val="00082D82"/>
    <w:rsid w:val="00086901"/>
    <w:rsid w:val="00091E11"/>
    <w:rsid w:val="000920DD"/>
    <w:rsid w:val="00095E6B"/>
    <w:rsid w:val="000B1D82"/>
    <w:rsid w:val="000B1EEB"/>
    <w:rsid w:val="000B4521"/>
    <w:rsid w:val="000C440F"/>
    <w:rsid w:val="000E4269"/>
    <w:rsid w:val="00101E52"/>
    <w:rsid w:val="00105599"/>
    <w:rsid w:val="00105BD8"/>
    <w:rsid w:val="00112B21"/>
    <w:rsid w:val="001154A6"/>
    <w:rsid w:val="00120909"/>
    <w:rsid w:val="001209C1"/>
    <w:rsid w:val="00124B07"/>
    <w:rsid w:val="00132B3D"/>
    <w:rsid w:val="00136A3D"/>
    <w:rsid w:val="00146F56"/>
    <w:rsid w:val="0015293E"/>
    <w:rsid w:val="00157D2B"/>
    <w:rsid w:val="00176D4A"/>
    <w:rsid w:val="00180D44"/>
    <w:rsid w:val="00185707"/>
    <w:rsid w:val="00190670"/>
    <w:rsid w:val="00193741"/>
    <w:rsid w:val="00197B68"/>
    <w:rsid w:val="001A003B"/>
    <w:rsid w:val="001A4E90"/>
    <w:rsid w:val="001B3A86"/>
    <w:rsid w:val="001B6258"/>
    <w:rsid w:val="001D2557"/>
    <w:rsid w:val="001D6104"/>
    <w:rsid w:val="001D78A2"/>
    <w:rsid w:val="001E773A"/>
    <w:rsid w:val="001F21BE"/>
    <w:rsid w:val="001F59F0"/>
    <w:rsid w:val="001F6597"/>
    <w:rsid w:val="00200CED"/>
    <w:rsid w:val="00213BC1"/>
    <w:rsid w:val="002141E5"/>
    <w:rsid w:val="00216C8C"/>
    <w:rsid w:val="00231A40"/>
    <w:rsid w:val="00231D43"/>
    <w:rsid w:val="00246031"/>
    <w:rsid w:val="00246D3A"/>
    <w:rsid w:val="0025514C"/>
    <w:rsid w:val="00256406"/>
    <w:rsid w:val="00261AB5"/>
    <w:rsid w:val="002626F4"/>
    <w:rsid w:val="0026660D"/>
    <w:rsid w:val="00266FF1"/>
    <w:rsid w:val="002700D2"/>
    <w:rsid w:val="00285B93"/>
    <w:rsid w:val="00285C31"/>
    <w:rsid w:val="00286998"/>
    <w:rsid w:val="002A3C39"/>
    <w:rsid w:val="002A651D"/>
    <w:rsid w:val="002B63BC"/>
    <w:rsid w:val="002C17C1"/>
    <w:rsid w:val="002E26B9"/>
    <w:rsid w:val="002E7820"/>
    <w:rsid w:val="002F445D"/>
    <w:rsid w:val="002F47B6"/>
    <w:rsid w:val="00301655"/>
    <w:rsid w:val="00303B76"/>
    <w:rsid w:val="00312796"/>
    <w:rsid w:val="003225BA"/>
    <w:rsid w:val="00326AB8"/>
    <w:rsid w:val="0034307E"/>
    <w:rsid w:val="00363C1F"/>
    <w:rsid w:val="0036628F"/>
    <w:rsid w:val="00366F7D"/>
    <w:rsid w:val="00374C09"/>
    <w:rsid w:val="00380FCF"/>
    <w:rsid w:val="00384979"/>
    <w:rsid w:val="0039016F"/>
    <w:rsid w:val="00394F30"/>
    <w:rsid w:val="003A03CB"/>
    <w:rsid w:val="003B0A06"/>
    <w:rsid w:val="003B626C"/>
    <w:rsid w:val="003C6569"/>
    <w:rsid w:val="003D2887"/>
    <w:rsid w:val="003D3E08"/>
    <w:rsid w:val="003D489F"/>
    <w:rsid w:val="003E4361"/>
    <w:rsid w:val="003F6D7A"/>
    <w:rsid w:val="003F6DF9"/>
    <w:rsid w:val="00406064"/>
    <w:rsid w:val="00420D54"/>
    <w:rsid w:val="00423F06"/>
    <w:rsid w:val="004337A4"/>
    <w:rsid w:val="00434363"/>
    <w:rsid w:val="0043664F"/>
    <w:rsid w:val="00441E7A"/>
    <w:rsid w:val="00447394"/>
    <w:rsid w:val="00450490"/>
    <w:rsid w:val="00454EA5"/>
    <w:rsid w:val="00456662"/>
    <w:rsid w:val="00457AAE"/>
    <w:rsid w:val="00462810"/>
    <w:rsid w:val="00464A6D"/>
    <w:rsid w:val="00466602"/>
    <w:rsid w:val="00470C33"/>
    <w:rsid w:val="004756D3"/>
    <w:rsid w:val="004822A5"/>
    <w:rsid w:val="00490D15"/>
    <w:rsid w:val="004A5EE0"/>
    <w:rsid w:val="004A75B1"/>
    <w:rsid w:val="004B29A9"/>
    <w:rsid w:val="004B4F56"/>
    <w:rsid w:val="004C5FA2"/>
    <w:rsid w:val="004C677C"/>
    <w:rsid w:val="004C6F5C"/>
    <w:rsid w:val="004D0321"/>
    <w:rsid w:val="004D4BD5"/>
    <w:rsid w:val="004D7118"/>
    <w:rsid w:val="004E7A80"/>
    <w:rsid w:val="004F2E71"/>
    <w:rsid w:val="004F3209"/>
    <w:rsid w:val="004F64DF"/>
    <w:rsid w:val="005109BE"/>
    <w:rsid w:val="00512C9D"/>
    <w:rsid w:val="00517C3A"/>
    <w:rsid w:val="0052360E"/>
    <w:rsid w:val="00532C2C"/>
    <w:rsid w:val="00540287"/>
    <w:rsid w:val="00541F74"/>
    <w:rsid w:val="00562641"/>
    <w:rsid w:val="00562E19"/>
    <w:rsid w:val="00567797"/>
    <w:rsid w:val="0057544B"/>
    <w:rsid w:val="0057654D"/>
    <w:rsid w:val="005847E8"/>
    <w:rsid w:val="00585083"/>
    <w:rsid w:val="00587A7C"/>
    <w:rsid w:val="00591E40"/>
    <w:rsid w:val="00593311"/>
    <w:rsid w:val="005973A0"/>
    <w:rsid w:val="005A36F7"/>
    <w:rsid w:val="005A625B"/>
    <w:rsid w:val="005E01FA"/>
    <w:rsid w:val="005F0C84"/>
    <w:rsid w:val="005F11AA"/>
    <w:rsid w:val="005F195A"/>
    <w:rsid w:val="005F3E6A"/>
    <w:rsid w:val="0060153A"/>
    <w:rsid w:val="0060216B"/>
    <w:rsid w:val="00604967"/>
    <w:rsid w:val="00607C7F"/>
    <w:rsid w:val="006203A2"/>
    <w:rsid w:val="00625124"/>
    <w:rsid w:val="006468ED"/>
    <w:rsid w:val="006569A3"/>
    <w:rsid w:val="00657CC2"/>
    <w:rsid w:val="00664815"/>
    <w:rsid w:val="0067295A"/>
    <w:rsid w:val="00675C73"/>
    <w:rsid w:val="0068471B"/>
    <w:rsid w:val="0068496F"/>
    <w:rsid w:val="0069645B"/>
    <w:rsid w:val="0069733F"/>
    <w:rsid w:val="006A2E19"/>
    <w:rsid w:val="006A74AF"/>
    <w:rsid w:val="006A788A"/>
    <w:rsid w:val="006A7D61"/>
    <w:rsid w:val="006B7C64"/>
    <w:rsid w:val="006C03B7"/>
    <w:rsid w:val="006C1DEF"/>
    <w:rsid w:val="006C5536"/>
    <w:rsid w:val="006D2FBF"/>
    <w:rsid w:val="006D535E"/>
    <w:rsid w:val="006E2F1F"/>
    <w:rsid w:val="006F1162"/>
    <w:rsid w:val="006F45C7"/>
    <w:rsid w:val="006F5C8A"/>
    <w:rsid w:val="006F7B59"/>
    <w:rsid w:val="0070365F"/>
    <w:rsid w:val="00710714"/>
    <w:rsid w:val="00716CAF"/>
    <w:rsid w:val="00730C39"/>
    <w:rsid w:val="0073457C"/>
    <w:rsid w:val="007351D1"/>
    <w:rsid w:val="00736E79"/>
    <w:rsid w:val="00740BB8"/>
    <w:rsid w:val="00747A7F"/>
    <w:rsid w:val="00752F56"/>
    <w:rsid w:val="00752FD6"/>
    <w:rsid w:val="007542CB"/>
    <w:rsid w:val="007559C0"/>
    <w:rsid w:val="00765D56"/>
    <w:rsid w:val="007673BA"/>
    <w:rsid w:val="0077428E"/>
    <w:rsid w:val="00775657"/>
    <w:rsid w:val="00775E08"/>
    <w:rsid w:val="00777C4C"/>
    <w:rsid w:val="007818CA"/>
    <w:rsid w:val="007927F8"/>
    <w:rsid w:val="007943EA"/>
    <w:rsid w:val="007A1CE6"/>
    <w:rsid w:val="007A356A"/>
    <w:rsid w:val="007A7384"/>
    <w:rsid w:val="007B20A8"/>
    <w:rsid w:val="007B2FB2"/>
    <w:rsid w:val="007C1372"/>
    <w:rsid w:val="007C7176"/>
    <w:rsid w:val="007D373C"/>
    <w:rsid w:val="007D696B"/>
    <w:rsid w:val="007E2B49"/>
    <w:rsid w:val="007E6A63"/>
    <w:rsid w:val="007F26DD"/>
    <w:rsid w:val="007F5413"/>
    <w:rsid w:val="00803AA5"/>
    <w:rsid w:val="008254CA"/>
    <w:rsid w:val="00831338"/>
    <w:rsid w:val="00840F53"/>
    <w:rsid w:val="00841F6F"/>
    <w:rsid w:val="00845E6F"/>
    <w:rsid w:val="00846C25"/>
    <w:rsid w:val="00852744"/>
    <w:rsid w:val="00852BCF"/>
    <w:rsid w:val="00866065"/>
    <w:rsid w:val="00866EFA"/>
    <w:rsid w:val="00866FF8"/>
    <w:rsid w:val="00876BA5"/>
    <w:rsid w:val="00882C25"/>
    <w:rsid w:val="00891846"/>
    <w:rsid w:val="00891EDC"/>
    <w:rsid w:val="0089366A"/>
    <w:rsid w:val="008A57B4"/>
    <w:rsid w:val="008B7A96"/>
    <w:rsid w:val="008C70FB"/>
    <w:rsid w:val="008D12EA"/>
    <w:rsid w:val="008D6A39"/>
    <w:rsid w:val="008E206C"/>
    <w:rsid w:val="008F140F"/>
    <w:rsid w:val="008F677B"/>
    <w:rsid w:val="00905151"/>
    <w:rsid w:val="00907378"/>
    <w:rsid w:val="009119AD"/>
    <w:rsid w:val="0091688E"/>
    <w:rsid w:val="00920543"/>
    <w:rsid w:val="00923556"/>
    <w:rsid w:val="009269E7"/>
    <w:rsid w:val="009306C6"/>
    <w:rsid w:val="0093502D"/>
    <w:rsid w:val="00936BC2"/>
    <w:rsid w:val="0094097A"/>
    <w:rsid w:val="00946B7B"/>
    <w:rsid w:val="00960460"/>
    <w:rsid w:val="00961032"/>
    <w:rsid w:val="009615DA"/>
    <w:rsid w:val="009646FA"/>
    <w:rsid w:val="00975B74"/>
    <w:rsid w:val="009846C1"/>
    <w:rsid w:val="00995D16"/>
    <w:rsid w:val="009A0C1E"/>
    <w:rsid w:val="009B25F1"/>
    <w:rsid w:val="009B32B5"/>
    <w:rsid w:val="009C33D4"/>
    <w:rsid w:val="009D14DD"/>
    <w:rsid w:val="009D4815"/>
    <w:rsid w:val="009E0D79"/>
    <w:rsid w:val="009E511E"/>
    <w:rsid w:val="009E7323"/>
    <w:rsid w:val="00A01B48"/>
    <w:rsid w:val="00A03A97"/>
    <w:rsid w:val="00A07A07"/>
    <w:rsid w:val="00A1183A"/>
    <w:rsid w:val="00A14275"/>
    <w:rsid w:val="00A17708"/>
    <w:rsid w:val="00A20848"/>
    <w:rsid w:val="00A31B98"/>
    <w:rsid w:val="00A35F42"/>
    <w:rsid w:val="00A40291"/>
    <w:rsid w:val="00A45F00"/>
    <w:rsid w:val="00A531CD"/>
    <w:rsid w:val="00A646B0"/>
    <w:rsid w:val="00A66F25"/>
    <w:rsid w:val="00A74848"/>
    <w:rsid w:val="00A773EC"/>
    <w:rsid w:val="00A77DA9"/>
    <w:rsid w:val="00A83BD9"/>
    <w:rsid w:val="00A860CA"/>
    <w:rsid w:val="00A862EF"/>
    <w:rsid w:val="00A873BF"/>
    <w:rsid w:val="00A87ACE"/>
    <w:rsid w:val="00A9668F"/>
    <w:rsid w:val="00A96FB0"/>
    <w:rsid w:val="00AB262D"/>
    <w:rsid w:val="00AB2796"/>
    <w:rsid w:val="00AC47AF"/>
    <w:rsid w:val="00AC7BB2"/>
    <w:rsid w:val="00AD192D"/>
    <w:rsid w:val="00AD4952"/>
    <w:rsid w:val="00AD4F09"/>
    <w:rsid w:val="00AD584A"/>
    <w:rsid w:val="00AD7635"/>
    <w:rsid w:val="00AE454E"/>
    <w:rsid w:val="00AE485A"/>
    <w:rsid w:val="00AF05A0"/>
    <w:rsid w:val="00AF0ACA"/>
    <w:rsid w:val="00AF3749"/>
    <w:rsid w:val="00AF3A61"/>
    <w:rsid w:val="00AF47E2"/>
    <w:rsid w:val="00AF5DDB"/>
    <w:rsid w:val="00B02EF5"/>
    <w:rsid w:val="00B31017"/>
    <w:rsid w:val="00B349FF"/>
    <w:rsid w:val="00B363A4"/>
    <w:rsid w:val="00B40742"/>
    <w:rsid w:val="00B41D76"/>
    <w:rsid w:val="00B54373"/>
    <w:rsid w:val="00B55AF0"/>
    <w:rsid w:val="00B55E86"/>
    <w:rsid w:val="00B60D87"/>
    <w:rsid w:val="00B66E1A"/>
    <w:rsid w:val="00B70B42"/>
    <w:rsid w:val="00B74845"/>
    <w:rsid w:val="00B76561"/>
    <w:rsid w:val="00B76881"/>
    <w:rsid w:val="00B7767F"/>
    <w:rsid w:val="00B847DA"/>
    <w:rsid w:val="00B8770E"/>
    <w:rsid w:val="00B90280"/>
    <w:rsid w:val="00B93457"/>
    <w:rsid w:val="00B961A5"/>
    <w:rsid w:val="00B97B0B"/>
    <w:rsid w:val="00BA763E"/>
    <w:rsid w:val="00BB4739"/>
    <w:rsid w:val="00BB5C36"/>
    <w:rsid w:val="00BB7DF9"/>
    <w:rsid w:val="00BC24D2"/>
    <w:rsid w:val="00BC27AF"/>
    <w:rsid w:val="00BC4508"/>
    <w:rsid w:val="00BC5CEC"/>
    <w:rsid w:val="00BC6D92"/>
    <w:rsid w:val="00BE2812"/>
    <w:rsid w:val="00BE6E0D"/>
    <w:rsid w:val="00BE7009"/>
    <w:rsid w:val="00BF4C1F"/>
    <w:rsid w:val="00BF64D8"/>
    <w:rsid w:val="00C053D3"/>
    <w:rsid w:val="00C0569D"/>
    <w:rsid w:val="00C07D8B"/>
    <w:rsid w:val="00C154DF"/>
    <w:rsid w:val="00C20949"/>
    <w:rsid w:val="00C523B4"/>
    <w:rsid w:val="00C52D50"/>
    <w:rsid w:val="00C628C9"/>
    <w:rsid w:val="00C703B6"/>
    <w:rsid w:val="00C74EC1"/>
    <w:rsid w:val="00C7588E"/>
    <w:rsid w:val="00C85824"/>
    <w:rsid w:val="00C86CC4"/>
    <w:rsid w:val="00C965C4"/>
    <w:rsid w:val="00CA3315"/>
    <w:rsid w:val="00CA64C1"/>
    <w:rsid w:val="00CB4EE8"/>
    <w:rsid w:val="00CD079D"/>
    <w:rsid w:val="00CD319C"/>
    <w:rsid w:val="00CD4F1D"/>
    <w:rsid w:val="00CE07E5"/>
    <w:rsid w:val="00CE160D"/>
    <w:rsid w:val="00CF258F"/>
    <w:rsid w:val="00CF5F75"/>
    <w:rsid w:val="00D00EFA"/>
    <w:rsid w:val="00D25017"/>
    <w:rsid w:val="00D3494B"/>
    <w:rsid w:val="00D35D4A"/>
    <w:rsid w:val="00D41C63"/>
    <w:rsid w:val="00D450C3"/>
    <w:rsid w:val="00D4597C"/>
    <w:rsid w:val="00D52206"/>
    <w:rsid w:val="00D655CC"/>
    <w:rsid w:val="00D6660C"/>
    <w:rsid w:val="00D7033C"/>
    <w:rsid w:val="00D76A89"/>
    <w:rsid w:val="00D803BA"/>
    <w:rsid w:val="00D83E17"/>
    <w:rsid w:val="00D91037"/>
    <w:rsid w:val="00D921A3"/>
    <w:rsid w:val="00D97A7C"/>
    <w:rsid w:val="00DA584B"/>
    <w:rsid w:val="00DA6818"/>
    <w:rsid w:val="00DA75DE"/>
    <w:rsid w:val="00DC2203"/>
    <w:rsid w:val="00DC3218"/>
    <w:rsid w:val="00DC46DB"/>
    <w:rsid w:val="00DD1E33"/>
    <w:rsid w:val="00DD27F1"/>
    <w:rsid w:val="00DD3E42"/>
    <w:rsid w:val="00DD689C"/>
    <w:rsid w:val="00DD7564"/>
    <w:rsid w:val="00DE6E0E"/>
    <w:rsid w:val="00DF00F8"/>
    <w:rsid w:val="00DF3185"/>
    <w:rsid w:val="00DF3E42"/>
    <w:rsid w:val="00E24870"/>
    <w:rsid w:val="00E2557D"/>
    <w:rsid w:val="00E320A8"/>
    <w:rsid w:val="00E43FD9"/>
    <w:rsid w:val="00E46EFA"/>
    <w:rsid w:val="00E47C0B"/>
    <w:rsid w:val="00E5159C"/>
    <w:rsid w:val="00E538AF"/>
    <w:rsid w:val="00E550FE"/>
    <w:rsid w:val="00E617F9"/>
    <w:rsid w:val="00E67668"/>
    <w:rsid w:val="00E7471C"/>
    <w:rsid w:val="00E75A46"/>
    <w:rsid w:val="00E857C3"/>
    <w:rsid w:val="00E921F2"/>
    <w:rsid w:val="00E94BFF"/>
    <w:rsid w:val="00E9685C"/>
    <w:rsid w:val="00EA1089"/>
    <w:rsid w:val="00EA285F"/>
    <w:rsid w:val="00EB6E0A"/>
    <w:rsid w:val="00EC03DC"/>
    <w:rsid w:val="00ED0665"/>
    <w:rsid w:val="00ED2BBB"/>
    <w:rsid w:val="00ED44C9"/>
    <w:rsid w:val="00ED6017"/>
    <w:rsid w:val="00EF1A15"/>
    <w:rsid w:val="00EF3C43"/>
    <w:rsid w:val="00EF524B"/>
    <w:rsid w:val="00F008CD"/>
    <w:rsid w:val="00F05335"/>
    <w:rsid w:val="00F12864"/>
    <w:rsid w:val="00F3113F"/>
    <w:rsid w:val="00F32730"/>
    <w:rsid w:val="00F3308A"/>
    <w:rsid w:val="00F3716D"/>
    <w:rsid w:val="00F37D18"/>
    <w:rsid w:val="00F40B1F"/>
    <w:rsid w:val="00F45C7E"/>
    <w:rsid w:val="00F51B57"/>
    <w:rsid w:val="00F524C7"/>
    <w:rsid w:val="00F55731"/>
    <w:rsid w:val="00F55EFB"/>
    <w:rsid w:val="00F6631C"/>
    <w:rsid w:val="00F768A3"/>
    <w:rsid w:val="00F85FD3"/>
    <w:rsid w:val="00F906E5"/>
    <w:rsid w:val="00F9086D"/>
    <w:rsid w:val="00F9292B"/>
    <w:rsid w:val="00FA3BC7"/>
    <w:rsid w:val="00FA70DC"/>
    <w:rsid w:val="00FB10F2"/>
    <w:rsid w:val="00FB47ED"/>
    <w:rsid w:val="00FB4DB6"/>
    <w:rsid w:val="00FB69A8"/>
    <w:rsid w:val="00FB7D2A"/>
    <w:rsid w:val="00FC2818"/>
    <w:rsid w:val="00FC3546"/>
    <w:rsid w:val="00FC6262"/>
    <w:rsid w:val="00FD11B5"/>
    <w:rsid w:val="00FD44F3"/>
    <w:rsid w:val="00FD5D6D"/>
    <w:rsid w:val="00FD79C1"/>
    <w:rsid w:val="00FE0D3A"/>
    <w:rsid w:val="00FE201C"/>
    <w:rsid w:val="00FE485A"/>
    <w:rsid w:val="00FE4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 w:type="paragraph" w:styleId="FootnoteText">
    <w:name w:val="footnote text"/>
    <w:basedOn w:val="Normal"/>
    <w:link w:val="FootnoteTextChar"/>
    <w:rsid w:val="009E511E"/>
    <w:rPr>
      <w:sz w:val="20"/>
      <w:szCs w:val="20"/>
    </w:rPr>
  </w:style>
  <w:style w:type="character" w:customStyle="1" w:styleId="FootnoteTextChar">
    <w:name w:val="Footnote Text Char"/>
    <w:basedOn w:val="DefaultParagraphFont"/>
    <w:link w:val="FootnoteText"/>
    <w:rsid w:val="009E511E"/>
  </w:style>
  <w:style w:type="character" w:styleId="FootnoteReference">
    <w:name w:val="footnote reference"/>
    <w:basedOn w:val="DefaultParagraphFont"/>
    <w:rsid w:val="009E51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 w:type="paragraph" w:styleId="FootnoteText">
    <w:name w:val="footnote text"/>
    <w:basedOn w:val="Normal"/>
    <w:link w:val="FootnoteTextChar"/>
    <w:rsid w:val="009E511E"/>
    <w:rPr>
      <w:sz w:val="20"/>
      <w:szCs w:val="20"/>
    </w:rPr>
  </w:style>
  <w:style w:type="character" w:customStyle="1" w:styleId="FootnoteTextChar">
    <w:name w:val="Footnote Text Char"/>
    <w:basedOn w:val="DefaultParagraphFont"/>
    <w:link w:val="FootnoteText"/>
    <w:rsid w:val="009E511E"/>
  </w:style>
  <w:style w:type="character" w:styleId="FootnoteReference">
    <w:name w:val="footnote reference"/>
    <w:basedOn w:val="DefaultParagraphFont"/>
    <w:rsid w:val="009E51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149636256">
      <w:bodyDiv w:val="1"/>
      <w:marLeft w:val="0"/>
      <w:marRight w:val="0"/>
      <w:marTop w:val="0"/>
      <w:marBottom w:val="0"/>
      <w:divBdr>
        <w:top w:val="none" w:sz="0" w:space="0" w:color="auto"/>
        <w:left w:val="none" w:sz="0" w:space="0" w:color="auto"/>
        <w:bottom w:val="none" w:sz="0" w:space="0" w:color="auto"/>
        <w:right w:val="none" w:sz="0" w:space="0" w:color="auto"/>
      </w:divBdr>
    </w:div>
    <w:div w:id="327055974">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133013112">
      <w:bodyDiv w:val="1"/>
      <w:marLeft w:val="0"/>
      <w:marRight w:val="0"/>
      <w:marTop w:val="0"/>
      <w:marBottom w:val="0"/>
      <w:divBdr>
        <w:top w:val="none" w:sz="0" w:space="0" w:color="auto"/>
        <w:left w:val="none" w:sz="0" w:space="0" w:color="auto"/>
        <w:bottom w:val="none" w:sz="0" w:space="0" w:color="auto"/>
        <w:right w:val="none" w:sz="0" w:space="0" w:color="auto"/>
      </w:divBdr>
      <w:divsChild>
        <w:div w:id="1009722624">
          <w:marLeft w:val="547"/>
          <w:marRight w:val="0"/>
          <w:marTop w:val="115"/>
          <w:marBottom w:val="0"/>
          <w:divBdr>
            <w:top w:val="none" w:sz="0" w:space="0" w:color="auto"/>
            <w:left w:val="none" w:sz="0" w:space="0" w:color="auto"/>
            <w:bottom w:val="none" w:sz="0" w:space="0" w:color="auto"/>
            <w:right w:val="none" w:sz="0" w:space="0" w:color="auto"/>
          </w:divBdr>
        </w:div>
        <w:div w:id="1009061785">
          <w:marLeft w:val="547"/>
          <w:marRight w:val="0"/>
          <w:marTop w:val="115"/>
          <w:marBottom w:val="0"/>
          <w:divBdr>
            <w:top w:val="none" w:sz="0" w:space="0" w:color="auto"/>
            <w:left w:val="none" w:sz="0" w:space="0" w:color="auto"/>
            <w:bottom w:val="none" w:sz="0" w:space="0" w:color="auto"/>
            <w:right w:val="none" w:sz="0" w:space="0" w:color="auto"/>
          </w:divBdr>
        </w:div>
        <w:div w:id="1208302013">
          <w:marLeft w:val="547"/>
          <w:marRight w:val="0"/>
          <w:marTop w:val="115"/>
          <w:marBottom w:val="0"/>
          <w:divBdr>
            <w:top w:val="none" w:sz="0" w:space="0" w:color="auto"/>
            <w:left w:val="none" w:sz="0" w:space="0" w:color="auto"/>
            <w:bottom w:val="none" w:sz="0" w:space="0" w:color="auto"/>
            <w:right w:val="none" w:sz="0" w:space="0" w:color="auto"/>
          </w:divBdr>
        </w:div>
        <w:div w:id="565728827">
          <w:marLeft w:val="547"/>
          <w:marRight w:val="0"/>
          <w:marTop w:val="115"/>
          <w:marBottom w:val="0"/>
          <w:divBdr>
            <w:top w:val="none" w:sz="0" w:space="0" w:color="auto"/>
            <w:left w:val="none" w:sz="0" w:space="0" w:color="auto"/>
            <w:bottom w:val="none" w:sz="0" w:space="0" w:color="auto"/>
            <w:right w:val="none" w:sz="0" w:space="0" w:color="auto"/>
          </w:divBdr>
        </w:div>
        <w:div w:id="1659846860">
          <w:marLeft w:val="547"/>
          <w:marRight w:val="0"/>
          <w:marTop w:val="115"/>
          <w:marBottom w:val="0"/>
          <w:divBdr>
            <w:top w:val="none" w:sz="0" w:space="0" w:color="auto"/>
            <w:left w:val="none" w:sz="0" w:space="0" w:color="auto"/>
            <w:bottom w:val="none" w:sz="0" w:space="0" w:color="auto"/>
            <w:right w:val="none" w:sz="0" w:space="0" w:color="auto"/>
          </w:divBdr>
        </w:div>
        <w:div w:id="1638025657">
          <w:marLeft w:val="547"/>
          <w:marRight w:val="0"/>
          <w:marTop w:val="115"/>
          <w:marBottom w:val="0"/>
          <w:divBdr>
            <w:top w:val="none" w:sz="0" w:space="0" w:color="auto"/>
            <w:left w:val="none" w:sz="0" w:space="0" w:color="auto"/>
            <w:bottom w:val="none" w:sz="0" w:space="0" w:color="auto"/>
            <w:right w:val="none" w:sz="0" w:space="0" w:color="auto"/>
          </w:divBdr>
        </w:div>
        <w:div w:id="1695421027">
          <w:marLeft w:val="547"/>
          <w:marRight w:val="0"/>
          <w:marTop w:val="115"/>
          <w:marBottom w:val="0"/>
          <w:divBdr>
            <w:top w:val="none" w:sz="0" w:space="0" w:color="auto"/>
            <w:left w:val="none" w:sz="0" w:space="0" w:color="auto"/>
            <w:bottom w:val="none" w:sz="0" w:space="0" w:color="auto"/>
            <w:right w:val="none" w:sz="0" w:space="0" w:color="auto"/>
          </w:divBdr>
        </w:div>
        <w:div w:id="605771667">
          <w:marLeft w:val="547"/>
          <w:marRight w:val="0"/>
          <w:marTop w:val="115"/>
          <w:marBottom w:val="0"/>
          <w:divBdr>
            <w:top w:val="none" w:sz="0" w:space="0" w:color="auto"/>
            <w:left w:val="none" w:sz="0" w:space="0" w:color="auto"/>
            <w:bottom w:val="none" w:sz="0" w:space="0" w:color="auto"/>
            <w:right w:val="none" w:sz="0" w:space="0" w:color="auto"/>
          </w:divBdr>
        </w:div>
      </w:divsChild>
    </w:div>
    <w:div w:id="1183469363">
      <w:bodyDiv w:val="1"/>
      <w:marLeft w:val="0"/>
      <w:marRight w:val="0"/>
      <w:marTop w:val="0"/>
      <w:marBottom w:val="0"/>
      <w:divBdr>
        <w:top w:val="none" w:sz="0" w:space="0" w:color="auto"/>
        <w:left w:val="none" w:sz="0" w:space="0" w:color="auto"/>
        <w:bottom w:val="none" w:sz="0" w:space="0" w:color="auto"/>
        <w:right w:val="none" w:sz="0" w:space="0" w:color="auto"/>
      </w:divBdr>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604410982">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65302097">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h.gov.uk/en/Publicationsandstatistics/Publications/PublicationsPolicyAndGuidance/DH_113613"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C066-ED13-4B2E-A1D1-91C5941C0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702</Words>
  <Characters>4116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4809</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Helen Askham</cp:lastModifiedBy>
  <cp:revision>2</cp:revision>
  <cp:lastPrinted>2011-06-01T15:50:00Z</cp:lastPrinted>
  <dcterms:created xsi:type="dcterms:W3CDTF">2015-07-02T08:18:00Z</dcterms:created>
  <dcterms:modified xsi:type="dcterms:W3CDTF">2015-07-02T08:18:00Z</dcterms:modified>
</cp:coreProperties>
</file>