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5334D4"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464A4607" wp14:editId="2A6D4BD8">
                <wp:simplePos x="0" y="0"/>
                <wp:positionH relativeFrom="column">
                  <wp:posOffset>-180975</wp:posOffset>
                </wp:positionH>
                <wp:positionV relativeFrom="paragraph">
                  <wp:posOffset>222885</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5FD" w:rsidRPr="00DD7564" w:rsidRDefault="009645FD" w:rsidP="00DD689C">
                            <w:pPr>
                              <w:rPr>
                                <w:rFonts w:ascii="Arial" w:hAnsi="Arial" w:cs="Arial"/>
                                <w:sz w:val="32"/>
                                <w:szCs w:val="32"/>
                              </w:rPr>
                            </w:pPr>
                            <w:r>
                              <w:rPr>
                                <w:rFonts w:ascii="Arial" w:hAnsi="Arial" w:cs="Arial"/>
                                <w:sz w:val="32"/>
                                <w:szCs w:val="32"/>
                              </w:rPr>
                              <w:t xml:space="preserve">Attachment </w:t>
                            </w:r>
                            <w:r w:rsidR="009D764E">
                              <w:rPr>
                                <w:rFonts w:ascii="Arial" w:hAnsi="Arial" w:cs="Arial"/>
                                <w:sz w:val="32"/>
                                <w:szCs w:val="32"/>
                              </w:rPr>
                              <w:t>07</w:t>
                            </w:r>
                          </w:p>
                          <w:p w:rsidR="009645FD" w:rsidRDefault="009645FD"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17.5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" stroked="f">
                <v:textbox>
                  <w:txbxContent>
                    <w:p w:rsidR="009645FD" w:rsidRPr="00DD7564" w:rsidRDefault="009645FD" w:rsidP="00DD689C">
                      <w:pPr>
                        <w:rPr>
                          <w:rFonts w:ascii="Arial" w:hAnsi="Arial" w:cs="Arial"/>
                          <w:sz w:val="32"/>
                          <w:szCs w:val="32"/>
                        </w:rPr>
                      </w:pPr>
                      <w:r>
                        <w:rPr>
                          <w:rFonts w:ascii="Arial" w:hAnsi="Arial" w:cs="Arial"/>
                          <w:sz w:val="32"/>
                          <w:szCs w:val="32"/>
                        </w:rPr>
                        <w:t xml:space="preserve">Attachment </w:t>
                      </w:r>
                      <w:r w:rsidR="009D764E">
                        <w:rPr>
                          <w:rFonts w:ascii="Arial" w:hAnsi="Arial" w:cs="Arial"/>
                          <w:sz w:val="32"/>
                          <w:szCs w:val="32"/>
                        </w:rPr>
                        <w:t>07</w:t>
                      </w:r>
                    </w:p>
                    <w:p w:rsidR="009645FD" w:rsidRDefault="009645FD" w:rsidP="00DD689C">
                      <w:pPr>
                        <w:rPr>
                          <w:sz w:val="36"/>
                        </w:rPr>
                      </w:pPr>
                    </w:p>
                  </w:txbxContent>
                </v:textbox>
              </v:shape>
            </w:pict>
          </mc:Fallback>
        </mc:AlternateContent>
      </w:r>
      <w:r w:rsidR="001D78A2">
        <w:rPr>
          <w:noProof/>
        </w:rPr>
        <w:drawing>
          <wp:inline distT="0" distB="0" distL="0" distR="0" wp14:anchorId="353C1F5F" wp14:editId="5E8C4545">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DD689C" w:rsidRPr="005334D4" w:rsidRDefault="00DD689C" w:rsidP="005334D4">
      <w:pPr>
        <w:pStyle w:val="Header"/>
        <w:jc w:val="right"/>
        <w:rPr>
          <w:b/>
          <w:color w:val="365F91"/>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3433D4" w:rsidTr="00DD7564">
        <w:tc>
          <w:tcPr>
            <w:tcW w:w="2028" w:type="dxa"/>
            <w:shd w:val="clear" w:color="auto" w:fill="auto"/>
          </w:tcPr>
          <w:p w:rsidR="00DD689C" w:rsidRPr="003433D4" w:rsidRDefault="00DD689C" w:rsidP="009306C6">
            <w:pPr>
              <w:rPr>
                <w:rFonts w:asciiTheme="minorHAnsi" w:hAnsiTheme="minorHAnsi" w:cstheme="minorHAnsi"/>
                <w:b/>
                <w:bCs/>
                <w:sz w:val="22"/>
                <w:szCs w:val="22"/>
              </w:rPr>
            </w:pPr>
          </w:p>
        </w:tc>
        <w:tc>
          <w:tcPr>
            <w:tcW w:w="7861" w:type="dxa"/>
            <w:shd w:val="clear" w:color="auto" w:fill="auto"/>
          </w:tcPr>
          <w:p w:rsidR="00DD689C" w:rsidRPr="003433D4" w:rsidRDefault="00DD689C" w:rsidP="009306C6">
            <w:pPr>
              <w:rPr>
                <w:rFonts w:asciiTheme="minorHAnsi" w:hAnsiTheme="minorHAnsi" w:cstheme="minorHAnsi"/>
                <w:b/>
                <w:bCs/>
                <w:sz w:val="22"/>
                <w:szCs w:val="22"/>
              </w:rPr>
            </w:pPr>
          </w:p>
        </w:tc>
      </w:tr>
      <w:tr w:rsidR="00DD689C" w:rsidRPr="003433D4" w:rsidTr="00DD7564">
        <w:tc>
          <w:tcPr>
            <w:tcW w:w="2028" w:type="dxa"/>
            <w:shd w:val="clear" w:color="auto" w:fill="auto"/>
          </w:tcPr>
          <w:p w:rsidR="00DD689C" w:rsidRPr="003433D4" w:rsidRDefault="00DD689C" w:rsidP="009306C6">
            <w:pPr>
              <w:rPr>
                <w:rFonts w:asciiTheme="minorHAnsi" w:hAnsiTheme="minorHAnsi" w:cstheme="minorHAnsi"/>
                <w:b/>
                <w:bCs/>
                <w:sz w:val="22"/>
                <w:szCs w:val="22"/>
              </w:rPr>
            </w:pPr>
            <w:r w:rsidRPr="003433D4">
              <w:rPr>
                <w:rFonts w:asciiTheme="minorHAnsi" w:hAnsiTheme="minorHAnsi" w:cstheme="minorHAnsi"/>
                <w:b/>
                <w:bCs/>
                <w:sz w:val="22"/>
                <w:szCs w:val="22"/>
              </w:rPr>
              <w:t>Report to:</w:t>
            </w:r>
          </w:p>
          <w:p w:rsidR="00DD689C" w:rsidRPr="003433D4" w:rsidRDefault="00DD689C" w:rsidP="009306C6">
            <w:pPr>
              <w:rPr>
                <w:rFonts w:asciiTheme="minorHAnsi" w:hAnsiTheme="minorHAnsi" w:cstheme="minorHAnsi"/>
                <w:b/>
                <w:bCs/>
                <w:sz w:val="22"/>
                <w:szCs w:val="22"/>
              </w:rPr>
            </w:pPr>
          </w:p>
        </w:tc>
        <w:tc>
          <w:tcPr>
            <w:tcW w:w="7861" w:type="dxa"/>
            <w:shd w:val="clear" w:color="auto" w:fill="auto"/>
          </w:tcPr>
          <w:p w:rsidR="00DD689C" w:rsidRPr="003433D4" w:rsidRDefault="007E6A63" w:rsidP="00A531CD">
            <w:pPr>
              <w:rPr>
                <w:rFonts w:asciiTheme="minorHAnsi" w:hAnsiTheme="minorHAnsi" w:cstheme="minorHAnsi"/>
                <w:bCs/>
                <w:sz w:val="22"/>
                <w:szCs w:val="22"/>
              </w:rPr>
            </w:pPr>
            <w:r w:rsidRPr="003433D4">
              <w:rPr>
                <w:rFonts w:asciiTheme="minorHAnsi" w:hAnsiTheme="minorHAnsi" w:cstheme="minorHAnsi"/>
                <w:bCs/>
                <w:sz w:val="22"/>
                <w:szCs w:val="22"/>
              </w:rPr>
              <w:t xml:space="preserve">NEL </w:t>
            </w:r>
            <w:r w:rsidR="007927F8" w:rsidRPr="003433D4">
              <w:rPr>
                <w:rFonts w:asciiTheme="minorHAnsi" w:hAnsiTheme="minorHAnsi" w:cstheme="minorHAnsi"/>
                <w:bCs/>
                <w:sz w:val="22"/>
                <w:szCs w:val="22"/>
              </w:rPr>
              <w:t xml:space="preserve">CCG </w:t>
            </w:r>
            <w:r w:rsidR="00A531CD" w:rsidRPr="003433D4">
              <w:rPr>
                <w:rFonts w:asciiTheme="minorHAnsi" w:hAnsiTheme="minorHAnsi" w:cstheme="minorHAnsi"/>
                <w:bCs/>
                <w:sz w:val="22"/>
                <w:szCs w:val="22"/>
              </w:rPr>
              <w:t>Partnership Board</w:t>
            </w:r>
          </w:p>
        </w:tc>
      </w:tr>
      <w:tr w:rsidR="00DD689C" w:rsidRPr="003433D4" w:rsidTr="00DD7564">
        <w:tc>
          <w:tcPr>
            <w:tcW w:w="2028" w:type="dxa"/>
            <w:shd w:val="clear" w:color="auto" w:fill="auto"/>
          </w:tcPr>
          <w:p w:rsidR="00DD689C" w:rsidRPr="003433D4" w:rsidRDefault="00DD689C" w:rsidP="009306C6">
            <w:pPr>
              <w:rPr>
                <w:rFonts w:asciiTheme="minorHAnsi" w:hAnsiTheme="minorHAnsi" w:cstheme="minorHAnsi"/>
                <w:b/>
                <w:bCs/>
                <w:sz w:val="22"/>
                <w:szCs w:val="22"/>
              </w:rPr>
            </w:pPr>
            <w:r w:rsidRPr="003433D4">
              <w:rPr>
                <w:rFonts w:asciiTheme="minorHAnsi" w:hAnsiTheme="minorHAnsi" w:cstheme="minorHAnsi"/>
                <w:b/>
                <w:bCs/>
                <w:sz w:val="22"/>
                <w:szCs w:val="22"/>
              </w:rPr>
              <w:t>Presented by:</w:t>
            </w:r>
          </w:p>
          <w:p w:rsidR="00DD689C" w:rsidRPr="003433D4" w:rsidRDefault="00DD689C" w:rsidP="009306C6">
            <w:pPr>
              <w:rPr>
                <w:rFonts w:asciiTheme="minorHAnsi" w:hAnsiTheme="minorHAnsi" w:cstheme="minorHAnsi"/>
                <w:b/>
                <w:bCs/>
                <w:sz w:val="22"/>
                <w:szCs w:val="22"/>
              </w:rPr>
            </w:pPr>
          </w:p>
        </w:tc>
        <w:tc>
          <w:tcPr>
            <w:tcW w:w="7861" w:type="dxa"/>
            <w:shd w:val="clear" w:color="auto" w:fill="auto"/>
          </w:tcPr>
          <w:p w:rsidR="00DD689C" w:rsidRPr="003433D4" w:rsidRDefault="00D41640" w:rsidP="009306C6">
            <w:pPr>
              <w:rPr>
                <w:rFonts w:asciiTheme="minorHAnsi" w:hAnsiTheme="minorHAnsi" w:cstheme="minorHAnsi"/>
                <w:bCs/>
                <w:sz w:val="22"/>
                <w:szCs w:val="22"/>
              </w:rPr>
            </w:pPr>
            <w:r>
              <w:rPr>
                <w:rFonts w:asciiTheme="minorHAnsi" w:hAnsiTheme="minorHAnsi" w:cstheme="minorHAnsi"/>
                <w:bCs/>
                <w:sz w:val="22"/>
                <w:szCs w:val="22"/>
              </w:rPr>
              <w:t>Dr Derek Hopper</w:t>
            </w:r>
            <w:r w:rsidR="00994630" w:rsidRPr="003433D4">
              <w:rPr>
                <w:rFonts w:asciiTheme="minorHAnsi" w:hAnsiTheme="minorHAnsi" w:cstheme="minorHAnsi"/>
                <w:bCs/>
                <w:sz w:val="22"/>
                <w:szCs w:val="22"/>
              </w:rPr>
              <w:t xml:space="preserve"> </w:t>
            </w:r>
          </w:p>
        </w:tc>
      </w:tr>
      <w:tr w:rsidR="00DD689C" w:rsidRPr="003433D4" w:rsidTr="00DD7564">
        <w:tc>
          <w:tcPr>
            <w:tcW w:w="2028" w:type="dxa"/>
            <w:shd w:val="clear" w:color="auto" w:fill="auto"/>
          </w:tcPr>
          <w:p w:rsidR="00DD689C" w:rsidRPr="003433D4" w:rsidRDefault="00DD689C" w:rsidP="009306C6">
            <w:pPr>
              <w:rPr>
                <w:rFonts w:asciiTheme="minorHAnsi" w:hAnsiTheme="minorHAnsi" w:cstheme="minorHAnsi"/>
                <w:b/>
                <w:bCs/>
                <w:sz w:val="22"/>
                <w:szCs w:val="22"/>
              </w:rPr>
            </w:pPr>
            <w:r w:rsidRPr="003433D4">
              <w:rPr>
                <w:rFonts w:asciiTheme="minorHAnsi" w:hAnsiTheme="minorHAnsi" w:cstheme="minorHAnsi"/>
                <w:b/>
                <w:bCs/>
                <w:sz w:val="22"/>
                <w:szCs w:val="22"/>
              </w:rPr>
              <w:t>Date of Meeting:</w:t>
            </w:r>
          </w:p>
          <w:p w:rsidR="00DD689C" w:rsidRPr="003433D4" w:rsidRDefault="00DD689C" w:rsidP="009306C6">
            <w:pPr>
              <w:rPr>
                <w:rFonts w:asciiTheme="minorHAnsi" w:hAnsiTheme="minorHAnsi" w:cstheme="minorHAnsi"/>
                <w:b/>
                <w:bCs/>
                <w:sz w:val="22"/>
                <w:szCs w:val="22"/>
              </w:rPr>
            </w:pPr>
          </w:p>
        </w:tc>
        <w:tc>
          <w:tcPr>
            <w:tcW w:w="7861" w:type="dxa"/>
            <w:shd w:val="clear" w:color="auto" w:fill="auto"/>
          </w:tcPr>
          <w:p w:rsidR="00DD689C" w:rsidRPr="003433D4" w:rsidRDefault="00994630" w:rsidP="00BC5CEC">
            <w:pPr>
              <w:rPr>
                <w:rFonts w:asciiTheme="minorHAnsi" w:hAnsiTheme="minorHAnsi" w:cstheme="minorHAnsi"/>
                <w:bCs/>
                <w:sz w:val="22"/>
                <w:szCs w:val="22"/>
              </w:rPr>
            </w:pPr>
            <w:r w:rsidRPr="003433D4">
              <w:rPr>
                <w:rFonts w:asciiTheme="minorHAnsi" w:hAnsiTheme="minorHAnsi" w:cstheme="minorHAnsi"/>
                <w:bCs/>
                <w:sz w:val="22"/>
                <w:szCs w:val="22"/>
              </w:rPr>
              <w:t>July 201</w:t>
            </w:r>
            <w:r w:rsidR="00CF590C" w:rsidRPr="003433D4">
              <w:rPr>
                <w:rFonts w:asciiTheme="minorHAnsi" w:hAnsiTheme="minorHAnsi" w:cstheme="minorHAnsi"/>
                <w:bCs/>
                <w:sz w:val="22"/>
                <w:szCs w:val="22"/>
              </w:rPr>
              <w:t>5</w:t>
            </w:r>
          </w:p>
        </w:tc>
      </w:tr>
      <w:tr w:rsidR="00DD689C" w:rsidRPr="003433D4" w:rsidTr="00DD7564">
        <w:trPr>
          <w:trHeight w:val="438"/>
        </w:trPr>
        <w:tc>
          <w:tcPr>
            <w:tcW w:w="2028" w:type="dxa"/>
            <w:shd w:val="clear" w:color="auto" w:fill="auto"/>
          </w:tcPr>
          <w:p w:rsidR="00DD689C" w:rsidRPr="003433D4" w:rsidRDefault="00DD689C" w:rsidP="009306C6">
            <w:pPr>
              <w:rPr>
                <w:rFonts w:asciiTheme="minorHAnsi" w:hAnsiTheme="minorHAnsi" w:cstheme="minorHAnsi"/>
                <w:b/>
                <w:bCs/>
                <w:sz w:val="22"/>
                <w:szCs w:val="22"/>
              </w:rPr>
            </w:pPr>
            <w:r w:rsidRPr="003433D4">
              <w:rPr>
                <w:rFonts w:asciiTheme="minorHAnsi" w:hAnsiTheme="minorHAnsi" w:cstheme="minorHAnsi"/>
                <w:b/>
                <w:bCs/>
                <w:sz w:val="22"/>
                <w:szCs w:val="22"/>
              </w:rPr>
              <w:t>Subject:</w:t>
            </w:r>
          </w:p>
          <w:p w:rsidR="00DD689C" w:rsidRPr="003433D4" w:rsidRDefault="00DD689C" w:rsidP="009306C6">
            <w:pPr>
              <w:rPr>
                <w:rFonts w:asciiTheme="minorHAnsi" w:hAnsiTheme="minorHAnsi" w:cstheme="minorHAnsi"/>
                <w:b/>
                <w:bCs/>
                <w:sz w:val="22"/>
                <w:szCs w:val="22"/>
              </w:rPr>
            </w:pPr>
          </w:p>
        </w:tc>
        <w:tc>
          <w:tcPr>
            <w:tcW w:w="7861" w:type="dxa"/>
            <w:shd w:val="clear" w:color="auto" w:fill="auto"/>
          </w:tcPr>
          <w:p w:rsidR="00DD689C" w:rsidRPr="003433D4" w:rsidRDefault="00994630" w:rsidP="00CF590C">
            <w:pPr>
              <w:rPr>
                <w:rFonts w:asciiTheme="minorHAnsi" w:hAnsiTheme="minorHAnsi" w:cstheme="minorHAnsi"/>
                <w:bCs/>
                <w:sz w:val="22"/>
                <w:szCs w:val="22"/>
              </w:rPr>
            </w:pPr>
            <w:r w:rsidRPr="003433D4">
              <w:rPr>
                <w:rFonts w:asciiTheme="minorHAnsi" w:hAnsiTheme="minorHAnsi" w:cstheme="minorHAnsi"/>
                <w:bCs/>
                <w:sz w:val="22"/>
                <w:szCs w:val="22"/>
              </w:rPr>
              <w:t xml:space="preserve">Triangle objectives: review of </w:t>
            </w:r>
            <w:r w:rsidR="00CF590C" w:rsidRPr="003433D4">
              <w:rPr>
                <w:rFonts w:asciiTheme="minorHAnsi" w:hAnsiTheme="minorHAnsi" w:cstheme="minorHAnsi"/>
                <w:bCs/>
                <w:sz w:val="22"/>
                <w:szCs w:val="22"/>
              </w:rPr>
              <w:t>2014/15</w:t>
            </w:r>
            <w:r w:rsidRPr="003433D4">
              <w:rPr>
                <w:rFonts w:asciiTheme="minorHAnsi" w:hAnsiTheme="minorHAnsi" w:cstheme="minorHAnsi"/>
                <w:bCs/>
                <w:sz w:val="22"/>
                <w:szCs w:val="22"/>
              </w:rPr>
              <w:t xml:space="preserve"> and objectives for </w:t>
            </w:r>
            <w:r w:rsidR="00CF590C" w:rsidRPr="003433D4">
              <w:rPr>
                <w:rFonts w:asciiTheme="minorHAnsi" w:hAnsiTheme="minorHAnsi" w:cstheme="minorHAnsi"/>
                <w:bCs/>
                <w:sz w:val="22"/>
                <w:szCs w:val="22"/>
              </w:rPr>
              <w:t>2015/16</w:t>
            </w:r>
          </w:p>
        </w:tc>
      </w:tr>
      <w:tr w:rsidR="00DD689C" w:rsidRPr="003433D4" w:rsidTr="00DD7564">
        <w:tc>
          <w:tcPr>
            <w:tcW w:w="2028" w:type="dxa"/>
            <w:shd w:val="clear" w:color="auto" w:fill="auto"/>
          </w:tcPr>
          <w:p w:rsidR="00DD689C" w:rsidRPr="003433D4" w:rsidRDefault="00DD689C" w:rsidP="009306C6">
            <w:pPr>
              <w:rPr>
                <w:rFonts w:asciiTheme="minorHAnsi" w:hAnsiTheme="minorHAnsi" w:cstheme="minorHAnsi"/>
                <w:b/>
                <w:bCs/>
                <w:sz w:val="22"/>
                <w:szCs w:val="22"/>
              </w:rPr>
            </w:pPr>
            <w:r w:rsidRPr="003433D4">
              <w:rPr>
                <w:rFonts w:asciiTheme="minorHAnsi" w:hAnsiTheme="minorHAnsi" w:cstheme="minorHAnsi"/>
                <w:b/>
                <w:bCs/>
                <w:sz w:val="22"/>
                <w:szCs w:val="22"/>
              </w:rPr>
              <w:t>Status:</w:t>
            </w:r>
          </w:p>
          <w:p w:rsidR="00DD689C" w:rsidRPr="003433D4" w:rsidRDefault="00DD689C" w:rsidP="009306C6">
            <w:pPr>
              <w:rPr>
                <w:rFonts w:asciiTheme="minorHAnsi" w:hAnsiTheme="minorHAnsi" w:cstheme="minorHAnsi"/>
                <w:b/>
                <w:bCs/>
                <w:sz w:val="22"/>
                <w:szCs w:val="22"/>
              </w:rPr>
            </w:pPr>
          </w:p>
        </w:tc>
        <w:tc>
          <w:tcPr>
            <w:tcW w:w="7861" w:type="dxa"/>
            <w:shd w:val="clear" w:color="auto" w:fill="auto"/>
          </w:tcPr>
          <w:p w:rsidR="00DD689C" w:rsidRPr="003433D4" w:rsidRDefault="003030FD" w:rsidP="003030FD">
            <w:pPr>
              <w:spacing w:before="60"/>
              <w:rPr>
                <w:rFonts w:asciiTheme="minorHAnsi" w:hAnsiTheme="minorHAnsi" w:cstheme="minorHAnsi"/>
                <w:sz w:val="22"/>
                <w:szCs w:val="22"/>
              </w:rPr>
            </w:pPr>
            <w:bookmarkStart w:id="0" w:name="Check4"/>
            <w:r w:rsidRPr="003433D4">
              <w:rPr>
                <w:rFonts w:asciiTheme="minorHAnsi" w:hAnsiTheme="minorHAnsi" w:cstheme="minorHAnsi"/>
                <w:sz w:val="36"/>
                <w:szCs w:val="36"/>
              </w:rPr>
              <w:t>√</w:t>
            </w:r>
            <w:bookmarkEnd w:id="0"/>
            <w:r w:rsidR="00DD689C" w:rsidRPr="003433D4">
              <w:rPr>
                <w:rFonts w:asciiTheme="minorHAnsi" w:hAnsiTheme="minorHAnsi" w:cstheme="minorHAnsi"/>
                <w:sz w:val="36"/>
                <w:szCs w:val="36"/>
              </w:rPr>
              <w:t xml:space="preserve"> </w:t>
            </w:r>
            <w:r w:rsidR="00DD689C" w:rsidRPr="003433D4">
              <w:rPr>
                <w:rFonts w:asciiTheme="minorHAnsi" w:hAnsiTheme="minorHAnsi" w:cstheme="minorHAnsi"/>
                <w:sz w:val="22"/>
                <w:szCs w:val="22"/>
              </w:rPr>
              <w:t>OPEN</w:t>
            </w:r>
            <w:r w:rsidR="00DD689C" w:rsidRPr="003433D4">
              <w:rPr>
                <w:rFonts w:asciiTheme="minorHAnsi" w:hAnsiTheme="minorHAnsi" w:cstheme="minorHAnsi"/>
                <w:sz w:val="22"/>
                <w:szCs w:val="22"/>
              </w:rPr>
              <w:tab/>
              <w:t xml:space="preserve">           </w:t>
            </w:r>
            <w:r w:rsidR="00DD689C" w:rsidRPr="003433D4">
              <w:rPr>
                <w:rFonts w:asciiTheme="minorHAnsi" w:hAnsiTheme="minorHAnsi" w:cstheme="minorHAnsi"/>
                <w:sz w:val="22"/>
                <w:szCs w:val="22"/>
              </w:rPr>
              <w:fldChar w:fldCharType="begin">
                <w:ffData>
                  <w:name w:val="Check8"/>
                  <w:enabled/>
                  <w:calcOnExit w:val="0"/>
                  <w:checkBox>
                    <w:sizeAuto/>
                    <w:default w:val="0"/>
                  </w:checkBox>
                </w:ffData>
              </w:fldChar>
            </w:r>
            <w:bookmarkStart w:id="1" w:name="Check8"/>
            <w:r w:rsidR="00DD689C" w:rsidRPr="003433D4">
              <w:rPr>
                <w:rFonts w:asciiTheme="minorHAnsi" w:hAnsiTheme="minorHAnsi" w:cstheme="minorHAnsi"/>
                <w:sz w:val="22"/>
                <w:szCs w:val="22"/>
              </w:rPr>
              <w:instrText xml:space="preserve"> FORMCHECKBOX </w:instrText>
            </w:r>
            <w:r w:rsidR="00DD689C" w:rsidRPr="003433D4">
              <w:rPr>
                <w:rFonts w:asciiTheme="minorHAnsi" w:hAnsiTheme="minorHAnsi" w:cstheme="minorHAnsi"/>
                <w:sz w:val="22"/>
                <w:szCs w:val="22"/>
              </w:rPr>
            </w:r>
            <w:r w:rsidR="00DD689C" w:rsidRPr="003433D4">
              <w:rPr>
                <w:rFonts w:asciiTheme="minorHAnsi" w:hAnsiTheme="minorHAnsi" w:cstheme="minorHAnsi"/>
                <w:sz w:val="22"/>
                <w:szCs w:val="22"/>
              </w:rPr>
              <w:fldChar w:fldCharType="end"/>
            </w:r>
            <w:bookmarkEnd w:id="1"/>
            <w:r w:rsidR="00DD689C" w:rsidRPr="003433D4">
              <w:rPr>
                <w:rFonts w:asciiTheme="minorHAnsi" w:hAnsiTheme="minorHAnsi" w:cstheme="minorHAnsi"/>
                <w:sz w:val="22"/>
                <w:szCs w:val="22"/>
              </w:rPr>
              <w:t xml:space="preserve"> CLOSED</w:t>
            </w:r>
          </w:p>
        </w:tc>
      </w:tr>
      <w:tr w:rsidR="00DD689C" w:rsidRPr="003433D4" w:rsidTr="00DD7564">
        <w:tc>
          <w:tcPr>
            <w:tcW w:w="2028" w:type="dxa"/>
            <w:shd w:val="clear" w:color="auto" w:fill="auto"/>
          </w:tcPr>
          <w:p w:rsidR="00DD689C" w:rsidRPr="003433D4" w:rsidRDefault="00DD689C" w:rsidP="009306C6">
            <w:pPr>
              <w:rPr>
                <w:rFonts w:asciiTheme="minorHAnsi" w:hAnsiTheme="minorHAnsi" w:cstheme="minorHAnsi"/>
                <w:b/>
                <w:bCs/>
                <w:sz w:val="22"/>
                <w:szCs w:val="22"/>
              </w:rPr>
            </w:pPr>
            <w:r w:rsidRPr="003433D4">
              <w:rPr>
                <w:rFonts w:asciiTheme="minorHAnsi" w:hAnsiTheme="minorHAnsi" w:cstheme="minorHAnsi"/>
                <w:b/>
                <w:bCs/>
                <w:sz w:val="22"/>
                <w:szCs w:val="22"/>
              </w:rPr>
              <w:t>Agenda Section:</w:t>
            </w:r>
          </w:p>
        </w:tc>
        <w:tc>
          <w:tcPr>
            <w:tcW w:w="7861" w:type="dxa"/>
            <w:shd w:val="clear" w:color="auto" w:fill="auto"/>
          </w:tcPr>
          <w:p w:rsidR="00DD689C" w:rsidRPr="003433D4" w:rsidRDefault="00DD689C" w:rsidP="00DD7564">
            <w:pPr>
              <w:spacing w:before="60"/>
              <w:rPr>
                <w:rFonts w:asciiTheme="minorHAnsi" w:hAnsiTheme="minorHAnsi" w:cstheme="minorHAnsi"/>
                <w:sz w:val="22"/>
                <w:szCs w:val="22"/>
              </w:rPr>
            </w:pPr>
            <w:r w:rsidRPr="003433D4">
              <w:rPr>
                <w:rFonts w:asciiTheme="minorHAnsi" w:hAnsiTheme="minorHAnsi" w:cstheme="minorHAnsi"/>
                <w:sz w:val="22"/>
                <w:szCs w:val="22"/>
              </w:rPr>
              <w:fldChar w:fldCharType="begin">
                <w:ffData>
                  <w:name w:val="Check4"/>
                  <w:enabled/>
                  <w:calcOnExit w:val="0"/>
                  <w:checkBox>
                    <w:sizeAuto/>
                    <w:default w:val="0"/>
                  </w:checkBox>
                </w:ffData>
              </w:fldChar>
            </w:r>
            <w:r w:rsidRPr="003433D4">
              <w:rPr>
                <w:rFonts w:asciiTheme="minorHAnsi" w:hAnsiTheme="minorHAnsi" w:cstheme="minorHAnsi"/>
                <w:sz w:val="22"/>
                <w:szCs w:val="22"/>
              </w:rPr>
              <w:instrText xml:space="preserve"> FORMCHECKBOX </w:instrText>
            </w:r>
            <w:r w:rsidRPr="003433D4">
              <w:rPr>
                <w:rFonts w:asciiTheme="minorHAnsi" w:hAnsiTheme="minorHAnsi" w:cstheme="minorHAnsi"/>
                <w:sz w:val="22"/>
                <w:szCs w:val="22"/>
              </w:rPr>
            </w:r>
            <w:r w:rsidRPr="003433D4">
              <w:rPr>
                <w:rFonts w:asciiTheme="minorHAnsi" w:hAnsiTheme="minorHAnsi" w:cstheme="minorHAnsi"/>
                <w:sz w:val="22"/>
                <w:szCs w:val="22"/>
              </w:rPr>
              <w:fldChar w:fldCharType="end"/>
            </w:r>
            <w:r w:rsidRPr="003433D4">
              <w:rPr>
                <w:rFonts w:asciiTheme="minorHAnsi" w:hAnsiTheme="minorHAnsi" w:cstheme="minorHAnsi"/>
                <w:sz w:val="22"/>
                <w:szCs w:val="22"/>
              </w:rPr>
              <w:t xml:space="preserve"> STRATEGY</w:t>
            </w:r>
            <w:r w:rsidR="00DD7564" w:rsidRPr="003433D4">
              <w:rPr>
                <w:rFonts w:asciiTheme="minorHAnsi" w:hAnsiTheme="minorHAnsi" w:cstheme="minorHAnsi"/>
                <w:sz w:val="22"/>
                <w:szCs w:val="22"/>
              </w:rPr>
              <w:tab/>
            </w:r>
            <w:r w:rsidRPr="003433D4">
              <w:rPr>
                <w:rFonts w:asciiTheme="minorHAnsi" w:hAnsiTheme="minorHAnsi" w:cstheme="minorHAnsi"/>
                <w:sz w:val="22"/>
                <w:szCs w:val="22"/>
              </w:rPr>
              <w:fldChar w:fldCharType="begin">
                <w:ffData>
                  <w:name w:val="Check4"/>
                  <w:enabled/>
                  <w:calcOnExit w:val="0"/>
                  <w:checkBox>
                    <w:sizeAuto/>
                    <w:default w:val="0"/>
                  </w:checkBox>
                </w:ffData>
              </w:fldChar>
            </w:r>
            <w:r w:rsidRPr="003433D4">
              <w:rPr>
                <w:rFonts w:asciiTheme="minorHAnsi" w:hAnsiTheme="minorHAnsi" w:cstheme="minorHAnsi"/>
                <w:sz w:val="22"/>
                <w:szCs w:val="22"/>
              </w:rPr>
              <w:instrText xml:space="preserve"> FORMCHECKBOX </w:instrText>
            </w:r>
            <w:r w:rsidRPr="003433D4">
              <w:rPr>
                <w:rFonts w:asciiTheme="minorHAnsi" w:hAnsiTheme="minorHAnsi" w:cstheme="minorHAnsi"/>
                <w:sz w:val="22"/>
                <w:szCs w:val="22"/>
              </w:rPr>
            </w:r>
            <w:r w:rsidRPr="003433D4">
              <w:rPr>
                <w:rFonts w:asciiTheme="minorHAnsi" w:hAnsiTheme="minorHAnsi" w:cstheme="minorHAnsi"/>
                <w:sz w:val="22"/>
                <w:szCs w:val="22"/>
              </w:rPr>
              <w:fldChar w:fldCharType="end"/>
            </w:r>
            <w:r w:rsidRPr="003433D4">
              <w:rPr>
                <w:rFonts w:asciiTheme="minorHAnsi" w:hAnsiTheme="minorHAnsi" w:cstheme="minorHAnsi"/>
                <w:sz w:val="22"/>
                <w:szCs w:val="22"/>
              </w:rPr>
              <w:t xml:space="preserve"> COMMISSIONING</w:t>
            </w:r>
            <w:r w:rsidR="00DD7564" w:rsidRPr="003433D4">
              <w:rPr>
                <w:rFonts w:asciiTheme="minorHAnsi" w:hAnsiTheme="minorHAnsi" w:cstheme="minorHAnsi"/>
                <w:sz w:val="22"/>
                <w:szCs w:val="22"/>
              </w:rPr>
              <w:t xml:space="preserve">    </w:t>
            </w:r>
            <w:r w:rsidR="00DD7564" w:rsidRPr="003433D4">
              <w:rPr>
                <w:rFonts w:asciiTheme="minorHAnsi" w:hAnsiTheme="minorHAnsi" w:cstheme="minorHAnsi"/>
                <w:sz w:val="22"/>
                <w:szCs w:val="22"/>
              </w:rPr>
              <w:fldChar w:fldCharType="begin">
                <w:ffData>
                  <w:name w:val=""/>
                  <w:enabled/>
                  <w:calcOnExit w:val="0"/>
                  <w:checkBox>
                    <w:sizeAuto/>
                    <w:default w:val="0"/>
                  </w:checkBox>
                </w:ffData>
              </w:fldChar>
            </w:r>
            <w:r w:rsidR="00DD7564" w:rsidRPr="003433D4">
              <w:rPr>
                <w:rFonts w:asciiTheme="minorHAnsi" w:hAnsiTheme="minorHAnsi" w:cstheme="minorHAnsi"/>
                <w:sz w:val="22"/>
                <w:szCs w:val="22"/>
              </w:rPr>
              <w:instrText xml:space="preserve"> FORMCHECKBOX </w:instrText>
            </w:r>
            <w:r w:rsidR="00DD7564" w:rsidRPr="003433D4">
              <w:rPr>
                <w:rFonts w:asciiTheme="minorHAnsi" w:hAnsiTheme="minorHAnsi" w:cstheme="minorHAnsi"/>
                <w:sz w:val="22"/>
                <w:szCs w:val="22"/>
              </w:rPr>
            </w:r>
            <w:r w:rsidR="00DD7564" w:rsidRPr="003433D4">
              <w:rPr>
                <w:rFonts w:asciiTheme="minorHAnsi" w:hAnsiTheme="minorHAnsi" w:cstheme="minorHAnsi"/>
                <w:sz w:val="22"/>
                <w:szCs w:val="22"/>
              </w:rPr>
              <w:fldChar w:fldCharType="end"/>
            </w:r>
            <w:r w:rsidRPr="003433D4">
              <w:rPr>
                <w:rFonts w:asciiTheme="minorHAnsi" w:hAnsiTheme="minorHAnsi" w:cstheme="minorHAnsi"/>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267489" w:rsidRPr="003433D4" w:rsidTr="00267489">
        <w:trPr>
          <w:trHeight w:val="887"/>
        </w:trPr>
        <w:tc>
          <w:tcPr>
            <w:tcW w:w="2868" w:type="dxa"/>
            <w:shd w:val="clear" w:color="auto" w:fill="auto"/>
          </w:tcPr>
          <w:p w:rsidR="00DD689C" w:rsidRPr="003433D4" w:rsidRDefault="00DD689C" w:rsidP="009306C6">
            <w:pPr>
              <w:rPr>
                <w:rFonts w:asciiTheme="minorHAnsi" w:hAnsiTheme="minorHAnsi" w:cstheme="minorHAnsi"/>
                <w:b/>
                <w:bCs/>
                <w:sz w:val="22"/>
                <w:szCs w:val="22"/>
              </w:rPr>
            </w:pPr>
          </w:p>
          <w:p w:rsidR="00267489" w:rsidRPr="003433D4" w:rsidRDefault="00DD689C" w:rsidP="00267489">
            <w:pPr>
              <w:rPr>
                <w:rFonts w:asciiTheme="minorHAnsi" w:hAnsiTheme="minorHAnsi" w:cstheme="minorHAnsi"/>
                <w:b/>
                <w:bCs/>
                <w:sz w:val="22"/>
                <w:szCs w:val="22"/>
              </w:rPr>
            </w:pPr>
            <w:r w:rsidRPr="003433D4">
              <w:rPr>
                <w:rFonts w:asciiTheme="minorHAnsi" w:hAnsiTheme="minorHAnsi" w:cstheme="minorHAnsi"/>
                <w:b/>
                <w:bCs/>
                <w:sz w:val="22"/>
                <w:szCs w:val="22"/>
              </w:rPr>
              <w:t>OBJECT OF REPOR</w:t>
            </w:r>
            <w:r w:rsidR="00F310C4" w:rsidRPr="003433D4">
              <w:rPr>
                <w:rFonts w:asciiTheme="minorHAnsi" w:hAnsiTheme="minorHAnsi" w:cstheme="minorHAnsi"/>
                <w:b/>
                <w:bCs/>
                <w:sz w:val="22"/>
                <w:szCs w:val="22"/>
              </w:rPr>
              <w:t>T</w:t>
            </w:r>
          </w:p>
        </w:tc>
        <w:tc>
          <w:tcPr>
            <w:tcW w:w="7021" w:type="dxa"/>
            <w:shd w:val="clear" w:color="auto" w:fill="auto"/>
          </w:tcPr>
          <w:p w:rsidR="00DD689C" w:rsidRPr="003433D4" w:rsidRDefault="00DD689C" w:rsidP="009306C6">
            <w:pPr>
              <w:rPr>
                <w:rFonts w:asciiTheme="minorHAnsi" w:hAnsiTheme="minorHAnsi" w:cstheme="minorHAnsi"/>
                <w:b/>
                <w:bCs/>
                <w:sz w:val="22"/>
                <w:szCs w:val="22"/>
              </w:rPr>
            </w:pPr>
          </w:p>
          <w:p w:rsidR="00DD689C" w:rsidRPr="003433D4" w:rsidRDefault="00DD689C" w:rsidP="009306C6">
            <w:pPr>
              <w:rPr>
                <w:rFonts w:asciiTheme="minorHAnsi" w:hAnsiTheme="minorHAnsi" w:cstheme="minorHAnsi"/>
                <w:sz w:val="22"/>
                <w:szCs w:val="22"/>
              </w:rPr>
            </w:pPr>
          </w:p>
        </w:tc>
      </w:tr>
      <w:tr w:rsidR="00DD689C" w:rsidRPr="003433D4" w:rsidTr="00DD7564">
        <w:trPr>
          <w:trHeight w:val="856"/>
        </w:trPr>
        <w:tc>
          <w:tcPr>
            <w:tcW w:w="9889" w:type="dxa"/>
            <w:gridSpan w:val="2"/>
            <w:shd w:val="clear" w:color="auto" w:fill="auto"/>
          </w:tcPr>
          <w:p w:rsidR="00DD7564" w:rsidRPr="003433D4" w:rsidRDefault="00267489" w:rsidP="00CF590C">
            <w:pPr>
              <w:rPr>
                <w:rFonts w:asciiTheme="minorHAnsi" w:hAnsiTheme="minorHAnsi" w:cstheme="minorHAnsi"/>
                <w:bCs/>
                <w:sz w:val="22"/>
                <w:szCs w:val="22"/>
              </w:rPr>
            </w:pPr>
            <w:r w:rsidRPr="003433D4">
              <w:rPr>
                <w:rFonts w:asciiTheme="minorHAnsi" w:hAnsiTheme="minorHAnsi" w:cstheme="minorHAnsi"/>
                <w:bCs/>
                <w:sz w:val="22"/>
                <w:szCs w:val="22"/>
              </w:rPr>
              <w:t xml:space="preserve">This report provides an </w:t>
            </w:r>
            <w:r w:rsidR="00C362DD" w:rsidRPr="003433D4">
              <w:rPr>
                <w:rFonts w:asciiTheme="minorHAnsi" w:hAnsiTheme="minorHAnsi" w:cstheme="minorHAnsi"/>
                <w:bCs/>
                <w:sz w:val="22"/>
                <w:szCs w:val="22"/>
              </w:rPr>
              <w:t>overview against</w:t>
            </w:r>
            <w:r w:rsidR="00F310C4" w:rsidRPr="003433D4">
              <w:rPr>
                <w:rFonts w:asciiTheme="minorHAnsi" w:hAnsiTheme="minorHAnsi" w:cstheme="minorHAnsi"/>
                <w:bCs/>
                <w:sz w:val="22"/>
                <w:szCs w:val="22"/>
              </w:rPr>
              <w:t xml:space="preserve"> the </w:t>
            </w:r>
            <w:r w:rsidR="00CF590C" w:rsidRPr="003433D4">
              <w:rPr>
                <w:rFonts w:asciiTheme="minorHAnsi" w:hAnsiTheme="minorHAnsi" w:cstheme="minorHAnsi"/>
                <w:bCs/>
                <w:sz w:val="22"/>
                <w:szCs w:val="22"/>
              </w:rPr>
              <w:t>2014/15</w:t>
            </w:r>
            <w:r w:rsidRPr="003433D4">
              <w:rPr>
                <w:rFonts w:asciiTheme="minorHAnsi" w:hAnsiTheme="minorHAnsi" w:cstheme="minorHAnsi"/>
                <w:bCs/>
                <w:sz w:val="22"/>
                <w:szCs w:val="22"/>
              </w:rPr>
              <w:t xml:space="preserve"> Triangle Objectives and notes the objectives </w:t>
            </w:r>
            <w:r w:rsidR="00F310C4" w:rsidRPr="003433D4">
              <w:rPr>
                <w:rFonts w:asciiTheme="minorHAnsi" w:hAnsiTheme="minorHAnsi" w:cstheme="minorHAnsi"/>
                <w:bCs/>
                <w:sz w:val="22"/>
                <w:szCs w:val="22"/>
              </w:rPr>
              <w:t xml:space="preserve">identified </w:t>
            </w:r>
            <w:r w:rsidRPr="003433D4">
              <w:rPr>
                <w:rFonts w:asciiTheme="minorHAnsi" w:hAnsiTheme="minorHAnsi" w:cstheme="minorHAnsi"/>
                <w:bCs/>
                <w:sz w:val="22"/>
                <w:szCs w:val="22"/>
              </w:rPr>
              <w:t>for</w:t>
            </w:r>
            <w:r w:rsidR="00F310C4" w:rsidRPr="003433D4">
              <w:rPr>
                <w:rFonts w:asciiTheme="minorHAnsi" w:hAnsiTheme="minorHAnsi" w:cstheme="minorHAnsi"/>
                <w:bCs/>
                <w:sz w:val="22"/>
                <w:szCs w:val="22"/>
              </w:rPr>
              <w:t xml:space="preserve"> each triangle in</w:t>
            </w:r>
            <w:r w:rsidRPr="003433D4">
              <w:rPr>
                <w:rFonts w:asciiTheme="minorHAnsi" w:hAnsiTheme="minorHAnsi" w:cstheme="minorHAnsi"/>
                <w:bCs/>
                <w:sz w:val="22"/>
                <w:szCs w:val="22"/>
              </w:rPr>
              <w:t xml:space="preserve"> 201</w:t>
            </w:r>
            <w:r w:rsidR="00CF590C" w:rsidRPr="003433D4">
              <w:rPr>
                <w:rFonts w:asciiTheme="minorHAnsi" w:hAnsiTheme="minorHAnsi" w:cstheme="minorHAnsi"/>
                <w:bCs/>
                <w:sz w:val="22"/>
                <w:szCs w:val="22"/>
              </w:rPr>
              <w:t>5/16</w:t>
            </w:r>
            <w:bookmarkStart w:id="2" w:name="_GoBack"/>
            <w:bookmarkEnd w:id="2"/>
          </w:p>
        </w:tc>
      </w:tr>
    </w:tbl>
    <w:p w:rsidR="00BA66DF" w:rsidRDefault="00BA66DF"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BA66DF" w:rsidRPr="003433D4" w:rsidTr="00BA66DF">
        <w:tc>
          <w:tcPr>
            <w:tcW w:w="2868" w:type="dxa"/>
            <w:shd w:val="clear" w:color="auto" w:fill="auto"/>
          </w:tcPr>
          <w:p w:rsidR="00BA66DF" w:rsidRPr="003433D4" w:rsidRDefault="00BA66DF" w:rsidP="00BA66DF">
            <w:pPr>
              <w:rPr>
                <w:rFonts w:asciiTheme="minorHAnsi" w:hAnsiTheme="minorHAnsi" w:cstheme="minorHAnsi"/>
                <w:b/>
                <w:bCs/>
                <w:sz w:val="22"/>
                <w:szCs w:val="22"/>
              </w:rPr>
            </w:pPr>
          </w:p>
          <w:p w:rsidR="00BA66DF" w:rsidRPr="003433D4" w:rsidRDefault="00BA66DF" w:rsidP="00BA66DF">
            <w:pPr>
              <w:rPr>
                <w:rFonts w:asciiTheme="minorHAnsi" w:hAnsiTheme="minorHAnsi" w:cstheme="minorHAnsi"/>
                <w:b/>
                <w:bCs/>
                <w:sz w:val="22"/>
                <w:szCs w:val="22"/>
              </w:rPr>
            </w:pPr>
            <w:r w:rsidRPr="003433D4">
              <w:rPr>
                <w:rFonts w:asciiTheme="minorHAnsi" w:hAnsiTheme="minorHAnsi" w:cstheme="minorHAnsi"/>
                <w:b/>
                <w:bCs/>
                <w:sz w:val="22"/>
                <w:szCs w:val="22"/>
              </w:rPr>
              <w:t>STRATEGY</w:t>
            </w:r>
          </w:p>
        </w:tc>
        <w:tc>
          <w:tcPr>
            <w:tcW w:w="7021" w:type="dxa"/>
            <w:shd w:val="clear" w:color="auto" w:fill="auto"/>
          </w:tcPr>
          <w:p w:rsidR="00BA66DF" w:rsidRPr="003433D4" w:rsidRDefault="00BA66DF" w:rsidP="00BA66DF">
            <w:pPr>
              <w:rPr>
                <w:rFonts w:asciiTheme="minorHAnsi" w:hAnsiTheme="minorHAnsi" w:cstheme="minorHAnsi"/>
                <w:b/>
                <w:bCs/>
                <w:sz w:val="22"/>
                <w:szCs w:val="22"/>
              </w:rPr>
            </w:pPr>
          </w:p>
          <w:p w:rsidR="00BA66DF" w:rsidRPr="003433D4" w:rsidRDefault="00BA66DF" w:rsidP="00BA66DF">
            <w:pPr>
              <w:rPr>
                <w:rFonts w:asciiTheme="minorHAnsi" w:hAnsiTheme="minorHAnsi" w:cstheme="minorHAnsi"/>
                <w:b/>
                <w:bCs/>
                <w:sz w:val="22"/>
                <w:szCs w:val="22"/>
              </w:rPr>
            </w:pPr>
          </w:p>
        </w:tc>
      </w:tr>
      <w:tr w:rsidR="00BA66DF" w:rsidRPr="003433D4" w:rsidTr="00BA66DF">
        <w:trPr>
          <w:trHeight w:val="174"/>
        </w:trPr>
        <w:tc>
          <w:tcPr>
            <w:tcW w:w="9889" w:type="dxa"/>
            <w:gridSpan w:val="2"/>
            <w:shd w:val="clear" w:color="auto" w:fill="auto"/>
          </w:tcPr>
          <w:p w:rsidR="00BA66DF" w:rsidRPr="003433D4" w:rsidRDefault="00BA66DF" w:rsidP="00BA66DF">
            <w:pPr>
              <w:rPr>
                <w:rFonts w:asciiTheme="minorHAnsi" w:hAnsiTheme="minorHAnsi" w:cstheme="minorHAnsi"/>
                <w:b/>
                <w:bCs/>
                <w:sz w:val="22"/>
                <w:szCs w:val="22"/>
              </w:rPr>
            </w:pPr>
          </w:p>
          <w:p w:rsidR="00CF590C" w:rsidRPr="003433D4" w:rsidRDefault="00CF590C" w:rsidP="009D764E">
            <w:pPr>
              <w:jc w:val="both"/>
              <w:rPr>
                <w:rFonts w:asciiTheme="minorHAnsi" w:hAnsiTheme="minorHAnsi" w:cstheme="minorHAnsi"/>
                <w:bCs/>
                <w:sz w:val="22"/>
                <w:szCs w:val="22"/>
              </w:rPr>
            </w:pPr>
            <w:r w:rsidRPr="003433D4">
              <w:rPr>
                <w:rFonts w:asciiTheme="minorHAnsi" w:hAnsiTheme="minorHAnsi" w:cstheme="minorHAnsi"/>
                <w:bCs/>
                <w:sz w:val="22"/>
                <w:szCs w:val="22"/>
              </w:rPr>
              <w:t>I</w:t>
            </w:r>
            <w:r w:rsidR="00BA66DF" w:rsidRPr="003433D4">
              <w:rPr>
                <w:rFonts w:asciiTheme="minorHAnsi" w:hAnsiTheme="minorHAnsi" w:cstheme="minorHAnsi"/>
                <w:bCs/>
                <w:sz w:val="22"/>
                <w:szCs w:val="22"/>
              </w:rPr>
              <w:t>n North East Lincolnshire</w:t>
            </w:r>
            <w:r w:rsidRPr="003433D4">
              <w:rPr>
                <w:rFonts w:asciiTheme="minorHAnsi" w:hAnsiTheme="minorHAnsi" w:cstheme="minorHAnsi"/>
                <w:bCs/>
                <w:sz w:val="22"/>
                <w:szCs w:val="22"/>
              </w:rPr>
              <w:t xml:space="preserve"> Clinical decision making is driven via Service Triangles; Triangles are a unique concept that bring </w:t>
            </w:r>
            <w:r w:rsidR="00BA66DF" w:rsidRPr="003433D4">
              <w:rPr>
                <w:rFonts w:asciiTheme="minorHAnsi" w:hAnsiTheme="minorHAnsi" w:cstheme="minorHAnsi"/>
                <w:bCs/>
                <w:sz w:val="22"/>
                <w:szCs w:val="22"/>
              </w:rPr>
              <w:t xml:space="preserve">together </w:t>
            </w:r>
            <w:r w:rsidR="00F310C4" w:rsidRPr="003433D4">
              <w:rPr>
                <w:rFonts w:asciiTheme="minorHAnsi" w:hAnsiTheme="minorHAnsi" w:cstheme="minorHAnsi"/>
                <w:bCs/>
                <w:sz w:val="22"/>
                <w:szCs w:val="22"/>
              </w:rPr>
              <w:t>Clinical</w:t>
            </w:r>
            <w:r w:rsidR="00BA66DF" w:rsidRPr="003433D4">
              <w:rPr>
                <w:rFonts w:asciiTheme="minorHAnsi" w:hAnsiTheme="minorHAnsi" w:cstheme="minorHAnsi"/>
                <w:bCs/>
                <w:sz w:val="22"/>
                <w:szCs w:val="22"/>
              </w:rPr>
              <w:t xml:space="preserve"> Leads, Service Leads and Community Members </w:t>
            </w:r>
            <w:r w:rsidRPr="003433D4">
              <w:rPr>
                <w:rFonts w:asciiTheme="minorHAnsi" w:hAnsiTheme="minorHAnsi" w:cstheme="minorHAnsi"/>
                <w:bCs/>
                <w:sz w:val="22"/>
                <w:szCs w:val="22"/>
              </w:rPr>
              <w:t xml:space="preserve">to lead and influence </w:t>
            </w:r>
            <w:r w:rsidR="00BA66DF" w:rsidRPr="003433D4">
              <w:rPr>
                <w:rFonts w:asciiTheme="minorHAnsi" w:hAnsiTheme="minorHAnsi" w:cstheme="minorHAnsi"/>
                <w:bCs/>
                <w:sz w:val="22"/>
                <w:szCs w:val="22"/>
              </w:rPr>
              <w:t xml:space="preserve">service redesign &amp; improvement on behalf of the CCG. </w:t>
            </w:r>
          </w:p>
          <w:p w:rsidR="00CF590C" w:rsidRPr="003433D4" w:rsidRDefault="00CF590C" w:rsidP="009D764E">
            <w:pPr>
              <w:jc w:val="both"/>
              <w:rPr>
                <w:rFonts w:asciiTheme="minorHAnsi" w:hAnsiTheme="minorHAnsi" w:cstheme="minorHAnsi"/>
                <w:bCs/>
                <w:sz w:val="22"/>
                <w:szCs w:val="22"/>
              </w:rPr>
            </w:pPr>
          </w:p>
          <w:p w:rsidR="00BA66DF" w:rsidRPr="003433D4" w:rsidRDefault="00BA66DF" w:rsidP="009D764E">
            <w:pPr>
              <w:jc w:val="both"/>
              <w:rPr>
                <w:rFonts w:asciiTheme="minorHAnsi" w:hAnsiTheme="minorHAnsi" w:cstheme="minorHAnsi"/>
                <w:bCs/>
                <w:sz w:val="22"/>
                <w:szCs w:val="22"/>
              </w:rPr>
            </w:pPr>
            <w:r w:rsidRPr="003433D4">
              <w:rPr>
                <w:rFonts w:asciiTheme="minorHAnsi" w:hAnsiTheme="minorHAnsi" w:cstheme="minorHAnsi"/>
                <w:bCs/>
                <w:sz w:val="22"/>
                <w:szCs w:val="22"/>
              </w:rPr>
              <w:t>The paper attached</w:t>
            </w:r>
            <w:r w:rsidR="00F310C4" w:rsidRPr="003433D4">
              <w:rPr>
                <w:rFonts w:asciiTheme="minorHAnsi" w:hAnsiTheme="minorHAnsi" w:cstheme="minorHAnsi"/>
                <w:bCs/>
                <w:sz w:val="22"/>
                <w:szCs w:val="22"/>
              </w:rPr>
              <w:t xml:space="preserve"> contains a summary,</w:t>
            </w:r>
            <w:r w:rsidRPr="003433D4">
              <w:rPr>
                <w:rFonts w:asciiTheme="minorHAnsi" w:hAnsiTheme="minorHAnsi" w:cstheme="minorHAnsi"/>
                <w:bCs/>
                <w:sz w:val="22"/>
                <w:szCs w:val="22"/>
              </w:rPr>
              <w:t xml:space="preserve"> </w:t>
            </w:r>
            <w:r w:rsidR="00F310C4" w:rsidRPr="003433D4">
              <w:rPr>
                <w:rFonts w:asciiTheme="minorHAnsi" w:hAnsiTheme="minorHAnsi" w:cstheme="minorHAnsi"/>
                <w:bCs/>
                <w:sz w:val="22"/>
                <w:szCs w:val="22"/>
              </w:rPr>
              <w:t xml:space="preserve">by each of the service triangles, </w:t>
            </w:r>
            <w:r w:rsidRPr="003433D4">
              <w:rPr>
                <w:rFonts w:asciiTheme="minorHAnsi" w:hAnsiTheme="minorHAnsi" w:cstheme="minorHAnsi"/>
                <w:bCs/>
                <w:sz w:val="22"/>
                <w:szCs w:val="22"/>
              </w:rPr>
              <w:t xml:space="preserve">of </w:t>
            </w:r>
            <w:r w:rsidR="00CE71A3" w:rsidRPr="003433D4">
              <w:rPr>
                <w:rFonts w:asciiTheme="minorHAnsi" w:hAnsiTheme="minorHAnsi" w:cstheme="minorHAnsi"/>
                <w:bCs/>
                <w:sz w:val="22"/>
                <w:szCs w:val="22"/>
              </w:rPr>
              <w:t>their</w:t>
            </w:r>
            <w:r w:rsidRPr="003433D4">
              <w:rPr>
                <w:rFonts w:asciiTheme="minorHAnsi" w:hAnsiTheme="minorHAnsi" w:cstheme="minorHAnsi"/>
                <w:bCs/>
                <w:sz w:val="22"/>
                <w:szCs w:val="22"/>
              </w:rPr>
              <w:t xml:space="preserve"> </w:t>
            </w:r>
            <w:r w:rsidR="00CF590C" w:rsidRPr="003433D4">
              <w:rPr>
                <w:rFonts w:asciiTheme="minorHAnsi" w:hAnsiTheme="minorHAnsi" w:cstheme="minorHAnsi"/>
                <w:bCs/>
                <w:sz w:val="22"/>
                <w:szCs w:val="22"/>
              </w:rPr>
              <w:t>objectives for 14/15</w:t>
            </w:r>
            <w:r w:rsidR="00F310C4" w:rsidRPr="003433D4">
              <w:rPr>
                <w:rFonts w:asciiTheme="minorHAnsi" w:hAnsiTheme="minorHAnsi" w:cstheme="minorHAnsi"/>
                <w:bCs/>
                <w:sz w:val="22"/>
                <w:szCs w:val="22"/>
              </w:rPr>
              <w:t xml:space="preserve"> and an o</w:t>
            </w:r>
            <w:r w:rsidR="00CF590C" w:rsidRPr="003433D4">
              <w:rPr>
                <w:rFonts w:asciiTheme="minorHAnsi" w:hAnsiTheme="minorHAnsi" w:cstheme="minorHAnsi"/>
                <w:bCs/>
                <w:sz w:val="22"/>
                <w:szCs w:val="22"/>
              </w:rPr>
              <w:t>verview of objectives for 15/16</w:t>
            </w:r>
            <w:r w:rsidR="00F310C4" w:rsidRPr="003433D4">
              <w:rPr>
                <w:rFonts w:asciiTheme="minorHAnsi" w:hAnsiTheme="minorHAnsi" w:cstheme="minorHAnsi"/>
                <w:bCs/>
                <w:sz w:val="22"/>
                <w:szCs w:val="22"/>
              </w:rPr>
              <w:t xml:space="preserve">   </w:t>
            </w:r>
          </w:p>
          <w:p w:rsidR="00F310C4" w:rsidRPr="003433D4" w:rsidRDefault="00F310C4" w:rsidP="00F310C4">
            <w:pPr>
              <w:rPr>
                <w:rFonts w:asciiTheme="minorHAnsi" w:hAnsiTheme="minorHAnsi" w:cstheme="minorHAnsi"/>
                <w:b/>
                <w:bCs/>
                <w:sz w:val="22"/>
                <w:szCs w:val="22"/>
              </w:rPr>
            </w:pPr>
          </w:p>
        </w:tc>
      </w:tr>
    </w:tbl>
    <w:p w:rsidR="00BA66DF" w:rsidRPr="009D14DD" w:rsidRDefault="00BA66DF"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3433D4" w:rsidTr="00DD7564">
        <w:tc>
          <w:tcPr>
            <w:tcW w:w="2868" w:type="dxa"/>
            <w:shd w:val="clear" w:color="auto" w:fill="auto"/>
          </w:tcPr>
          <w:p w:rsidR="00DD689C" w:rsidRPr="003433D4" w:rsidRDefault="00DD689C" w:rsidP="009306C6">
            <w:pPr>
              <w:rPr>
                <w:rFonts w:asciiTheme="minorHAnsi" w:hAnsiTheme="minorHAnsi" w:cstheme="minorHAnsi"/>
                <w:b/>
                <w:bCs/>
                <w:sz w:val="22"/>
                <w:szCs w:val="22"/>
              </w:rPr>
            </w:pPr>
          </w:p>
          <w:p w:rsidR="00DD689C" w:rsidRPr="003433D4" w:rsidRDefault="00DD689C" w:rsidP="009306C6">
            <w:pPr>
              <w:rPr>
                <w:rFonts w:asciiTheme="minorHAnsi" w:hAnsiTheme="minorHAnsi" w:cstheme="minorHAnsi"/>
                <w:b/>
                <w:bCs/>
                <w:sz w:val="22"/>
                <w:szCs w:val="22"/>
              </w:rPr>
            </w:pPr>
            <w:r w:rsidRPr="003433D4">
              <w:rPr>
                <w:rFonts w:asciiTheme="minorHAnsi" w:hAnsiTheme="minorHAnsi" w:cstheme="minorHAnsi"/>
                <w:b/>
                <w:bCs/>
                <w:sz w:val="22"/>
                <w:szCs w:val="22"/>
              </w:rPr>
              <w:t>IMPLICATIONS</w:t>
            </w:r>
          </w:p>
        </w:tc>
        <w:tc>
          <w:tcPr>
            <w:tcW w:w="7021" w:type="dxa"/>
            <w:shd w:val="clear" w:color="auto" w:fill="auto"/>
          </w:tcPr>
          <w:p w:rsidR="00DD689C" w:rsidRPr="003433D4" w:rsidRDefault="00DD689C" w:rsidP="009306C6">
            <w:pPr>
              <w:rPr>
                <w:rFonts w:asciiTheme="minorHAnsi" w:hAnsiTheme="minorHAnsi" w:cstheme="minorHAnsi"/>
                <w:b/>
                <w:bCs/>
                <w:sz w:val="22"/>
                <w:szCs w:val="22"/>
              </w:rPr>
            </w:pPr>
          </w:p>
          <w:p w:rsidR="00DD689C" w:rsidRPr="003433D4" w:rsidRDefault="00DD689C" w:rsidP="009306C6">
            <w:pPr>
              <w:rPr>
                <w:rFonts w:asciiTheme="minorHAnsi" w:hAnsiTheme="minorHAnsi" w:cstheme="minorHAnsi"/>
                <w:b/>
                <w:bCs/>
                <w:sz w:val="22"/>
                <w:szCs w:val="22"/>
              </w:rPr>
            </w:pPr>
          </w:p>
        </w:tc>
      </w:tr>
      <w:tr w:rsidR="00DD689C" w:rsidRPr="003433D4" w:rsidTr="00DD7564">
        <w:trPr>
          <w:trHeight w:val="174"/>
        </w:trPr>
        <w:tc>
          <w:tcPr>
            <w:tcW w:w="9889" w:type="dxa"/>
            <w:gridSpan w:val="2"/>
            <w:shd w:val="clear" w:color="auto" w:fill="auto"/>
          </w:tcPr>
          <w:p w:rsidR="00F310C4" w:rsidRPr="003433D4" w:rsidRDefault="00F310C4" w:rsidP="00585083">
            <w:pPr>
              <w:jc w:val="both"/>
              <w:rPr>
                <w:rFonts w:asciiTheme="minorHAnsi" w:hAnsiTheme="minorHAnsi" w:cstheme="minorHAnsi"/>
                <w:bCs/>
                <w:sz w:val="22"/>
                <w:szCs w:val="22"/>
              </w:rPr>
            </w:pPr>
          </w:p>
          <w:p w:rsidR="00F310C4" w:rsidRPr="003433D4" w:rsidRDefault="00F310C4" w:rsidP="00F310C4">
            <w:pPr>
              <w:jc w:val="both"/>
              <w:rPr>
                <w:rFonts w:asciiTheme="minorHAnsi" w:hAnsiTheme="minorHAnsi" w:cstheme="minorHAnsi"/>
                <w:bCs/>
                <w:sz w:val="22"/>
                <w:szCs w:val="22"/>
              </w:rPr>
            </w:pPr>
            <w:r w:rsidRPr="003433D4">
              <w:rPr>
                <w:rFonts w:asciiTheme="minorHAnsi" w:hAnsiTheme="minorHAnsi" w:cstheme="minorHAnsi"/>
                <w:bCs/>
                <w:sz w:val="22"/>
                <w:szCs w:val="22"/>
              </w:rPr>
              <w:t xml:space="preserve">The work undertaken by each triangle feeds directly into the </w:t>
            </w:r>
            <w:r w:rsidR="00CE71A3" w:rsidRPr="003433D4">
              <w:rPr>
                <w:rFonts w:asciiTheme="minorHAnsi" w:hAnsiTheme="minorHAnsi" w:cstheme="minorHAnsi"/>
                <w:bCs/>
                <w:sz w:val="22"/>
                <w:szCs w:val="22"/>
              </w:rPr>
              <w:t xml:space="preserve">successful delivery of the </w:t>
            </w:r>
            <w:r w:rsidRPr="003433D4">
              <w:rPr>
                <w:rFonts w:asciiTheme="minorHAnsi" w:hAnsiTheme="minorHAnsi" w:cstheme="minorHAnsi"/>
                <w:bCs/>
                <w:sz w:val="22"/>
                <w:szCs w:val="22"/>
              </w:rPr>
              <w:t>corporate and strategic plan. .</w:t>
            </w:r>
          </w:p>
          <w:p w:rsidR="00DD7564" w:rsidRPr="003433D4" w:rsidRDefault="00DD7564" w:rsidP="00DC3218">
            <w:pPr>
              <w:jc w:val="both"/>
              <w:rPr>
                <w:rFonts w:asciiTheme="minorHAnsi" w:hAnsiTheme="minorHAnsi" w:cstheme="minorHAnsi"/>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3433D4" w:rsidTr="00DD7564">
        <w:trPr>
          <w:trHeight w:val="787"/>
        </w:trPr>
        <w:tc>
          <w:tcPr>
            <w:tcW w:w="9889" w:type="dxa"/>
            <w:gridSpan w:val="3"/>
            <w:shd w:val="clear" w:color="auto" w:fill="auto"/>
          </w:tcPr>
          <w:p w:rsidR="006A2E19" w:rsidRPr="003433D4" w:rsidRDefault="006A2E19" w:rsidP="009306C6">
            <w:pPr>
              <w:rPr>
                <w:rFonts w:asciiTheme="minorHAnsi" w:hAnsiTheme="minorHAnsi" w:cstheme="minorHAnsi"/>
                <w:b/>
                <w:bCs/>
                <w:sz w:val="22"/>
                <w:szCs w:val="22"/>
              </w:rPr>
            </w:pPr>
          </w:p>
          <w:p w:rsidR="00CE71A3" w:rsidRPr="00586C51" w:rsidRDefault="006A2E19" w:rsidP="009D764E">
            <w:pPr>
              <w:rPr>
                <w:rFonts w:asciiTheme="minorHAnsi" w:hAnsiTheme="minorHAnsi" w:cstheme="minorHAnsi"/>
                <w:b/>
                <w:bCs/>
                <w:sz w:val="22"/>
                <w:szCs w:val="22"/>
              </w:rPr>
            </w:pPr>
            <w:r w:rsidRPr="003433D4">
              <w:rPr>
                <w:rFonts w:asciiTheme="minorHAnsi" w:hAnsiTheme="minorHAnsi" w:cstheme="minorHAnsi"/>
                <w:b/>
                <w:bCs/>
                <w:sz w:val="22"/>
                <w:szCs w:val="22"/>
              </w:rPr>
              <w:t xml:space="preserve">RECOMMENDATIONS (R) AND ACTIONS (A) FOR AGREEMENT </w:t>
            </w:r>
            <w:r w:rsidR="00586C51">
              <w:rPr>
                <w:rFonts w:asciiTheme="minorHAnsi" w:hAnsiTheme="minorHAnsi" w:cstheme="minorHAnsi"/>
                <w:b/>
                <w:bCs/>
                <w:sz w:val="22"/>
                <w:szCs w:val="22"/>
              </w:rPr>
              <w:t xml:space="preserve">- </w:t>
            </w:r>
            <w:r w:rsidR="00CE71A3" w:rsidRPr="003433D4">
              <w:rPr>
                <w:rFonts w:asciiTheme="minorHAnsi" w:hAnsiTheme="minorHAnsi" w:cstheme="minorHAnsi"/>
                <w:bCs/>
                <w:sz w:val="22"/>
                <w:szCs w:val="22"/>
              </w:rPr>
              <w:t xml:space="preserve">Recommendation (R): </w:t>
            </w:r>
          </w:p>
          <w:p w:rsidR="009D764E" w:rsidRPr="003433D4" w:rsidRDefault="009D764E" w:rsidP="009D764E">
            <w:pPr>
              <w:rPr>
                <w:rFonts w:asciiTheme="minorHAnsi" w:hAnsiTheme="minorHAnsi" w:cstheme="minorHAnsi"/>
                <w:bCs/>
                <w:sz w:val="22"/>
                <w:szCs w:val="22"/>
              </w:rPr>
            </w:pPr>
          </w:p>
        </w:tc>
      </w:tr>
      <w:tr w:rsidR="00DD689C" w:rsidRPr="003433D4" w:rsidTr="00DD7564">
        <w:trPr>
          <w:trHeight w:val="370"/>
        </w:trPr>
        <w:tc>
          <w:tcPr>
            <w:tcW w:w="658" w:type="dxa"/>
            <w:shd w:val="clear" w:color="auto" w:fill="auto"/>
          </w:tcPr>
          <w:p w:rsidR="00DD689C" w:rsidRPr="003433D4" w:rsidRDefault="00DD689C" w:rsidP="009306C6">
            <w:pPr>
              <w:rPr>
                <w:rFonts w:asciiTheme="minorHAnsi" w:hAnsiTheme="minorHAnsi" w:cstheme="minorHAnsi"/>
                <w:bCs/>
                <w:sz w:val="22"/>
                <w:szCs w:val="22"/>
              </w:rPr>
            </w:pPr>
          </w:p>
        </w:tc>
        <w:tc>
          <w:tcPr>
            <w:tcW w:w="6820" w:type="dxa"/>
            <w:shd w:val="clear" w:color="auto" w:fill="auto"/>
          </w:tcPr>
          <w:p w:rsidR="00DD689C" w:rsidRPr="003433D4" w:rsidRDefault="009D764E" w:rsidP="009306C6">
            <w:pPr>
              <w:rPr>
                <w:rFonts w:asciiTheme="minorHAnsi" w:hAnsiTheme="minorHAnsi" w:cstheme="minorHAnsi"/>
                <w:bCs/>
                <w:sz w:val="22"/>
                <w:szCs w:val="22"/>
              </w:rPr>
            </w:pPr>
            <w:r w:rsidRPr="003433D4">
              <w:rPr>
                <w:rFonts w:asciiTheme="minorHAnsi" w:hAnsiTheme="minorHAnsi" w:cstheme="minorHAnsi"/>
                <w:bCs/>
                <w:sz w:val="22"/>
                <w:szCs w:val="22"/>
              </w:rPr>
              <w:t>The Partnership Board are asked to note the progress made in 20</w:t>
            </w:r>
            <w:r w:rsidR="00CF590C" w:rsidRPr="003433D4">
              <w:rPr>
                <w:rFonts w:asciiTheme="minorHAnsi" w:hAnsiTheme="minorHAnsi" w:cstheme="minorHAnsi"/>
                <w:bCs/>
                <w:sz w:val="22"/>
                <w:szCs w:val="22"/>
              </w:rPr>
              <w:t>14/15</w:t>
            </w:r>
            <w:r w:rsidRPr="003433D4">
              <w:rPr>
                <w:rFonts w:asciiTheme="minorHAnsi" w:hAnsiTheme="minorHAnsi" w:cstheme="minorHAnsi"/>
                <w:bCs/>
                <w:sz w:val="22"/>
                <w:szCs w:val="22"/>
              </w:rPr>
              <w:t xml:space="preserve"> and the objectives for 201</w:t>
            </w:r>
            <w:r w:rsidR="00CF590C" w:rsidRPr="003433D4">
              <w:rPr>
                <w:rFonts w:asciiTheme="minorHAnsi" w:hAnsiTheme="minorHAnsi" w:cstheme="minorHAnsi"/>
                <w:bCs/>
                <w:sz w:val="22"/>
                <w:szCs w:val="22"/>
              </w:rPr>
              <w:t>5/16</w:t>
            </w:r>
          </w:p>
        </w:tc>
        <w:tc>
          <w:tcPr>
            <w:tcW w:w="2411" w:type="dxa"/>
            <w:shd w:val="clear" w:color="auto" w:fill="auto"/>
          </w:tcPr>
          <w:p w:rsidR="00DD689C" w:rsidRPr="003433D4" w:rsidRDefault="00DD689C" w:rsidP="009306C6">
            <w:pPr>
              <w:rPr>
                <w:rFonts w:asciiTheme="minorHAnsi" w:hAnsiTheme="minorHAnsi" w:cstheme="minorHAnsi"/>
                <w:bCs/>
                <w:sz w:val="22"/>
                <w:szCs w:val="22"/>
              </w:rPr>
            </w:pPr>
            <w:r w:rsidRPr="003433D4">
              <w:rPr>
                <w:rFonts w:asciiTheme="minorHAnsi" w:hAnsiTheme="minorHAnsi" w:cstheme="minorHAnsi"/>
                <w:b/>
                <w:sz w:val="22"/>
                <w:szCs w:val="22"/>
              </w:rPr>
              <w:t>Agreed?</w:t>
            </w:r>
          </w:p>
        </w:tc>
      </w:tr>
      <w:tr w:rsidR="00DD689C" w:rsidRPr="003433D4" w:rsidTr="00DD7564">
        <w:trPr>
          <w:trHeight w:val="379"/>
        </w:trPr>
        <w:tc>
          <w:tcPr>
            <w:tcW w:w="658" w:type="dxa"/>
            <w:shd w:val="clear" w:color="auto" w:fill="auto"/>
          </w:tcPr>
          <w:p w:rsidR="00DD689C" w:rsidRPr="003433D4" w:rsidRDefault="00DD689C" w:rsidP="009306C6">
            <w:pPr>
              <w:rPr>
                <w:rFonts w:asciiTheme="minorHAnsi" w:hAnsiTheme="minorHAnsi" w:cstheme="minorHAnsi"/>
                <w:bCs/>
                <w:sz w:val="22"/>
                <w:szCs w:val="22"/>
              </w:rPr>
            </w:pPr>
          </w:p>
        </w:tc>
        <w:tc>
          <w:tcPr>
            <w:tcW w:w="6820" w:type="dxa"/>
            <w:shd w:val="clear" w:color="auto" w:fill="auto"/>
          </w:tcPr>
          <w:p w:rsidR="00DD689C" w:rsidRPr="003433D4" w:rsidRDefault="00DD689C" w:rsidP="00752FD6">
            <w:pPr>
              <w:jc w:val="both"/>
              <w:rPr>
                <w:rFonts w:asciiTheme="minorHAnsi" w:hAnsiTheme="minorHAnsi" w:cstheme="minorHAnsi"/>
                <w:bCs/>
                <w:sz w:val="22"/>
                <w:szCs w:val="22"/>
              </w:rPr>
            </w:pPr>
          </w:p>
        </w:tc>
        <w:tc>
          <w:tcPr>
            <w:tcW w:w="2411" w:type="dxa"/>
            <w:shd w:val="clear" w:color="auto" w:fill="auto"/>
          </w:tcPr>
          <w:p w:rsidR="00DD689C" w:rsidRPr="003433D4" w:rsidRDefault="00DD689C" w:rsidP="009306C6">
            <w:pPr>
              <w:rPr>
                <w:rFonts w:asciiTheme="minorHAnsi" w:hAnsiTheme="minorHAnsi" w:cstheme="minorHAnsi"/>
                <w:bCs/>
                <w:sz w:val="22"/>
                <w:szCs w:val="22"/>
              </w:rPr>
            </w:pPr>
          </w:p>
        </w:tc>
      </w:tr>
    </w:tbl>
    <w:p w:rsidR="00DD689C" w:rsidRPr="009D14DD" w:rsidRDefault="00DD689C" w:rsidP="00DD689C">
      <w:pPr>
        <w:rPr>
          <w:rFonts w:ascii="Arial" w:hAnsi="Arial" w:cs="Arial"/>
          <w:b/>
          <w:sz w:val="22"/>
          <w:szCs w:val="22"/>
        </w:rPr>
      </w:pPr>
    </w:p>
    <w:p w:rsidR="00DD689C" w:rsidRPr="009D14DD" w:rsidRDefault="00DD689C" w:rsidP="00DD689C">
      <w:pPr>
        <w:rPr>
          <w:rFonts w:ascii="Arial" w:hAnsi="Arial" w:cs="Arial"/>
          <w:b/>
          <w:sz w:val="22"/>
          <w:szCs w:val="22"/>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3433D4" w:rsidTr="00752FD6">
        <w:trPr>
          <w:trHeight w:val="822"/>
          <w:tblHeader/>
        </w:trPr>
        <w:tc>
          <w:tcPr>
            <w:tcW w:w="720" w:type="dxa"/>
            <w:shd w:val="clear" w:color="auto" w:fill="C0C0C0"/>
            <w:vAlign w:val="center"/>
          </w:tcPr>
          <w:p w:rsidR="00DD689C" w:rsidRPr="003433D4" w:rsidRDefault="00DD689C" w:rsidP="00752FD6">
            <w:pPr>
              <w:spacing w:before="80" w:after="80"/>
              <w:jc w:val="center"/>
              <w:rPr>
                <w:rFonts w:asciiTheme="minorHAnsi" w:hAnsiTheme="minorHAnsi" w:cstheme="minorHAnsi"/>
                <w:b/>
                <w:sz w:val="22"/>
                <w:szCs w:val="22"/>
              </w:rPr>
            </w:pPr>
          </w:p>
        </w:tc>
        <w:tc>
          <w:tcPr>
            <w:tcW w:w="4230" w:type="dxa"/>
            <w:shd w:val="clear" w:color="auto" w:fill="C0C0C0"/>
            <w:vAlign w:val="center"/>
          </w:tcPr>
          <w:p w:rsidR="00DD689C" w:rsidRPr="003433D4" w:rsidRDefault="00DD689C" w:rsidP="00752FD6">
            <w:pPr>
              <w:spacing w:before="80" w:after="80"/>
              <w:rPr>
                <w:rFonts w:asciiTheme="minorHAnsi" w:hAnsiTheme="minorHAnsi" w:cstheme="minorHAnsi"/>
                <w:b/>
                <w:sz w:val="22"/>
                <w:szCs w:val="22"/>
              </w:rPr>
            </w:pPr>
          </w:p>
        </w:tc>
        <w:tc>
          <w:tcPr>
            <w:tcW w:w="1170" w:type="dxa"/>
            <w:shd w:val="clear" w:color="auto" w:fill="C0C0C0"/>
            <w:vAlign w:val="center"/>
          </w:tcPr>
          <w:p w:rsidR="00DD689C" w:rsidRPr="003433D4" w:rsidRDefault="00DD689C" w:rsidP="00752FD6">
            <w:pPr>
              <w:spacing w:before="80" w:after="80"/>
              <w:jc w:val="center"/>
              <w:rPr>
                <w:rFonts w:asciiTheme="minorHAnsi" w:hAnsiTheme="minorHAnsi" w:cstheme="minorHAnsi"/>
                <w:b/>
                <w:sz w:val="22"/>
                <w:szCs w:val="22"/>
              </w:rPr>
            </w:pPr>
          </w:p>
          <w:p w:rsidR="00DD689C" w:rsidRPr="003433D4" w:rsidRDefault="00DD689C" w:rsidP="00752FD6">
            <w:pPr>
              <w:spacing w:before="80" w:after="80"/>
              <w:jc w:val="center"/>
              <w:rPr>
                <w:rFonts w:asciiTheme="minorHAnsi" w:hAnsiTheme="minorHAnsi" w:cstheme="minorHAnsi"/>
                <w:b/>
                <w:sz w:val="22"/>
                <w:szCs w:val="22"/>
              </w:rPr>
            </w:pPr>
            <w:r w:rsidRPr="003433D4">
              <w:rPr>
                <w:rFonts w:asciiTheme="minorHAnsi" w:hAnsiTheme="minorHAnsi" w:cstheme="minorHAnsi"/>
                <w:b/>
                <w:sz w:val="22"/>
                <w:szCs w:val="22"/>
              </w:rPr>
              <w:t>Yes/No</w:t>
            </w:r>
            <w:r w:rsidRPr="003433D4">
              <w:rPr>
                <w:rFonts w:asciiTheme="minorHAnsi" w:hAnsiTheme="minorHAnsi" w:cstheme="minorHAnsi"/>
                <w:b/>
                <w:sz w:val="22"/>
                <w:szCs w:val="22"/>
              </w:rPr>
              <w:br/>
            </w:r>
          </w:p>
        </w:tc>
        <w:tc>
          <w:tcPr>
            <w:tcW w:w="2976" w:type="dxa"/>
            <w:shd w:val="clear" w:color="auto" w:fill="C0C0C0"/>
            <w:vAlign w:val="center"/>
          </w:tcPr>
          <w:p w:rsidR="00DD689C" w:rsidRPr="003433D4" w:rsidRDefault="00DD689C" w:rsidP="00752FD6">
            <w:pPr>
              <w:spacing w:before="80" w:after="80"/>
              <w:jc w:val="center"/>
              <w:rPr>
                <w:rFonts w:asciiTheme="minorHAnsi" w:hAnsiTheme="minorHAnsi" w:cstheme="minorHAnsi"/>
                <w:b/>
                <w:sz w:val="22"/>
                <w:szCs w:val="22"/>
              </w:rPr>
            </w:pPr>
            <w:r w:rsidRPr="003433D4">
              <w:rPr>
                <w:rFonts w:asciiTheme="minorHAnsi" w:hAnsiTheme="minorHAnsi" w:cstheme="minorHAnsi"/>
                <w:b/>
                <w:sz w:val="22"/>
                <w:szCs w:val="22"/>
              </w:rPr>
              <w:t>Comments</w:t>
            </w:r>
          </w:p>
        </w:tc>
      </w:tr>
      <w:tr w:rsidR="00DD689C" w:rsidRPr="003433D4" w:rsidTr="00752FD6">
        <w:tc>
          <w:tcPr>
            <w:tcW w:w="720" w:type="dxa"/>
            <w:shd w:val="clear" w:color="auto" w:fill="auto"/>
          </w:tcPr>
          <w:p w:rsidR="00DD689C" w:rsidRPr="003433D4" w:rsidRDefault="00DD689C" w:rsidP="00752FD6">
            <w:pPr>
              <w:spacing w:before="80" w:after="80"/>
              <w:rPr>
                <w:rFonts w:asciiTheme="minorHAnsi" w:hAnsiTheme="minorHAnsi" w:cstheme="minorHAnsi"/>
                <w:sz w:val="22"/>
                <w:szCs w:val="22"/>
              </w:rPr>
            </w:pPr>
          </w:p>
        </w:tc>
        <w:tc>
          <w:tcPr>
            <w:tcW w:w="4230" w:type="dxa"/>
            <w:shd w:val="clear" w:color="auto" w:fill="auto"/>
          </w:tcPr>
          <w:p w:rsidR="00DD689C" w:rsidRPr="003433D4" w:rsidRDefault="00DD689C"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Does the document take account of and meet the requirements of the following:</w:t>
            </w:r>
          </w:p>
        </w:tc>
        <w:tc>
          <w:tcPr>
            <w:tcW w:w="1170" w:type="dxa"/>
            <w:shd w:val="clear" w:color="auto" w:fill="auto"/>
          </w:tcPr>
          <w:p w:rsidR="00DD689C" w:rsidRPr="003433D4" w:rsidRDefault="00DD689C" w:rsidP="00752FD6">
            <w:pPr>
              <w:spacing w:before="80" w:after="80"/>
              <w:jc w:val="center"/>
              <w:rPr>
                <w:rFonts w:asciiTheme="minorHAnsi" w:hAnsiTheme="minorHAnsi" w:cstheme="minorHAnsi"/>
                <w:sz w:val="22"/>
                <w:szCs w:val="22"/>
              </w:rPr>
            </w:pPr>
          </w:p>
        </w:tc>
        <w:tc>
          <w:tcPr>
            <w:tcW w:w="2976" w:type="dxa"/>
            <w:shd w:val="clear" w:color="auto" w:fill="auto"/>
          </w:tcPr>
          <w:p w:rsidR="00DD689C" w:rsidRPr="003433D4" w:rsidRDefault="00DD689C" w:rsidP="00752FD6">
            <w:pPr>
              <w:spacing w:before="80" w:after="80"/>
              <w:rPr>
                <w:rFonts w:asciiTheme="minorHAnsi" w:hAnsiTheme="minorHAnsi" w:cstheme="minorHAnsi"/>
                <w:sz w:val="22"/>
                <w:szCs w:val="22"/>
              </w:rPr>
            </w:pPr>
          </w:p>
        </w:tc>
      </w:tr>
      <w:tr w:rsidR="00DD689C" w:rsidRPr="003433D4" w:rsidTr="00752FD6">
        <w:tc>
          <w:tcPr>
            <w:tcW w:w="720" w:type="dxa"/>
            <w:shd w:val="clear" w:color="auto" w:fill="auto"/>
          </w:tcPr>
          <w:p w:rsidR="00DD689C" w:rsidRPr="003433D4" w:rsidRDefault="00DD689C"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i)</w:t>
            </w:r>
          </w:p>
        </w:tc>
        <w:tc>
          <w:tcPr>
            <w:tcW w:w="4230" w:type="dxa"/>
            <w:shd w:val="clear" w:color="auto" w:fill="auto"/>
          </w:tcPr>
          <w:p w:rsidR="00DD689C" w:rsidRPr="003433D4" w:rsidRDefault="00DD689C"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Mental Capacity Act</w:t>
            </w:r>
          </w:p>
        </w:tc>
        <w:tc>
          <w:tcPr>
            <w:tcW w:w="1170" w:type="dxa"/>
            <w:shd w:val="clear" w:color="auto" w:fill="auto"/>
          </w:tcPr>
          <w:p w:rsidR="00DD689C" w:rsidRPr="003433D4" w:rsidRDefault="00DC3218" w:rsidP="00752FD6">
            <w:pPr>
              <w:spacing w:before="80" w:after="80"/>
              <w:jc w:val="center"/>
              <w:rPr>
                <w:rFonts w:asciiTheme="minorHAnsi" w:hAnsiTheme="minorHAnsi" w:cstheme="minorHAnsi"/>
                <w:sz w:val="22"/>
                <w:szCs w:val="22"/>
              </w:rPr>
            </w:pPr>
            <w:r w:rsidRPr="003433D4">
              <w:rPr>
                <w:rFonts w:asciiTheme="minorHAnsi" w:hAnsiTheme="minorHAnsi" w:cstheme="minorHAnsi"/>
                <w:sz w:val="22"/>
                <w:szCs w:val="22"/>
              </w:rPr>
              <w:t>Y</w:t>
            </w:r>
            <w:r w:rsidR="005334D4" w:rsidRPr="003433D4">
              <w:rPr>
                <w:rFonts w:asciiTheme="minorHAnsi" w:hAnsiTheme="minorHAnsi" w:cstheme="minorHAnsi"/>
                <w:sz w:val="22"/>
                <w:szCs w:val="22"/>
              </w:rPr>
              <w:t>es</w:t>
            </w:r>
          </w:p>
        </w:tc>
        <w:tc>
          <w:tcPr>
            <w:tcW w:w="2976" w:type="dxa"/>
            <w:shd w:val="clear" w:color="auto" w:fill="auto"/>
          </w:tcPr>
          <w:p w:rsidR="00DD689C" w:rsidRPr="003433D4" w:rsidRDefault="00DD689C" w:rsidP="00752FD6">
            <w:pPr>
              <w:spacing w:before="80" w:after="80"/>
              <w:rPr>
                <w:rFonts w:asciiTheme="minorHAnsi" w:hAnsiTheme="minorHAnsi" w:cstheme="minorHAnsi"/>
                <w:sz w:val="22"/>
                <w:szCs w:val="22"/>
              </w:rPr>
            </w:pPr>
          </w:p>
        </w:tc>
      </w:tr>
      <w:tr w:rsidR="00DD689C" w:rsidRPr="003433D4" w:rsidTr="00752FD6">
        <w:tc>
          <w:tcPr>
            <w:tcW w:w="720" w:type="dxa"/>
            <w:shd w:val="clear" w:color="auto" w:fill="auto"/>
          </w:tcPr>
          <w:p w:rsidR="00DD689C" w:rsidRPr="003433D4" w:rsidRDefault="00DD689C"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ii)</w:t>
            </w:r>
          </w:p>
        </w:tc>
        <w:tc>
          <w:tcPr>
            <w:tcW w:w="4230" w:type="dxa"/>
            <w:shd w:val="clear" w:color="auto" w:fill="auto"/>
          </w:tcPr>
          <w:p w:rsidR="00DD689C" w:rsidRPr="003433D4" w:rsidRDefault="00D450C3"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CCG</w:t>
            </w:r>
            <w:r w:rsidR="00DD689C" w:rsidRPr="003433D4">
              <w:rPr>
                <w:rFonts w:asciiTheme="minorHAnsi" w:hAnsiTheme="minorHAnsi" w:cstheme="minorHAnsi"/>
                <w:sz w:val="22"/>
                <w:szCs w:val="22"/>
              </w:rPr>
              <w:t xml:space="preserve">  Equality Impact Assessment</w:t>
            </w:r>
          </w:p>
        </w:tc>
        <w:tc>
          <w:tcPr>
            <w:tcW w:w="1170" w:type="dxa"/>
            <w:shd w:val="clear" w:color="auto" w:fill="auto"/>
          </w:tcPr>
          <w:p w:rsidR="00DD689C" w:rsidRPr="003433D4" w:rsidRDefault="00DC3218" w:rsidP="00752FD6">
            <w:pPr>
              <w:spacing w:before="80" w:after="80"/>
              <w:jc w:val="center"/>
              <w:rPr>
                <w:rFonts w:asciiTheme="minorHAnsi" w:hAnsiTheme="minorHAnsi" w:cstheme="minorHAnsi"/>
                <w:sz w:val="22"/>
                <w:szCs w:val="22"/>
              </w:rPr>
            </w:pPr>
            <w:r w:rsidRPr="003433D4">
              <w:rPr>
                <w:rFonts w:asciiTheme="minorHAnsi" w:hAnsiTheme="minorHAnsi" w:cstheme="minorHAnsi"/>
                <w:sz w:val="22"/>
                <w:szCs w:val="22"/>
              </w:rPr>
              <w:t>Y</w:t>
            </w:r>
            <w:r w:rsidR="005334D4" w:rsidRPr="003433D4">
              <w:rPr>
                <w:rFonts w:asciiTheme="minorHAnsi" w:hAnsiTheme="minorHAnsi" w:cstheme="minorHAnsi"/>
                <w:sz w:val="22"/>
                <w:szCs w:val="22"/>
              </w:rPr>
              <w:t>es</w:t>
            </w:r>
          </w:p>
        </w:tc>
        <w:tc>
          <w:tcPr>
            <w:tcW w:w="2976" w:type="dxa"/>
            <w:shd w:val="clear" w:color="auto" w:fill="auto"/>
          </w:tcPr>
          <w:p w:rsidR="00DD689C" w:rsidRPr="003433D4" w:rsidRDefault="00DD689C" w:rsidP="00752FD6">
            <w:pPr>
              <w:spacing w:before="80" w:after="80"/>
              <w:rPr>
                <w:rFonts w:asciiTheme="minorHAnsi" w:hAnsiTheme="minorHAnsi" w:cstheme="minorHAnsi"/>
                <w:sz w:val="22"/>
                <w:szCs w:val="22"/>
              </w:rPr>
            </w:pPr>
          </w:p>
        </w:tc>
      </w:tr>
      <w:tr w:rsidR="00DD689C" w:rsidRPr="003433D4" w:rsidTr="00752FD6">
        <w:tc>
          <w:tcPr>
            <w:tcW w:w="720" w:type="dxa"/>
            <w:shd w:val="clear" w:color="auto" w:fill="auto"/>
          </w:tcPr>
          <w:p w:rsidR="00DD689C" w:rsidRPr="003433D4" w:rsidRDefault="00DD689C"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iii)</w:t>
            </w:r>
          </w:p>
        </w:tc>
        <w:tc>
          <w:tcPr>
            <w:tcW w:w="4230" w:type="dxa"/>
            <w:shd w:val="clear" w:color="auto" w:fill="auto"/>
          </w:tcPr>
          <w:p w:rsidR="00DD689C" w:rsidRPr="003433D4" w:rsidRDefault="00DD689C"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Human Rights Act 1998</w:t>
            </w:r>
          </w:p>
        </w:tc>
        <w:tc>
          <w:tcPr>
            <w:tcW w:w="1170" w:type="dxa"/>
            <w:shd w:val="clear" w:color="auto" w:fill="auto"/>
          </w:tcPr>
          <w:p w:rsidR="00DD689C" w:rsidRPr="003433D4" w:rsidRDefault="00DC3218" w:rsidP="00752FD6">
            <w:pPr>
              <w:spacing w:before="80" w:after="80"/>
              <w:jc w:val="center"/>
              <w:rPr>
                <w:rFonts w:asciiTheme="minorHAnsi" w:hAnsiTheme="minorHAnsi" w:cstheme="minorHAnsi"/>
                <w:sz w:val="22"/>
                <w:szCs w:val="22"/>
              </w:rPr>
            </w:pPr>
            <w:r w:rsidRPr="003433D4">
              <w:rPr>
                <w:rFonts w:asciiTheme="minorHAnsi" w:hAnsiTheme="minorHAnsi" w:cstheme="minorHAnsi"/>
                <w:sz w:val="22"/>
                <w:szCs w:val="22"/>
              </w:rPr>
              <w:t>Y</w:t>
            </w:r>
            <w:r w:rsidR="005334D4" w:rsidRPr="003433D4">
              <w:rPr>
                <w:rFonts w:asciiTheme="minorHAnsi" w:hAnsiTheme="minorHAnsi" w:cstheme="minorHAnsi"/>
                <w:sz w:val="22"/>
                <w:szCs w:val="22"/>
              </w:rPr>
              <w:t>es</w:t>
            </w:r>
          </w:p>
        </w:tc>
        <w:tc>
          <w:tcPr>
            <w:tcW w:w="2976" w:type="dxa"/>
            <w:shd w:val="clear" w:color="auto" w:fill="auto"/>
          </w:tcPr>
          <w:p w:rsidR="00DD689C" w:rsidRPr="003433D4" w:rsidRDefault="00DD689C" w:rsidP="00752FD6">
            <w:pPr>
              <w:spacing w:before="80" w:after="80"/>
              <w:rPr>
                <w:rFonts w:asciiTheme="minorHAnsi" w:hAnsiTheme="minorHAnsi" w:cstheme="minorHAnsi"/>
                <w:sz w:val="22"/>
                <w:szCs w:val="22"/>
              </w:rPr>
            </w:pPr>
          </w:p>
        </w:tc>
      </w:tr>
      <w:tr w:rsidR="00DD689C" w:rsidRPr="003433D4" w:rsidTr="00752FD6">
        <w:tc>
          <w:tcPr>
            <w:tcW w:w="720" w:type="dxa"/>
            <w:shd w:val="clear" w:color="auto" w:fill="auto"/>
          </w:tcPr>
          <w:p w:rsidR="00DD689C" w:rsidRPr="003433D4" w:rsidRDefault="00DD689C"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iv)</w:t>
            </w:r>
          </w:p>
        </w:tc>
        <w:tc>
          <w:tcPr>
            <w:tcW w:w="4230" w:type="dxa"/>
            <w:shd w:val="clear" w:color="auto" w:fill="auto"/>
          </w:tcPr>
          <w:p w:rsidR="00DD689C" w:rsidRPr="003433D4" w:rsidRDefault="00DD689C"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Health and Safety at Work Act 1974</w:t>
            </w:r>
          </w:p>
        </w:tc>
        <w:tc>
          <w:tcPr>
            <w:tcW w:w="1170" w:type="dxa"/>
            <w:shd w:val="clear" w:color="auto" w:fill="auto"/>
          </w:tcPr>
          <w:p w:rsidR="00DD689C" w:rsidRPr="003433D4" w:rsidRDefault="00DC3218" w:rsidP="00752FD6">
            <w:pPr>
              <w:spacing w:before="80" w:after="80"/>
              <w:jc w:val="center"/>
              <w:rPr>
                <w:rFonts w:asciiTheme="minorHAnsi" w:hAnsiTheme="minorHAnsi" w:cstheme="minorHAnsi"/>
                <w:sz w:val="22"/>
                <w:szCs w:val="22"/>
              </w:rPr>
            </w:pPr>
            <w:r w:rsidRPr="003433D4">
              <w:rPr>
                <w:rFonts w:asciiTheme="minorHAnsi" w:hAnsiTheme="minorHAnsi" w:cstheme="minorHAnsi"/>
                <w:sz w:val="22"/>
                <w:szCs w:val="22"/>
              </w:rPr>
              <w:t>Y</w:t>
            </w:r>
            <w:r w:rsidR="005334D4" w:rsidRPr="003433D4">
              <w:rPr>
                <w:rFonts w:asciiTheme="minorHAnsi" w:hAnsiTheme="minorHAnsi" w:cstheme="minorHAnsi"/>
                <w:sz w:val="22"/>
                <w:szCs w:val="22"/>
              </w:rPr>
              <w:t>es</w:t>
            </w:r>
          </w:p>
        </w:tc>
        <w:tc>
          <w:tcPr>
            <w:tcW w:w="2976" w:type="dxa"/>
            <w:shd w:val="clear" w:color="auto" w:fill="auto"/>
          </w:tcPr>
          <w:p w:rsidR="00DD689C" w:rsidRPr="003433D4" w:rsidRDefault="00DD689C" w:rsidP="00752FD6">
            <w:pPr>
              <w:spacing w:before="80" w:after="80"/>
              <w:rPr>
                <w:rFonts w:asciiTheme="minorHAnsi" w:hAnsiTheme="minorHAnsi" w:cstheme="minorHAnsi"/>
                <w:sz w:val="22"/>
                <w:szCs w:val="22"/>
              </w:rPr>
            </w:pPr>
          </w:p>
        </w:tc>
      </w:tr>
      <w:tr w:rsidR="00DD689C" w:rsidRPr="003433D4" w:rsidTr="00752FD6">
        <w:tc>
          <w:tcPr>
            <w:tcW w:w="720" w:type="dxa"/>
            <w:shd w:val="clear" w:color="auto" w:fill="auto"/>
          </w:tcPr>
          <w:p w:rsidR="00DD689C" w:rsidRPr="003433D4" w:rsidRDefault="00DD689C"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v)</w:t>
            </w:r>
          </w:p>
        </w:tc>
        <w:tc>
          <w:tcPr>
            <w:tcW w:w="4230" w:type="dxa"/>
            <w:shd w:val="clear" w:color="auto" w:fill="auto"/>
          </w:tcPr>
          <w:p w:rsidR="00DD689C" w:rsidRPr="003433D4" w:rsidRDefault="00DD689C"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Freedom of Information Act 2000 / Data Protection Act 1998</w:t>
            </w:r>
          </w:p>
        </w:tc>
        <w:tc>
          <w:tcPr>
            <w:tcW w:w="1170" w:type="dxa"/>
            <w:shd w:val="clear" w:color="auto" w:fill="auto"/>
          </w:tcPr>
          <w:p w:rsidR="00DD689C" w:rsidRPr="003433D4" w:rsidRDefault="00DC3218" w:rsidP="00752FD6">
            <w:pPr>
              <w:spacing w:before="80" w:after="80"/>
              <w:jc w:val="center"/>
              <w:rPr>
                <w:rFonts w:asciiTheme="minorHAnsi" w:hAnsiTheme="minorHAnsi" w:cstheme="minorHAnsi"/>
                <w:sz w:val="22"/>
                <w:szCs w:val="22"/>
              </w:rPr>
            </w:pPr>
            <w:r w:rsidRPr="003433D4">
              <w:rPr>
                <w:rFonts w:asciiTheme="minorHAnsi" w:hAnsiTheme="minorHAnsi" w:cstheme="minorHAnsi"/>
                <w:sz w:val="22"/>
                <w:szCs w:val="22"/>
              </w:rPr>
              <w:t>Y</w:t>
            </w:r>
            <w:r w:rsidR="005334D4" w:rsidRPr="003433D4">
              <w:rPr>
                <w:rFonts w:asciiTheme="minorHAnsi" w:hAnsiTheme="minorHAnsi" w:cstheme="minorHAnsi"/>
                <w:sz w:val="22"/>
                <w:szCs w:val="22"/>
              </w:rPr>
              <w:t>es</w:t>
            </w:r>
          </w:p>
        </w:tc>
        <w:tc>
          <w:tcPr>
            <w:tcW w:w="2976" w:type="dxa"/>
            <w:shd w:val="clear" w:color="auto" w:fill="auto"/>
          </w:tcPr>
          <w:p w:rsidR="00DD689C" w:rsidRPr="003433D4" w:rsidRDefault="00DD689C" w:rsidP="00752FD6">
            <w:pPr>
              <w:spacing w:before="80" w:after="80"/>
              <w:rPr>
                <w:rFonts w:asciiTheme="minorHAnsi" w:hAnsiTheme="minorHAnsi" w:cstheme="minorHAnsi"/>
                <w:sz w:val="22"/>
                <w:szCs w:val="22"/>
              </w:rPr>
            </w:pPr>
          </w:p>
        </w:tc>
      </w:tr>
      <w:tr w:rsidR="00DD689C" w:rsidRPr="003433D4" w:rsidTr="00752FD6">
        <w:tc>
          <w:tcPr>
            <w:tcW w:w="720" w:type="dxa"/>
            <w:shd w:val="clear" w:color="auto" w:fill="auto"/>
          </w:tcPr>
          <w:p w:rsidR="00DD689C" w:rsidRPr="003433D4" w:rsidRDefault="00DD689C"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iv)</w:t>
            </w:r>
          </w:p>
        </w:tc>
        <w:tc>
          <w:tcPr>
            <w:tcW w:w="4230" w:type="dxa"/>
            <w:shd w:val="clear" w:color="auto" w:fill="auto"/>
          </w:tcPr>
          <w:p w:rsidR="00DD689C" w:rsidRPr="003433D4" w:rsidRDefault="00DD689C" w:rsidP="00752FD6">
            <w:pPr>
              <w:spacing w:before="80" w:after="80"/>
              <w:rPr>
                <w:rFonts w:asciiTheme="minorHAnsi" w:hAnsiTheme="minorHAnsi" w:cstheme="minorHAnsi"/>
                <w:sz w:val="22"/>
                <w:szCs w:val="22"/>
              </w:rPr>
            </w:pPr>
            <w:r w:rsidRPr="003433D4">
              <w:rPr>
                <w:rFonts w:asciiTheme="minorHAnsi" w:hAnsiTheme="minorHAnsi" w:cstheme="minorHAnsi"/>
                <w:sz w:val="22"/>
                <w:szCs w:val="22"/>
              </w:rPr>
              <w:t>Does the report have regard of the principles and values of the NHS Constitution?</w:t>
            </w:r>
          </w:p>
          <w:p w:rsidR="004C5FA2" w:rsidRPr="003433D4" w:rsidRDefault="00D41640" w:rsidP="00752FD6">
            <w:pPr>
              <w:spacing w:before="80" w:after="80"/>
              <w:rPr>
                <w:rFonts w:asciiTheme="minorHAnsi" w:hAnsiTheme="minorHAnsi" w:cstheme="minorHAnsi"/>
                <w:sz w:val="22"/>
                <w:szCs w:val="22"/>
              </w:rPr>
            </w:pPr>
            <w:hyperlink r:id="rId9" w:history="1">
              <w:r w:rsidR="004C5FA2" w:rsidRPr="003433D4">
                <w:rPr>
                  <w:rStyle w:val="Hyperlink"/>
                  <w:rFonts w:asciiTheme="minorHAnsi" w:hAnsiTheme="minorHAnsi" w:cstheme="minorHAnsi"/>
                  <w:sz w:val="22"/>
                  <w:szCs w:val="22"/>
                </w:rPr>
                <w:t>www.dh.gov.uk/en/Publicationsandstatistics/Publications/PublicationsPolicyAndGuidance/DH_113613</w:t>
              </w:r>
            </w:hyperlink>
          </w:p>
        </w:tc>
        <w:tc>
          <w:tcPr>
            <w:tcW w:w="1170" w:type="dxa"/>
            <w:shd w:val="clear" w:color="auto" w:fill="auto"/>
          </w:tcPr>
          <w:p w:rsidR="00DD689C" w:rsidRPr="003433D4" w:rsidRDefault="00DC3218" w:rsidP="00752FD6">
            <w:pPr>
              <w:spacing w:before="80" w:after="80"/>
              <w:jc w:val="center"/>
              <w:rPr>
                <w:rFonts w:asciiTheme="minorHAnsi" w:hAnsiTheme="minorHAnsi" w:cstheme="minorHAnsi"/>
                <w:sz w:val="22"/>
                <w:szCs w:val="22"/>
              </w:rPr>
            </w:pPr>
            <w:r w:rsidRPr="003433D4">
              <w:rPr>
                <w:rFonts w:asciiTheme="minorHAnsi" w:hAnsiTheme="minorHAnsi" w:cstheme="minorHAnsi"/>
                <w:sz w:val="22"/>
                <w:szCs w:val="22"/>
              </w:rPr>
              <w:t>Y</w:t>
            </w:r>
            <w:r w:rsidR="005334D4" w:rsidRPr="003433D4">
              <w:rPr>
                <w:rFonts w:asciiTheme="minorHAnsi" w:hAnsiTheme="minorHAnsi" w:cstheme="minorHAnsi"/>
                <w:sz w:val="22"/>
                <w:szCs w:val="22"/>
              </w:rPr>
              <w:t>es</w:t>
            </w:r>
          </w:p>
        </w:tc>
        <w:tc>
          <w:tcPr>
            <w:tcW w:w="2976" w:type="dxa"/>
            <w:shd w:val="clear" w:color="auto" w:fill="auto"/>
          </w:tcPr>
          <w:p w:rsidR="00DD689C" w:rsidRPr="003433D4" w:rsidRDefault="00DD689C" w:rsidP="00752FD6">
            <w:pPr>
              <w:spacing w:before="80" w:after="80"/>
              <w:rPr>
                <w:rFonts w:asciiTheme="minorHAnsi" w:hAnsiTheme="minorHAnsi" w:cstheme="minorHAnsi"/>
                <w:sz w:val="22"/>
                <w:szCs w:val="22"/>
              </w:rPr>
            </w:pPr>
          </w:p>
        </w:tc>
      </w:tr>
    </w:tbl>
    <w:p w:rsidR="00F40B1F" w:rsidRDefault="00F40B1F" w:rsidP="00DD689C">
      <w:pPr>
        <w:ind w:left="360"/>
        <w:rPr>
          <w:rFonts w:ascii="Arial" w:hAnsi="Arial" w:cs="Arial"/>
          <w:b/>
          <w:bCs/>
          <w:sz w:val="22"/>
          <w:szCs w:val="22"/>
        </w:rPr>
      </w:pPr>
    </w:p>
    <w:p w:rsidR="00DC3218" w:rsidRDefault="00DC3218">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586C51" w:rsidRDefault="00586C51">
      <w:pPr>
        <w:rPr>
          <w:rFonts w:ascii="Arial" w:hAnsi="Arial" w:cs="Arial"/>
          <w:b/>
          <w:bCs/>
          <w:sz w:val="22"/>
          <w:szCs w:val="22"/>
        </w:rPr>
      </w:pPr>
    </w:p>
    <w:p w:rsidR="00586C51" w:rsidRDefault="00586C51">
      <w:pPr>
        <w:rPr>
          <w:rFonts w:ascii="Arial" w:hAnsi="Arial" w:cs="Arial"/>
          <w:b/>
          <w:bCs/>
          <w:sz w:val="22"/>
          <w:szCs w:val="22"/>
        </w:rPr>
      </w:pPr>
    </w:p>
    <w:p w:rsidR="00586C51" w:rsidRDefault="00586C51">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Pr="003433D4" w:rsidRDefault="000E45EF"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lastRenderedPageBreak/>
        <w:t>Introduction</w:t>
      </w:r>
    </w:p>
    <w:p w:rsidR="00F62905" w:rsidRPr="003433D4" w:rsidRDefault="00F62905" w:rsidP="003433D4">
      <w:pPr>
        <w:jc w:val="both"/>
        <w:rPr>
          <w:rFonts w:asciiTheme="minorHAnsi" w:hAnsiTheme="minorHAnsi" w:cstheme="minorHAnsi"/>
          <w:b/>
          <w:bCs/>
          <w:sz w:val="22"/>
          <w:szCs w:val="22"/>
        </w:rPr>
      </w:pPr>
    </w:p>
    <w:p w:rsidR="00151A98" w:rsidRPr="003433D4" w:rsidRDefault="00151A98" w:rsidP="003433D4">
      <w:pPr>
        <w:jc w:val="both"/>
        <w:rPr>
          <w:rFonts w:asciiTheme="minorHAnsi" w:hAnsiTheme="minorHAnsi" w:cstheme="minorHAnsi"/>
          <w:bCs/>
          <w:sz w:val="22"/>
          <w:szCs w:val="22"/>
        </w:rPr>
      </w:pPr>
      <w:r w:rsidRPr="003433D4">
        <w:rPr>
          <w:rFonts w:asciiTheme="minorHAnsi" w:hAnsiTheme="minorHAnsi" w:cstheme="minorHAnsi"/>
          <w:bCs/>
          <w:sz w:val="22"/>
          <w:szCs w:val="22"/>
        </w:rPr>
        <w:t xml:space="preserve">In North East Lincolnshire Clinical decision making is driven via Service Triangles; Triangles are a unique concept that bring together Clinical Leads, Service Leads and Community Members to lead and influence service redesign &amp; improvement on behalf of the CCG. </w:t>
      </w:r>
    </w:p>
    <w:p w:rsidR="00151A98" w:rsidRPr="003433D4" w:rsidRDefault="00151A98" w:rsidP="003433D4">
      <w:pPr>
        <w:jc w:val="both"/>
        <w:rPr>
          <w:rFonts w:asciiTheme="minorHAnsi" w:hAnsiTheme="minorHAnsi" w:cstheme="minorHAnsi"/>
          <w:bCs/>
          <w:sz w:val="22"/>
          <w:szCs w:val="22"/>
        </w:rPr>
      </w:pPr>
    </w:p>
    <w:p w:rsidR="00151A98" w:rsidRPr="003433D4" w:rsidRDefault="00151A98" w:rsidP="003433D4">
      <w:pPr>
        <w:jc w:val="both"/>
        <w:rPr>
          <w:rFonts w:asciiTheme="minorHAnsi" w:hAnsiTheme="minorHAnsi" w:cstheme="minorHAnsi"/>
          <w:bCs/>
          <w:sz w:val="22"/>
          <w:szCs w:val="22"/>
        </w:rPr>
      </w:pPr>
      <w:r w:rsidRPr="003433D4">
        <w:rPr>
          <w:rFonts w:asciiTheme="minorHAnsi" w:hAnsiTheme="minorHAnsi" w:cstheme="minorHAnsi"/>
          <w:bCs/>
          <w:sz w:val="22"/>
          <w:szCs w:val="22"/>
        </w:rPr>
        <w:t xml:space="preserve">In recognition of their on-going success the CCG launched an additional two triangles in 14/15: Community Care and Primary care and also added to an existing triangle to incorporate Carers in the Older People’s triangle. </w:t>
      </w:r>
    </w:p>
    <w:p w:rsidR="000E45EF" w:rsidRPr="003433D4" w:rsidRDefault="000E45EF" w:rsidP="003433D4">
      <w:pPr>
        <w:jc w:val="both"/>
        <w:rPr>
          <w:rFonts w:asciiTheme="minorHAnsi" w:hAnsiTheme="minorHAnsi" w:cstheme="minorHAnsi"/>
          <w:b/>
          <w:bCs/>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16"/>
      </w:tblGrid>
      <w:tr w:rsidR="000E45EF" w:rsidRPr="003433D4" w:rsidTr="000E45EF">
        <w:tc>
          <w:tcPr>
            <w:tcW w:w="6062" w:type="dxa"/>
            <w:shd w:val="clear" w:color="auto" w:fill="auto"/>
          </w:tcPr>
          <w:p w:rsidR="000E45EF" w:rsidRPr="003433D4" w:rsidRDefault="000E45EF" w:rsidP="003433D4">
            <w:pPr>
              <w:ind w:right="-1242"/>
              <w:jc w:val="both"/>
              <w:rPr>
                <w:rFonts w:asciiTheme="minorHAnsi" w:hAnsiTheme="minorHAnsi" w:cstheme="minorHAnsi"/>
                <w:b/>
                <w:bCs/>
                <w:sz w:val="22"/>
                <w:szCs w:val="22"/>
              </w:rPr>
            </w:pPr>
            <w:r w:rsidRPr="003433D4">
              <w:rPr>
                <w:rFonts w:asciiTheme="minorHAnsi" w:hAnsiTheme="minorHAnsi" w:cstheme="minorHAnsi"/>
                <w:b/>
                <w:bCs/>
                <w:noProof/>
                <w:sz w:val="22"/>
                <w:szCs w:val="22"/>
              </w:rPr>
              <w:drawing>
                <wp:inline distT="0" distB="0" distL="0" distR="0" wp14:anchorId="53C6B509" wp14:editId="091C03EC">
                  <wp:extent cx="3816536" cy="2962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0145" cy="2965076"/>
                          </a:xfrm>
                          <a:prstGeom prst="rect">
                            <a:avLst/>
                          </a:prstGeom>
                          <a:noFill/>
                        </pic:spPr>
                      </pic:pic>
                    </a:graphicData>
                  </a:graphic>
                </wp:inline>
              </w:drawing>
            </w:r>
          </w:p>
        </w:tc>
        <w:tc>
          <w:tcPr>
            <w:tcW w:w="4216" w:type="dxa"/>
            <w:shd w:val="clear" w:color="auto" w:fill="auto"/>
          </w:tcPr>
          <w:p w:rsidR="000E45EF" w:rsidRPr="003433D4" w:rsidRDefault="000E45EF" w:rsidP="003433D4">
            <w:pPr>
              <w:jc w:val="both"/>
              <w:rPr>
                <w:rFonts w:asciiTheme="minorHAnsi" w:hAnsiTheme="minorHAnsi" w:cstheme="minorHAnsi"/>
                <w:bCs/>
                <w:sz w:val="22"/>
                <w:szCs w:val="22"/>
              </w:rPr>
            </w:pPr>
          </w:p>
          <w:p w:rsidR="000E45EF" w:rsidRPr="003433D4" w:rsidRDefault="000E45EF" w:rsidP="003433D4">
            <w:pPr>
              <w:jc w:val="both"/>
              <w:rPr>
                <w:rFonts w:asciiTheme="minorHAnsi" w:hAnsiTheme="minorHAnsi" w:cstheme="minorHAnsi"/>
                <w:bCs/>
                <w:sz w:val="22"/>
                <w:szCs w:val="22"/>
              </w:rPr>
            </w:pPr>
            <w:r w:rsidRPr="003433D4">
              <w:rPr>
                <w:rFonts w:asciiTheme="minorHAnsi" w:hAnsiTheme="minorHAnsi" w:cstheme="minorHAnsi"/>
                <w:bCs/>
                <w:sz w:val="22"/>
                <w:szCs w:val="22"/>
              </w:rPr>
              <w:t xml:space="preserve">      </w:t>
            </w:r>
            <w:r w:rsidRPr="003433D4">
              <w:rPr>
                <w:rFonts w:asciiTheme="minorHAnsi" w:hAnsiTheme="minorHAnsi" w:cstheme="minorHAnsi"/>
                <w:b/>
                <w:bCs/>
                <w:sz w:val="22"/>
                <w:szCs w:val="22"/>
              </w:rPr>
              <w:t>Service Triangles:</w:t>
            </w:r>
          </w:p>
          <w:p w:rsidR="000E45EF" w:rsidRPr="003433D4" w:rsidRDefault="000E45EF" w:rsidP="003433D4">
            <w:pPr>
              <w:jc w:val="both"/>
              <w:rPr>
                <w:rFonts w:asciiTheme="minorHAnsi" w:hAnsiTheme="minorHAnsi" w:cstheme="minorHAnsi"/>
                <w:bCs/>
                <w:sz w:val="22"/>
                <w:szCs w:val="22"/>
              </w:rPr>
            </w:pPr>
          </w:p>
          <w:p w:rsidR="000E45EF" w:rsidRPr="003433D4" w:rsidRDefault="000E45EF" w:rsidP="003433D4">
            <w:pPr>
              <w:numPr>
                <w:ilvl w:val="0"/>
                <w:numId w:val="24"/>
              </w:numPr>
              <w:jc w:val="both"/>
              <w:rPr>
                <w:rFonts w:asciiTheme="minorHAnsi" w:hAnsiTheme="minorHAnsi" w:cstheme="minorHAnsi"/>
                <w:bCs/>
                <w:sz w:val="22"/>
                <w:szCs w:val="22"/>
              </w:rPr>
            </w:pPr>
            <w:r w:rsidRPr="003433D4">
              <w:rPr>
                <w:rFonts w:asciiTheme="minorHAnsi" w:hAnsiTheme="minorHAnsi" w:cstheme="minorHAnsi"/>
                <w:bCs/>
                <w:sz w:val="22"/>
                <w:szCs w:val="22"/>
              </w:rPr>
              <w:t>Planned Care</w:t>
            </w:r>
          </w:p>
          <w:p w:rsidR="00781CED" w:rsidRPr="003433D4" w:rsidRDefault="00781CED" w:rsidP="003433D4">
            <w:pPr>
              <w:ind w:left="360"/>
              <w:jc w:val="both"/>
              <w:rPr>
                <w:rFonts w:asciiTheme="minorHAnsi" w:hAnsiTheme="minorHAnsi" w:cstheme="minorHAnsi"/>
                <w:bCs/>
                <w:sz w:val="22"/>
                <w:szCs w:val="22"/>
              </w:rPr>
            </w:pPr>
          </w:p>
          <w:p w:rsidR="000E45EF" w:rsidRPr="003433D4" w:rsidRDefault="000E45EF" w:rsidP="003433D4">
            <w:pPr>
              <w:numPr>
                <w:ilvl w:val="0"/>
                <w:numId w:val="24"/>
              </w:numPr>
              <w:jc w:val="both"/>
              <w:rPr>
                <w:rFonts w:asciiTheme="minorHAnsi" w:hAnsiTheme="minorHAnsi" w:cstheme="minorHAnsi"/>
                <w:bCs/>
                <w:sz w:val="22"/>
                <w:szCs w:val="22"/>
              </w:rPr>
            </w:pPr>
            <w:r w:rsidRPr="003433D4">
              <w:rPr>
                <w:rFonts w:asciiTheme="minorHAnsi" w:hAnsiTheme="minorHAnsi" w:cstheme="minorHAnsi"/>
                <w:bCs/>
                <w:sz w:val="22"/>
                <w:szCs w:val="22"/>
              </w:rPr>
              <w:t>Unscheduled Care</w:t>
            </w:r>
          </w:p>
          <w:p w:rsidR="00781CED" w:rsidRPr="003433D4" w:rsidRDefault="00781CED" w:rsidP="003433D4">
            <w:pPr>
              <w:jc w:val="both"/>
              <w:rPr>
                <w:rFonts w:asciiTheme="minorHAnsi" w:hAnsiTheme="minorHAnsi" w:cstheme="minorHAnsi"/>
                <w:bCs/>
                <w:sz w:val="22"/>
                <w:szCs w:val="22"/>
              </w:rPr>
            </w:pPr>
          </w:p>
          <w:p w:rsidR="000E45EF" w:rsidRPr="003433D4" w:rsidRDefault="003643C1" w:rsidP="003433D4">
            <w:pPr>
              <w:numPr>
                <w:ilvl w:val="0"/>
                <w:numId w:val="24"/>
              </w:numPr>
              <w:jc w:val="both"/>
              <w:rPr>
                <w:rFonts w:asciiTheme="minorHAnsi" w:hAnsiTheme="minorHAnsi" w:cstheme="minorHAnsi"/>
                <w:bCs/>
                <w:sz w:val="22"/>
                <w:szCs w:val="22"/>
              </w:rPr>
            </w:pPr>
            <w:r w:rsidRPr="003433D4">
              <w:rPr>
                <w:rFonts w:asciiTheme="minorHAnsi" w:hAnsiTheme="minorHAnsi" w:cstheme="minorHAnsi"/>
                <w:bCs/>
                <w:sz w:val="22"/>
                <w:szCs w:val="22"/>
              </w:rPr>
              <w:t>Women’s &amp; Children’s Care</w:t>
            </w:r>
          </w:p>
          <w:p w:rsidR="00781CED" w:rsidRPr="003433D4" w:rsidRDefault="00781CED" w:rsidP="003433D4">
            <w:pPr>
              <w:jc w:val="both"/>
              <w:rPr>
                <w:rFonts w:asciiTheme="minorHAnsi" w:hAnsiTheme="minorHAnsi" w:cstheme="minorHAnsi"/>
                <w:bCs/>
                <w:sz w:val="22"/>
                <w:szCs w:val="22"/>
              </w:rPr>
            </w:pPr>
          </w:p>
          <w:p w:rsidR="000E45EF" w:rsidRPr="003433D4" w:rsidRDefault="000E45EF" w:rsidP="003433D4">
            <w:pPr>
              <w:numPr>
                <w:ilvl w:val="0"/>
                <w:numId w:val="24"/>
              </w:numPr>
              <w:jc w:val="both"/>
              <w:rPr>
                <w:rFonts w:asciiTheme="minorHAnsi" w:hAnsiTheme="minorHAnsi" w:cstheme="minorHAnsi"/>
                <w:bCs/>
                <w:sz w:val="22"/>
                <w:szCs w:val="22"/>
              </w:rPr>
            </w:pPr>
            <w:r w:rsidRPr="003433D4">
              <w:rPr>
                <w:rFonts w:asciiTheme="minorHAnsi" w:hAnsiTheme="minorHAnsi" w:cstheme="minorHAnsi"/>
                <w:bCs/>
                <w:sz w:val="22"/>
                <w:szCs w:val="22"/>
              </w:rPr>
              <w:t>Older people</w:t>
            </w:r>
            <w:r w:rsidR="00151A98" w:rsidRPr="003433D4">
              <w:rPr>
                <w:rFonts w:asciiTheme="minorHAnsi" w:hAnsiTheme="minorHAnsi" w:cstheme="minorHAnsi"/>
                <w:bCs/>
                <w:sz w:val="22"/>
                <w:szCs w:val="22"/>
              </w:rPr>
              <w:t>’s, Carer’s</w:t>
            </w:r>
            <w:r w:rsidR="003643C1" w:rsidRPr="003433D4">
              <w:rPr>
                <w:rFonts w:asciiTheme="minorHAnsi" w:hAnsiTheme="minorHAnsi" w:cstheme="minorHAnsi"/>
                <w:bCs/>
                <w:sz w:val="22"/>
                <w:szCs w:val="22"/>
              </w:rPr>
              <w:t xml:space="preserve"> </w:t>
            </w:r>
            <w:r w:rsidR="00781CED" w:rsidRPr="003433D4">
              <w:rPr>
                <w:rFonts w:asciiTheme="minorHAnsi" w:hAnsiTheme="minorHAnsi" w:cstheme="minorHAnsi"/>
                <w:bCs/>
                <w:sz w:val="22"/>
                <w:szCs w:val="22"/>
              </w:rPr>
              <w:t xml:space="preserve">and Dementia </w:t>
            </w:r>
            <w:r w:rsidR="003643C1" w:rsidRPr="003433D4">
              <w:rPr>
                <w:rFonts w:asciiTheme="minorHAnsi" w:hAnsiTheme="minorHAnsi" w:cstheme="minorHAnsi"/>
                <w:bCs/>
                <w:sz w:val="22"/>
                <w:szCs w:val="22"/>
              </w:rPr>
              <w:t>Care</w:t>
            </w:r>
          </w:p>
          <w:p w:rsidR="00781CED" w:rsidRPr="003433D4" w:rsidRDefault="00781CED" w:rsidP="003433D4">
            <w:pPr>
              <w:jc w:val="both"/>
              <w:rPr>
                <w:rFonts w:asciiTheme="minorHAnsi" w:hAnsiTheme="minorHAnsi" w:cstheme="minorHAnsi"/>
                <w:bCs/>
                <w:sz w:val="22"/>
                <w:szCs w:val="22"/>
              </w:rPr>
            </w:pPr>
          </w:p>
          <w:p w:rsidR="000E45EF" w:rsidRPr="003433D4" w:rsidRDefault="000E45EF" w:rsidP="003433D4">
            <w:pPr>
              <w:numPr>
                <w:ilvl w:val="0"/>
                <w:numId w:val="24"/>
              </w:numPr>
              <w:jc w:val="both"/>
              <w:rPr>
                <w:rFonts w:asciiTheme="minorHAnsi" w:hAnsiTheme="minorHAnsi" w:cstheme="minorHAnsi"/>
                <w:bCs/>
                <w:sz w:val="22"/>
                <w:szCs w:val="22"/>
              </w:rPr>
            </w:pPr>
            <w:r w:rsidRPr="003433D4">
              <w:rPr>
                <w:rFonts w:asciiTheme="minorHAnsi" w:hAnsiTheme="minorHAnsi" w:cstheme="minorHAnsi"/>
                <w:bCs/>
                <w:sz w:val="22"/>
                <w:szCs w:val="22"/>
              </w:rPr>
              <w:t xml:space="preserve">Prescribing &amp; Medicines </w:t>
            </w:r>
          </w:p>
          <w:p w:rsidR="00781CED" w:rsidRPr="003433D4" w:rsidRDefault="00781CED" w:rsidP="003433D4">
            <w:pPr>
              <w:jc w:val="both"/>
              <w:rPr>
                <w:rFonts w:asciiTheme="minorHAnsi" w:hAnsiTheme="minorHAnsi" w:cstheme="minorHAnsi"/>
                <w:bCs/>
                <w:sz w:val="22"/>
                <w:szCs w:val="22"/>
              </w:rPr>
            </w:pPr>
          </w:p>
          <w:p w:rsidR="00151A98" w:rsidRPr="003433D4" w:rsidRDefault="000E45EF" w:rsidP="003433D4">
            <w:pPr>
              <w:numPr>
                <w:ilvl w:val="0"/>
                <w:numId w:val="24"/>
              </w:numPr>
              <w:jc w:val="both"/>
              <w:rPr>
                <w:rFonts w:asciiTheme="minorHAnsi" w:hAnsiTheme="minorHAnsi" w:cstheme="minorHAnsi"/>
                <w:bCs/>
                <w:sz w:val="22"/>
                <w:szCs w:val="22"/>
              </w:rPr>
            </w:pPr>
            <w:r w:rsidRPr="003433D4">
              <w:rPr>
                <w:rFonts w:asciiTheme="minorHAnsi" w:hAnsiTheme="minorHAnsi" w:cstheme="minorHAnsi"/>
                <w:bCs/>
                <w:sz w:val="22"/>
                <w:szCs w:val="22"/>
              </w:rPr>
              <w:t>Disabilities</w:t>
            </w:r>
            <w:r w:rsidR="00607E93" w:rsidRPr="003433D4">
              <w:rPr>
                <w:rFonts w:asciiTheme="minorHAnsi" w:hAnsiTheme="minorHAnsi" w:cstheme="minorHAnsi"/>
                <w:bCs/>
                <w:sz w:val="22"/>
                <w:szCs w:val="22"/>
              </w:rPr>
              <w:t xml:space="preserve"> and Mental Health</w:t>
            </w:r>
          </w:p>
          <w:p w:rsidR="00151A98" w:rsidRPr="003433D4" w:rsidRDefault="00151A98" w:rsidP="003433D4">
            <w:pPr>
              <w:pStyle w:val="ListParagraph"/>
              <w:jc w:val="both"/>
              <w:rPr>
                <w:rFonts w:asciiTheme="minorHAnsi" w:hAnsiTheme="minorHAnsi" w:cstheme="minorHAnsi"/>
                <w:bCs/>
                <w:sz w:val="22"/>
                <w:szCs w:val="22"/>
              </w:rPr>
            </w:pPr>
          </w:p>
          <w:p w:rsidR="00151A98" w:rsidRPr="003433D4" w:rsidRDefault="00151A98" w:rsidP="003433D4">
            <w:pPr>
              <w:numPr>
                <w:ilvl w:val="0"/>
                <w:numId w:val="24"/>
              </w:numPr>
              <w:jc w:val="both"/>
              <w:rPr>
                <w:rFonts w:asciiTheme="minorHAnsi" w:hAnsiTheme="minorHAnsi" w:cstheme="minorHAnsi"/>
                <w:bCs/>
                <w:sz w:val="22"/>
                <w:szCs w:val="22"/>
              </w:rPr>
            </w:pPr>
            <w:r w:rsidRPr="003433D4">
              <w:rPr>
                <w:rFonts w:asciiTheme="minorHAnsi" w:hAnsiTheme="minorHAnsi" w:cstheme="minorHAnsi"/>
                <w:bCs/>
                <w:sz w:val="22"/>
                <w:szCs w:val="22"/>
              </w:rPr>
              <w:t>Community Care</w:t>
            </w:r>
          </w:p>
          <w:p w:rsidR="00151A98" w:rsidRPr="003433D4" w:rsidRDefault="00151A98" w:rsidP="003433D4">
            <w:pPr>
              <w:pStyle w:val="ListParagraph"/>
              <w:jc w:val="both"/>
              <w:rPr>
                <w:rFonts w:asciiTheme="minorHAnsi" w:hAnsiTheme="minorHAnsi" w:cstheme="minorHAnsi"/>
                <w:bCs/>
                <w:sz w:val="22"/>
                <w:szCs w:val="22"/>
              </w:rPr>
            </w:pPr>
          </w:p>
          <w:p w:rsidR="000E45EF" w:rsidRPr="003433D4" w:rsidRDefault="00151A98" w:rsidP="003433D4">
            <w:pPr>
              <w:numPr>
                <w:ilvl w:val="0"/>
                <w:numId w:val="24"/>
              </w:numPr>
              <w:jc w:val="both"/>
              <w:rPr>
                <w:rFonts w:asciiTheme="minorHAnsi" w:hAnsiTheme="minorHAnsi" w:cstheme="minorHAnsi"/>
                <w:bCs/>
                <w:sz w:val="22"/>
                <w:szCs w:val="22"/>
              </w:rPr>
            </w:pPr>
            <w:r w:rsidRPr="003433D4">
              <w:rPr>
                <w:rFonts w:asciiTheme="minorHAnsi" w:hAnsiTheme="minorHAnsi" w:cstheme="minorHAnsi"/>
                <w:bCs/>
                <w:sz w:val="22"/>
                <w:szCs w:val="22"/>
              </w:rPr>
              <w:t xml:space="preserve">Primary Care </w:t>
            </w:r>
            <w:r w:rsidR="00607E93" w:rsidRPr="003433D4">
              <w:rPr>
                <w:rFonts w:asciiTheme="minorHAnsi" w:hAnsiTheme="minorHAnsi" w:cstheme="minorHAnsi"/>
                <w:bCs/>
                <w:sz w:val="22"/>
                <w:szCs w:val="22"/>
              </w:rPr>
              <w:t xml:space="preserve"> </w:t>
            </w:r>
          </w:p>
          <w:p w:rsidR="000E45EF" w:rsidRPr="003433D4" w:rsidRDefault="000E45EF" w:rsidP="003433D4">
            <w:pPr>
              <w:jc w:val="both"/>
              <w:rPr>
                <w:rFonts w:asciiTheme="minorHAnsi" w:hAnsiTheme="minorHAnsi" w:cstheme="minorHAnsi"/>
                <w:b/>
                <w:bCs/>
                <w:sz w:val="22"/>
                <w:szCs w:val="22"/>
              </w:rPr>
            </w:pPr>
          </w:p>
          <w:p w:rsidR="000E45EF" w:rsidRPr="003433D4" w:rsidRDefault="000E45EF" w:rsidP="003433D4">
            <w:pPr>
              <w:jc w:val="both"/>
              <w:rPr>
                <w:rFonts w:asciiTheme="minorHAnsi" w:hAnsiTheme="minorHAnsi" w:cstheme="minorHAnsi"/>
                <w:b/>
                <w:bCs/>
                <w:sz w:val="22"/>
                <w:szCs w:val="22"/>
              </w:rPr>
            </w:pPr>
          </w:p>
        </w:tc>
      </w:tr>
    </w:tbl>
    <w:p w:rsidR="000E45EF" w:rsidRPr="003433D4" w:rsidRDefault="000E45EF" w:rsidP="003433D4">
      <w:pPr>
        <w:jc w:val="both"/>
        <w:rPr>
          <w:rFonts w:asciiTheme="minorHAnsi" w:hAnsiTheme="minorHAnsi" w:cstheme="minorHAnsi"/>
          <w:b/>
          <w:bCs/>
          <w:sz w:val="22"/>
          <w:szCs w:val="22"/>
        </w:rPr>
      </w:pPr>
    </w:p>
    <w:p w:rsidR="000E45EF" w:rsidRPr="003433D4" w:rsidRDefault="000E45EF" w:rsidP="003433D4">
      <w:pPr>
        <w:jc w:val="both"/>
        <w:rPr>
          <w:rFonts w:asciiTheme="minorHAnsi" w:hAnsiTheme="minorHAnsi" w:cstheme="minorHAnsi"/>
          <w:bCs/>
          <w:sz w:val="22"/>
          <w:szCs w:val="22"/>
        </w:rPr>
      </w:pPr>
    </w:p>
    <w:p w:rsidR="000E45EF" w:rsidRPr="003433D4" w:rsidRDefault="003643C1" w:rsidP="003433D4">
      <w:pPr>
        <w:jc w:val="both"/>
        <w:rPr>
          <w:rFonts w:asciiTheme="minorHAnsi" w:hAnsiTheme="minorHAnsi" w:cstheme="minorHAnsi"/>
          <w:bCs/>
          <w:sz w:val="22"/>
          <w:szCs w:val="22"/>
        </w:rPr>
      </w:pPr>
      <w:r w:rsidRPr="003433D4">
        <w:rPr>
          <w:rFonts w:asciiTheme="minorHAnsi" w:hAnsiTheme="minorHAnsi" w:cstheme="minorHAnsi"/>
          <w:bCs/>
          <w:sz w:val="22"/>
          <w:szCs w:val="22"/>
        </w:rPr>
        <w:t>The following provides an update on the prog</w:t>
      </w:r>
      <w:r w:rsidR="00F87EB4" w:rsidRPr="003433D4">
        <w:rPr>
          <w:rFonts w:asciiTheme="minorHAnsi" w:hAnsiTheme="minorHAnsi" w:cstheme="minorHAnsi"/>
          <w:bCs/>
          <w:sz w:val="22"/>
          <w:szCs w:val="22"/>
        </w:rPr>
        <w:t>ress of each triangle in 2014/15 and their objectives in 2015/16</w:t>
      </w:r>
      <w:r w:rsidR="00F62905" w:rsidRPr="003433D4">
        <w:rPr>
          <w:rFonts w:asciiTheme="minorHAnsi" w:hAnsiTheme="minorHAnsi" w:cstheme="minorHAnsi"/>
          <w:bCs/>
          <w:sz w:val="22"/>
          <w:szCs w:val="22"/>
        </w:rPr>
        <w:t>.</w:t>
      </w:r>
    </w:p>
    <w:p w:rsidR="00A156EB" w:rsidRPr="003433D4" w:rsidRDefault="00A156EB" w:rsidP="003433D4">
      <w:pPr>
        <w:jc w:val="both"/>
        <w:rPr>
          <w:rFonts w:asciiTheme="minorHAnsi" w:hAnsiTheme="minorHAnsi" w:cstheme="minorHAnsi"/>
          <w:bCs/>
          <w:sz w:val="22"/>
          <w:szCs w:val="22"/>
        </w:rPr>
      </w:pPr>
    </w:p>
    <w:p w:rsidR="00A156EB" w:rsidRPr="003433D4" w:rsidRDefault="00A156EB" w:rsidP="003433D4">
      <w:pPr>
        <w:jc w:val="both"/>
        <w:rPr>
          <w:rFonts w:asciiTheme="minorHAnsi" w:hAnsiTheme="minorHAnsi" w:cstheme="minorHAnsi"/>
          <w:b/>
          <w:bCs/>
          <w:i/>
          <w:sz w:val="22"/>
          <w:szCs w:val="22"/>
        </w:rPr>
      </w:pPr>
      <w:r w:rsidRPr="003433D4">
        <w:rPr>
          <w:rFonts w:asciiTheme="minorHAnsi" w:hAnsiTheme="minorHAnsi" w:cstheme="minorHAnsi"/>
          <w:b/>
          <w:bCs/>
          <w:i/>
          <w:sz w:val="22"/>
          <w:szCs w:val="22"/>
        </w:rPr>
        <w:t>** Please note there are a number of acronyms within the report which have not been expanded upon due to brevity – however a glossary of terms can be supplied if needed ***</w:t>
      </w:r>
    </w:p>
    <w:p w:rsidR="00C362DD" w:rsidRPr="003433D4" w:rsidRDefault="00C362DD" w:rsidP="003433D4">
      <w:pPr>
        <w:jc w:val="both"/>
        <w:rPr>
          <w:rFonts w:asciiTheme="minorHAnsi" w:hAnsiTheme="minorHAnsi" w:cstheme="minorHAnsi"/>
          <w:b/>
          <w:bCs/>
          <w:sz w:val="22"/>
          <w:szCs w:val="22"/>
          <w:u w:val="single"/>
        </w:rPr>
      </w:pPr>
    </w:p>
    <w:p w:rsidR="004701CF" w:rsidRPr="003433D4" w:rsidRDefault="00912D7D" w:rsidP="003433D4">
      <w:pPr>
        <w:jc w:val="both"/>
        <w:rPr>
          <w:rFonts w:asciiTheme="minorHAnsi" w:hAnsiTheme="minorHAnsi" w:cstheme="minorHAnsi"/>
          <w:b/>
          <w:bCs/>
          <w:sz w:val="22"/>
          <w:szCs w:val="22"/>
          <w:u w:val="single"/>
        </w:rPr>
      </w:pPr>
      <w:r w:rsidRPr="003433D4">
        <w:rPr>
          <w:rFonts w:asciiTheme="minorHAnsi" w:hAnsiTheme="minorHAnsi" w:cstheme="minorHAnsi"/>
          <w:b/>
          <w:bCs/>
          <w:sz w:val="22"/>
          <w:szCs w:val="22"/>
          <w:u w:val="single"/>
        </w:rPr>
        <w:t>Planned Care Triangle</w:t>
      </w:r>
    </w:p>
    <w:p w:rsidR="00912D7D" w:rsidRPr="003433D4" w:rsidRDefault="00912D7D" w:rsidP="003433D4">
      <w:pPr>
        <w:jc w:val="both"/>
        <w:rPr>
          <w:rFonts w:asciiTheme="minorHAnsi" w:hAnsiTheme="minorHAnsi" w:cstheme="minorHAnsi"/>
          <w:b/>
          <w:bCs/>
          <w:sz w:val="22"/>
          <w:szCs w:val="22"/>
        </w:rPr>
      </w:pPr>
    </w:p>
    <w:p w:rsidR="004701CF" w:rsidRPr="003433D4" w:rsidRDefault="004701CF"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Clinical Lead:</w:t>
      </w:r>
      <w:r w:rsidRPr="003433D4">
        <w:rPr>
          <w:rFonts w:asciiTheme="minorHAnsi" w:hAnsiTheme="minorHAnsi" w:cstheme="minorHAnsi"/>
          <w:b/>
          <w:bCs/>
          <w:sz w:val="22"/>
          <w:szCs w:val="22"/>
        </w:rPr>
        <w:tab/>
      </w:r>
      <w:r w:rsidRPr="003433D4">
        <w:rPr>
          <w:rFonts w:asciiTheme="minorHAnsi" w:hAnsiTheme="minorHAnsi" w:cstheme="minorHAnsi"/>
          <w:b/>
          <w:bCs/>
          <w:sz w:val="22"/>
          <w:szCs w:val="22"/>
        </w:rPr>
        <w:tab/>
        <w:t>Dr Arun Nayyar</w:t>
      </w:r>
    </w:p>
    <w:p w:rsidR="004701CF" w:rsidRPr="003433D4" w:rsidRDefault="004701CF"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Service Lead:</w:t>
      </w:r>
      <w:r w:rsidRPr="003433D4">
        <w:rPr>
          <w:rFonts w:asciiTheme="minorHAnsi" w:hAnsiTheme="minorHAnsi" w:cstheme="minorHAnsi"/>
          <w:b/>
          <w:bCs/>
          <w:sz w:val="22"/>
          <w:szCs w:val="22"/>
        </w:rPr>
        <w:tab/>
      </w:r>
      <w:r w:rsidRPr="003433D4">
        <w:rPr>
          <w:rFonts w:asciiTheme="minorHAnsi" w:hAnsiTheme="minorHAnsi" w:cstheme="minorHAnsi"/>
          <w:b/>
          <w:bCs/>
          <w:sz w:val="22"/>
          <w:szCs w:val="22"/>
        </w:rPr>
        <w:tab/>
        <w:t>Pauline Bamgbala</w:t>
      </w:r>
    </w:p>
    <w:p w:rsidR="004701CF" w:rsidRPr="003433D4" w:rsidRDefault="004701CF"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Community Lead:</w:t>
      </w:r>
      <w:r w:rsidRPr="003433D4">
        <w:rPr>
          <w:rFonts w:asciiTheme="minorHAnsi" w:hAnsiTheme="minorHAnsi" w:cstheme="minorHAnsi"/>
          <w:b/>
          <w:bCs/>
          <w:sz w:val="22"/>
          <w:szCs w:val="22"/>
        </w:rPr>
        <w:tab/>
      </w:r>
      <w:r w:rsidR="004B60B9">
        <w:rPr>
          <w:rFonts w:asciiTheme="minorHAnsi" w:hAnsiTheme="minorHAnsi" w:cstheme="minorHAnsi"/>
          <w:b/>
          <w:bCs/>
          <w:sz w:val="22"/>
          <w:szCs w:val="22"/>
        </w:rPr>
        <w:t xml:space="preserve">vacant </w:t>
      </w:r>
    </w:p>
    <w:p w:rsidR="004701CF" w:rsidRPr="003433D4" w:rsidRDefault="004701CF" w:rsidP="003433D4">
      <w:pPr>
        <w:jc w:val="both"/>
        <w:rPr>
          <w:rFonts w:asciiTheme="minorHAnsi" w:hAnsiTheme="minorHAnsi" w:cstheme="minorHAnsi"/>
          <w:b/>
          <w:bCs/>
          <w:sz w:val="22"/>
          <w:szCs w:val="22"/>
        </w:rPr>
      </w:pPr>
    </w:p>
    <w:p w:rsidR="00F87EB4" w:rsidRPr="002A2134" w:rsidRDefault="004701CF"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 xml:space="preserve">Achievements </w:t>
      </w:r>
      <w:r w:rsidR="00F87EB4" w:rsidRPr="003433D4">
        <w:rPr>
          <w:rFonts w:asciiTheme="minorHAnsi" w:hAnsiTheme="minorHAnsi" w:cstheme="minorHAnsi"/>
          <w:b/>
          <w:bCs/>
          <w:sz w:val="22"/>
          <w:szCs w:val="22"/>
        </w:rPr>
        <w:t>in 2014/15</w:t>
      </w:r>
      <w:r w:rsidR="002A2134">
        <w:rPr>
          <w:rFonts w:asciiTheme="minorHAnsi" w:hAnsiTheme="minorHAnsi" w:cstheme="minorHAnsi"/>
          <w:b/>
          <w:bCs/>
          <w:sz w:val="22"/>
          <w:szCs w:val="22"/>
        </w:rPr>
        <w:t xml:space="preserve">: </w:t>
      </w:r>
      <w:r w:rsidR="00F87EB4" w:rsidRPr="003433D4">
        <w:rPr>
          <w:rFonts w:asciiTheme="minorHAnsi" w:hAnsiTheme="minorHAnsi" w:cstheme="minorHAnsi"/>
          <w:bCs/>
          <w:sz w:val="22"/>
          <w:szCs w:val="22"/>
        </w:rPr>
        <w:t xml:space="preserve">A dermatology community outpatient service has been set up at Cromwell Road meaning the vast majority of patients no longer need to travel to the hospital for their appointments. Working closely with the hospital, following a proposal to Council of Members, agreement was made to expand the ophthalmology space at DPOW to increase clinic capacity and to implement a glaucoma monitoring service.  In terms of supporting patients with long term conditions, diabetes patients now have access to a patient guide, monthly education sessions through a support group and access to injectable therapies at a local GP practice if their own practice does not provide this. GP practices have greater support through the community diabetes </w:t>
      </w:r>
      <w:r w:rsidR="00F87EB4" w:rsidRPr="003433D4">
        <w:rPr>
          <w:rFonts w:asciiTheme="minorHAnsi" w:hAnsiTheme="minorHAnsi" w:cstheme="minorHAnsi"/>
          <w:bCs/>
          <w:sz w:val="22"/>
          <w:szCs w:val="22"/>
        </w:rPr>
        <w:lastRenderedPageBreak/>
        <w:t xml:space="preserve">nurse specialist following sign off of a service specification. Neurology patients can now access two new specialist nurses funded externally and patients, carers and employers can access a </w:t>
      </w:r>
      <w:proofErr w:type="spellStart"/>
      <w:r w:rsidR="00F87EB4" w:rsidRPr="003433D4">
        <w:rPr>
          <w:rFonts w:asciiTheme="minorHAnsi" w:hAnsiTheme="minorHAnsi" w:cstheme="minorHAnsi"/>
          <w:bCs/>
          <w:sz w:val="22"/>
          <w:szCs w:val="22"/>
        </w:rPr>
        <w:t>self care</w:t>
      </w:r>
      <w:proofErr w:type="spellEnd"/>
      <w:r w:rsidR="00F87EB4" w:rsidRPr="003433D4">
        <w:rPr>
          <w:rFonts w:asciiTheme="minorHAnsi" w:hAnsiTheme="minorHAnsi" w:cstheme="minorHAnsi"/>
          <w:bCs/>
          <w:sz w:val="22"/>
          <w:szCs w:val="22"/>
        </w:rPr>
        <w:t xml:space="preserve"> education programme and COPD patients now have access to an in-reach smoking cessation service whilst in hospital. With regards to cancer care, a Macmillan survivorship project is now in place following a successful bid for funding, service specification for Familial Breast has been developed (awaiting sign off) and work continues around early identification, 2ww and analysis of A&amp;E admissions to improve care. </w:t>
      </w:r>
    </w:p>
    <w:p w:rsidR="004701CF" w:rsidRPr="003433D4" w:rsidRDefault="004701CF" w:rsidP="003433D4">
      <w:pPr>
        <w:jc w:val="both"/>
        <w:rPr>
          <w:rFonts w:asciiTheme="minorHAnsi" w:hAnsiTheme="minorHAnsi" w:cstheme="minorHAnsi"/>
          <w:b/>
          <w:bCs/>
          <w:sz w:val="22"/>
          <w:szCs w:val="22"/>
        </w:rPr>
      </w:pPr>
    </w:p>
    <w:p w:rsidR="00F87EB4" w:rsidRPr="002A2134" w:rsidRDefault="00F87EB4"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Objectives for 2015/16</w:t>
      </w:r>
      <w:r w:rsidR="002A2134">
        <w:rPr>
          <w:rFonts w:asciiTheme="minorHAnsi" w:hAnsiTheme="minorHAnsi" w:cstheme="minorHAnsi"/>
          <w:b/>
          <w:bCs/>
          <w:sz w:val="22"/>
          <w:szCs w:val="22"/>
        </w:rPr>
        <w:t xml:space="preserve">: </w:t>
      </w:r>
      <w:r w:rsidRPr="003433D4">
        <w:rPr>
          <w:rFonts w:asciiTheme="minorHAnsi" w:hAnsiTheme="minorHAnsi" w:cstheme="minorHAnsi"/>
          <w:bCs/>
          <w:sz w:val="22"/>
          <w:szCs w:val="22"/>
        </w:rPr>
        <w:t xml:space="preserve">The main focus for 2015-16 is the development and implementation of a Long Term Conditions model initially focusing on COPD to improve management of patients. Other priorities include working with the hospital around the development of the ophthalmology service and seeking assurance on current service delivery, reducing out-patient follow ups, working with primary and secondary care including implementation of </w:t>
      </w:r>
      <w:proofErr w:type="spellStart"/>
      <w:r w:rsidRPr="003433D4">
        <w:rPr>
          <w:rFonts w:asciiTheme="minorHAnsi" w:hAnsiTheme="minorHAnsi" w:cstheme="minorHAnsi"/>
          <w:bCs/>
          <w:sz w:val="22"/>
          <w:szCs w:val="22"/>
        </w:rPr>
        <w:t>tele</w:t>
      </w:r>
      <w:proofErr w:type="spellEnd"/>
      <w:r w:rsidRPr="003433D4">
        <w:rPr>
          <w:rFonts w:asciiTheme="minorHAnsi" w:hAnsiTheme="minorHAnsi" w:cstheme="minorHAnsi"/>
          <w:bCs/>
          <w:sz w:val="22"/>
          <w:szCs w:val="22"/>
        </w:rPr>
        <w:t xml:space="preserve">-dermatology service </w:t>
      </w:r>
      <w:proofErr w:type="gramStart"/>
      <w:r w:rsidRPr="003433D4">
        <w:rPr>
          <w:rFonts w:asciiTheme="minorHAnsi" w:hAnsiTheme="minorHAnsi" w:cstheme="minorHAnsi"/>
          <w:bCs/>
          <w:sz w:val="22"/>
          <w:szCs w:val="22"/>
        </w:rPr>
        <w:t>and  for</w:t>
      </w:r>
      <w:proofErr w:type="gramEnd"/>
      <w:r w:rsidRPr="003433D4">
        <w:rPr>
          <w:rFonts w:asciiTheme="minorHAnsi" w:hAnsiTheme="minorHAnsi" w:cstheme="minorHAnsi"/>
          <w:bCs/>
          <w:sz w:val="22"/>
          <w:szCs w:val="22"/>
        </w:rPr>
        <w:t xml:space="preserve"> cancer, supporting primary and secondary care in implementing new NICE guidance around early identification and two week wait and implementing a locality action plan.    </w:t>
      </w:r>
    </w:p>
    <w:p w:rsidR="004701CF" w:rsidRPr="003433D4" w:rsidRDefault="004701CF" w:rsidP="003433D4">
      <w:pPr>
        <w:jc w:val="both"/>
        <w:rPr>
          <w:rFonts w:asciiTheme="minorHAnsi" w:hAnsiTheme="minorHAnsi" w:cstheme="minorHAnsi"/>
          <w:b/>
          <w:bCs/>
          <w:sz w:val="22"/>
          <w:szCs w:val="22"/>
        </w:rPr>
      </w:pPr>
    </w:p>
    <w:p w:rsidR="00912D7D" w:rsidRPr="003433D4" w:rsidRDefault="00912D7D" w:rsidP="003433D4">
      <w:pPr>
        <w:jc w:val="both"/>
        <w:rPr>
          <w:rFonts w:asciiTheme="minorHAnsi" w:hAnsiTheme="minorHAnsi" w:cstheme="minorHAnsi"/>
          <w:b/>
          <w:bCs/>
          <w:sz w:val="22"/>
          <w:szCs w:val="22"/>
          <w:u w:val="single"/>
        </w:rPr>
      </w:pPr>
      <w:r w:rsidRPr="003433D4">
        <w:rPr>
          <w:rFonts w:asciiTheme="minorHAnsi" w:hAnsiTheme="minorHAnsi" w:cstheme="minorHAnsi"/>
          <w:b/>
          <w:bCs/>
          <w:sz w:val="22"/>
          <w:szCs w:val="22"/>
          <w:u w:val="single"/>
        </w:rPr>
        <w:t>Unplanned Care (Urgent, Emergency &amp; Intermediate) Triangle</w:t>
      </w:r>
    </w:p>
    <w:p w:rsidR="00912D7D" w:rsidRPr="003433D4" w:rsidRDefault="00912D7D" w:rsidP="003433D4">
      <w:pPr>
        <w:jc w:val="both"/>
        <w:rPr>
          <w:rFonts w:asciiTheme="minorHAnsi" w:hAnsiTheme="minorHAnsi" w:cstheme="minorHAnsi"/>
          <w:b/>
          <w:bCs/>
          <w:sz w:val="22"/>
          <w:szCs w:val="22"/>
        </w:rPr>
      </w:pPr>
    </w:p>
    <w:p w:rsidR="00912D7D" w:rsidRPr="003433D4" w:rsidRDefault="00912D7D"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Clinical Lead       </w:t>
      </w:r>
      <w:r w:rsidRPr="003433D4">
        <w:rPr>
          <w:rFonts w:asciiTheme="minorHAnsi" w:hAnsiTheme="minorHAnsi" w:cstheme="minorHAnsi"/>
          <w:b/>
          <w:bCs/>
          <w:sz w:val="22"/>
          <w:szCs w:val="22"/>
        </w:rPr>
        <w:tab/>
        <w:t>Dr Rakesh Pathak</w:t>
      </w:r>
    </w:p>
    <w:p w:rsidR="0031746B" w:rsidRPr="003433D4" w:rsidRDefault="0031746B"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Service Lead</w:t>
      </w:r>
      <w:r w:rsidRPr="003433D4">
        <w:rPr>
          <w:rFonts w:asciiTheme="minorHAnsi" w:hAnsiTheme="minorHAnsi" w:cstheme="minorHAnsi"/>
          <w:b/>
          <w:bCs/>
          <w:sz w:val="22"/>
          <w:szCs w:val="22"/>
        </w:rPr>
        <w:tab/>
      </w:r>
      <w:r w:rsidRPr="003433D4">
        <w:rPr>
          <w:rFonts w:asciiTheme="minorHAnsi" w:hAnsiTheme="minorHAnsi" w:cstheme="minorHAnsi"/>
          <w:b/>
          <w:bCs/>
          <w:sz w:val="22"/>
          <w:szCs w:val="22"/>
        </w:rPr>
        <w:tab/>
        <w:t>Andy Ombler</w:t>
      </w:r>
    </w:p>
    <w:p w:rsidR="00912D7D" w:rsidRPr="003433D4" w:rsidRDefault="00912D7D"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Community Lead      </w:t>
      </w:r>
      <w:r w:rsidR="00586C51">
        <w:rPr>
          <w:rFonts w:asciiTheme="minorHAnsi" w:hAnsiTheme="minorHAnsi" w:cstheme="minorHAnsi"/>
          <w:b/>
          <w:bCs/>
          <w:sz w:val="22"/>
          <w:szCs w:val="22"/>
        </w:rPr>
        <w:tab/>
      </w:r>
      <w:r w:rsidRPr="003433D4">
        <w:rPr>
          <w:rFonts w:asciiTheme="minorHAnsi" w:hAnsiTheme="minorHAnsi" w:cstheme="minorHAnsi"/>
          <w:b/>
          <w:bCs/>
          <w:sz w:val="22"/>
          <w:szCs w:val="22"/>
        </w:rPr>
        <w:t xml:space="preserve">Anne </w:t>
      </w:r>
      <w:proofErr w:type="spellStart"/>
      <w:r w:rsidRPr="003433D4">
        <w:rPr>
          <w:rFonts w:asciiTheme="minorHAnsi" w:hAnsiTheme="minorHAnsi" w:cstheme="minorHAnsi"/>
          <w:b/>
          <w:bCs/>
          <w:sz w:val="22"/>
          <w:szCs w:val="22"/>
        </w:rPr>
        <w:t>Hames</w:t>
      </w:r>
      <w:proofErr w:type="spellEnd"/>
    </w:p>
    <w:p w:rsidR="00912D7D" w:rsidRPr="003433D4" w:rsidRDefault="00912D7D" w:rsidP="003433D4">
      <w:pPr>
        <w:jc w:val="both"/>
        <w:rPr>
          <w:rFonts w:asciiTheme="minorHAnsi" w:hAnsiTheme="minorHAnsi" w:cstheme="minorHAnsi"/>
          <w:b/>
          <w:bCs/>
          <w:sz w:val="22"/>
          <w:szCs w:val="22"/>
        </w:rPr>
      </w:pPr>
    </w:p>
    <w:p w:rsidR="00EF29ED" w:rsidRPr="003433D4" w:rsidRDefault="00EF29ED"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Achievements in 2014/15</w:t>
      </w:r>
      <w:r w:rsidR="002A2134">
        <w:rPr>
          <w:rFonts w:asciiTheme="minorHAnsi" w:hAnsiTheme="minorHAnsi" w:cstheme="minorHAnsi"/>
          <w:b/>
          <w:bCs/>
          <w:sz w:val="22"/>
          <w:szCs w:val="22"/>
        </w:rPr>
        <w:t xml:space="preserve">: </w:t>
      </w:r>
      <w:r w:rsidRPr="003433D4">
        <w:rPr>
          <w:rFonts w:asciiTheme="minorHAnsi" w:hAnsiTheme="minorHAnsi" w:cstheme="minorHAnsi"/>
          <w:bCs/>
          <w:sz w:val="22"/>
          <w:szCs w:val="22"/>
        </w:rPr>
        <w:t xml:space="preserve">In year, the national requirements for planning and monitoring of capacity and demand in unplanned care have been </w:t>
      </w:r>
      <w:proofErr w:type="gramStart"/>
      <w:r w:rsidRPr="003433D4">
        <w:rPr>
          <w:rFonts w:asciiTheme="minorHAnsi" w:hAnsiTheme="minorHAnsi" w:cstheme="minorHAnsi"/>
          <w:bCs/>
          <w:sz w:val="22"/>
          <w:szCs w:val="22"/>
        </w:rPr>
        <w:t>implemented  through</w:t>
      </w:r>
      <w:proofErr w:type="gramEnd"/>
      <w:r w:rsidRPr="003433D4">
        <w:rPr>
          <w:rFonts w:asciiTheme="minorHAnsi" w:hAnsiTheme="minorHAnsi" w:cstheme="minorHAnsi"/>
          <w:bCs/>
          <w:sz w:val="22"/>
          <w:szCs w:val="22"/>
        </w:rPr>
        <w:t xml:space="preserve"> the establishment of the System Resilience Group (SRG) as a development of the Unplanned Care Board. Building on the processes developed in the previous year this includes the now standardised NHS England approach to Winter Planning and assurance on provider resilience. The Unplanned Care Triangle used a review approach on NEL Urgent Care public access (“Perfect 24/7”) that compared against national policy and published best practice in order to identify some aspirational standards for improvement. Intermediate Care has been in considerable focus as plans for the services’ bed configuration located on the DPoW site were not implemented permanently and IC bed facilities and service pathways were a key feature of resilience support. Work began on Rapid Response and Intermediate Care service specifications and ambulance handover support initiatives fully implemented</w:t>
      </w:r>
      <w:r w:rsidRPr="003433D4">
        <w:rPr>
          <w:rFonts w:asciiTheme="minorHAnsi" w:hAnsiTheme="minorHAnsi" w:cstheme="minorHAnsi"/>
          <w:b/>
          <w:bCs/>
          <w:sz w:val="22"/>
          <w:szCs w:val="22"/>
        </w:rPr>
        <w:t>.</w:t>
      </w:r>
    </w:p>
    <w:p w:rsidR="00912D7D" w:rsidRPr="003433D4" w:rsidRDefault="00912D7D" w:rsidP="003433D4">
      <w:pPr>
        <w:jc w:val="both"/>
        <w:rPr>
          <w:rFonts w:asciiTheme="minorHAnsi" w:hAnsiTheme="minorHAnsi" w:cstheme="minorHAnsi"/>
          <w:b/>
          <w:bCs/>
          <w:sz w:val="22"/>
          <w:szCs w:val="22"/>
        </w:rPr>
      </w:pPr>
    </w:p>
    <w:p w:rsidR="00EF29ED" w:rsidRPr="002A2134" w:rsidRDefault="00EF29ED"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Objectives for 2015/16</w:t>
      </w:r>
      <w:r w:rsidR="002A2134">
        <w:rPr>
          <w:rFonts w:asciiTheme="minorHAnsi" w:hAnsiTheme="minorHAnsi" w:cstheme="minorHAnsi"/>
          <w:b/>
          <w:bCs/>
          <w:sz w:val="22"/>
          <w:szCs w:val="22"/>
        </w:rPr>
        <w:t xml:space="preserve">: </w:t>
      </w:r>
      <w:r w:rsidRPr="003433D4">
        <w:rPr>
          <w:rFonts w:asciiTheme="minorHAnsi" w:hAnsiTheme="minorHAnsi" w:cstheme="minorHAnsi"/>
          <w:bCs/>
          <w:sz w:val="22"/>
          <w:szCs w:val="22"/>
        </w:rPr>
        <w:t xml:space="preserve">The priority for this year is the leadership role of the triangle in the overall development of the NEL </w:t>
      </w:r>
      <w:proofErr w:type="gramStart"/>
      <w:r w:rsidRPr="003433D4">
        <w:rPr>
          <w:rFonts w:asciiTheme="minorHAnsi" w:hAnsiTheme="minorHAnsi" w:cstheme="minorHAnsi"/>
          <w:bCs/>
          <w:sz w:val="22"/>
          <w:szCs w:val="22"/>
        </w:rPr>
        <w:t>Out</w:t>
      </w:r>
      <w:proofErr w:type="gramEnd"/>
      <w:r w:rsidRPr="003433D4">
        <w:rPr>
          <w:rFonts w:asciiTheme="minorHAnsi" w:hAnsiTheme="minorHAnsi" w:cstheme="minorHAnsi"/>
          <w:bCs/>
          <w:sz w:val="22"/>
          <w:szCs w:val="22"/>
        </w:rPr>
        <w:t xml:space="preserve"> of Hospital Urgent Care model which will require close coordination and working with other service triangles to deliver the disparate elements of an improved urgent care response. Whilst this focuses on service access there remains a requirement to continue to improve patient flow once admitted by improving the system wide approach to discharge planning and the discharge service pathways – especially intermediate tier services. System resilience developments will support</w:t>
      </w:r>
      <w:proofErr w:type="gramStart"/>
      <w:r w:rsidRPr="003433D4">
        <w:rPr>
          <w:rFonts w:asciiTheme="minorHAnsi" w:hAnsiTheme="minorHAnsi" w:cstheme="minorHAnsi"/>
          <w:bCs/>
          <w:sz w:val="22"/>
          <w:szCs w:val="22"/>
        </w:rPr>
        <w:t>  these</w:t>
      </w:r>
      <w:proofErr w:type="gramEnd"/>
      <w:r w:rsidRPr="003433D4">
        <w:rPr>
          <w:rFonts w:asciiTheme="minorHAnsi" w:hAnsiTheme="minorHAnsi" w:cstheme="minorHAnsi"/>
          <w:bCs/>
          <w:sz w:val="22"/>
          <w:szCs w:val="22"/>
        </w:rPr>
        <w:t xml:space="preserve"> developments and will require significant assurance through the development of NHSE determined best practice ( 8 High Impact Initiatives ). This year is also expected to see further developments of national Emergency Care Networks and Urgent Care Networks as well as the potential for new provider accountability and alliance models.</w:t>
      </w:r>
    </w:p>
    <w:p w:rsidR="00912D7D" w:rsidRPr="003433D4" w:rsidRDefault="00912D7D" w:rsidP="003433D4">
      <w:pPr>
        <w:jc w:val="both"/>
        <w:rPr>
          <w:rFonts w:asciiTheme="minorHAnsi" w:hAnsiTheme="minorHAnsi" w:cstheme="minorHAnsi"/>
          <w:b/>
          <w:bCs/>
          <w:sz w:val="22"/>
          <w:szCs w:val="22"/>
        </w:rPr>
      </w:pPr>
    </w:p>
    <w:p w:rsidR="003643C1" w:rsidRPr="00B93C84" w:rsidRDefault="00912D7D" w:rsidP="003433D4">
      <w:pPr>
        <w:jc w:val="both"/>
        <w:rPr>
          <w:rFonts w:asciiTheme="minorHAnsi" w:hAnsiTheme="minorHAnsi" w:cstheme="minorHAnsi"/>
          <w:b/>
          <w:bCs/>
          <w:sz w:val="22"/>
          <w:szCs w:val="22"/>
          <w:u w:val="single"/>
        </w:rPr>
      </w:pPr>
      <w:r w:rsidRPr="00B93C84">
        <w:rPr>
          <w:rFonts w:asciiTheme="minorHAnsi" w:hAnsiTheme="minorHAnsi" w:cstheme="minorHAnsi"/>
          <w:b/>
          <w:bCs/>
          <w:sz w:val="22"/>
          <w:szCs w:val="22"/>
          <w:u w:val="single"/>
        </w:rPr>
        <w:t xml:space="preserve">Women’s and Children’s </w:t>
      </w:r>
      <w:r w:rsidR="00C362DD" w:rsidRPr="00B93C84">
        <w:rPr>
          <w:rFonts w:asciiTheme="minorHAnsi" w:hAnsiTheme="minorHAnsi" w:cstheme="minorHAnsi"/>
          <w:b/>
          <w:bCs/>
          <w:sz w:val="22"/>
          <w:szCs w:val="22"/>
          <w:u w:val="single"/>
        </w:rPr>
        <w:t>Triangle</w:t>
      </w:r>
    </w:p>
    <w:p w:rsidR="0031746B" w:rsidRPr="00B93C84" w:rsidRDefault="0031746B" w:rsidP="003433D4">
      <w:pPr>
        <w:jc w:val="both"/>
        <w:rPr>
          <w:rFonts w:asciiTheme="minorHAnsi" w:hAnsiTheme="minorHAnsi" w:cstheme="minorHAnsi"/>
          <w:b/>
          <w:bCs/>
          <w:sz w:val="22"/>
          <w:szCs w:val="22"/>
        </w:rPr>
      </w:pPr>
    </w:p>
    <w:p w:rsidR="0031746B" w:rsidRPr="00B93C84" w:rsidRDefault="0031746B" w:rsidP="003433D4">
      <w:pPr>
        <w:jc w:val="both"/>
        <w:rPr>
          <w:rFonts w:asciiTheme="minorHAnsi" w:hAnsiTheme="minorHAnsi" w:cstheme="minorHAnsi"/>
          <w:b/>
          <w:bCs/>
          <w:sz w:val="22"/>
          <w:szCs w:val="22"/>
        </w:rPr>
      </w:pPr>
      <w:r w:rsidRPr="00B93C84">
        <w:rPr>
          <w:rFonts w:asciiTheme="minorHAnsi" w:hAnsiTheme="minorHAnsi" w:cstheme="minorHAnsi"/>
          <w:b/>
          <w:bCs/>
          <w:sz w:val="22"/>
          <w:szCs w:val="22"/>
        </w:rPr>
        <w:t>Clinical Lead       </w:t>
      </w:r>
      <w:r w:rsidRPr="00B93C84">
        <w:rPr>
          <w:rFonts w:asciiTheme="minorHAnsi" w:hAnsiTheme="minorHAnsi" w:cstheme="minorHAnsi"/>
          <w:b/>
          <w:bCs/>
          <w:sz w:val="22"/>
          <w:szCs w:val="22"/>
        </w:rPr>
        <w:tab/>
        <w:t>Dr Marcia Pathak</w:t>
      </w:r>
    </w:p>
    <w:p w:rsidR="0031746B" w:rsidRPr="00B93C84" w:rsidRDefault="0031746B" w:rsidP="003433D4">
      <w:pPr>
        <w:jc w:val="both"/>
        <w:rPr>
          <w:rFonts w:asciiTheme="minorHAnsi" w:hAnsiTheme="minorHAnsi" w:cstheme="minorHAnsi"/>
          <w:b/>
          <w:bCs/>
          <w:sz w:val="22"/>
          <w:szCs w:val="22"/>
        </w:rPr>
      </w:pPr>
      <w:r w:rsidRPr="00B93C84">
        <w:rPr>
          <w:rFonts w:asciiTheme="minorHAnsi" w:hAnsiTheme="minorHAnsi" w:cstheme="minorHAnsi"/>
          <w:b/>
          <w:bCs/>
          <w:sz w:val="22"/>
          <w:szCs w:val="22"/>
        </w:rPr>
        <w:t xml:space="preserve">Service Lead </w:t>
      </w:r>
      <w:r w:rsidRPr="00B93C84">
        <w:rPr>
          <w:rFonts w:asciiTheme="minorHAnsi" w:hAnsiTheme="minorHAnsi" w:cstheme="minorHAnsi"/>
          <w:b/>
          <w:bCs/>
          <w:sz w:val="22"/>
          <w:szCs w:val="22"/>
        </w:rPr>
        <w:tab/>
      </w:r>
      <w:r w:rsidRPr="00B93C84">
        <w:rPr>
          <w:rFonts w:asciiTheme="minorHAnsi" w:hAnsiTheme="minorHAnsi" w:cstheme="minorHAnsi"/>
          <w:b/>
          <w:bCs/>
          <w:sz w:val="22"/>
          <w:szCs w:val="22"/>
        </w:rPr>
        <w:tab/>
        <w:t>Michelle Barnard</w:t>
      </w:r>
    </w:p>
    <w:p w:rsidR="0031746B" w:rsidRPr="00B93C84" w:rsidRDefault="0031746B" w:rsidP="003433D4">
      <w:pPr>
        <w:jc w:val="both"/>
        <w:rPr>
          <w:rFonts w:asciiTheme="minorHAnsi" w:hAnsiTheme="minorHAnsi" w:cstheme="minorHAnsi"/>
          <w:b/>
          <w:bCs/>
          <w:sz w:val="22"/>
          <w:szCs w:val="22"/>
        </w:rPr>
      </w:pPr>
      <w:r w:rsidRPr="00B93C84">
        <w:rPr>
          <w:rFonts w:asciiTheme="minorHAnsi" w:hAnsiTheme="minorHAnsi" w:cstheme="minorHAnsi"/>
          <w:b/>
          <w:bCs/>
          <w:sz w:val="22"/>
          <w:szCs w:val="22"/>
        </w:rPr>
        <w:t>Community Lead      </w:t>
      </w:r>
      <w:r w:rsidR="00B93C84" w:rsidRPr="00B93C84">
        <w:rPr>
          <w:rFonts w:asciiTheme="minorHAnsi" w:hAnsiTheme="minorHAnsi" w:cstheme="minorHAnsi"/>
          <w:b/>
          <w:bCs/>
          <w:sz w:val="22"/>
          <w:szCs w:val="22"/>
        </w:rPr>
        <w:tab/>
      </w:r>
      <w:r w:rsidRPr="00B93C84">
        <w:rPr>
          <w:rFonts w:asciiTheme="minorHAnsi" w:hAnsiTheme="minorHAnsi" w:cstheme="minorHAnsi"/>
          <w:b/>
          <w:bCs/>
          <w:sz w:val="22"/>
          <w:szCs w:val="22"/>
        </w:rPr>
        <w:t>Pam Taylor</w:t>
      </w:r>
    </w:p>
    <w:p w:rsidR="0031746B" w:rsidRPr="00B93C84" w:rsidRDefault="0031746B" w:rsidP="003433D4">
      <w:pPr>
        <w:jc w:val="both"/>
        <w:rPr>
          <w:rFonts w:asciiTheme="minorHAnsi" w:hAnsiTheme="minorHAnsi" w:cstheme="minorHAnsi"/>
          <w:b/>
          <w:bCs/>
          <w:sz w:val="22"/>
          <w:szCs w:val="22"/>
          <w:u w:val="single"/>
        </w:rPr>
      </w:pPr>
    </w:p>
    <w:p w:rsidR="00912D7D" w:rsidRPr="00B93C84" w:rsidRDefault="00B93C84" w:rsidP="003433D4">
      <w:pPr>
        <w:jc w:val="both"/>
        <w:rPr>
          <w:rFonts w:asciiTheme="minorHAnsi" w:hAnsiTheme="minorHAnsi" w:cstheme="minorHAnsi"/>
          <w:b/>
          <w:bCs/>
          <w:sz w:val="22"/>
          <w:szCs w:val="22"/>
        </w:rPr>
      </w:pPr>
      <w:r w:rsidRPr="00B93C84">
        <w:rPr>
          <w:rFonts w:asciiTheme="minorHAnsi" w:hAnsiTheme="minorHAnsi" w:cstheme="minorHAnsi"/>
          <w:b/>
          <w:bCs/>
          <w:sz w:val="22"/>
          <w:szCs w:val="22"/>
        </w:rPr>
        <w:t>Achievements in 20</w:t>
      </w:r>
      <w:r w:rsidR="00912D7D" w:rsidRPr="00B93C84">
        <w:rPr>
          <w:rFonts w:asciiTheme="minorHAnsi" w:hAnsiTheme="minorHAnsi" w:cstheme="minorHAnsi"/>
          <w:b/>
          <w:bCs/>
          <w:sz w:val="22"/>
          <w:szCs w:val="22"/>
        </w:rPr>
        <w:t>14</w:t>
      </w:r>
      <w:r w:rsidRPr="00B93C84">
        <w:rPr>
          <w:rFonts w:asciiTheme="minorHAnsi" w:hAnsiTheme="minorHAnsi" w:cstheme="minorHAnsi"/>
          <w:b/>
          <w:bCs/>
          <w:sz w:val="22"/>
          <w:szCs w:val="22"/>
        </w:rPr>
        <w:t xml:space="preserve">/15: </w:t>
      </w:r>
      <w:r w:rsidR="003E06F4" w:rsidRPr="00B93C84">
        <w:rPr>
          <w:rFonts w:asciiTheme="minorHAnsi" w:hAnsiTheme="minorHAnsi" w:cstheme="minorHAnsi"/>
          <w:bCs/>
          <w:sz w:val="22"/>
          <w:szCs w:val="22"/>
        </w:rPr>
        <w:t xml:space="preserve">Over the last year </w:t>
      </w:r>
      <w:r>
        <w:rPr>
          <w:rFonts w:asciiTheme="minorHAnsi" w:hAnsiTheme="minorHAnsi" w:cstheme="minorHAnsi"/>
          <w:bCs/>
          <w:sz w:val="22"/>
          <w:szCs w:val="22"/>
        </w:rPr>
        <w:t xml:space="preserve">the triangle concluded the evaluation of the paediatric community nursing service which resulted in a successful business case to enhance the service and </w:t>
      </w:r>
      <w:r w:rsidR="00365E8A">
        <w:rPr>
          <w:rFonts w:asciiTheme="minorHAnsi" w:hAnsiTheme="minorHAnsi" w:cstheme="minorHAnsi"/>
          <w:bCs/>
          <w:sz w:val="22"/>
          <w:szCs w:val="22"/>
        </w:rPr>
        <w:t>a revision of all the referral pathways, The</w:t>
      </w:r>
      <w:r w:rsidR="009633E3" w:rsidRPr="00B93C84">
        <w:rPr>
          <w:rFonts w:asciiTheme="minorHAnsi" w:hAnsiTheme="minorHAnsi" w:cstheme="minorHAnsi"/>
          <w:bCs/>
          <w:sz w:val="22"/>
          <w:szCs w:val="22"/>
        </w:rPr>
        <w:t xml:space="preserve"> paediatric assessment unit in A&amp;E </w:t>
      </w:r>
      <w:r>
        <w:rPr>
          <w:rFonts w:asciiTheme="minorHAnsi" w:hAnsiTheme="minorHAnsi" w:cstheme="minorHAnsi"/>
          <w:bCs/>
          <w:sz w:val="22"/>
          <w:szCs w:val="22"/>
        </w:rPr>
        <w:t>has continued to be a success</w:t>
      </w:r>
      <w:r w:rsidR="00365E8A">
        <w:rPr>
          <w:rFonts w:asciiTheme="minorHAnsi" w:hAnsiTheme="minorHAnsi" w:cstheme="minorHAnsi"/>
          <w:bCs/>
          <w:sz w:val="22"/>
          <w:szCs w:val="22"/>
        </w:rPr>
        <w:t xml:space="preserve">, the patient </w:t>
      </w:r>
      <w:r w:rsidR="00365E8A">
        <w:rPr>
          <w:rFonts w:asciiTheme="minorHAnsi" w:hAnsiTheme="minorHAnsi" w:cstheme="minorHAnsi"/>
          <w:bCs/>
          <w:sz w:val="22"/>
          <w:szCs w:val="22"/>
        </w:rPr>
        <w:lastRenderedPageBreak/>
        <w:t>experience survey planned in year met some delays due to patient data</w:t>
      </w:r>
      <w:r w:rsidR="004B60B9">
        <w:rPr>
          <w:rFonts w:asciiTheme="minorHAnsi" w:hAnsiTheme="minorHAnsi" w:cstheme="minorHAnsi"/>
          <w:bCs/>
          <w:sz w:val="22"/>
          <w:szCs w:val="22"/>
        </w:rPr>
        <w:t xml:space="preserve"> issues</w:t>
      </w:r>
      <w:r w:rsidR="00365E8A">
        <w:rPr>
          <w:rFonts w:asciiTheme="minorHAnsi" w:hAnsiTheme="minorHAnsi" w:cstheme="minorHAnsi"/>
          <w:bCs/>
          <w:sz w:val="22"/>
          <w:szCs w:val="22"/>
        </w:rPr>
        <w:t xml:space="preserve"> however this has been taken forward as a priority in 15/16. </w:t>
      </w:r>
      <w:r w:rsidR="009B7BE2" w:rsidRPr="00B93C84">
        <w:rPr>
          <w:rFonts w:asciiTheme="minorHAnsi" w:hAnsiTheme="minorHAnsi" w:cstheme="minorHAnsi"/>
          <w:bCs/>
          <w:sz w:val="22"/>
          <w:szCs w:val="22"/>
        </w:rPr>
        <w:t xml:space="preserve">The Clinical Lead </w:t>
      </w:r>
      <w:r w:rsidR="00365E8A">
        <w:rPr>
          <w:rFonts w:asciiTheme="minorHAnsi" w:hAnsiTheme="minorHAnsi" w:cstheme="minorHAnsi"/>
          <w:bCs/>
          <w:sz w:val="22"/>
          <w:szCs w:val="22"/>
        </w:rPr>
        <w:t>has continued to chair</w:t>
      </w:r>
      <w:r w:rsidR="009B7BE2" w:rsidRPr="00B93C84">
        <w:rPr>
          <w:rFonts w:asciiTheme="minorHAnsi" w:hAnsiTheme="minorHAnsi" w:cstheme="minorHAnsi"/>
          <w:bCs/>
          <w:sz w:val="22"/>
          <w:szCs w:val="22"/>
        </w:rPr>
        <w:t xml:space="preserve"> the immunisation forum and </w:t>
      </w:r>
      <w:r w:rsidR="00365E8A">
        <w:rPr>
          <w:rFonts w:asciiTheme="minorHAnsi" w:hAnsiTheme="minorHAnsi" w:cstheme="minorHAnsi"/>
          <w:bCs/>
          <w:sz w:val="22"/>
          <w:szCs w:val="22"/>
        </w:rPr>
        <w:t xml:space="preserve">our immunisation rates are amongst the highest (best) in the country, this is a significant achievement given where we were a few years previously. </w:t>
      </w:r>
      <w:r w:rsidR="00DB3DBC">
        <w:rPr>
          <w:rFonts w:asciiTheme="minorHAnsi" w:hAnsiTheme="minorHAnsi" w:cstheme="minorHAnsi"/>
          <w:bCs/>
          <w:sz w:val="22"/>
          <w:szCs w:val="22"/>
        </w:rPr>
        <w:t xml:space="preserve">The review of the Looked </w:t>
      </w:r>
      <w:proofErr w:type="gramStart"/>
      <w:r w:rsidR="00DB3DBC">
        <w:rPr>
          <w:rFonts w:asciiTheme="minorHAnsi" w:hAnsiTheme="minorHAnsi" w:cstheme="minorHAnsi"/>
          <w:bCs/>
          <w:sz w:val="22"/>
          <w:szCs w:val="22"/>
        </w:rPr>
        <w:t>After</w:t>
      </w:r>
      <w:proofErr w:type="gramEnd"/>
      <w:r w:rsidR="00DB3DBC">
        <w:rPr>
          <w:rFonts w:asciiTheme="minorHAnsi" w:hAnsiTheme="minorHAnsi" w:cstheme="minorHAnsi"/>
          <w:bCs/>
          <w:sz w:val="22"/>
          <w:szCs w:val="22"/>
        </w:rPr>
        <w:t xml:space="preserve"> Children’s </w:t>
      </w:r>
      <w:r w:rsidR="004B60B9">
        <w:rPr>
          <w:rFonts w:asciiTheme="minorHAnsi" w:hAnsiTheme="minorHAnsi" w:cstheme="minorHAnsi"/>
          <w:bCs/>
          <w:sz w:val="22"/>
          <w:szCs w:val="22"/>
        </w:rPr>
        <w:t xml:space="preserve">(LAC) </w:t>
      </w:r>
      <w:r w:rsidR="00DB3DBC">
        <w:rPr>
          <w:rFonts w:asciiTheme="minorHAnsi" w:hAnsiTheme="minorHAnsi" w:cstheme="minorHAnsi"/>
          <w:bCs/>
          <w:sz w:val="22"/>
          <w:szCs w:val="22"/>
        </w:rPr>
        <w:t xml:space="preserve">health service concluded and a new improved service is now in place and we have now achieved our targets for successful, timely completion of </w:t>
      </w:r>
      <w:r w:rsidR="004B60B9">
        <w:rPr>
          <w:rFonts w:asciiTheme="minorHAnsi" w:hAnsiTheme="minorHAnsi" w:cstheme="minorHAnsi"/>
          <w:bCs/>
          <w:sz w:val="22"/>
          <w:szCs w:val="22"/>
        </w:rPr>
        <w:t xml:space="preserve">LAC health </w:t>
      </w:r>
      <w:r w:rsidR="00DB3DBC">
        <w:rPr>
          <w:rFonts w:asciiTheme="minorHAnsi" w:hAnsiTheme="minorHAnsi" w:cstheme="minorHAnsi"/>
          <w:bCs/>
          <w:sz w:val="22"/>
          <w:szCs w:val="22"/>
        </w:rPr>
        <w:t xml:space="preserve">assessments and reviews in line with Ofsted / CQC requirements. </w:t>
      </w:r>
    </w:p>
    <w:p w:rsidR="009633E3" w:rsidRPr="00B93C84" w:rsidRDefault="009633E3" w:rsidP="003433D4">
      <w:pPr>
        <w:jc w:val="both"/>
        <w:rPr>
          <w:rFonts w:asciiTheme="minorHAnsi" w:hAnsiTheme="minorHAnsi" w:cstheme="minorHAnsi"/>
          <w:bCs/>
          <w:sz w:val="22"/>
          <w:szCs w:val="22"/>
        </w:rPr>
      </w:pPr>
    </w:p>
    <w:p w:rsidR="009645FD" w:rsidRPr="002C2047" w:rsidRDefault="00283BB3" w:rsidP="003433D4">
      <w:pPr>
        <w:jc w:val="both"/>
        <w:rPr>
          <w:rFonts w:asciiTheme="minorHAnsi" w:hAnsiTheme="minorHAnsi" w:cstheme="minorHAnsi"/>
          <w:b/>
          <w:bCs/>
          <w:sz w:val="22"/>
          <w:szCs w:val="22"/>
        </w:rPr>
      </w:pPr>
      <w:r>
        <w:rPr>
          <w:rFonts w:asciiTheme="minorHAnsi" w:hAnsiTheme="minorHAnsi" w:cstheme="minorHAnsi"/>
          <w:bCs/>
          <w:sz w:val="22"/>
          <w:szCs w:val="22"/>
        </w:rPr>
        <w:t>In 2014/15 th</w:t>
      </w:r>
      <w:r w:rsidR="004B60B9">
        <w:rPr>
          <w:rFonts w:asciiTheme="minorHAnsi" w:hAnsiTheme="minorHAnsi" w:cstheme="minorHAnsi"/>
          <w:bCs/>
          <w:sz w:val="22"/>
          <w:szCs w:val="22"/>
        </w:rPr>
        <w:t xml:space="preserve">e triangle was a finalist in the </w:t>
      </w:r>
      <w:proofErr w:type="spellStart"/>
      <w:r w:rsidR="004B60B9">
        <w:rPr>
          <w:rFonts w:asciiTheme="minorHAnsi" w:hAnsiTheme="minorHAnsi" w:cstheme="minorHAnsi"/>
          <w:bCs/>
          <w:sz w:val="22"/>
          <w:szCs w:val="22"/>
        </w:rPr>
        <w:t>Mediplex</w:t>
      </w:r>
      <w:proofErr w:type="spellEnd"/>
      <w:r w:rsidR="004B60B9">
        <w:rPr>
          <w:rFonts w:asciiTheme="minorHAnsi" w:hAnsiTheme="minorHAnsi" w:cstheme="minorHAnsi"/>
          <w:bCs/>
          <w:sz w:val="22"/>
          <w:szCs w:val="22"/>
        </w:rPr>
        <w:t xml:space="preserve"> and</w:t>
      </w:r>
      <w:r>
        <w:rPr>
          <w:rFonts w:asciiTheme="minorHAnsi" w:hAnsiTheme="minorHAnsi" w:cstheme="minorHAnsi"/>
          <w:bCs/>
          <w:sz w:val="22"/>
          <w:szCs w:val="22"/>
        </w:rPr>
        <w:t xml:space="preserve"> Y&amp;H </w:t>
      </w:r>
      <w:r w:rsidR="004B60B9">
        <w:rPr>
          <w:rFonts w:asciiTheme="minorHAnsi" w:hAnsiTheme="minorHAnsi" w:cstheme="minorHAnsi"/>
          <w:bCs/>
          <w:sz w:val="22"/>
          <w:szCs w:val="22"/>
        </w:rPr>
        <w:t xml:space="preserve">AHSN </w:t>
      </w:r>
      <w:r>
        <w:rPr>
          <w:rFonts w:asciiTheme="minorHAnsi" w:hAnsiTheme="minorHAnsi" w:cstheme="minorHAnsi"/>
          <w:bCs/>
          <w:sz w:val="22"/>
          <w:szCs w:val="22"/>
        </w:rPr>
        <w:t>Innovation award</w:t>
      </w:r>
      <w:r w:rsidR="004B60B9">
        <w:rPr>
          <w:rFonts w:asciiTheme="minorHAnsi" w:hAnsiTheme="minorHAnsi" w:cstheme="minorHAnsi"/>
          <w:bCs/>
          <w:sz w:val="22"/>
          <w:szCs w:val="22"/>
        </w:rPr>
        <w:t>s</w:t>
      </w:r>
      <w:r>
        <w:rPr>
          <w:rFonts w:asciiTheme="minorHAnsi" w:hAnsiTheme="minorHAnsi" w:cstheme="minorHAnsi"/>
          <w:bCs/>
          <w:sz w:val="22"/>
          <w:szCs w:val="22"/>
        </w:rPr>
        <w:t xml:space="preserve"> </w:t>
      </w:r>
      <w:r w:rsidR="002C2047">
        <w:rPr>
          <w:rFonts w:asciiTheme="minorHAnsi" w:hAnsiTheme="minorHAnsi" w:cstheme="minorHAnsi"/>
          <w:bCs/>
          <w:sz w:val="22"/>
          <w:szCs w:val="22"/>
        </w:rPr>
        <w:t xml:space="preserve">and </w:t>
      </w:r>
      <w:r w:rsidR="002C2047" w:rsidRPr="002C2047">
        <w:rPr>
          <w:rFonts w:asciiTheme="minorHAnsi" w:hAnsiTheme="minorHAnsi" w:cstheme="minorHAnsi"/>
          <w:bCs/>
          <w:sz w:val="22"/>
          <w:szCs w:val="22"/>
        </w:rPr>
        <w:t>nominated as a finalist in the national HSJ awards in London</w:t>
      </w:r>
      <w:r w:rsidR="002C2047">
        <w:rPr>
          <w:rFonts w:asciiTheme="minorHAnsi" w:hAnsiTheme="minorHAnsi" w:cstheme="minorHAnsi"/>
          <w:bCs/>
          <w:sz w:val="22"/>
          <w:szCs w:val="22"/>
        </w:rPr>
        <w:t>; we</w:t>
      </w:r>
      <w:r>
        <w:rPr>
          <w:rFonts w:asciiTheme="minorHAnsi" w:hAnsiTheme="minorHAnsi" w:cstheme="minorHAnsi"/>
          <w:bCs/>
          <w:sz w:val="22"/>
          <w:szCs w:val="22"/>
        </w:rPr>
        <w:t xml:space="preserve"> also delivered a training workshop for the regional Y&amp;H HFMA conference. </w:t>
      </w:r>
    </w:p>
    <w:p w:rsidR="009633E3" w:rsidRPr="00B93C84" w:rsidRDefault="009633E3" w:rsidP="003433D4">
      <w:pPr>
        <w:jc w:val="both"/>
        <w:rPr>
          <w:rFonts w:asciiTheme="minorHAnsi" w:hAnsiTheme="minorHAnsi" w:cstheme="minorHAnsi"/>
          <w:bCs/>
          <w:sz w:val="22"/>
          <w:szCs w:val="22"/>
        </w:rPr>
      </w:pPr>
    </w:p>
    <w:p w:rsidR="00912D7D" w:rsidRPr="00B93C84" w:rsidRDefault="00B93C84" w:rsidP="003433D4">
      <w:pPr>
        <w:jc w:val="both"/>
        <w:rPr>
          <w:rFonts w:asciiTheme="minorHAnsi" w:hAnsiTheme="minorHAnsi" w:cstheme="minorHAnsi"/>
          <w:b/>
          <w:bCs/>
          <w:sz w:val="22"/>
          <w:szCs w:val="22"/>
        </w:rPr>
      </w:pPr>
      <w:r>
        <w:rPr>
          <w:rFonts w:asciiTheme="minorHAnsi" w:hAnsiTheme="minorHAnsi" w:cstheme="minorHAnsi"/>
          <w:b/>
          <w:bCs/>
          <w:sz w:val="22"/>
          <w:szCs w:val="22"/>
        </w:rPr>
        <w:t xml:space="preserve">Objectives for 2015/16: </w:t>
      </w:r>
      <w:r w:rsidR="009645FD" w:rsidRPr="00B93C84">
        <w:rPr>
          <w:rFonts w:asciiTheme="minorHAnsi" w:hAnsiTheme="minorHAnsi" w:cstheme="minorHAnsi"/>
          <w:bCs/>
          <w:sz w:val="22"/>
          <w:szCs w:val="22"/>
        </w:rPr>
        <w:t xml:space="preserve">In the forthcoming year some of the key objectives include </w:t>
      </w:r>
      <w:r w:rsidR="00283BB3">
        <w:rPr>
          <w:rFonts w:asciiTheme="minorHAnsi" w:hAnsiTheme="minorHAnsi" w:cstheme="minorHAnsi"/>
          <w:bCs/>
          <w:sz w:val="22"/>
          <w:szCs w:val="22"/>
        </w:rPr>
        <w:t xml:space="preserve">formerly launching the new paediatric community nursing service, setting up the children’s community blood clinics in three primary care centres within NEL – this will not only create a more accessible and responsive service for children and their parents / carers but will also save unnecessary outpatient appointments. Concluding the cross patch </w:t>
      </w:r>
      <w:r w:rsidR="00C362DD" w:rsidRPr="00B93C84">
        <w:rPr>
          <w:rFonts w:asciiTheme="minorHAnsi" w:hAnsiTheme="minorHAnsi" w:cstheme="minorHAnsi"/>
          <w:bCs/>
          <w:sz w:val="22"/>
          <w:szCs w:val="22"/>
        </w:rPr>
        <w:t xml:space="preserve">evaluation </w:t>
      </w:r>
      <w:r w:rsidR="00283BB3">
        <w:rPr>
          <w:rFonts w:asciiTheme="minorHAnsi" w:hAnsiTheme="minorHAnsi" w:cstheme="minorHAnsi"/>
          <w:bCs/>
          <w:sz w:val="22"/>
          <w:szCs w:val="22"/>
        </w:rPr>
        <w:t xml:space="preserve">of the </w:t>
      </w:r>
      <w:r w:rsidR="009645FD" w:rsidRPr="00B93C84">
        <w:rPr>
          <w:rFonts w:asciiTheme="minorHAnsi" w:hAnsiTheme="minorHAnsi" w:cstheme="minorHAnsi"/>
          <w:bCs/>
          <w:sz w:val="22"/>
          <w:szCs w:val="22"/>
        </w:rPr>
        <w:t>Maternity S</w:t>
      </w:r>
      <w:r w:rsidR="00C362DD" w:rsidRPr="00B93C84">
        <w:rPr>
          <w:rFonts w:asciiTheme="minorHAnsi" w:hAnsiTheme="minorHAnsi" w:cstheme="minorHAnsi"/>
          <w:bCs/>
          <w:sz w:val="22"/>
          <w:szCs w:val="22"/>
        </w:rPr>
        <w:t>ervice</w:t>
      </w:r>
      <w:r w:rsidR="00283BB3">
        <w:rPr>
          <w:rFonts w:asciiTheme="minorHAnsi" w:hAnsiTheme="minorHAnsi" w:cstheme="minorHAnsi"/>
          <w:bCs/>
          <w:sz w:val="22"/>
          <w:szCs w:val="22"/>
        </w:rPr>
        <w:t xml:space="preserve">, taking into account the national review, and implementing a new service specification. </w:t>
      </w:r>
      <w:r w:rsidR="00C362DD" w:rsidRPr="00B93C84">
        <w:rPr>
          <w:rFonts w:asciiTheme="minorHAnsi" w:hAnsiTheme="minorHAnsi" w:cstheme="minorHAnsi"/>
          <w:bCs/>
          <w:sz w:val="22"/>
          <w:szCs w:val="22"/>
        </w:rPr>
        <w:t xml:space="preserve"> </w:t>
      </w:r>
      <w:r w:rsidR="00283BB3">
        <w:rPr>
          <w:rFonts w:asciiTheme="minorHAnsi" w:hAnsiTheme="minorHAnsi" w:cstheme="minorHAnsi"/>
          <w:bCs/>
          <w:sz w:val="22"/>
          <w:szCs w:val="22"/>
        </w:rPr>
        <w:t xml:space="preserve">Completing the </w:t>
      </w:r>
      <w:r w:rsidR="00C362DD" w:rsidRPr="00B93C84">
        <w:rPr>
          <w:rFonts w:asciiTheme="minorHAnsi" w:hAnsiTheme="minorHAnsi" w:cstheme="minorHAnsi"/>
          <w:bCs/>
          <w:sz w:val="22"/>
          <w:szCs w:val="22"/>
        </w:rPr>
        <w:t>patient survey of the paediatric assessment unit</w:t>
      </w:r>
      <w:r w:rsidR="00283BB3">
        <w:rPr>
          <w:rFonts w:asciiTheme="minorHAnsi" w:hAnsiTheme="minorHAnsi" w:cstheme="minorHAnsi"/>
          <w:bCs/>
          <w:sz w:val="22"/>
          <w:szCs w:val="22"/>
        </w:rPr>
        <w:t xml:space="preserve"> and implementing recommendations. Assessing women’s and children’s services against the new 2015 ‘Faci</w:t>
      </w:r>
      <w:r w:rsidR="002C2047">
        <w:rPr>
          <w:rFonts w:asciiTheme="minorHAnsi" w:hAnsiTheme="minorHAnsi" w:cstheme="minorHAnsi"/>
          <w:bCs/>
          <w:sz w:val="22"/>
          <w:szCs w:val="22"/>
        </w:rPr>
        <w:t>ng t</w:t>
      </w:r>
      <w:r w:rsidR="00283BB3">
        <w:rPr>
          <w:rFonts w:asciiTheme="minorHAnsi" w:hAnsiTheme="minorHAnsi" w:cstheme="minorHAnsi"/>
          <w:bCs/>
          <w:sz w:val="22"/>
          <w:szCs w:val="22"/>
        </w:rPr>
        <w:t xml:space="preserve">he Future for Child Health standards’ and considering how the SPA and ACC model could be adapted for children. The </w:t>
      </w:r>
      <w:r w:rsidR="00433CF3">
        <w:rPr>
          <w:rFonts w:asciiTheme="minorHAnsi" w:hAnsiTheme="minorHAnsi" w:cstheme="minorHAnsi"/>
          <w:bCs/>
          <w:sz w:val="22"/>
          <w:szCs w:val="22"/>
        </w:rPr>
        <w:t xml:space="preserve">Triangle will also continue to drive forward in the development of sustainable services as outlined in Healthy Lives, Healthy Futures. </w:t>
      </w:r>
    </w:p>
    <w:p w:rsidR="00C362DD" w:rsidRPr="003433D4" w:rsidRDefault="00C362DD" w:rsidP="003433D4">
      <w:pPr>
        <w:jc w:val="both"/>
        <w:rPr>
          <w:rFonts w:asciiTheme="minorHAnsi" w:hAnsiTheme="minorHAnsi" w:cstheme="minorHAnsi"/>
          <w:bCs/>
          <w:sz w:val="22"/>
          <w:szCs w:val="22"/>
        </w:rPr>
      </w:pPr>
      <w:r w:rsidRPr="003433D4">
        <w:rPr>
          <w:rFonts w:asciiTheme="minorHAnsi" w:hAnsiTheme="minorHAnsi" w:cstheme="minorHAnsi"/>
          <w:bCs/>
          <w:sz w:val="22"/>
          <w:szCs w:val="22"/>
        </w:rPr>
        <w:t xml:space="preserve"> </w:t>
      </w:r>
    </w:p>
    <w:p w:rsidR="00912D7D" w:rsidRPr="003433D4" w:rsidRDefault="00912D7D" w:rsidP="003433D4">
      <w:pPr>
        <w:jc w:val="both"/>
        <w:rPr>
          <w:rFonts w:asciiTheme="minorHAnsi" w:hAnsiTheme="minorHAnsi" w:cstheme="minorHAnsi"/>
          <w:b/>
          <w:bCs/>
          <w:sz w:val="22"/>
          <w:szCs w:val="22"/>
          <w:u w:val="single"/>
        </w:rPr>
      </w:pPr>
      <w:r w:rsidRPr="003433D4">
        <w:rPr>
          <w:rFonts w:asciiTheme="minorHAnsi" w:hAnsiTheme="minorHAnsi" w:cstheme="minorHAnsi"/>
          <w:b/>
          <w:bCs/>
          <w:sz w:val="22"/>
          <w:szCs w:val="22"/>
          <w:u w:val="single"/>
        </w:rPr>
        <w:t>Older People’s</w:t>
      </w:r>
      <w:r w:rsidR="00EF29ED" w:rsidRPr="003433D4">
        <w:rPr>
          <w:rFonts w:asciiTheme="minorHAnsi" w:hAnsiTheme="minorHAnsi" w:cstheme="minorHAnsi"/>
          <w:b/>
          <w:bCs/>
          <w:sz w:val="22"/>
          <w:szCs w:val="22"/>
          <w:u w:val="single"/>
        </w:rPr>
        <w:t xml:space="preserve">, Care </w:t>
      </w:r>
      <w:r w:rsidR="00781CED" w:rsidRPr="003433D4">
        <w:rPr>
          <w:rFonts w:asciiTheme="minorHAnsi" w:hAnsiTheme="minorHAnsi" w:cstheme="minorHAnsi"/>
          <w:b/>
          <w:bCs/>
          <w:sz w:val="22"/>
          <w:szCs w:val="22"/>
          <w:u w:val="single"/>
        </w:rPr>
        <w:t>and Dementia</w:t>
      </w:r>
      <w:r w:rsidRPr="003433D4">
        <w:rPr>
          <w:rFonts w:asciiTheme="minorHAnsi" w:hAnsiTheme="minorHAnsi" w:cstheme="minorHAnsi"/>
          <w:b/>
          <w:bCs/>
          <w:sz w:val="22"/>
          <w:szCs w:val="22"/>
          <w:u w:val="single"/>
        </w:rPr>
        <w:t xml:space="preserve"> Care</w:t>
      </w:r>
      <w:r w:rsidR="00476025" w:rsidRPr="003433D4">
        <w:rPr>
          <w:rFonts w:asciiTheme="minorHAnsi" w:hAnsiTheme="minorHAnsi" w:cstheme="minorHAnsi"/>
          <w:b/>
          <w:bCs/>
          <w:sz w:val="22"/>
          <w:szCs w:val="22"/>
          <w:u w:val="single"/>
        </w:rPr>
        <w:t xml:space="preserve"> Triangle</w:t>
      </w:r>
    </w:p>
    <w:p w:rsidR="00476025" w:rsidRPr="003433D4" w:rsidRDefault="00476025" w:rsidP="003433D4">
      <w:pPr>
        <w:jc w:val="both"/>
        <w:rPr>
          <w:rFonts w:asciiTheme="minorHAnsi" w:hAnsiTheme="minorHAnsi" w:cstheme="minorHAnsi"/>
          <w:b/>
          <w:bCs/>
          <w:sz w:val="22"/>
          <w:szCs w:val="22"/>
        </w:rPr>
      </w:pPr>
    </w:p>
    <w:p w:rsidR="00476025" w:rsidRPr="003433D4" w:rsidRDefault="00476025"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 xml:space="preserve">Clinical Lead; </w:t>
      </w:r>
      <w:r w:rsidRPr="003433D4">
        <w:rPr>
          <w:rFonts w:asciiTheme="minorHAnsi" w:hAnsiTheme="minorHAnsi" w:cstheme="minorHAnsi"/>
          <w:b/>
          <w:bCs/>
          <w:sz w:val="22"/>
          <w:szCs w:val="22"/>
        </w:rPr>
        <w:tab/>
      </w:r>
      <w:r w:rsidR="00CD5D2F">
        <w:rPr>
          <w:rFonts w:asciiTheme="minorHAnsi" w:hAnsiTheme="minorHAnsi" w:cstheme="minorHAnsi"/>
          <w:b/>
          <w:bCs/>
          <w:sz w:val="22"/>
          <w:szCs w:val="22"/>
        </w:rPr>
        <w:tab/>
      </w:r>
      <w:r w:rsidRPr="003433D4">
        <w:rPr>
          <w:rFonts w:asciiTheme="minorHAnsi" w:hAnsiTheme="minorHAnsi" w:cstheme="minorHAnsi"/>
          <w:b/>
          <w:bCs/>
          <w:sz w:val="22"/>
          <w:szCs w:val="22"/>
        </w:rPr>
        <w:t>Dr Karin Severin</w:t>
      </w:r>
    </w:p>
    <w:p w:rsidR="0031746B" w:rsidRPr="003433D4" w:rsidRDefault="0031746B"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 xml:space="preserve">Service Lead; </w:t>
      </w:r>
      <w:r w:rsidRPr="003433D4">
        <w:rPr>
          <w:rFonts w:asciiTheme="minorHAnsi" w:hAnsiTheme="minorHAnsi" w:cstheme="minorHAnsi"/>
          <w:b/>
          <w:bCs/>
          <w:sz w:val="22"/>
          <w:szCs w:val="22"/>
        </w:rPr>
        <w:tab/>
      </w:r>
      <w:r w:rsidR="00CD5D2F">
        <w:rPr>
          <w:rFonts w:asciiTheme="minorHAnsi" w:hAnsiTheme="minorHAnsi" w:cstheme="minorHAnsi"/>
          <w:b/>
          <w:bCs/>
          <w:sz w:val="22"/>
          <w:szCs w:val="22"/>
        </w:rPr>
        <w:tab/>
      </w:r>
      <w:proofErr w:type="spellStart"/>
      <w:r w:rsidR="00311F15" w:rsidRPr="003433D4">
        <w:rPr>
          <w:rFonts w:asciiTheme="minorHAnsi" w:hAnsiTheme="minorHAnsi" w:cstheme="minorHAnsi"/>
          <w:b/>
          <w:bCs/>
          <w:sz w:val="22"/>
          <w:szCs w:val="22"/>
        </w:rPr>
        <w:t>Nic</w:t>
      </w:r>
      <w:proofErr w:type="spellEnd"/>
      <w:r w:rsidR="00311F15" w:rsidRPr="003433D4">
        <w:rPr>
          <w:rFonts w:asciiTheme="minorHAnsi" w:hAnsiTheme="minorHAnsi" w:cstheme="minorHAnsi"/>
          <w:b/>
          <w:bCs/>
          <w:sz w:val="22"/>
          <w:szCs w:val="22"/>
        </w:rPr>
        <w:t xml:space="preserve"> McVeigh</w:t>
      </w:r>
      <w:r w:rsidRPr="003433D4">
        <w:rPr>
          <w:rFonts w:asciiTheme="minorHAnsi" w:hAnsiTheme="minorHAnsi" w:cstheme="minorHAnsi"/>
          <w:b/>
          <w:bCs/>
          <w:sz w:val="22"/>
          <w:szCs w:val="22"/>
        </w:rPr>
        <w:t xml:space="preserve"> </w:t>
      </w:r>
    </w:p>
    <w:p w:rsidR="00476025" w:rsidRPr="003433D4" w:rsidRDefault="00476025"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Community Lead:</w:t>
      </w:r>
      <w:r w:rsidRPr="003433D4">
        <w:rPr>
          <w:rFonts w:asciiTheme="minorHAnsi" w:hAnsiTheme="minorHAnsi" w:cstheme="minorHAnsi"/>
          <w:b/>
          <w:bCs/>
          <w:sz w:val="22"/>
          <w:szCs w:val="22"/>
        </w:rPr>
        <w:tab/>
        <w:t xml:space="preserve">Albert Bennett </w:t>
      </w:r>
    </w:p>
    <w:p w:rsidR="00912D7D" w:rsidRPr="003433D4" w:rsidRDefault="00912D7D" w:rsidP="003433D4">
      <w:pPr>
        <w:jc w:val="both"/>
        <w:rPr>
          <w:rFonts w:asciiTheme="minorHAnsi" w:hAnsiTheme="minorHAnsi" w:cstheme="minorHAnsi"/>
          <w:b/>
          <w:bCs/>
          <w:sz w:val="22"/>
          <w:szCs w:val="22"/>
        </w:rPr>
      </w:pPr>
    </w:p>
    <w:p w:rsidR="00311F15" w:rsidRDefault="00311F15" w:rsidP="003433D4">
      <w:pPr>
        <w:jc w:val="both"/>
        <w:rPr>
          <w:rFonts w:asciiTheme="minorHAnsi" w:hAnsiTheme="minorHAnsi" w:cstheme="minorHAnsi"/>
          <w:bCs/>
          <w:sz w:val="22"/>
          <w:szCs w:val="22"/>
        </w:rPr>
      </w:pPr>
      <w:r w:rsidRPr="003433D4">
        <w:rPr>
          <w:rFonts w:asciiTheme="minorHAnsi" w:hAnsiTheme="minorHAnsi" w:cstheme="minorHAnsi"/>
          <w:b/>
          <w:bCs/>
          <w:sz w:val="22"/>
          <w:szCs w:val="22"/>
        </w:rPr>
        <w:t>Achievements in 2014/15</w:t>
      </w:r>
      <w:r w:rsidR="002A2134">
        <w:rPr>
          <w:rFonts w:asciiTheme="minorHAnsi" w:hAnsiTheme="minorHAnsi" w:cstheme="minorHAnsi"/>
          <w:b/>
          <w:bCs/>
          <w:sz w:val="22"/>
          <w:szCs w:val="22"/>
        </w:rPr>
        <w:t xml:space="preserve">: </w:t>
      </w:r>
      <w:r w:rsidRPr="003433D4">
        <w:rPr>
          <w:rFonts w:asciiTheme="minorHAnsi" w:hAnsiTheme="minorHAnsi" w:cstheme="minorHAnsi"/>
          <w:bCs/>
          <w:sz w:val="22"/>
          <w:szCs w:val="22"/>
        </w:rPr>
        <w:t xml:space="preserve">There has </w:t>
      </w:r>
      <w:proofErr w:type="gramStart"/>
      <w:r w:rsidRPr="003433D4">
        <w:rPr>
          <w:rFonts w:asciiTheme="minorHAnsi" w:hAnsiTheme="minorHAnsi" w:cstheme="minorHAnsi"/>
          <w:bCs/>
          <w:sz w:val="22"/>
          <w:szCs w:val="22"/>
        </w:rPr>
        <w:t>been  a</w:t>
      </w:r>
      <w:proofErr w:type="gramEnd"/>
      <w:r w:rsidRPr="003433D4">
        <w:rPr>
          <w:rFonts w:asciiTheme="minorHAnsi" w:hAnsiTheme="minorHAnsi" w:cstheme="minorHAnsi"/>
          <w:bCs/>
          <w:sz w:val="22"/>
          <w:szCs w:val="22"/>
        </w:rPr>
        <w:t xml:space="preserve"> recent restructure of this triangle, to include carers. The Older People and Dementia Triangle over the last year </w:t>
      </w:r>
      <w:proofErr w:type="gramStart"/>
      <w:r w:rsidRPr="003433D4">
        <w:rPr>
          <w:rFonts w:asciiTheme="minorHAnsi" w:hAnsiTheme="minorHAnsi" w:cstheme="minorHAnsi"/>
          <w:bCs/>
          <w:sz w:val="22"/>
          <w:szCs w:val="22"/>
        </w:rPr>
        <w:t>has</w:t>
      </w:r>
      <w:proofErr w:type="gramEnd"/>
      <w:r w:rsidRPr="003433D4">
        <w:rPr>
          <w:rFonts w:asciiTheme="minorHAnsi" w:hAnsiTheme="minorHAnsi" w:cstheme="minorHAnsi"/>
          <w:bCs/>
          <w:sz w:val="22"/>
          <w:szCs w:val="22"/>
        </w:rPr>
        <w:t xml:space="preserve"> worked hard to increase the dementia diagnosis rates, achieving the outturn figure of 66.6% - significantly higher than the national average of 61.6%. A full review of universal dementia support via the Alzheimer’s Society Contract has also seen the establishment of a local office in NEL and an increased range and availability of services to support those people with Alzheimer’s and Dementia.  A Dementia Portal has been developed and launched signposting clients, carers and staff to local and national information pre and post diagnosis. There was a successful delivery of the Care Home awards and a continuation of the Quality Framework, with the aim of improving the quality of residential care provision, particularly for the elderly.  To enable the GP support to care homes project continuing in 15/16, laptops have been acquired to facilitate remote consultations between care homes and GPs and to enable health workers to access patient records via </w:t>
      </w:r>
      <w:proofErr w:type="spellStart"/>
      <w:r w:rsidRPr="003433D4">
        <w:rPr>
          <w:rFonts w:asciiTheme="minorHAnsi" w:hAnsiTheme="minorHAnsi" w:cstheme="minorHAnsi"/>
          <w:bCs/>
          <w:sz w:val="22"/>
          <w:szCs w:val="22"/>
        </w:rPr>
        <w:t>SystmOne</w:t>
      </w:r>
      <w:proofErr w:type="spellEnd"/>
      <w:r w:rsidRPr="003433D4">
        <w:rPr>
          <w:rFonts w:asciiTheme="minorHAnsi" w:hAnsiTheme="minorHAnsi" w:cstheme="minorHAnsi"/>
          <w:bCs/>
          <w:sz w:val="22"/>
          <w:szCs w:val="22"/>
        </w:rPr>
        <w:t xml:space="preserve"> when visiting care home residents.</w:t>
      </w:r>
    </w:p>
    <w:p w:rsidR="004B60B9" w:rsidRDefault="004B60B9" w:rsidP="003433D4">
      <w:pPr>
        <w:jc w:val="both"/>
        <w:rPr>
          <w:rFonts w:asciiTheme="minorHAnsi" w:hAnsiTheme="minorHAnsi" w:cstheme="minorHAnsi"/>
          <w:bCs/>
          <w:sz w:val="22"/>
          <w:szCs w:val="22"/>
        </w:rPr>
      </w:pPr>
    </w:p>
    <w:p w:rsidR="004B60B9" w:rsidRPr="002A2134" w:rsidRDefault="004B60B9" w:rsidP="003433D4">
      <w:pPr>
        <w:jc w:val="both"/>
        <w:rPr>
          <w:rFonts w:asciiTheme="minorHAnsi" w:hAnsiTheme="minorHAnsi" w:cstheme="minorHAnsi"/>
          <w:b/>
          <w:bCs/>
          <w:sz w:val="22"/>
          <w:szCs w:val="22"/>
        </w:rPr>
      </w:pPr>
      <w:r>
        <w:rPr>
          <w:rFonts w:asciiTheme="minorHAnsi" w:hAnsiTheme="minorHAnsi" w:cstheme="minorHAnsi"/>
          <w:bCs/>
          <w:sz w:val="22"/>
          <w:szCs w:val="22"/>
        </w:rPr>
        <w:t xml:space="preserve">In the last financial year </w:t>
      </w:r>
      <w:proofErr w:type="spellStart"/>
      <w:r>
        <w:rPr>
          <w:rFonts w:asciiTheme="minorHAnsi" w:hAnsiTheme="minorHAnsi" w:cstheme="minorHAnsi"/>
          <w:bCs/>
          <w:sz w:val="22"/>
          <w:szCs w:val="22"/>
        </w:rPr>
        <w:t>Nic</w:t>
      </w:r>
      <w:proofErr w:type="spellEnd"/>
      <w:r>
        <w:rPr>
          <w:rFonts w:asciiTheme="minorHAnsi" w:hAnsiTheme="minorHAnsi" w:cstheme="minorHAnsi"/>
          <w:bCs/>
          <w:sz w:val="22"/>
          <w:szCs w:val="22"/>
        </w:rPr>
        <w:t xml:space="preserve"> McVeigh was successful in </w:t>
      </w:r>
      <w:r w:rsidR="002C2047">
        <w:rPr>
          <w:rFonts w:asciiTheme="minorHAnsi" w:hAnsiTheme="minorHAnsi" w:cstheme="minorHAnsi"/>
          <w:bCs/>
          <w:sz w:val="22"/>
          <w:szCs w:val="22"/>
        </w:rPr>
        <w:t>achieving</w:t>
      </w:r>
      <w:r>
        <w:rPr>
          <w:rFonts w:asciiTheme="minorHAnsi" w:hAnsiTheme="minorHAnsi" w:cstheme="minorHAnsi"/>
          <w:bCs/>
          <w:sz w:val="22"/>
          <w:szCs w:val="22"/>
        </w:rPr>
        <w:t xml:space="preserve"> </w:t>
      </w:r>
      <w:r w:rsidR="002C2047">
        <w:rPr>
          <w:rFonts w:asciiTheme="minorHAnsi" w:hAnsiTheme="minorHAnsi" w:cstheme="minorHAnsi"/>
          <w:bCs/>
          <w:sz w:val="22"/>
          <w:szCs w:val="22"/>
        </w:rPr>
        <w:t>two awards ‘</w:t>
      </w:r>
      <w:r>
        <w:rPr>
          <w:rFonts w:asciiTheme="minorHAnsi" w:hAnsiTheme="minorHAnsi" w:cstheme="minorHAnsi"/>
          <w:bCs/>
          <w:sz w:val="22"/>
          <w:szCs w:val="22"/>
        </w:rPr>
        <w:t>Leader of Inclusivity</w:t>
      </w:r>
      <w:r w:rsidR="002C2047">
        <w:rPr>
          <w:rFonts w:asciiTheme="minorHAnsi" w:hAnsiTheme="minorHAnsi" w:cstheme="minorHAnsi"/>
          <w:bCs/>
          <w:sz w:val="22"/>
          <w:szCs w:val="22"/>
        </w:rPr>
        <w:t>’</w:t>
      </w:r>
      <w:r>
        <w:rPr>
          <w:rFonts w:asciiTheme="minorHAnsi" w:hAnsiTheme="minorHAnsi" w:cstheme="minorHAnsi"/>
          <w:bCs/>
          <w:sz w:val="22"/>
          <w:szCs w:val="22"/>
        </w:rPr>
        <w:t xml:space="preserve"> and </w:t>
      </w:r>
      <w:r w:rsidR="002C2047">
        <w:rPr>
          <w:rFonts w:asciiTheme="minorHAnsi" w:hAnsiTheme="minorHAnsi" w:cstheme="minorHAnsi"/>
          <w:bCs/>
          <w:sz w:val="22"/>
          <w:szCs w:val="22"/>
        </w:rPr>
        <w:t>‘</w:t>
      </w:r>
      <w:r>
        <w:rPr>
          <w:rFonts w:asciiTheme="minorHAnsi" w:hAnsiTheme="minorHAnsi" w:cstheme="minorHAnsi"/>
          <w:bCs/>
          <w:sz w:val="22"/>
          <w:szCs w:val="22"/>
        </w:rPr>
        <w:t>Innovator of the year</w:t>
      </w:r>
      <w:r w:rsidR="002C2047">
        <w:rPr>
          <w:rFonts w:asciiTheme="minorHAnsi" w:hAnsiTheme="minorHAnsi" w:cstheme="minorHAnsi"/>
          <w:bCs/>
          <w:sz w:val="22"/>
          <w:szCs w:val="22"/>
        </w:rPr>
        <w:t>’</w:t>
      </w:r>
      <w:r>
        <w:rPr>
          <w:rFonts w:asciiTheme="minorHAnsi" w:hAnsiTheme="minorHAnsi" w:cstheme="minorHAnsi"/>
          <w:bCs/>
          <w:sz w:val="22"/>
          <w:szCs w:val="22"/>
        </w:rPr>
        <w:t xml:space="preserve"> for the Y&amp;H regional </w:t>
      </w:r>
      <w:r w:rsidR="002C2047">
        <w:rPr>
          <w:rFonts w:asciiTheme="minorHAnsi" w:hAnsiTheme="minorHAnsi" w:cstheme="minorHAnsi"/>
          <w:bCs/>
          <w:sz w:val="22"/>
          <w:szCs w:val="22"/>
        </w:rPr>
        <w:t>Leadership</w:t>
      </w:r>
      <w:r>
        <w:rPr>
          <w:rFonts w:asciiTheme="minorHAnsi" w:hAnsiTheme="minorHAnsi" w:cstheme="minorHAnsi"/>
          <w:bCs/>
          <w:sz w:val="22"/>
          <w:szCs w:val="22"/>
        </w:rPr>
        <w:t xml:space="preserve"> awards. </w:t>
      </w:r>
      <w:r w:rsidR="002C2047">
        <w:rPr>
          <w:rFonts w:asciiTheme="minorHAnsi" w:hAnsiTheme="minorHAnsi" w:cstheme="minorHAnsi"/>
          <w:bCs/>
          <w:sz w:val="22"/>
          <w:szCs w:val="22"/>
        </w:rPr>
        <w:t>Additionally</w:t>
      </w:r>
      <w:r>
        <w:rPr>
          <w:rFonts w:asciiTheme="minorHAnsi" w:hAnsiTheme="minorHAnsi" w:cstheme="minorHAnsi"/>
          <w:bCs/>
          <w:sz w:val="22"/>
          <w:szCs w:val="22"/>
        </w:rPr>
        <w:t xml:space="preserve"> the Triangle was </w:t>
      </w:r>
      <w:r w:rsidR="002C2047">
        <w:rPr>
          <w:rFonts w:asciiTheme="minorHAnsi" w:hAnsiTheme="minorHAnsi" w:cstheme="minorHAnsi"/>
          <w:bCs/>
          <w:sz w:val="22"/>
          <w:szCs w:val="22"/>
        </w:rPr>
        <w:t>nominated</w:t>
      </w:r>
      <w:r>
        <w:rPr>
          <w:rFonts w:asciiTheme="minorHAnsi" w:hAnsiTheme="minorHAnsi" w:cstheme="minorHAnsi"/>
          <w:bCs/>
          <w:sz w:val="22"/>
          <w:szCs w:val="22"/>
        </w:rPr>
        <w:t xml:space="preserve"> as a finalist in the </w:t>
      </w:r>
      <w:r w:rsidR="002C2047">
        <w:rPr>
          <w:rFonts w:asciiTheme="minorHAnsi" w:hAnsiTheme="minorHAnsi" w:cstheme="minorHAnsi"/>
          <w:bCs/>
          <w:sz w:val="22"/>
          <w:szCs w:val="22"/>
        </w:rPr>
        <w:t xml:space="preserve">national </w:t>
      </w:r>
      <w:r>
        <w:rPr>
          <w:rFonts w:asciiTheme="minorHAnsi" w:hAnsiTheme="minorHAnsi" w:cstheme="minorHAnsi"/>
          <w:bCs/>
          <w:sz w:val="22"/>
          <w:szCs w:val="22"/>
        </w:rPr>
        <w:t xml:space="preserve">HSJ awards </w:t>
      </w:r>
      <w:r w:rsidR="002C2047">
        <w:rPr>
          <w:rFonts w:asciiTheme="minorHAnsi" w:hAnsiTheme="minorHAnsi" w:cstheme="minorHAnsi"/>
          <w:bCs/>
          <w:sz w:val="22"/>
          <w:szCs w:val="22"/>
        </w:rPr>
        <w:t xml:space="preserve">in London. </w:t>
      </w:r>
    </w:p>
    <w:p w:rsidR="00781CED" w:rsidRPr="003433D4" w:rsidRDefault="00311F15" w:rsidP="003433D4">
      <w:pPr>
        <w:jc w:val="both"/>
        <w:rPr>
          <w:rFonts w:asciiTheme="minorHAnsi" w:hAnsiTheme="minorHAnsi" w:cstheme="minorHAnsi"/>
          <w:bCs/>
          <w:sz w:val="22"/>
          <w:szCs w:val="22"/>
        </w:rPr>
      </w:pPr>
      <w:r w:rsidRPr="003433D4">
        <w:rPr>
          <w:rFonts w:asciiTheme="minorHAnsi" w:hAnsiTheme="minorHAnsi" w:cstheme="minorHAnsi"/>
          <w:bCs/>
          <w:sz w:val="22"/>
          <w:szCs w:val="22"/>
        </w:rPr>
        <w:t xml:space="preserve"> </w:t>
      </w:r>
    </w:p>
    <w:p w:rsidR="00311F15" w:rsidRPr="002A2134" w:rsidRDefault="00311F15"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Objectives for 2015/16</w:t>
      </w:r>
      <w:r w:rsidR="002A2134">
        <w:rPr>
          <w:rFonts w:asciiTheme="minorHAnsi" w:hAnsiTheme="minorHAnsi" w:cstheme="minorHAnsi"/>
          <w:b/>
          <w:bCs/>
          <w:sz w:val="22"/>
          <w:szCs w:val="22"/>
        </w:rPr>
        <w:t xml:space="preserve">: </w:t>
      </w:r>
      <w:r w:rsidRPr="003433D4">
        <w:rPr>
          <w:rFonts w:asciiTheme="minorHAnsi" w:hAnsiTheme="minorHAnsi" w:cstheme="minorHAnsi"/>
          <w:bCs/>
          <w:sz w:val="22"/>
          <w:szCs w:val="22"/>
        </w:rPr>
        <w:t xml:space="preserve">In the coming year the Triangle will focus on progressing priorities within older people, carers and dementia agendas. The refresh of the local priorities for supporting those with dementia and their carers will set the direction of travel, which will include a continued focus on increasing dementia diagnosis rates in NEL, while ensuring there is support to those following their diagnosis (through the Alzheimer’s Society remodel).  Within the remit of Older People, work will continue to secure and stabilise the residential and nursing home sector, further develop the GP support to care homes project and secure the roll out of the falls prevention programme for older people; these will improve the health and wellbeing of older </w:t>
      </w:r>
      <w:r w:rsidRPr="003433D4">
        <w:rPr>
          <w:rFonts w:asciiTheme="minorHAnsi" w:hAnsiTheme="minorHAnsi" w:cstheme="minorHAnsi"/>
          <w:bCs/>
          <w:sz w:val="22"/>
          <w:szCs w:val="22"/>
        </w:rPr>
        <w:lastRenderedPageBreak/>
        <w:t xml:space="preserve">people and support the reduction in hospital admissions. The </w:t>
      </w:r>
      <w:proofErr w:type="gramStart"/>
      <w:r w:rsidRPr="003433D4">
        <w:rPr>
          <w:rFonts w:asciiTheme="minorHAnsi" w:hAnsiTheme="minorHAnsi" w:cstheme="minorHAnsi"/>
          <w:bCs/>
          <w:sz w:val="22"/>
          <w:szCs w:val="22"/>
        </w:rPr>
        <w:t>carers</w:t>
      </w:r>
      <w:proofErr w:type="gramEnd"/>
      <w:r w:rsidRPr="003433D4">
        <w:rPr>
          <w:rFonts w:asciiTheme="minorHAnsi" w:hAnsiTheme="minorHAnsi" w:cstheme="minorHAnsi"/>
          <w:bCs/>
          <w:sz w:val="22"/>
          <w:szCs w:val="22"/>
        </w:rPr>
        <w:t xml:space="preserve"> agenda will continue to build upon the foundations already made; ensuring carers are supported to have access to appropriate advice, information and universal carers’ support services, and ensure that they are able to make informed decisions about their needs via a carer’s assessment; those with eligible needs will have a carer’s personal budget, via commissioned services/ direct payments.   . </w:t>
      </w:r>
    </w:p>
    <w:p w:rsidR="00311F15" w:rsidRPr="003433D4" w:rsidRDefault="00311F15" w:rsidP="003433D4">
      <w:pPr>
        <w:jc w:val="both"/>
        <w:rPr>
          <w:rFonts w:asciiTheme="minorHAnsi" w:hAnsiTheme="minorHAnsi" w:cstheme="minorHAnsi"/>
          <w:b/>
          <w:bCs/>
          <w:sz w:val="22"/>
          <w:szCs w:val="22"/>
        </w:rPr>
      </w:pPr>
    </w:p>
    <w:p w:rsidR="00C362DD" w:rsidRPr="003433D4" w:rsidRDefault="00C362DD" w:rsidP="003433D4">
      <w:pPr>
        <w:jc w:val="both"/>
        <w:rPr>
          <w:rFonts w:asciiTheme="minorHAnsi" w:hAnsiTheme="minorHAnsi" w:cstheme="minorHAnsi"/>
          <w:b/>
          <w:bCs/>
          <w:sz w:val="22"/>
          <w:szCs w:val="22"/>
          <w:u w:val="single"/>
        </w:rPr>
      </w:pPr>
    </w:p>
    <w:p w:rsidR="00476025" w:rsidRPr="003433D4" w:rsidRDefault="00476025" w:rsidP="003433D4">
      <w:pPr>
        <w:jc w:val="both"/>
        <w:rPr>
          <w:rFonts w:asciiTheme="minorHAnsi" w:hAnsiTheme="minorHAnsi" w:cstheme="minorHAnsi"/>
          <w:b/>
          <w:bCs/>
          <w:sz w:val="22"/>
          <w:szCs w:val="22"/>
          <w:u w:val="single"/>
        </w:rPr>
      </w:pPr>
      <w:r w:rsidRPr="003433D4">
        <w:rPr>
          <w:rFonts w:asciiTheme="minorHAnsi" w:hAnsiTheme="minorHAnsi" w:cstheme="minorHAnsi"/>
          <w:b/>
          <w:bCs/>
          <w:sz w:val="22"/>
          <w:szCs w:val="22"/>
          <w:u w:val="single"/>
        </w:rPr>
        <w:t xml:space="preserve">Prescribing &amp; Medicines Management Triangle </w:t>
      </w:r>
    </w:p>
    <w:p w:rsidR="00476025" w:rsidRPr="003433D4" w:rsidRDefault="00476025" w:rsidP="003433D4">
      <w:pPr>
        <w:jc w:val="both"/>
        <w:rPr>
          <w:rFonts w:asciiTheme="minorHAnsi" w:hAnsiTheme="minorHAnsi" w:cstheme="minorHAnsi"/>
          <w:b/>
          <w:bCs/>
          <w:sz w:val="22"/>
          <w:szCs w:val="22"/>
        </w:rPr>
      </w:pPr>
    </w:p>
    <w:p w:rsidR="003433D4" w:rsidRPr="003433D4" w:rsidRDefault="003433D4"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 xml:space="preserve">Clinical Lead: </w:t>
      </w:r>
      <w:r w:rsidRPr="003433D4">
        <w:rPr>
          <w:rFonts w:asciiTheme="minorHAnsi" w:hAnsiTheme="minorHAnsi" w:cstheme="minorHAnsi"/>
          <w:b/>
          <w:bCs/>
          <w:sz w:val="22"/>
          <w:szCs w:val="22"/>
        </w:rPr>
        <w:tab/>
      </w:r>
      <w:r>
        <w:rPr>
          <w:rFonts w:asciiTheme="minorHAnsi" w:hAnsiTheme="minorHAnsi" w:cstheme="minorHAnsi"/>
          <w:b/>
          <w:bCs/>
          <w:sz w:val="22"/>
          <w:szCs w:val="22"/>
        </w:rPr>
        <w:tab/>
      </w:r>
      <w:r w:rsidRPr="003433D4">
        <w:rPr>
          <w:rFonts w:asciiTheme="minorHAnsi" w:hAnsiTheme="minorHAnsi" w:cstheme="minorHAnsi"/>
          <w:b/>
          <w:bCs/>
          <w:sz w:val="22"/>
          <w:szCs w:val="22"/>
        </w:rPr>
        <w:t>Dr Sudhakar Allamsetty (from October 2014)</w:t>
      </w:r>
    </w:p>
    <w:p w:rsidR="003433D4" w:rsidRPr="003433D4" w:rsidRDefault="003433D4"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Service Lead:</w:t>
      </w:r>
      <w:r w:rsidRPr="003433D4">
        <w:rPr>
          <w:rFonts w:asciiTheme="minorHAnsi" w:hAnsiTheme="minorHAnsi" w:cstheme="minorHAnsi"/>
          <w:b/>
          <w:bCs/>
          <w:sz w:val="22"/>
          <w:szCs w:val="22"/>
        </w:rPr>
        <w:tab/>
      </w:r>
      <w:r w:rsidRPr="003433D4">
        <w:rPr>
          <w:rFonts w:asciiTheme="minorHAnsi" w:hAnsiTheme="minorHAnsi" w:cstheme="minorHAnsi"/>
          <w:b/>
          <w:bCs/>
          <w:sz w:val="22"/>
          <w:szCs w:val="22"/>
        </w:rPr>
        <w:tab/>
        <w:t>Rachel Staniforth</w:t>
      </w:r>
    </w:p>
    <w:p w:rsidR="003433D4" w:rsidRPr="003433D4" w:rsidRDefault="003433D4" w:rsidP="003433D4">
      <w:pPr>
        <w:jc w:val="both"/>
        <w:rPr>
          <w:rFonts w:asciiTheme="minorHAnsi" w:hAnsiTheme="minorHAnsi" w:cstheme="minorHAnsi"/>
          <w:b/>
          <w:bCs/>
          <w:sz w:val="22"/>
          <w:szCs w:val="22"/>
        </w:rPr>
      </w:pPr>
      <w:r w:rsidRPr="003433D4">
        <w:rPr>
          <w:rFonts w:asciiTheme="minorHAnsi" w:hAnsiTheme="minorHAnsi" w:cstheme="minorHAnsi"/>
          <w:b/>
          <w:bCs/>
          <w:sz w:val="22"/>
          <w:szCs w:val="22"/>
        </w:rPr>
        <w:t xml:space="preserve">Community Lead: </w:t>
      </w:r>
      <w:r w:rsidRPr="003433D4">
        <w:rPr>
          <w:rFonts w:asciiTheme="minorHAnsi" w:hAnsiTheme="minorHAnsi" w:cstheme="minorHAnsi"/>
          <w:b/>
          <w:bCs/>
          <w:sz w:val="22"/>
          <w:szCs w:val="22"/>
        </w:rPr>
        <w:tab/>
        <w:t>Margaret Henry (June 2014 onwards)</w:t>
      </w:r>
    </w:p>
    <w:p w:rsidR="00476025" w:rsidRPr="003433D4" w:rsidRDefault="00476025" w:rsidP="003433D4">
      <w:pPr>
        <w:jc w:val="both"/>
        <w:rPr>
          <w:rFonts w:asciiTheme="minorHAnsi" w:hAnsiTheme="minorHAnsi" w:cstheme="minorHAnsi"/>
          <w:b/>
          <w:bCs/>
          <w:sz w:val="22"/>
          <w:szCs w:val="22"/>
        </w:rPr>
      </w:pPr>
    </w:p>
    <w:p w:rsidR="003433D4" w:rsidRPr="003433D4" w:rsidRDefault="003433D4" w:rsidP="002A2134">
      <w:pPr>
        <w:spacing w:after="200"/>
        <w:jc w:val="both"/>
        <w:rPr>
          <w:rFonts w:asciiTheme="minorHAnsi" w:eastAsiaTheme="minorHAnsi" w:hAnsiTheme="minorHAnsi" w:cstheme="minorHAnsi"/>
          <w:b/>
          <w:sz w:val="22"/>
          <w:szCs w:val="22"/>
          <w:lang w:eastAsia="en-US"/>
        </w:rPr>
      </w:pPr>
      <w:r w:rsidRPr="003433D4">
        <w:rPr>
          <w:rFonts w:asciiTheme="minorHAnsi" w:eastAsiaTheme="minorHAnsi" w:hAnsiTheme="minorHAnsi" w:cstheme="minorHAnsi"/>
          <w:b/>
          <w:sz w:val="22"/>
          <w:szCs w:val="22"/>
          <w:lang w:eastAsia="en-US"/>
        </w:rPr>
        <w:t>Achievements in 2014/15</w:t>
      </w:r>
      <w:r w:rsidR="002A2134">
        <w:rPr>
          <w:rFonts w:asciiTheme="minorHAnsi" w:eastAsiaTheme="minorHAnsi" w:hAnsiTheme="minorHAnsi" w:cstheme="minorHAnsi"/>
          <w:b/>
          <w:sz w:val="22"/>
          <w:szCs w:val="22"/>
          <w:lang w:eastAsia="en-US"/>
        </w:rPr>
        <w:t xml:space="preserve">: </w:t>
      </w:r>
      <w:r w:rsidRPr="003433D4">
        <w:rPr>
          <w:rFonts w:asciiTheme="minorHAnsi" w:eastAsiaTheme="minorHAnsi" w:hAnsiTheme="minorHAnsi" w:cstheme="minorHAnsi"/>
          <w:sz w:val="22"/>
          <w:szCs w:val="22"/>
          <w:lang w:eastAsia="en-US"/>
        </w:rPr>
        <w:t>Within the last year, the triangle welcomed two new members – a new community member and a new clinical lead due to the retirement of the previous clinical lead. The prescribing and medicines management triangle have developed a blood glucose meter formulary with the involvement of other stakeholders including diabetes specialist nurses, primary care practitioners and patient representatives. This is now being implemented within practices and to date, positive feedback has been received. The triangle attended an event at St James’ Minster to support European Antibiotic Awareness Day and to promote community pharmacy and continues to input into the Area Prescribing Committee.</w:t>
      </w:r>
    </w:p>
    <w:p w:rsidR="003433D4" w:rsidRPr="003433D4" w:rsidRDefault="003433D4" w:rsidP="002A2134">
      <w:pPr>
        <w:spacing w:after="200"/>
        <w:jc w:val="both"/>
        <w:rPr>
          <w:rFonts w:asciiTheme="minorHAnsi" w:eastAsiaTheme="minorHAnsi" w:hAnsiTheme="minorHAnsi" w:cstheme="minorHAnsi"/>
          <w:sz w:val="22"/>
          <w:szCs w:val="22"/>
          <w:lang w:eastAsia="en-US"/>
        </w:rPr>
      </w:pPr>
      <w:r w:rsidRPr="003433D4">
        <w:rPr>
          <w:rFonts w:asciiTheme="minorHAnsi" w:eastAsiaTheme="minorHAnsi" w:hAnsiTheme="minorHAnsi" w:cstheme="minorHAnsi"/>
          <w:sz w:val="22"/>
          <w:szCs w:val="22"/>
          <w:lang w:eastAsia="en-US"/>
        </w:rPr>
        <w:t xml:space="preserve">Additionally the triangle has continued the implementation of </w:t>
      </w:r>
      <w:proofErr w:type="spellStart"/>
      <w:r w:rsidRPr="003433D4">
        <w:rPr>
          <w:rFonts w:asciiTheme="minorHAnsi" w:eastAsiaTheme="minorHAnsi" w:hAnsiTheme="minorHAnsi" w:cstheme="minorHAnsi"/>
          <w:sz w:val="22"/>
          <w:szCs w:val="22"/>
          <w:lang w:eastAsia="en-US"/>
        </w:rPr>
        <w:t>ScriptSwitch</w:t>
      </w:r>
      <w:proofErr w:type="spellEnd"/>
      <w:r w:rsidRPr="003433D4">
        <w:rPr>
          <w:rFonts w:asciiTheme="minorHAnsi" w:eastAsiaTheme="minorHAnsi" w:hAnsiTheme="minorHAnsi" w:cstheme="minorHAnsi"/>
          <w:sz w:val="22"/>
          <w:szCs w:val="22"/>
          <w:lang w:eastAsia="en-US"/>
        </w:rPr>
        <w:t xml:space="preserve"> and support to practices provided by the Medicines Optimisation Technician and monitored prescribing behaviour. There is continued evidence that practices have focussed on their prescribing over the last 12 months however despite this, the prescribing budget overspent for the financial year. Overspend on prescribing has been recognised nationally as a result of the impact of increase in price of Category M drugs, coupled with a national increase in activity during October. There has also been an increase in spend on GP personally administered drugs this financial year. </w:t>
      </w:r>
    </w:p>
    <w:p w:rsidR="003433D4" w:rsidRPr="003433D4" w:rsidRDefault="003433D4" w:rsidP="002A2134">
      <w:pPr>
        <w:spacing w:after="200"/>
        <w:jc w:val="both"/>
        <w:rPr>
          <w:rFonts w:asciiTheme="minorHAnsi" w:eastAsiaTheme="minorHAnsi" w:hAnsiTheme="minorHAnsi" w:cstheme="minorHAnsi"/>
          <w:b/>
          <w:sz w:val="22"/>
          <w:szCs w:val="22"/>
          <w:lang w:eastAsia="en-US"/>
        </w:rPr>
      </w:pPr>
      <w:r w:rsidRPr="003433D4">
        <w:rPr>
          <w:rFonts w:asciiTheme="minorHAnsi" w:eastAsiaTheme="minorHAnsi" w:hAnsiTheme="minorHAnsi" w:cstheme="minorHAnsi"/>
          <w:b/>
          <w:sz w:val="22"/>
          <w:szCs w:val="22"/>
          <w:lang w:eastAsia="en-US"/>
        </w:rPr>
        <w:t>Objectives for 2015/16</w:t>
      </w:r>
      <w:r w:rsidR="002A2134">
        <w:rPr>
          <w:rFonts w:asciiTheme="minorHAnsi" w:eastAsiaTheme="minorHAnsi" w:hAnsiTheme="minorHAnsi" w:cstheme="minorHAnsi"/>
          <w:b/>
          <w:sz w:val="22"/>
          <w:szCs w:val="22"/>
          <w:lang w:eastAsia="en-US"/>
        </w:rPr>
        <w:t xml:space="preserve">: </w:t>
      </w:r>
      <w:r w:rsidRPr="003433D4">
        <w:rPr>
          <w:rFonts w:asciiTheme="minorHAnsi" w:eastAsiaTheme="minorHAnsi" w:hAnsiTheme="minorHAnsi" w:cstheme="minorHAnsi"/>
          <w:sz w:val="22"/>
          <w:szCs w:val="22"/>
          <w:lang w:eastAsia="en-US"/>
        </w:rPr>
        <w:t xml:space="preserve">In the forthcoming year some of the key objectives include a review of the prescribing of nutritional products, including oral nutritional supplements and foods for special diets. As part of the Quality, Improvement, Productivity and Prevention agenda, there is a renewed focus on achieving a prescribing balanced budget at the end of the financial year and delivering the savings target as per QIPP plan. This will be aided by the continued implementation of </w:t>
      </w:r>
      <w:proofErr w:type="spellStart"/>
      <w:r w:rsidRPr="003433D4">
        <w:rPr>
          <w:rFonts w:asciiTheme="minorHAnsi" w:eastAsiaTheme="minorHAnsi" w:hAnsiTheme="minorHAnsi" w:cstheme="minorHAnsi"/>
          <w:sz w:val="22"/>
          <w:szCs w:val="22"/>
          <w:lang w:eastAsia="en-US"/>
        </w:rPr>
        <w:t>ScriptSwitch</w:t>
      </w:r>
      <w:proofErr w:type="spellEnd"/>
      <w:r w:rsidRPr="003433D4">
        <w:rPr>
          <w:rFonts w:asciiTheme="minorHAnsi" w:eastAsiaTheme="minorHAnsi" w:hAnsiTheme="minorHAnsi" w:cstheme="minorHAnsi"/>
          <w:sz w:val="22"/>
          <w:szCs w:val="22"/>
          <w:lang w:eastAsia="en-US"/>
        </w:rPr>
        <w:t xml:space="preserve"> (or alternative software programme) and support provided to practices by the Medicines Optimisation Technician. The triangle will also be focussing on antibiotic prescribing in line with national policy. Other work streams include the on-going implementation of the GRASP AF tool, a review of respiratory prescribing and the installation of the Northern Lincolnshire Area Prescribing Committee Formulary on to GP clinical systems.</w:t>
      </w:r>
    </w:p>
    <w:p w:rsidR="00C362DD" w:rsidRPr="003433D4" w:rsidRDefault="00C362DD" w:rsidP="003433D4">
      <w:pPr>
        <w:jc w:val="both"/>
        <w:rPr>
          <w:rFonts w:asciiTheme="minorHAnsi" w:hAnsiTheme="minorHAnsi" w:cstheme="minorHAnsi"/>
          <w:b/>
          <w:bCs/>
          <w:sz w:val="22"/>
          <w:szCs w:val="22"/>
          <w:u w:val="single"/>
        </w:rPr>
      </w:pPr>
    </w:p>
    <w:p w:rsidR="00873F72" w:rsidRPr="003433D4" w:rsidRDefault="00873F72" w:rsidP="003433D4">
      <w:pPr>
        <w:jc w:val="both"/>
        <w:rPr>
          <w:rFonts w:asciiTheme="minorHAnsi" w:hAnsiTheme="minorHAnsi" w:cstheme="minorHAnsi"/>
          <w:b/>
          <w:bCs/>
          <w:sz w:val="22"/>
          <w:szCs w:val="22"/>
          <w:u w:val="single"/>
        </w:rPr>
      </w:pPr>
      <w:r w:rsidRPr="003433D4">
        <w:rPr>
          <w:rFonts w:asciiTheme="minorHAnsi" w:hAnsiTheme="minorHAnsi" w:cstheme="minorHAnsi"/>
          <w:b/>
          <w:bCs/>
          <w:sz w:val="22"/>
          <w:szCs w:val="22"/>
          <w:u w:val="single"/>
        </w:rPr>
        <w:t>Disability &amp; Mental Health Triangle</w:t>
      </w:r>
    </w:p>
    <w:p w:rsidR="00873193" w:rsidRPr="003433D4" w:rsidRDefault="00873193" w:rsidP="003433D4">
      <w:pPr>
        <w:jc w:val="both"/>
        <w:rPr>
          <w:rFonts w:asciiTheme="minorHAnsi" w:hAnsiTheme="minorHAnsi" w:cstheme="minorHAnsi"/>
          <w:b/>
          <w:bCs/>
          <w:sz w:val="22"/>
          <w:szCs w:val="22"/>
        </w:rPr>
      </w:pPr>
    </w:p>
    <w:p w:rsidR="002A2134" w:rsidRPr="002A2134" w:rsidRDefault="002A2134" w:rsidP="002A2134">
      <w:pPr>
        <w:jc w:val="both"/>
        <w:rPr>
          <w:rFonts w:asciiTheme="minorHAnsi" w:hAnsiTheme="minorHAnsi" w:cstheme="minorHAnsi"/>
          <w:b/>
          <w:bCs/>
          <w:sz w:val="22"/>
          <w:szCs w:val="22"/>
        </w:rPr>
      </w:pPr>
      <w:r w:rsidRPr="002A2134">
        <w:rPr>
          <w:rFonts w:asciiTheme="minorHAnsi" w:hAnsiTheme="minorHAnsi" w:cstheme="minorHAnsi"/>
          <w:b/>
          <w:bCs/>
          <w:sz w:val="22"/>
          <w:szCs w:val="22"/>
        </w:rPr>
        <w:t xml:space="preserve">Clinical Lead: </w:t>
      </w:r>
      <w:r w:rsidRPr="002A2134">
        <w:rPr>
          <w:rFonts w:asciiTheme="minorHAnsi" w:hAnsiTheme="minorHAnsi" w:cstheme="minorHAnsi"/>
          <w:b/>
          <w:bCs/>
          <w:sz w:val="22"/>
          <w:szCs w:val="22"/>
        </w:rPr>
        <w:tab/>
      </w:r>
      <w:r>
        <w:rPr>
          <w:rFonts w:asciiTheme="minorHAnsi" w:hAnsiTheme="minorHAnsi" w:cstheme="minorHAnsi"/>
          <w:b/>
          <w:bCs/>
          <w:sz w:val="22"/>
          <w:szCs w:val="22"/>
        </w:rPr>
        <w:tab/>
      </w:r>
      <w:r w:rsidRPr="002A2134">
        <w:rPr>
          <w:rFonts w:asciiTheme="minorHAnsi" w:hAnsiTheme="minorHAnsi" w:cstheme="minorHAnsi"/>
          <w:b/>
          <w:bCs/>
          <w:sz w:val="22"/>
          <w:szCs w:val="22"/>
        </w:rPr>
        <w:t xml:space="preserve">Dr Mathews             </w:t>
      </w:r>
    </w:p>
    <w:p w:rsidR="002A2134" w:rsidRPr="002A2134" w:rsidRDefault="002A2134" w:rsidP="002A2134">
      <w:pPr>
        <w:jc w:val="both"/>
        <w:rPr>
          <w:rFonts w:asciiTheme="minorHAnsi" w:hAnsiTheme="minorHAnsi" w:cstheme="minorHAnsi"/>
          <w:b/>
          <w:bCs/>
          <w:sz w:val="22"/>
          <w:szCs w:val="22"/>
        </w:rPr>
      </w:pPr>
      <w:r w:rsidRPr="002A2134">
        <w:rPr>
          <w:rFonts w:asciiTheme="minorHAnsi" w:hAnsiTheme="minorHAnsi" w:cstheme="minorHAnsi"/>
          <w:b/>
          <w:bCs/>
          <w:sz w:val="22"/>
          <w:szCs w:val="22"/>
        </w:rPr>
        <w:t>Service Lead:</w:t>
      </w:r>
      <w:r w:rsidRPr="002A2134">
        <w:rPr>
          <w:rFonts w:asciiTheme="minorHAnsi" w:hAnsiTheme="minorHAnsi" w:cstheme="minorHAnsi"/>
          <w:b/>
          <w:bCs/>
          <w:sz w:val="22"/>
          <w:szCs w:val="22"/>
        </w:rPr>
        <w:tab/>
      </w:r>
      <w:r w:rsidRPr="002A2134">
        <w:rPr>
          <w:rFonts w:asciiTheme="minorHAnsi" w:hAnsiTheme="minorHAnsi" w:cstheme="minorHAnsi"/>
          <w:b/>
          <w:bCs/>
          <w:sz w:val="22"/>
          <w:szCs w:val="22"/>
        </w:rPr>
        <w:tab/>
        <w:t>Angie Dyson</w:t>
      </w:r>
    </w:p>
    <w:p w:rsidR="002A2134" w:rsidRPr="002A2134" w:rsidRDefault="002A2134" w:rsidP="002A2134">
      <w:pPr>
        <w:jc w:val="both"/>
        <w:rPr>
          <w:rFonts w:asciiTheme="minorHAnsi" w:hAnsiTheme="minorHAnsi" w:cstheme="minorHAnsi"/>
          <w:b/>
          <w:bCs/>
          <w:sz w:val="22"/>
          <w:szCs w:val="22"/>
        </w:rPr>
      </w:pPr>
      <w:r w:rsidRPr="002A2134">
        <w:rPr>
          <w:rFonts w:asciiTheme="minorHAnsi" w:hAnsiTheme="minorHAnsi" w:cstheme="minorHAnsi"/>
          <w:b/>
          <w:bCs/>
          <w:sz w:val="22"/>
          <w:szCs w:val="22"/>
        </w:rPr>
        <w:t xml:space="preserve">Community Lead: </w:t>
      </w:r>
      <w:r w:rsidRPr="002A2134">
        <w:rPr>
          <w:rFonts w:asciiTheme="minorHAnsi" w:hAnsiTheme="minorHAnsi" w:cstheme="minorHAnsi"/>
          <w:b/>
          <w:bCs/>
          <w:sz w:val="22"/>
          <w:szCs w:val="22"/>
        </w:rPr>
        <w:tab/>
        <w:t>David McGuire</w:t>
      </w:r>
    </w:p>
    <w:p w:rsidR="002A2134" w:rsidRPr="002A2134" w:rsidRDefault="002A2134" w:rsidP="002A2134">
      <w:pPr>
        <w:jc w:val="both"/>
        <w:rPr>
          <w:rFonts w:asciiTheme="minorHAnsi" w:hAnsiTheme="minorHAnsi" w:cstheme="minorHAnsi"/>
          <w:b/>
          <w:bCs/>
          <w:sz w:val="22"/>
          <w:szCs w:val="22"/>
        </w:rPr>
      </w:pPr>
    </w:p>
    <w:p w:rsidR="002A2134" w:rsidRPr="002A2134" w:rsidRDefault="002A2134" w:rsidP="002A2134">
      <w:pPr>
        <w:jc w:val="both"/>
        <w:rPr>
          <w:rFonts w:asciiTheme="minorHAnsi" w:hAnsiTheme="minorHAnsi" w:cstheme="minorHAnsi"/>
          <w:b/>
          <w:bCs/>
          <w:sz w:val="22"/>
          <w:szCs w:val="22"/>
        </w:rPr>
      </w:pPr>
      <w:r>
        <w:rPr>
          <w:rFonts w:asciiTheme="minorHAnsi" w:hAnsiTheme="minorHAnsi" w:cstheme="minorHAnsi"/>
          <w:b/>
          <w:bCs/>
          <w:sz w:val="22"/>
          <w:szCs w:val="22"/>
        </w:rPr>
        <w:t xml:space="preserve">Achievements in 2014/15: </w:t>
      </w:r>
      <w:r w:rsidRPr="002A2134">
        <w:rPr>
          <w:rFonts w:asciiTheme="minorHAnsi" w:hAnsiTheme="minorHAnsi" w:cstheme="minorHAnsi"/>
          <w:bCs/>
          <w:sz w:val="22"/>
          <w:szCs w:val="22"/>
        </w:rPr>
        <w:t>The Triangle has continued to develop the market with the second apartment model opening for</w:t>
      </w:r>
      <w:r w:rsidR="00993736">
        <w:rPr>
          <w:rFonts w:asciiTheme="minorHAnsi" w:hAnsiTheme="minorHAnsi" w:cstheme="minorHAnsi"/>
          <w:bCs/>
          <w:sz w:val="22"/>
          <w:szCs w:val="22"/>
        </w:rPr>
        <w:t xml:space="preserve"> people with complex needs and </w:t>
      </w:r>
      <w:r w:rsidRPr="002A2134">
        <w:rPr>
          <w:rFonts w:asciiTheme="minorHAnsi" w:hAnsiTheme="minorHAnsi" w:cstheme="minorHAnsi"/>
          <w:bCs/>
          <w:sz w:val="22"/>
          <w:szCs w:val="22"/>
        </w:rPr>
        <w:t>continue</w:t>
      </w:r>
      <w:r w:rsidR="00993736">
        <w:rPr>
          <w:rFonts w:asciiTheme="minorHAnsi" w:hAnsiTheme="minorHAnsi" w:cstheme="minorHAnsi"/>
          <w:bCs/>
          <w:sz w:val="22"/>
          <w:szCs w:val="22"/>
        </w:rPr>
        <w:t>s</w:t>
      </w:r>
      <w:r w:rsidRPr="002A2134">
        <w:rPr>
          <w:rFonts w:asciiTheme="minorHAnsi" w:hAnsiTheme="minorHAnsi" w:cstheme="minorHAnsi"/>
          <w:bCs/>
          <w:sz w:val="22"/>
          <w:szCs w:val="22"/>
        </w:rPr>
        <w:t xml:space="preserve"> to provide alternative person centred services for people in transition with complex needs.  Durin</w:t>
      </w:r>
      <w:r w:rsidR="00993736">
        <w:rPr>
          <w:rFonts w:asciiTheme="minorHAnsi" w:hAnsiTheme="minorHAnsi" w:cstheme="minorHAnsi"/>
          <w:bCs/>
          <w:sz w:val="22"/>
          <w:szCs w:val="22"/>
        </w:rPr>
        <w:t>g 14/15 the triangle was</w:t>
      </w:r>
      <w:r w:rsidRPr="002A2134">
        <w:rPr>
          <w:rFonts w:asciiTheme="minorHAnsi" w:hAnsiTheme="minorHAnsi" w:cstheme="minorHAnsi"/>
          <w:bCs/>
          <w:sz w:val="22"/>
          <w:szCs w:val="22"/>
        </w:rPr>
        <w:t xml:space="preserve"> able to provide another two bungalows for peopl</w:t>
      </w:r>
      <w:r w:rsidR="00993736">
        <w:rPr>
          <w:rFonts w:asciiTheme="minorHAnsi" w:hAnsiTheme="minorHAnsi" w:cstheme="minorHAnsi"/>
          <w:bCs/>
          <w:sz w:val="22"/>
          <w:szCs w:val="22"/>
        </w:rPr>
        <w:t xml:space="preserve">e with physical disability and it has </w:t>
      </w:r>
      <w:r w:rsidR="002C2047">
        <w:rPr>
          <w:rFonts w:asciiTheme="minorHAnsi" w:hAnsiTheme="minorHAnsi" w:cstheme="minorHAnsi"/>
          <w:bCs/>
          <w:sz w:val="22"/>
          <w:szCs w:val="22"/>
        </w:rPr>
        <w:t>continued to work with NAVI</w:t>
      </w:r>
      <w:r w:rsidRPr="002A2134">
        <w:rPr>
          <w:rFonts w:asciiTheme="minorHAnsi" w:hAnsiTheme="minorHAnsi" w:cstheme="minorHAnsi"/>
          <w:bCs/>
          <w:sz w:val="22"/>
          <w:szCs w:val="22"/>
        </w:rPr>
        <w:t>GO to meet the NHS England Improving Access to Psychological Therapi</w:t>
      </w:r>
      <w:r w:rsidR="00993736">
        <w:rPr>
          <w:rFonts w:asciiTheme="minorHAnsi" w:hAnsiTheme="minorHAnsi" w:cstheme="minorHAnsi"/>
          <w:bCs/>
          <w:sz w:val="22"/>
          <w:szCs w:val="22"/>
        </w:rPr>
        <w:t>es (IAPT), and have achieved the</w:t>
      </w:r>
      <w:r w:rsidRPr="002A2134">
        <w:rPr>
          <w:rFonts w:asciiTheme="minorHAnsi" w:hAnsiTheme="minorHAnsi" w:cstheme="minorHAnsi"/>
          <w:bCs/>
          <w:sz w:val="22"/>
          <w:szCs w:val="22"/>
        </w:rPr>
        <w:t xml:space="preserve"> target of 15%.  </w:t>
      </w:r>
    </w:p>
    <w:p w:rsidR="002A2134" w:rsidRPr="002A2134" w:rsidRDefault="002A2134" w:rsidP="002A2134">
      <w:pPr>
        <w:jc w:val="both"/>
        <w:rPr>
          <w:rFonts w:asciiTheme="minorHAnsi" w:hAnsiTheme="minorHAnsi" w:cstheme="minorHAnsi"/>
          <w:bCs/>
          <w:sz w:val="22"/>
          <w:szCs w:val="22"/>
        </w:rPr>
      </w:pPr>
    </w:p>
    <w:p w:rsidR="002A2134" w:rsidRPr="002A2134" w:rsidRDefault="002A2134" w:rsidP="002A2134">
      <w:pPr>
        <w:jc w:val="both"/>
        <w:rPr>
          <w:rFonts w:asciiTheme="minorHAnsi" w:hAnsiTheme="minorHAnsi" w:cstheme="minorHAnsi"/>
          <w:bCs/>
          <w:sz w:val="22"/>
          <w:szCs w:val="22"/>
        </w:rPr>
      </w:pPr>
      <w:r w:rsidRPr="002A2134">
        <w:rPr>
          <w:rFonts w:asciiTheme="minorHAnsi" w:hAnsiTheme="minorHAnsi" w:cstheme="minorHAnsi"/>
          <w:bCs/>
          <w:sz w:val="22"/>
          <w:szCs w:val="22"/>
        </w:rPr>
        <w:lastRenderedPageBreak/>
        <w:t xml:space="preserve">Working with our key providers to achieve the significant savings required in Adult Social Care has meant the review of many </w:t>
      </w:r>
      <w:proofErr w:type="gramStart"/>
      <w:r w:rsidRPr="002A2134">
        <w:rPr>
          <w:rFonts w:asciiTheme="minorHAnsi" w:hAnsiTheme="minorHAnsi" w:cstheme="minorHAnsi"/>
          <w:bCs/>
          <w:sz w:val="22"/>
          <w:szCs w:val="22"/>
        </w:rPr>
        <w:t>services,</w:t>
      </w:r>
      <w:proofErr w:type="gramEnd"/>
      <w:r w:rsidRPr="002A2134">
        <w:rPr>
          <w:rFonts w:asciiTheme="minorHAnsi" w:hAnsiTheme="minorHAnsi" w:cstheme="minorHAnsi"/>
          <w:bCs/>
          <w:sz w:val="22"/>
          <w:szCs w:val="22"/>
        </w:rPr>
        <w:t xml:space="preserve"> in order that we can demonstrate the efficiencies and outcomes we want for the population of North East Lincolnshire.  </w:t>
      </w:r>
    </w:p>
    <w:p w:rsidR="002A2134" w:rsidRPr="002A2134" w:rsidRDefault="002A2134" w:rsidP="002A2134">
      <w:pPr>
        <w:jc w:val="both"/>
        <w:rPr>
          <w:rFonts w:asciiTheme="minorHAnsi" w:hAnsiTheme="minorHAnsi" w:cstheme="minorHAnsi"/>
          <w:bCs/>
          <w:sz w:val="22"/>
          <w:szCs w:val="22"/>
        </w:rPr>
      </w:pPr>
    </w:p>
    <w:p w:rsidR="002A2134" w:rsidRPr="002A2134" w:rsidRDefault="00993736" w:rsidP="002A2134">
      <w:pPr>
        <w:jc w:val="both"/>
        <w:rPr>
          <w:rFonts w:asciiTheme="minorHAnsi" w:hAnsiTheme="minorHAnsi" w:cstheme="minorHAnsi"/>
          <w:bCs/>
          <w:sz w:val="22"/>
          <w:szCs w:val="22"/>
        </w:rPr>
      </w:pPr>
      <w:r>
        <w:rPr>
          <w:rFonts w:asciiTheme="minorHAnsi" w:hAnsiTheme="minorHAnsi" w:cstheme="minorHAnsi"/>
          <w:bCs/>
          <w:sz w:val="22"/>
          <w:szCs w:val="22"/>
        </w:rPr>
        <w:t>The triangle has</w:t>
      </w:r>
      <w:r w:rsidR="002A2134" w:rsidRPr="002A2134">
        <w:rPr>
          <w:rFonts w:asciiTheme="minorHAnsi" w:hAnsiTheme="minorHAnsi" w:cstheme="minorHAnsi"/>
          <w:bCs/>
          <w:sz w:val="22"/>
          <w:szCs w:val="22"/>
        </w:rPr>
        <w:t xml:space="preserve"> fully implemented the requirements of the Mental Health Concordat and we are now working more proactively with the pol</w:t>
      </w:r>
      <w:r w:rsidR="002C2047">
        <w:rPr>
          <w:rFonts w:asciiTheme="minorHAnsi" w:hAnsiTheme="minorHAnsi" w:cstheme="minorHAnsi"/>
          <w:bCs/>
          <w:sz w:val="22"/>
          <w:szCs w:val="22"/>
        </w:rPr>
        <w:t>ice, ambulance service, and NAVI</w:t>
      </w:r>
      <w:r w:rsidR="002A2134" w:rsidRPr="002A2134">
        <w:rPr>
          <w:rFonts w:asciiTheme="minorHAnsi" w:hAnsiTheme="minorHAnsi" w:cstheme="minorHAnsi"/>
          <w:bCs/>
          <w:sz w:val="22"/>
          <w:szCs w:val="22"/>
        </w:rPr>
        <w:t xml:space="preserve">GO in responding to people in a crisis, in a more co-ordinated way.  </w:t>
      </w:r>
    </w:p>
    <w:p w:rsidR="002A2134" w:rsidRPr="002A2134" w:rsidRDefault="002A2134" w:rsidP="002A2134">
      <w:pPr>
        <w:jc w:val="both"/>
        <w:rPr>
          <w:rFonts w:asciiTheme="minorHAnsi" w:hAnsiTheme="minorHAnsi" w:cstheme="minorHAnsi"/>
          <w:bCs/>
          <w:sz w:val="22"/>
          <w:szCs w:val="22"/>
        </w:rPr>
      </w:pPr>
    </w:p>
    <w:p w:rsidR="002A2134" w:rsidRPr="002A2134" w:rsidRDefault="002A2134" w:rsidP="002A2134">
      <w:pPr>
        <w:jc w:val="both"/>
        <w:rPr>
          <w:rFonts w:asciiTheme="minorHAnsi" w:hAnsiTheme="minorHAnsi" w:cstheme="minorHAnsi"/>
          <w:bCs/>
          <w:sz w:val="22"/>
          <w:szCs w:val="22"/>
        </w:rPr>
      </w:pPr>
      <w:r>
        <w:rPr>
          <w:rFonts w:asciiTheme="minorHAnsi" w:hAnsiTheme="minorHAnsi" w:cstheme="minorHAnsi"/>
          <w:b/>
          <w:bCs/>
          <w:sz w:val="22"/>
          <w:szCs w:val="22"/>
        </w:rPr>
        <w:t xml:space="preserve">Objectives for 2015/16: </w:t>
      </w:r>
      <w:r w:rsidRPr="002A2134">
        <w:rPr>
          <w:rFonts w:asciiTheme="minorHAnsi" w:hAnsiTheme="minorHAnsi" w:cstheme="minorHAnsi"/>
          <w:bCs/>
          <w:sz w:val="22"/>
          <w:szCs w:val="22"/>
        </w:rPr>
        <w:t>The objectives for the Triangle for 15/16 are primar</w:t>
      </w:r>
      <w:r w:rsidR="00993736">
        <w:rPr>
          <w:rFonts w:asciiTheme="minorHAnsi" w:hAnsiTheme="minorHAnsi" w:cstheme="minorHAnsi"/>
          <w:bCs/>
          <w:sz w:val="22"/>
          <w:szCs w:val="22"/>
        </w:rPr>
        <w:t>il</w:t>
      </w:r>
      <w:r w:rsidRPr="002A2134">
        <w:rPr>
          <w:rFonts w:asciiTheme="minorHAnsi" w:hAnsiTheme="minorHAnsi" w:cstheme="minorHAnsi"/>
          <w:bCs/>
          <w:sz w:val="22"/>
          <w:szCs w:val="22"/>
        </w:rPr>
        <w:t xml:space="preserve">y focused on achieving more efficiency for Adult Social Care whilst working towards the CCG strategic objectives.  </w:t>
      </w:r>
    </w:p>
    <w:p w:rsidR="002A2134" w:rsidRPr="002A2134" w:rsidRDefault="002A2134" w:rsidP="002A2134">
      <w:pPr>
        <w:jc w:val="both"/>
        <w:rPr>
          <w:rFonts w:asciiTheme="minorHAnsi" w:hAnsiTheme="minorHAnsi" w:cstheme="minorHAnsi"/>
          <w:bCs/>
          <w:sz w:val="22"/>
          <w:szCs w:val="22"/>
        </w:rPr>
      </w:pPr>
    </w:p>
    <w:p w:rsidR="002A2134" w:rsidRPr="002A2134" w:rsidRDefault="002A2134" w:rsidP="002A2134">
      <w:pPr>
        <w:jc w:val="both"/>
        <w:rPr>
          <w:rFonts w:asciiTheme="minorHAnsi" w:hAnsiTheme="minorHAnsi" w:cstheme="minorHAnsi"/>
          <w:bCs/>
          <w:sz w:val="22"/>
          <w:szCs w:val="22"/>
        </w:rPr>
      </w:pPr>
      <w:r w:rsidRPr="002A2134">
        <w:rPr>
          <w:rFonts w:asciiTheme="minorHAnsi" w:hAnsiTheme="minorHAnsi" w:cstheme="minorHAnsi"/>
          <w:bCs/>
          <w:sz w:val="22"/>
          <w:szCs w:val="22"/>
        </w:rPr>
        <w:t xml:space="preserve">Supported Living has developed significantly. In the next year the development of a standard hourly rate and consistent service specification rate across all providers, with clear outcomes, will be a priority for this Triangle.     </w:t>
      </w:r>
    </w:p>
    <w:p w:rsidR="002A2134" w:rsidRPr="002A2134" w:rsidRDefault="002A2134" w:rsidP="002A2134">
      <w:pPr>
        <w:jc w:val="both"/>
        <w:rPr>
          <w:rFonts w:asciiTheme="minorHAnsi" w:hAnsiTheme="minorHAnsi" w:cstheme="minorHAnsi"/>
          <w:bCs/>
          <w:sz w:val="22"/>
          <w:szCs w:val="22"/>
        </w:rPr>
      </w:pPr>
    </w:p>
    <w:p w:rsidR="002A2134" w:rsidRPr="002A2134" w:rsidRDefault="00993736" w:rsidP="002A2134">
      <w:pPr>
        <w:jc w:val="both"/>
        <w:rPr>
          <w:rFonts w:asciiTheme="minorHAnsi" w:hAnsiTheme="minorHAnsi" w:cstheme="minorHAnsi"/>
          <w:bCs/>
          <w:sz w:val="22"/>
          <w:szCs w:val="22"/>
        </w:rPr>
      </w:pPr>
      <w:r>
        <w:rPr>
          <w:rFonts w:asciiTheme="minorHAnsi" w:hAnsiTheme="minorHAnsi" w:cstheme="minorHAnsi"/>
          <w:bCs/>
          <w:sz w:val="22"/>
          <w:szCs w:val="22"/>
        </w:rPr>
        <w:t>The Triangle will continue</w:t>
      </w:r>
      <w:r w:rsidR="002A2134" w:rsidRPr="002A2134">
        <w:rPr>
          <w:rFonts w:asciiTheme="minorHAnsi" w:hAnsiTheme="minorHAnsi" w:cstheme="minorHAnsi"/>
          <w:bCs/>
          <w:sz w:val="22"/>
          <w:szCs w:val="22"/>
        </w:rPr>
        <w:t xml:space="preserve"> to work with NAVIGO in order we have the correct provision available in North East Lincolnshire for people with complex dementia, and to ensure that there are newly commissioned ‘step down’ apartments available for people with functional needs. </w:t>
      </w:r>
    </w:p>
    <w:p w:rsidR="002A2134" w:rsidRPr="002A2134" w:rsidRDefault="002A2134" w:rsidP="002A2134">
      <w:pPr>
        <w:jc w:val="both"/>
        <w:rPr>
          <w:rFonts w:asciiTheme="minorHAnsi" w:hAnsiTheme="minorHAnsi" w:cstheme="minorHAnsi"/>
          <w:bCs/>
          <w:sz w:val="22"/>
          <w:szCs w:val="22"/>
        </w:rPr>
      </w:pPr>
    </w:p>
    <w:p w:rsidR="002A2134" w:rsidRPr="002A2134" w:rsidRDefault="002A2134" w:rsidP="002A2134">
      <w:pPr>
        <w:jc w:val="both"/>
        <w:rPr>
          <w:rFonts w:asciiTheme="minorHAnsi" w:hAnsiTheme="minorHAnsi" w:cstheme="minorHAnsi"/>
          <w:bCs/>
          <w:sz w:val="22"/>
          <w:szCs w:val="22"/>
        </w:rPr>
      </w:pPr>
      <w:r w:rsidRPr="002A2134">
        <w:rPr>
          <w:rFonts w:asciiTheme="minorHAnsi" w:hAnsiTheme="minorHAnsi" w:cstheme="minorHAnsi"/>
          <w:bCs/>
          <w:sz w:val="22"/>
          <w:szCs w:val="22"/>
        </w:rPr>
        <w:t>The development of four new bungalows for people with complex needs in Immingham will be fully developed at the end of the year which will allow the commissioner to remodel Gatehouse Cottages which will provide people with the opportunity to fully develop their independence skills.</w:t>
      </w:r>
    </w:p>
    <w:p w:rsidR="002A2134" w:rsidRPr="002A2134" w:rsidRDefault="002A2134" w:rsidP="002A2134">
      <w:pPr>
        <w:jc w:val="both"/>
        <w:rPr>
          <w:rFonts w:asciiTheme="minorHAnsi" w:hAnsiTheme="minorHAnsi" w:cstheme="minorHAnsi"/>
          <w:bCs/>
          <w:sz w:val="22"/>
          <w:szCs w:val="22"/>
        </w:rPr>
      </w:pPr>
    </w:p>
    <w:p w:rsidR="002A2134" w:rsidRPr="002A2134" w:rsidRDefault="002A2134" w:rsidP="002A2134">
      <w:pPr>
        <w:jc w:val="both"/>
        <w:rPr>
          <w:rFonts w:asciiTheme="minorHAnsi" w:hAnsiTheme="minorHAnsi" w:cstheme="minorHAnsi"/>
          <w:bCs/>
          <w:sz w:val="22"/>
          <w:szCs w:val="22"/>
        </w:rPr>
      </w:pPr>
      <w:r w:rsidRPr="002A2134">
        <w:rPr>
          <w:rFonts w:asciiTheme="minorHAnsi" w:hAnsiTheme="minorHAnsi" w:cstheme="minorHAnsi"/>
          <w:bCs/>
          <w:sz w:val="22"/>
          <w:szCs w:val="22"/>
        </w:rPr>
        <w:t xml:space="preserve">Parity of Esteem remains high on the government agenda and this year will allow us to compare our waiting times and enable pathways to be reviewed in order that people receive services, and waiting times are constant with the acute sector. </w:t>
      </w:r>
    </w:p>
    <w:p w:rsidR="00D06D8C" w:rsidRDefault="00D06D8C" w:rsidP="002A2134">
      <w:pPr>
        <w:jc w:val="both"/>
        <w:rPr>
          <w:rFonts w:asciiTheme="minorHAnsi" w:hAnsiTheme="minorHAnsi" w:cstheme="minorHAnsi"/>
          <w:bCs/>
          <w:sz w:val="22"/>
          <w:szCs w:val="22"/>
        </w:rPr>
      </w:pPr>
    </w:p>
    <w:p w:rsidR="00CD5D2F" w:rsidRPr="00CD5D2F" w:rsidRDefault="00CD5D2F" w:rsidP="00CD5D2F">
      <w:pPr>
        <w:jc w:val="both"/>
        <w:rPr>
          <w:rFonts w:asciiTheme="minorHAnsi" w:hAnsiTheme="minorHAnsi" w:cstheme="minorHAnsi"/>
          <w:b/>
          <w:bCs/>
          <w:sz w:val="22"/>
          <w:szCs w:val="22"/>
          <w:u w:val="single"/>
        </w:rPr>
      </w:pPr>
      <w:r w:rsidRPr="00CD5D2F">
        <w:rPr>
          <w:rFonts w:asciiTheme="minorHAnsi" w:hAnsiTheme="minorHAnsi" w:cstheme="minorHAnsi"/>
          <w:b/>
          <w:bCs/>
          <w:sz w:val="22"/>
          <w:szCs w:val="22"/>
          <w:u w:val="single"/>
        </w:rPr>
        <w:t>Community Care Triangle</w:t>
      </w:r>
    </w:p>
    <w:p w:rsidR="00CD5D2F" w:rsidRPr="00CD5D2F" w:rsidRDefault="00CD5D2F" w:rsidP="00CD5D2F">
      <w:pPr>
        <w:jc w:val="both"/>
        <w:rPr>
          <w:rFonts w:asciiTheme="minorHAnsi" w:hAnsiTheme="minorHAnsi" w:cstheme="minorHAnsi"/>
          <w:b/>
          <w:bCs/>
          <w:sz w:val="22"/>
          <w:szCs w:val="22"/>
        </w:rPr>
      </w:pPr>
    </w:p>
    <w:p w:rsidR="00CD5D2F" w:rsidRPr="00CD5D2F" w:rsidRDefault="00CD5D2F" w:rsidP="00CD5D2F">
      <w:pPr>
        <w:jc w:val="both"/>
        <w:rPr>
          <w:rFonts w:asciiTheme="minorHAnsi" w:hAnsiTheme="minorHAnsi" w:cstheme="minorHAnsi"/>
          <w:b/>
          <w:bCs/>
          <w:sz w:val="22"/>
          <w:szCs w:val="22"/>
        </w:rPr>
      </w:pPr>
      <w:r w:rsidRPr="00CD5D2F">
        <w:rPr>
          <w:rFonts w:asciiTheme="minorHAnsi" w:hAnsiTheme="minorHAnsi" w:cstheme="minorHAnsi"/>
          <w:b/>
          <w:bCs/>
          <w:sz w:val="22"/>
          <w:szCs w:val="22"/>
        </w:rPr>
        <w:t xml:space="preserve">Clinical Lead: </w:t>
      </w:r>
      <w:r w:rsidRPr="00CD5D2F">
        <w:rPr>
          <w:rFonts w:asciiTheme="minorHAnsi" w:hAnsiTheme="minorHAnsi" w:cstheme="minorHAnsi"/>
          <w:b/>
          <w:bCs/>
          <w:sz w:val="22"/>
          <w:szCs w:val="22"/>
        </w:rPr>
        <w:tab/>
      </w:r>
      <w:r>
        <w:rPr>
          <w:rFonts w:asciiTheme="minorHAnsi" w:hAnsiTheme="minorHAnsi" w:cstheme="minorHAnsi"/>
          <w:b/>
          <w:bCs/>
          <w:sz w:val="22"/>
          <w:szCs w:val="22"/>
        </w:rPr>
        <w:tab/>
      </w:r>
      <w:r w:rsidRPr="00CD5D2F">
        <w:rPr>
          <w:rFonts w:asciiTheme="minorHAnsi" w:hAnsiTheme="minorHAnsi" w:cstheme="minorHAnsi"/>
          <w:b/>
          <w:bCs/>
          <w:sz w:val="22"/>
          <w:szCs w:val="22"/>
        </w:rPr>
        <w:t xml:space="preserve">Dr Bamgbala                      </w:t>
      </w:r>
    </w:p>
    <w:p w:rsidR="00CD5D2F" w:rsidRPr="00CD5D2F" w:rsidRDefault="00CD5D2F" w:rsidP="00CD5D2F">
      <w:pPr>
        <w:jc w:val="both"/>
        <w:rPr>
          <w:rFonts w:asciiTheme="minorHAnsi" w:hAnsiTheme="minorHAnsi" w:cstheme="minorHAnsi"/>
          <w:b/>
          <w:bCs/>
          <w:sz w:val="22"/>
          <w:szCs w:val="22"/>
        </w:rPr>
      </w:pPr>
      <w:r w:rsidRPr="00CD5D2F">
        <w:rPr>
          <w:rFonts w:asciiTheme="minorHAnsi" w:hAnsiTheme="minorHAnsi" w:cstheme="minorHAnsi"/>
          <w:b/>
          <w:bCs/>
          <w:sz w:val="22"/>
          <w:szCs w:val="22"/>
        </w:rPr>
        <w:t>Service Lead:</w:t>
      </w:r>
      <w:r w:rsidRPr="00CD5D2F">
        <w:rPr>
          <w:rFonts w:asciiTheme="minorHAnsi" w:hAnsiTheme="minorHAnsi" w:cstheme="minorHAnsi"/>
          <w:b/>
          <w:bCs/>
          <w:sz w:val="22"/>
          <w:szCs w:val="22"/>
        </w:rPr>
        <w:tab/>
      </w:r>
      <w:r w:rsidRPr="00CD5D2F">
        <w:rPr>
          <w:rFonts w:asciiTheme="minorHAnsi" w:hAnsiTheme="minorHAnsi" w:cstheme="minorHAnsi"/>
          <w:b/>
          <w:bCs/>
          <w:sz w:val="22"/>
          <w:szCs w:val="22"/>
        </w:rPr>
        <w:tab/>
        <w:t>Jake Rollin</w:t>
      </w:r>
    </w:p>
    <w:p w:rsidR="00CD5D2F" w:rsidRPr="00CD5D2F" w:rsidRDefault="00CD5D2F" w:rsidP="00CD5D2F">
      <w:pPr>
        <w:jc w:val="both"/>
        <w:rPr>
          <w:rFonts w:asciiTheme="minorHAnsi" w:hAnsiTheme="minorHAnsi" w:cstheme="minorHAnsi"/>
          <w:b/>
          <w:bCs/>
          <w:sz w:val="22"/>
          <w:szCs w:val="22"/>
        </w:rPr>
      </w:pPr>
      <w:r w:rsidRPr="00CD5D2F">
        <w:rPr>
          <w:rFonts w:asciiTheme="minorHAnsi" w:hAnsiTheme="minorHAnsi" w:cstheme="minorHAnsi"/>
          <w:b/>
          <w:bCs/>
          <w:sz w:val="22"/>
          <w:szCs w:val="22"/>
        </w:rPr>
        <w:t xml:space="preserve">Community Lead: </w:t>
      </w:r>
      <w:r w:rsidRPr="00CD5D2F">
        <w:rPr>
          <w:rFonts w:asciiTheme="minorHAnsi" w:hAnsiTheme="minorHAnsi" w:cstheme="minorHAnsi"/>
          <w:b/>
          <w:bCs/>
          <w:sz w:val="22"/>
          <w:szCs w:val="22"/>
        </w:rPr>
        <w:tab/>
        <w:t>Christine Forman</w:t>
      </w:r>
    </w:p>
    <w:p w:rsidR="00CD5D2F" w:rsidRPr="00CD5D2F" w:rsidRDefault="00CD5D2F" w:rsidP="00CD5D2F">
      <w:pPr>
        <w:jc w:val="both"/>
        <w:rPr>
          <w:rFonts w:asciiTheme="minorHAnsi" w:hAnsiTheme="minorHAnsi" w:cstheme="minorHAnsi"/>
          <w:b/>
          <w:bCs/>
          <w:sz w:val="22"/>
          <w:szCs w:val="22"/>
        </w:rPr>
      </w:pPr>
    </w:p>
    <w:p w:rsidR="00CD5D2F" w:rsidRPr="00CD5D2F" w:rsidRDefault="00CD5D2F" w:rsidP="00CD5D2F">
      <w:pPr>
        <w:jc w:val="both"/>
        <w:rPr>
          <w:rFonts w:asciiTheme="minorHAnsi" w:hAnsiTheme="minorHAnsi" w:cstheme="minorHAnsi"/>
          <w:b/>
          <w:bCs/>
          <w:sz w:val="22"/>
          <w:szCs w:val="22"/>
        </w:rPr>
      </w:pPr>
      <w:r w:rsidRPr="00CD5D2F">
        <w:rPr>
          <w:rFonts w:asciiTheme="minorHAnsi" w:hAnsiTheme="minorHAnsi" w:cstheme="minorHAnsi"/>
          <w:b/>
          <w:bCs/>
          <w:sz w:val="22"/>
          <w:szCs w:val="22"/>
        </w:rPr>
        <w:t>Achievements in 2014/15</w:t>
      </w:r>
      <w:r>
        <w:rPr>
          <w:rFonts w:asciiTheme="minorHAnsi" w:hAnsiTheme="minorHAnsi" w:cstheme="minorHAnsi"/>
          <w:b/>
          <w:bCs/>
          <w:sz w:val="22"/>
          <w:szCs w:val="22"/>
        </w:rPr>
        <w:t xml:space="preserve">: </w:t>
      </w:r>
      <w:r w:rsidRPr="00CD5D2F">
        <w:rPr>
          <w:rFonts w:asciiTheme="minorHAnsi" w:hAnsiTheme="minorHAnsi" w:cstheme="minorHAnsi"/>
          <w:bCs/>
          <w:sz w:val="22"/>
          <w:szCs w:val="22"/>
        </w:rPr>
        <w:t>A recent addition to the CCG’s governance arrangements the Community Care Triangle was founded/created in September 2014. Part of the motivation for creating this triangle was to ensure clinical and community oversight of a number of vital work streams that weren’t hitherto covered by any existing triangle these include;</w:t>
      </w:r>
    </w:p>
    <w:p w:rsidR="00CD5D2F" w:rsidRPr="00CD5D2F" w:rsidRDefault="00CD5D2F" w:rsidP="00CD5D2F">
      <w:pPr>
        <w:jc w:val="both"/>
        <w:rPr>
          <w:rFonts w:asciiTheme="minorHAnsi" w:hAnsiTheme="minorHAnsi" w:cstheme="minorHAnsi"/>
          <w:bCs/>
          <w:sz w:val="22"/>
          <w:szCs w:val="22"/>
        </w:rPr>
      </w:pPr>
      <w:r w:rsidRPr="00CD5D2F">
        <w:rPr>
          <w:rFonts w:asciiTheme="minorHAnsi" w:hAnsiTheme="minorHAnsi" w:cstheme="minorHAnsi"/>
          <w:b/>
          <w:bCs/>
          <w:sz w:val="22"/>
          <w:szCs w:val="22"/>
        </w:rPr>
        <w:t>Extra Care Housing project</w:t>
      </w:r>
      <w:r w:rsidRPr="00CD5D2F">
        <w:rPr>
          <w:rFonts w:asciiTheme="minorHAnsi" w:hAnsiTheme="minorHAnsi" w:cstheme="minorHAnsi"/>
          <w:bCs/>
          <w:sz w:val="22"/>
          <w:szCs w:val="22"/>
        </w:rPr>
        <w:t xml:space="preserve"> - ECH is purpose built modern housing designed for older people who have a care and support need, it is a fundamental part of our strategy to better manage demand, deliver care closer to home, reduce care home admission and better manage complex care arrangements. The triangle members have supported the development of the scheme including the allocation process and panels to ensure full occupancy and a managed waiting list process in place. </w:t>
      </w:r>
    </w:p>
    <w:p w:rsidR="00CD5D2F" w:rsidRPr="00CD5D2F" w:rsidRDefault="00CD5D2F" w:rsidP="00CD5D2F">
      <w:pPr>
        <w:jc w:val="both"/>
        <w:rPr>
          <w:rFonts w:asciiTheme="minorHAnsi" w:hAnsiTheme="minorHAnsi" w:cstheme="minorHAnsi"/>
          <w:bCs/>
          <w:sz w:val="22"/>
          <w:szCs w:val="22"/>
        </w:rPr>
      </w:pPr>
      <w:r w:rsidRPr="00CD5D2F">
        <w:rPr>
          <w:rFonts w:asciiTheme="minorHAnsi" w:hAnsiTheme="minorHAnsi" w:cstheme="minorHAnsi"/>
          <w:b/>
          <w:bCs/>
          <w:sz w:val="22"/>
          <w:szCs w:val="22"/>
        </w:rPr>
        <w:t>Single Point of Access –</w:t>
      </w:r>
      <w:r w:rsidRPr="00CD5D2F">
        <w:rPr>
          <w:rFonts w:asciiTheme="minorHAnsi" w:hAnsiTheme="minorHAnsi" w:cstheme="minorHAnsi"/>
          <w:bCs/>
          <w:sz w:val="22"/>
          <w:szCs w:val="22"/>
        </w:rPr>
        <w:t xml:space="preserve"> The concept is for an integrated Single Point of Access to bring together professionals from social care, community, Rapid Response Nursing and Mental Health to work together to support people and form a gateway to all services. The triangle members have worked toward the launch of an integrated SPA service and developing the specification to support it as part of the SPA Alliance Board.</w:t>
      </w:r>
    </w:p>
    <w:p w:rsidR="00CD5D2F" w:rsidRPr="00CD5D2F" w:rsidRDefault="00CD5D2F" w:rsidP="00CD5D2F">
      <w:pPr>
        <w:jc w:val="both"/>
        <w:rPr>
          <w:rFonts w:asciiTheme="minorHAnsi" w:hAnsiTheme="minorHAnsi" w:cstheme="minorHAnsi"/>
          <w:bCs/>
          <w:sz w:val="22"/>
          <w:szCs w:val="22"/>
        </w:rPr>
      </w:pPr>
      <w:r w:rsidRPr="00CD5D2F">
        <w:rPr>
          <w:rFonts w:asciiTheme="minorHAnsi" w:hAnsiTheme="minorHAnsi" w:cstheme="minorHAnsi"/>
          <w:b/>
          <w:bCs/>
          <w:sz w:val="22"/>
          <w:szCs w:val="22"/>
        </w:rPr>
        <w:t>Oversight of the Required ASC Efficiencies and Strategy Delivery</w:t>
      </w:r>
      <w:r w:rsidRPr="00CD5D2F">
        <w:rPr>
          <w:rFonts w:asciiTheme="minorHAnsi" w:hAnsiTheme="minorHAnsi" w:cstheme="minorHAnsi"/>
          <w:bCs/>
          <w:sz w:val="22"/>
          <w:szCs w:val="22"/>
        </w:rPr>
        <w:t xml:space="preserve"> – The triangle have worked together to support the development of the strategy and associated consultations. As part of the Preventative Services Market Development Board </w:t>
      </w:r>
      <w:proofErr w:type="spellStart"/>
      <w:r w:rsidRPr="00CD5D2F">
        <w:rPr>
          <w:rFonts w:asciiTheme="minorHAnsi" w:hAnsiTheme="minorHAnsi" w:cstheme="minorHAnsi"/>
          <w:bCs/>
          <w:sz w:val="22"/>
          <w:szCs w:val="22"/>
        </w:rPr>
        <w:t>workstream</w:t>
      </w:r>
      <w:proofErr w:type="spellEnd"/>
      <w:r w:rsidRPr="00CD5D2F">
        <w:rPr>
          <w:rFonts w:asciiTheme="minorHAnsi" w:hAnsiTheme="minorHAnsi" w:cstheme="minorHAnsi"/>
          <w:bCs/>
          <w:sz w:val="22"/>
          <w:szCs w:val="22"/>
        </w:rPr>
        <w:t xml:space="preserve"> local community alternatives to traditional services are supported.</w:t>
      </w:r>
    </w:p>
    <w:p w:rsidR="00CD5D2F" w:rsidRPr="00CD5D2F" w:rsidRDefault="00CD5D2F" w:rsidP="00CD5D2F">
      <w:pPr>
        <w:jc w:val="both"/>
        <w:rPr>
          <w:rFonts w:asciiTheme="minorHAnsi" w:hAnsiTheme="minorHAnsi" w:cstheme="minorHAnsi"/>
          <w:b/>
          <w:bCs/>
          <w:sz w:val="22"/>
          <w:szCs w:val="22"/>
        </w:rPr>
      </w:pPr>
    </w:p>
    <w:p w:rsidR="00CD5D2F" w:rsidRPr="00CD5D2F" w:rsidRDefault="00CD5D2F" w:rsidP="00CD5D2F">
      <w:pPr>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Objectives for 2015/16: </w:t>
      </w:r>
      <w:r w:rsidRPr="00CD5D2F">
        <w:rPr>
          <w:rFonts w:asciiTheme="minorHAnsi" w:hAnsiTheme="minorHAnsi" w:cstheme="minorHAnsi"/>
          <w:bCs/>
          <w:sz w:val="22"/>
          <w:szCs w:val="22"/>
        </w:rPr>
        <w:t>In the forthcoming year some of the key objectives include ensuring successful completion of the 1</w:t>
      </w:r>
      <w:r w:rsidRPr="00CD5D2F">
        <w:rPr>
          <w:rFonts w:asciiTheme="minorHAnsi" w:hAnsiTheme="minorHAnsi" w:cstheme="minorHAnsi"/>
          <w:bCs/>
          <w:sz w:val="22"/>
          <w:szCs w:val="22"/>
          <w:vertAlign w:val="superscript"/>
        </w:rPr>
        <w:t>st</w:t>
      </w:r>
      <w:r w:rsidRPr="00CD5D2F">
        <w:rPr>
          <w:rFonts w:asciiTheme="minorHAnsi" w:hAnsiTheme="minorHAnsi" w:cstheme="minorHAnsi"/>
          <w:bCs/>
          <w:sz w:val="22"/>
          <w:szCs w:val="22"/>
        </w:rPr>
        <w:t xml:space="preserve"> </w:t>
      </w:r>
      <w:r w:rsidRPr="00CD5D2F">
        <w:rPr>
          <w:rFonts w:asciiTheme="minorHAnsi" w:hAnsiTheme="minorHAnsi" w:cstheme="minorHAnsi"/>
          <w:b/>
          <w:bCs/>
          <w:sz w:val="22"/>
          <w:szCs w:val="22"/>
        </w:rPr>
        <w:t>ECH</w:t>
      </w:r>
      <w:r w:rsidRPr="00CD5D2F">
        <w:rPr>
          <w:rFonts w:asciiTheme="minorHAnsi" w:hAnsiTheme="minorHAnsi" w:cstheme="minorHAnsi"/>
          <w:bCs/>
          <w:sz w:val="22"/>
          <w:szCs w:val="22"/>
        </w:rPr>
        <w:t xml:space="preserve"> (Strand Court) scheme due to open in July 2015 as well as continue to plan and work toward the commencement of schemes 2 and 3. </w:t>
      </w:r>
    </w:p>
    <w:p w:rsidR="00CD5D2F" w:rsidRPr="00CD5D2F" w:rsidRDefault="00CD5D2F" w:rsidP="00CD5D2F">
      <w:pPr>
        <w:jc w:val="both"/>
        <w:rPr>
          <w:rFonts w:asciiTheme="minorHAnsi" w:hAnsiTheme="minorHAnsi" w:cstheme="minorHAnsi"/>
          <w:bCs/>
          <w:sz w:val="22"/>
          <w:szCs w:val="22"/>
        </w:rPr>
      </w:pPr>
      <w:r w:rsidRPr="00CD5D2F">
        <w:rPr>
          <w:rFonts w:asciiTheme="minorHAnsi" w:hAnsiTheme="minorHAnsi" w:cstheme="minorHAnsi"/>
          <w:b/>
          <w:bCs/>
          <w:sz w:val="22"/>
          <w:szCs w:val="22"/>
        </w:rPr>
        <w:t>SPA</w:t>
      </w:r>
      <w:r w:rsidRPr="00CD5D2F">
        <w:rPr>
          <w:rFonts w:asciiTheme="minorHAnsi" w:hAnsiTheme="minorHAnsi" w:cstheme="minorHAnsi"/>
          <w:bCs/>
          <w:sz w:val="22"/>
          <w:szCs w:val="22"/>
        </w:rPr>
        <w:t xml:space="preserve"> - to ensure successful integration of phases 1 and 2 and to continue to </w:t>
      </w:r>
      <w:proofErr w:type="gramStart"/>
      <w:r w:rsidRPr="00CD5D2F">
        <w:rPr>
          <w:rFonts w:asciiTheme="minorHAnsi" w:hAnsiTheme="minorHAnsi" w:cstheme="minorHAnsi"/>
          <w:bCs/>
          <w:sz w:val="22"/>
          <w:szCs w:val="22"/>
        </w:rPr>
        <w:t>develop  and</w:t>
      </w:r>
      <w:proofErr w:type="gramEnd"/>
      <w:r w:rsidRPr="00CD5D2F">
        <w:rPr>
          <w:rFonts w:asciiTheme="minorHAnsi" w:hAnsiTheme="minorHAnsi" w:cstheme="minorHAnsi"/>
          <w:bCs/>
          <w:sz w:val="22"/>
          <w:szCs w:val="22"/>
        </w:rPr>
        <w:t xml:space="preserve"> enhance the service and work towards linking in GP out of hours and other services.</w:t>
      </w:r>
    </w:p>
    <w:p w:rsidR="00CD5D2F" w:rsidRPr="00CD5D2F" w:rsidRDefault="00CD5D2F" w:rsidP="00CD5D2F">
      <w:pPr>
        <w:jc w:val="both"/>
        <w:rPr>
          <w:rFonts w:asciiTheme="minorHAnsi" w:hAnsiTheme="minorHAnsi" w:cstheme="minorHAnsi"/>
          <w:bCs/>
          <w:sz w:val="22"/>
          <w:szCs w:val="22"/>
        </w:rPr>
      </w:pPr>
      <w:r w:rsidRPr="00CD5D2F">
        <w:rPr>
          <w:rFonts w:asciiTheme="minorHAnsi" w:hAnsiTheme="minorHAnsi" w:cstheme="minorHAnsi"/>
          <w:b/>
          <w:bCs/>
          <w:sz w:val="22"/>
          <w:szCs w:val="22"/>
        </w:rPr>
        <w:t>Oversight of the Required ASC Efficiencies and Strategy Delivery</w:t>
      </w:r>
      <w:r w:rsidRPr="00CD5D2F">
        <w:rPr>
          <w:rFonts w:asciiTheme="minorHAnsi" w:hAnsiTheme="minorHAnsi" w:cstheme="minorHAnsi"/>
          <w:bCs/>
          <w:sz w:val="22"/>
          <w:szCs w:val="22"/>
        </w:rPr>
        <w:t xml:space="preserve"> – to continue to support the</w:t>
      </w:r>
    </w:p>
    <w:p w:rsidR="00CD5D2F" w:rsidRPr="00CD5D2F" w:rsidRDefault="00CD5D2F" w:rsidP="00CD5D2F">
      <w:pPr>
        <w:jc w:val="both"/>
        <w:rPr>
          <w:rFonts w:asciiTheme="minorHAnsi" w:hAnsiTheme="minorHAnsi" w:cstheme="minorHAnsi"/>
          <w:bCs/>
          <w:sz w:val="22"/>
          <w:szCs w:val="22"/>
        </w:rPr>
      </w:pPr>
      <w:proofErr w:type="gramStart"/>
      <w:r w:rsidRPr="00CD5D2F">
        <w:rPr>
          <w:rFonts w:asciiTheme="minorHAnsi" w:hAnsiTheme="minorHAnsi" w:cstheme="minorHAnsi"/>
          <w:bCs/>
          <w:sz w:val="22"/>
          <w:szCs w:val="22"/>
        </w:rPr>
        <w:t>implementation</w:t>
      </w:r>
      <w:proofErr w:type="gramEnd"/>
      <w:r w:rsidRPr="00CD5D2F">
        <w:rPr>
          <w:rFonts w:asciiTheme="minorHAnsi" w:hAnsiTheme="minorHAnsi" w:cstheme="minorHAnsi"/>
          <w:bCs/>
          <w:sz w:val="22"/>
          <w:szCs w:val="22"/>
        </w:rPr>
        <w:t xml:space="preserve"> of the 2 million ASC savings plan, associated consultation and cabinet liaison. </w:t>
      </w:r>
      <w:proofErr w:type="gramStart"/>
      <w:r w:rsidRPr="00CD5D2F">
        <w:rPr>
          <w:rFonts w:asciiTheme="minorHAnsi" w:hAnsiTheme="minorHAnsi" w:cstheme="minorHAnsi"/>
          <w:bCs/>
          <w:sz w:val="22"/>
          <w:szCs w:val="22"/>
        </w:rPr>
        <w:t>Also to engage with providers and continue to re-shape the market and look at community resources.</w:t>
      </w:r>
      <w:proofErr w:type="gramEnd"/>
      <w:r w:rsidRPr="00CD5D2F">
        <w:rPr>
          <w:rFonts w:asciiTheme="minorHAnsi" w:hAnsiTheme="minorHAnsi" w:cstheme="minorHAnsi"/>
          <w:bCs/>
          <w:sz w:val="22"/>
          <w:szCs w:val="22"/>
        </w:rPr>
        <w:t xml:space="preserve"> </w:t>
      </w:r>
    </w:p>
    <w:p w:rsidR="00CD5D2F" w:rsidRDefault="00CD5D2F" w:rsidP="00CD5D2F">
      <w:pPr>
        <w:jc w:val="both"/>
        <w:rPr>
          <w:rFonts w:asciiTheme="minorHAnsi" w:hAnsiTheme="minorHAnsi" w:cstheme="minorHAnsi"/>
          <w:bCs/>
          <w:sz w:val="22"/>
          <w:szCs w:val="22"/>
        </w:rPr>
      </w:pPr>
    </w:p>
    <w:p w:rsidR="00CD5D2F" w:rsidRPr="00CD5D2F" w:rsidRDefault="00CD5D2F" w:rsidP="00CD5D2F">
      <w:pPr>
        <w:jc w:val="both"/>
        <w:rPr>
          <w:rFonts w:asciiTheme="minorHAnsi" w:hAnsiTheme="minorHAnsi" w:cstheme="minorHAnsi"/>
          <w:b/>
          <w:bCs/>
          <w:sz w:val="22"/>
          <w:szCs w:val="22"/>
        </w:rPr>
      </w:pPr>
    </w:p>
    <w:p w:rsidR="00CD5D2F" w:rsidRPr="00CD5D2F" w:rsidRDefault="00CD5D2F" w:rsidP="00CD5D2F">
      <w:pPr>
        <w:jc w:val="both"/>
        <w:rPr>
          <w:rFonts w:asciiTheme="minorHAnsi" w:hAnsiTheme="minorHAnsi" w:cstheme="minorHAnsi"/>
          <w:b/>
          <w:bCs/>
          <w:sz w:val="22"/>
          <w:szCs w:val="22"/>
        </w:rPr>
      </w:pPr>
      <w:r w:rsidRPr="00CD5D2F">
        <w:rPr>
          <w:rFonts w:asciiTheme="minorHAnsi" w:hAnsiTheme="minorHAnsi" w:cstheme="minorHAnsi"/>
          <w:b/>
          <w:bCs/>
          <w:sz w:val="22"/>
          <w:szCs w:val="22"/>
        </w:rPr>
        <w:t xml:space="preserve"> Primary Care Triangle</w:t>
      </w:r>
    </w:p>
    <w:p w:rsidR="00CD5D2F" w:rsidRDefault="00CD5D2F" w:rsidP="00CD5D2F">
      <w:pPr>
        <w:jc w:val="both"/>
        <w:rPr>
          <w:rFonts w:asciiTheme="minorHAnsi" w:hAnsiTheme="minorHAnsi" w:cstheme="minorHAnsi"/>
          <w:b/>
          <w:bCs/>
          <w:sz w:val="22"/>
          <w:szCs w:val="22"/>
        </w:rPr>
      </w:pPr>
    </w:p>
    <w:p w:rsidR="00CD5D2F" w:rsidRPr="00CD5D2F" w:rsidRDefault="00CD5D2F" w:rsidP="00CD5D2F">
      <w:pPr>
        <w:jc w:val="both"/>
        <w:rPr>
          <w:rFonts w:asciiTheme="minorHAnsi" w:hAnsiTheme="minorHAnsi" w:cstheme="minorHAnsi"/>
          <w:b/>
          <w:bCs/>
          <w:sz w:val="22"/>
          <w:szCs w:val="22"/>
        </w:rPr>
      </w:pPr>
      <w:r w:rsidRPr="00CD5D2F">
        <w:rPr>
          <w:rFonts w:asciiTheme="minorHAnsi" w:hAnsiTheme="minorHAnsi" w:cstheme="minorHAnsi"/>
          <w:b/>
          <w:bCs/>
          <w:sz w:val="22"/>
          <w:szCs w:val="22"/>
        </w:rPr>
        <w:t xml:space="preserve">Clinical Lead; </w:t>
      </w:r>
      <w:r w:rsidRPr="00CD5D2F">
        <w:rPr>
          <w:rFonts w:asciiTheme="minorHAnsi" w:hAnsiTheme="minorHAnsi" w:cstheme="minorHAnsi"/>
          <w:b/>
          <w:bCs/>
          <w:sz w:val="22"/>
          <w:szCs w:val="22"/>
        </w:rPr>
        <w:tab/>
      </w:r>
      <w:r w:rsidRPr="00CD5D2F">
        <w:rPr>
          <w:rFonts w:asciiTheme="minorHAnsi" w:hAnsiTheme="minorHAnsi" w:cstheme="minorHAnsi"/>
          <w:b/>
          <w:bCs/>
          <w:sz w:val="22"/>
          <w:szCs w:val="22"/>
        </w:rPr>
        <w:tab/>
        <w:t>Dr Thomas Maliyil</w:t>
      </w:r>
    </w:p>
    <w:p w:rsidR="00CD5D2F" w:rsidRPr="00CD5D2F" w:rsidRDefault="00CD5D2F" w:rsidP="00CD5D2F">
      <w:pPr>
        <w:jc w:val="both"/>
        <w:rPr>
          <w:rFonts w:asciiTheme="minorHAnsi" w:hAnsiTheme="minorHAnsi" w:cstheme="minorHAnsi"/>
          <w:b/>
          <w:bCs/>
          <w:sz w:val="22"/>
          <w:szCs w:val="22"/>
        </w:rPr>
      </w:pPr>
      <w:r w:rsidRPr="00CD5D2F">
        <w:rPr>
          <w:rFonts w:asciiTheme="minorHAnsi" w:hAnsiTheme="minorHAnsi" w:cstheme="minorHAnsi"/>
          <w:b/>
          <w:bCs/>
          <w:sz w:val="22"/>
          <w:szCs w:val="22"/>
        </w:rPr>
        <w:t xml:space="preserve">Service Lead; </w:t>
      </w:r>
      <w:r w:rsidRPr="00CD5D2F">
        <w:rPr>
          <w:rFonts w:asciiTheme="minorHAnsi" w:hAnsiTheme="minorHAnsi" w:cstheme="minorHAnsi"/>
          <w:b/>
          <w:bCs/>
          <w:sz w:val="22"/>
          <w:szCs w:val="22"/>
        </w:rPr>
        <w:tab/>
      </w:r>
      <w:r w:rsidRPr="00CD5D2F">
        <w:rPr>
          <w:rFonts w:asciiTheme="minorHAnsi" w:hAnsiTheme="minorHAnsi" w:cstheme="minorHAnsi"/>
          <w:b/>
          <w:bCs/>
          <w:sz w:val="22"/>
          <w:szCs w:val="22"/>
        </w:rPr>
        <w:tab/>
      </w:r>
      <w:r>
        <w:rPr>
          <w:rFonts w:asciiTheme="minorHAnsi" w:hAnsiTheme="minorHAnsi" w:cstheme="minorHAnsi"/>
          <w:b/>
          <w:bCs/>
          <w:sz w:val="22"/>
          <w:szCs w:val="22"/>
        </w:rPr>
        <w:t xml:space="preserve">Julie Wilson </w:t>
      </w:r>
      <w:r w:rsidRPr="00CD5D2F">
        <w:rPr>
          <w:rFonts w:asciiTheme="minorHAnsi" w:hAnsiTheme="minorHAnsi" w:cstheme="minorHAnsi"/>
          <w:b/>
          <w:bCs/>
          <w:sz w:val="22"/>
          <w:szCs w:val="22"/>
        </w:rPr>
        <w:t xml:space="preserve"> </w:t>
      </w:r>
    </w:p>
    <w:p w:rsidR="00CD5D2F" w:rsidRPr="00CD5D2F" w:rsidRDefault="00CD5D2F" w:rsidP="00CD5D2F">
      <w:pPr>
        <w:jc w:val="both"/>
        <w:rPr>
          <w:rFonts w:asciiTheme="minorHAnsi" w:hAnsiTheme="minorHAnsi" w:cstheme="minorHAnsi"/>
          <w:b/>
          <w:bCs/>
          <w:sz w:val="22"/>
          <w:szCs w:val="22"/>
        </w:rPr>
      </w:pPr>
      <w:r w:rsidRPr="00CD5D2F">
        <w:rPr>
          <w:rFonts w:asciiTheme="minorHAnsi" w:hAnsiTheme="minorHAnsi" w:cstheme="minorHAnsi"/>
          <w:b/>
          <w:bCs/>
          <w:sz w:val="22"/>
          <w:szCs w:val="22"/>
        </w:rPr>
        <w:t>Community Lead:</w:t>
      </w:r>
      <w:r w:rsidRPr="00CD5D2F">
        <w:rPr>
          <w:rFonts w:asciiTheme="minorHAnsi" w:hAnsiTheme="minorHAnsi" w:cstheme="minorHAnsi"/>
          <w:b/>
          <w:bCs/>
          <w:sz w:val="22"/>
          <w:szCs w:val="22"/>
        </w:rPr>
        <w:tab/>
      </w:r>
      <w:r>
        <w:rPr>
          <w:rFonts w:asciiTheme="minorHAnsi" w:hAnsiTheme="minorHAnsi" w:cstheme="minorHAnsi"/>
          <w:b/>
          <w:bCs/>
          <w:sz w:val="22"/>
          <w:szCs w:val="22"/>
        </w:rPr>
        <w:t>Christine Wallis</w:t>
      </w:r>
      <w:r w:rsidRPr="00CD5D2F">
        <w:rPr>
          <w:rFonts w:asciiTheme="minorHAnsi" w:hAnsiTheme="minorHAnsi" w:cstheme="minorHAnsi"/>
          <w:b/>
          <w:bCs/>
          <w:sz w:val="22"/>
          <w:szCs w:val="22"/>
        </w:rPr>
        <w:t xml:space="preserve"> </w:t>
      </w:r>
    </w:p>
    <w:p w:rsidR="00CD5D2F" w:rsidRDefault="00CD5D2F" w:rsidP="00CD5D2F">
      <w:pPr>
        <w:jc w:val="both"/>
        <w:rPr>
          <w:rFonts w:asciiTheme="minorHAnsi" w:hAnsiTheme="minorHAnsi" w:cstheme="minorHAnsi"/>
          <w:b/>
          <w:bCs/>
          <w:sz w:val="22"/>
          <w:szCs w:val="22"/>
        </w:rPr>
      </w:pPr>
    </w:p>
    <w:p w:rsidR="00CD5D2F" w:rsidRPr="00CD5D2F" w:rsidRDefault="00CD5D2F" w:rsidP="00CD5D2F">
      <w:pPr>
        <w:jc w:val="both"/>
        <w:rPr>
          <w:rFonts w:asciiTheme="minorHAnsi" w:hAnsiTheme="minorHAnsi" w:cstheme="minorHAnsi"/>
          <w:bCs/>
          <w:sz w:val="22"/>
          <w:szCs w:val="22"/>
        </w:rPr>
      </w:pPr>
      <w:r>
        <w:rPr>
          <w:rFonts w:asciiTheme="minorHAnsi" w:hAnsiTheme="minorHAnsi" w:cstheme="minorHAnsi"/>
          <w:b/>
          <w:bCs/>
          <w:sz w:val="22"/>
          <w:szCs w:val="22"/>
        </w:rPr>
        <w:t>Achievements in20</w:t>
      </w:r>
      <w:r w:rsidRPr="00CD5D2F">
        <w:rPr>
          <w:rFonts w:asciiTheme="minorHAnsi" w:hAnsiTheme="minorHAnsi" w:cstheme="minorHAnsi"/>
          <w:b/>
          <w:bCs/>
          <w:sz w:val="22"/>
          <w:szCs w:val="22"/>
        </w:rPr>
        <w:t>14/15</w:t>
      </w:r>
      <w:proofErr w:type="gramStart"/>
      <w:r w:rsidRPr="00CD5D2F">
        <w:rPr>
          <w:rFonts w:asciiTheme="minorHAnsi" w:hAnsiTheme="minorHAnsi" w:cstheme="minorHAnsi"/>
          <w:bCs/>
          <w:sz w:val="22"/>
          <w:szCs w:val="22"/>
        </w:rPr>
        <w:t>:.</w:t>
      </w:r>
      <w:proofErr w:type="gramEnd"/>
      <w:r w:rsidRPr="00CD5D2F">
        <w:rPr>
          <w:rFonts w:asciiTheme="minorHAnsi" w:hAnsiTheme="minorHAnsi" w:cstheme="minorHAnsi"/>
          <w:bCs/>
          <w:sz w:val="22"/>
          <w:szCs w:val="22"/>
        </w:rPr>
        <w:t xml:space="preserve"> </w:t>
      </w:r>
      <w:r w:rsidR="00993736">
        <w:rPr>
          <w:rFonts w:asciiTheme="minorHAnsi" w:hAnsiTheme="minorHAnsi" w:cstheme="minorHAnsi"/>
          <w:bCs/>
          <w:sz w:val="22"/>
          <w:szCs w:val="22"/>
        </w:rPr>
        <w:t>This is a n</w:t>
      </w:r>
      <w:r w:rsidRPr="00CD5D2F">
        <w:rPr>
          <w:rFonts w:asciiTheme="minorHAnsi" w:hAnsiTheme="minorHAnsi" w:cstheme="minorHAnsi"/>
          <w:bCs/>
          <w:sz w:val="22"/>
          <w:szCs w:val="22"/>
        </w:rPr>
        <w:t>ew triangle - inception May 2015, therefore unable to review 14/15.  </w:t>
      </w:r>
    </w:p>
    <w:p w:rsidR="00CD5D2F" w:rsidRDefault="00CD5D2F" w:rsidP="00CD5D2F">
      <w:pPr>
        <w:jc w:val="both"/>
        <w:rPr>
          <w:rFonts w:asciiTheme="minorHAnsi" w:hAnsiTheme="minorHAnsi" w:cstheme="minorHAnsi"/>
          <w:b/>
          <w:bCs/>
          <w:sz w:val="22"/>
          <w:szCs w:val="22"/>
        </w:rPr>
      </w:pPr>
    </w:p>
    <w:p w:rsidR="00CD5D2F" w:rsidRPr="00CD5D2F" w:rsidRDefault="00CD5D2F" w:rsidP="00CD5D2F">
      <w:pPr>
        <w:jc w:val="both"/>
        <w:rPr>
          <w:rFonts w:asciiTheme="minorHAnsi" w:hAnsiTheme="minorHAnsi" w:cstheme="minorHAnsi"/>
          <w:bCs/>
          <w:sz w:val="22"/>
          <w:szCs w:val="22"/>
        </w:rPr>
      </w:pPr>
      <w:r w:rsidRPr="00CD5D2F">
        <w:rPr>
          <w:rFonts w:asciiTheme="minorHAnsi" w:hAnsiTheme="minorHAnsi" w:cstheme="minorHAnsi"/>
          <w:b/>
          <w:bCs/>
          <w:sz w:val="22"/>
          <w:szCs w:val="22"/>
        </w:rPr>
        <w:t xml:space="preserve">Overview of Objectives for </w:t>
      </w:r>
      <w:r>
        <w:rPr>
          <w:rFonts w:asciiTheme="minorHAnsi" w:hAnsiTheme="minorHAnsi" w:cstheme="minorHAnsi"/>
          <w:b/>
          <w:bCs/>
          <w:sz w:val="22"/>
          <w:szCs w:val="22"/>
        </w:rPr>
        <w:t>20</w:t>
      </w:r>
      <w:r w:rsidRPr="00CD5D2F">
        <w:rPr>
          <w:rFonts w:asciiTheme="minorHAnsi" w:hAnsiTheme="minorHAnsi" w:cstheme="minorHAnsi"/>
          <w:b/>
          <w:bCs/>
          <w:sz w:val="22"/>
          <w:szCs w:val="22"/>
        </w:rPr>
        <w:t>15/16</w:t>
      </w:r>
      <w:r w:rsidRPr="00CD5D2F">
        <w:rPr>
          <w:rFonts w:asciiTheme="minorHAnsi" w:hAnsiTheme="minorHAnsi" w:cstheme="minorHAnsi"/>
          <w:bCs/>
          <w:sz w:val="22"/>
          <w:szCs w:val="22"/>
        </w:rPr>
        <w:t>: In the forthcoming year the Primary Care Triangle will focus on 3 key areas: workforce development, 7 day services in Primary Care and improving relationships and engagement with Primary Care. The content of these objectives align with the national agenda to extend access to General Practice beyond Monday to Friday, and the local transformational strategy HLHF.</w:t>
      </w:r>
    </w:p>
    <w:p w:rsidR="00D57033" w:rsidRPr="003433D4" w:rsidRDefault="00D57033" w:rsidP="002A2134">
      <w:pPr>
        <w:jc w:val="both"/>
        <w:rPr>
          <w:rFonts w:asciiTheme="minorHAnsi" w:hAnsiTheme="minorHAnsi" w:cstheme="minorHAnsi"/>
          <w:bCs/>
          <w:sz w:val="22"/>
          <w:szCs w:val="22"/>
        </w:rPr>
      </w:pPr>
    </w:p>
    <w:sectPr w:rsidR="00D57033" w:rsidRPr="003433D4"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FC" w:rsidRDefault="00DB5BFC">
      <w:r>
        <w:separator/>
      </w:r>
    </w:p>
  </w:endnote>
  <w:endnote w:type="continuationSeparator" w:id="0">
    <w:p w:rsidR="00DB5BFC" w:rsidRDefault="00DB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FD" w:rsidRDefault="009645FD"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FC" w:rsidRDefault="00DB5BFC">
      <w:r>
        <w:separator/>
      </w:r>
    </w:p>
  </w:footnote>
  <w:footnote w:type="continuationSeparator" w:id="0">
    <w:p w:rsidR="00DB5BFC" w:rsidRDefault="00DB5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1C35F8B"/>
    <w:multiLevelType w:val="hybridMultilevel"/>
    <w:tmpl w:val="497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BA45C2"/>
    <w:multiLevelType w:val="hybridMultilevel"/>
    <w:tmpl w:val="A866BC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A259E3"/>
    <w:multiLevelType w:val="hybridMultilevel"/>
    <w:tmpl w:val="5D18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0"/>
  </w:num>
  <w:num w:numId="4">
    <w:abstractNumId w:val="25"/>
  </w:num>
  <w:num w:numId="5">
    <w:abstractNumId w:val="16"/>
  </w:num>
  <w:num w:numId="6">
    <w:abstractNumId w:val="23"/>
  </w:num>
  <w:num w:numId="7">
    <w:abstractNumId w:val="3"/>
  </w:num>
  <w:num w:numId="8">
    <w:abstractNumId w:val="15"/>
  </w:num>
  <w:num w:numId="9">
    <w:abstractNumId w:val="18"/>
  </w:num>
  <w:num w:numId="10">
    <w:abstractNumId w:val="5"/>
  </w:num>
  <w:num w:numId="11">
    <w:abstractNumId w:val="9"/>
  </w:num>
  <w:num w:numId="12">
    <w:abstractNumId w:val="21"/>
  </w:num>
  <w:num w:numId="13">
    <w:abstractNumId w:val="12"/>
  </w:num>
  <w:num w:numId="14">
    <w:abstractNumId w:val="1"/>
  </w:num>
  <w:num w:numId="15">
    <w:abstractNumId w:val="14"/>
  </w:num>
  <w:num w:numId="16">
    <w:abstractNumId w:val="10"/>
  </w:num>
  <w:num w:numId="17">
    <w:abstractNumId w:val="17"/>
  </w:num>
  <w:num w:numId="18">
    <w:abstractNumId w:val="13"/>
  </w:num>
  <w:num w:numId="19">
    <w:abstractNumId w:val="24"/>
  </w:num>
  <w:num w:numId="20">
    <w:abstractNumId w:val="7"/>
  </w:num>
  <w:num w:numId="21">
    <w:abstractNumId w:val="6"/>
  </w:num>
  <w:num w:numId="22">
    <w:abstractNumId w:val="11"/>
  </w:num>
  <w:num w:numId="23">
    <w:abstractNumId w:val="4"/>
  </w:num>
  <w:num w:numId="24">
    <w:abstractNumId w:val="22"/>
  </w:num>
  <w:num w:numId="25">
    <w:abstractNumId w:val="20"/>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981"/>
    <w:rsid w:val="000B1D82"/>
    <w:rsid w:val="000B1EEB"/>
    <w:rsid w:val="000B4521"/>
    <w:rsid w:val="000C440F"/>
    <w:rsid w:val="000E4269"/>
    <w:rsid w:val="000E45EF"/>
    <w:rsid w:val="00101E52"/>
    <w:rsid w:val="00105599"/>
    <w:rsid w:val="00105BD8"/>
    <w:rsid w:val="00112B21"/>
    <w:rsid w:val="001154A6"/>
    <w:rsid w:val="00120909"/>
    <w:rsid w:val="001209C1"/>
    <w:rsid w:val="00124B07"/>
    <w:rsid w:val="00132B3D"/>
    <w:rsid w:val="00136A3D"/>
    <w:rsid w:val="00146F56"/>
    <w:rsid w:val="00151A98"/>
    <w:rsid w:val="0015293E"/>
    <w:rsid w:val="00157D2B"/>
    <w:rsid w:val="00161F1D"/>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67489"/>
    <w:rsid w:val="002700D2"/>
    <w:rsid w:val="00283BB3"/>
    <w:rsid w:val="00285B93"/>
    <w:rsid w:val="00285C31"/>
    <w:rsid w:val="00286998"/>
    <w:rsid w:val="002A2134"/>
    <w:rsid w:val="002A3C39"/>
    <w:rsid w:val="002A651D"/>
    <w:rsid w:val="002B63BC"/>
    <w:rsid w:val="002C17C1"/>
    <w:rsid w:val="002C2047"/>
    <w:rsid w:val="002E26B9"/>
    <w:rsid w:val="002E7820"/>
    <w:rsid w:val="002F445D"/>
    <w:rsid w:val="002F47B6"/>
    <w:rsid w:val="002F53D7"/>
    <w:rsid w:val="00301655"/>
    <w:rsid w:val="003030FD"/>
    <w:rsid w:val="00303134"/>
    <w:rsid w:val="00303B76"/>
    <w:rsid w:val="00311F15"/>
    <w:rsid w:val="00312796"/>
    <w:rsid w:val="0031746B"/>
    <w:rsid w:val="003225BA"/>
    <w:rsid w:val="00326AB8"/>
    <w:rsid w:val="00327AE7"/>
    <w:rsid w:val="0034307E"/>
    <w:rsid w:val="003433D4"/>
    <w:rsid w:val="00363C1F"/>
    <w:rsid w:val="003643C1"/>
    <w:rsid w:val="00365E8A"/>
    <w:rsid w:val="0036628F"/>
    <w:rsid w:val="00366F7D"/>
    <w:rsid w:val="00380FCF"/>
    <w:rsid w:val="00384979"/>
    <w:rsid w:val="00394F30"/>
    <w:rsid w:val="003A03CB"/>
    <w:rsid w:val="003B0A06"/>
    <w:rsid w:val="003B626C"/>
    <w:rsid w:val="003C6569"/>
    <w:rsid w:val="003D2887"/>
    <w:rsid w:val="003D2F47"/>
    <w:rsid w:val="003D3E08"/>
    <w:rsid w:val="003D489F"/>
    <w:rsid w:val="003E06F4"/>
    <w:rsid w:val="003E4361"/>
    <w:rsid w:val="003F6D7A"/>
    <w:rsid w:val="003F6DF9"/>
    <w:rsid w:val="00406064"/>
    <w:rsid w:val="00420D54"/>
    <w:rsid w:val="00423F06"/>
    <w:rsid w:val="004337A4"/>
    <w:rsid w:val="00433CF3"/>
    <w:rsid w:val="00434363"/>
    <w:rsid w:val="0043664F"/>
    <w:rsid w:val="00441E7A"/>
    <w:rsid w:val="00447394"/>
    <w:rsid w:val="00450490"/>
    <w:rsid w:val="00454EA5"/>
    <w:rsid w:val="00456662"/>
    <w:rsid w:val="00457AAE"/>
    <w:rsid w:val="00462810"/>
    <w:rsid w:val="00464A6D"/>
    <w:rsid w:val="00466602"/>
    <w:rsid w:val="004701CF"/>
    <w:rsid w:val="00470C33"/>
    <w:rsid w:val="004756D3"/>
    <w:rsid w:val="00476025"/>
    <w:rsid w:val="004822A5"/>
    <w:rsid w:val="00490D15"/>
    <w:rsid w:val="004A5EE0"/>
    <w:rsid w:val="004A75B1"/>
    <w:rsid w:val="004B29A9"/>
    <w:rsid w:val="004B4F56"/>
    <w:rsid w:val="004B60B9"/>
    <w:rsid w:val="004C5FA2"/>
    <w:rsid w:val="004C677C"/>
    <w:rsid w:val="004C6F5C"/>
    <w:rsid w:val="004D0321"/>
    <w:rsid w:val="004D7118"/>
    <w:rsid w:val="004E7A80"/>
    <w:rsid w:val="004F2E71"/>
    <w:rsid w:val="004F3209"/>
    <w:rsid w:val="004F64DF"/>
    <w:rsid w:val="005109BE"/>
    <w:rsid w:val="00517C3A"/>
    <w:rsid w:val="0052360E"/>
    <w:rsid w:val="00532C2C"/>
    <w:rsid w:val="005334D4"/>
    <w:rsid w:val="00541F74"/>
    <w:rsid w:val="00562641"/>
    <w:rsid w:val="00562E19"/>
    <w:rsid w:val="00567797"/>
    <w:rsid w:val="0057544B"/>
    <w:rsid w:val="0057654D"/>
    <w:rsid w:val="005847E8"/>
    <w:rsid w:val="00585083"/>
    <w:rsid w:val="00586C51"/>
    <w:rsid w:val="00587A7C"/>
    <w:rsid w:val="00591E40"/>
    <w:rsid w:val="00593311"/>
    <w:rsid w:val="005973A0"/>
    <w:rsid w:val="005A126B"/>
    <w:rsid w:val="005A36F7"/>
    <w:rsid w:val="005A625B"/>
    <w:rsid w:val="005E01FA"/>
    <w:rsid w:val="005F0C84"/>
    <w:rsid w:val="005F11AA"/>
    <w:rsid w:val="005F195A"/>
    <w:rsid w:val="0060216B"/>
    <w:rsid w:val="00604967"/>
    <w:rsid w:val="00607C7F"/>
    <w:rsid w:val="00607E93"/>
    <w:rsid w:val="006203A2"/>
    <w:rsid w:val="00625124"/>
    <w:rsid w:val="00635ADD"/>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056E4"/>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81CED"/>
    <w:rsid w:val="007927F8"/>
    <w:rsid w:val="00792C00"/>
    <w:rsid w:val="007943EA"/>
    <w:rsid w:val="007963AB"/>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0C15"/>
    <w:rsid w:val="00852744"/>
    <w:rsid w:val="00852BCF"/>
    <w:rsid w:val="00866065"/>
    <w:rsid w:val="00866EFA"/>
    <w:rsid w:val="00866FF8"/>
    <w:rsid w:val="00873193"/>
    <w:rsid w:val="00873F72"/>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2D7D"/>
    <w:rsid w:val="009147A6"/>
    <w:rsid w:val="0091688E"/>
    <w:rsid w:val="00920543"/>
    <w:rsid w:val="00923556"/>
    <w:rsid w:val="009269E7"/>
    <w:rsid w:val="009306C6"/>
    <w:rsid w:val="00936BC2"/>
    <w:rsid w:val="0094097A"/>
    <w:rsid w:val="00946B7B"/>
    <w:rsid w:val="00960460"/>
    <w:rsid w:val="00961032"/>
    <w:rsid w:val="009615DA"/>
    <w:rsid w:val="009633E3"/>
    <w:rsid w:val="009645FD"/>
    <w:rsid w:val="009646FA"/>
    <w:rsid w:val="009739EA"/>
    <w:rsid w:val="00975B74"/>
    <w:rsid w:val="009846C1"/>
    <w:rsid w:val="00993736"/>
    <w:rsid w:val="00994630"/>
    <w:rsid w:val="00995D16"/>
    <w:rsid w:val="009A0C1E"/>
    <w:rsid w:val="009B25F1"/>
    <w:rsid w:val="009B32B5"/>
    <w:rsid w:val="009B7BE2"/>
    <w:rsid w:val="009C33D4"/>
    <w:rsid w:val="009D14DD"/>
    <w:rsid w:val="009D4815"/>
    <w:rsid w:val="009D764E"/>
    <w:rsid w:val="009E0D79"/>
    <w:rsid w:val="009E7323"/>
    <w:rsid w:val="00A01B48"/>
    <w:rsid w:val="00A03A97"/>
    <w:rsid w:val="00A07A07"/>
    <w:rsid w:val="00A1183A"/>
    <w:rsid w:val="00A14275"/>
    <w:rsid w:val="00A156EB"/>
    <w:rsid w:val="00A17708"/>
    <w:rsid w:val="00A20848"/>
    <w:rsid w:val="00A31B98"/>
    <w:rsid w:val="00A35F42"/>
    <w:rsid w:val="00A40291"/>
    <w:rsid w:val="00A45F00"/>
    <w:rsid w:val="00A531CD"/>
    <w:rsid w:val="00A646B0"/>
    <w:rsid w:val="00A66F25"/>
    <w:rsid w:val="00A74848"/>
    <w:rsid w:val="00A773EC"/>
    <w:rsid w:val="00A77DA9"/>
    <w:rsid w:val="00A815B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05EFF"/>
    <w:rsid w:val="00B31017"/>
    <w:rsid w:val="00B349FF"/>
    <w:rsid w:val="00B363A4"/>
    <w:rsid w:val="00B40742"/>
    <w:rsid w:val="00B41D76"/>
    <w:rsid w:val="00B54373"/>
    <w:rsid w:val="00B55AF0"/>
    <w:rsid w:val="00B55E86"/>
    <w:rsid w:val="00B5665A"/>
    <w:rsid w:val="00B60D87"/>
    <w:rsid w:val="00B66E1A"/>
    <w:rsid w:val="00B70B42"/>
    <w:rsid w:val="00B74845"/>
    <w:rsid w:val="00B76561"/>
    <w:rsid w:val="00B76881"/>
    <w:rsid w:val="00B7767F"/>
    <w:rsid w:val="00B847DA"/>
    <w:rsid w:val="00B8770E"/>
    <w:rsid w:val="00B90280"/>
    <w:rsid w:val="00B93457"/>
    <w:rsid w:val="00B93C84"/>
    <w:rsid w:val="00B961A5"/>
    <w:rsid w:val="00B97B0B"/>
    <w:rsid w:val="00BA66DF"/>
    <w:rsid w:val="00BA763E"/>
    <w:rsid w:val="00BB4739"/>
    <w:rsid w:val="00BB5C36"/>
    <w:rsid w:val="00BB7792"/>
    <w:rsid w:val="00BB7DF9"/>
    <w:rsid w:val="00BC24D2"/>
    <w:rsid w:val="00BC27AF"/>
    <w:rsid w:val="00BC3F7B"/>
    <w:rsid w:val="00BC4508"/>
    <w:rsid w:val="00BC5CEC"/>
    <w:rsid w:val="00BC6D92"/>
    <w:rsid w:val="00BC7C54"/>
    <w:rsid w:val="00BE2812"/>
    <w:rsid w:val="00BE6E0D"/>
    <w:rsid w:val="00BE7009"/>
    <w:rsid w:val="00BF4C1F"/>
    <w:rsid w:val="00BF64D8"/>
    <w:rsid w:val="00C053D3"/>
    <w:rsid w:val="00C0569D"/>
    <w:rsid w:val="00C07D8B"/>
    <w:rsid w:val="00C20949"/>
    <w:rsid w:val="00C362DD"/>
    <w:rsid w:val="00C4264D"/>
    <w:rsid w:val="00C523B4"/>
    <w:rsid w:val="00C52D50"/>
    <w:rsid w:val="00C628C9"/>
    <w:rsid w:val="00C703B6"/>
    <w:rsid w:val="00C74EC1"/>
    <w:rsid w:val="00C7588E"/>
    <w:rsid w:val="00C85824"/>
    <w:rsid w:val="00C86CC4"/>
    <w:rsid w:val="00C965C4"/>
    <w:rsid w:val="00CA3315"/>
    <w:rsid w:val="00CA64C1"/>
    <w:rsid w:val="00CB3106"/>
    <w:rsid w:val="00CB4EE8"/>
    <w:rsid w:val="00CD079D"/>
    <w:rsid w:val="00CD319C"/>
    <w:rsid w:val="00CD4F1D"/>
    <w:rsid w:val="00CD5D2F"/>
    <w:rsid w:val="00CE07E5"/>
    <w:rsid w:val="00CE160D"/>
    <w:rsid w:val="00CE168C"/>
    <w:rsid w:val="00CE71A3"/>
    <w:rsid w:val="00CF258F"/>
    <w:rsid w:val="00CF25D9"/>
    <w:rsid w:val="00CF590C"/>
    <w:rsid w:val="00CF5F75"/>
    <w:rsid w:val="00D00EFA"/>
    <w:rsid w:val="00D06D8C"/>
    <w:rsid w:val="00D25017"/>
    <w:rsid w:val="00D3494B"/>
    <w:rsid w:val="00D35D4A"/>
    <w:rsid w:val="00D41640"/>
    <w:rsid w:val="00D41C63"/>
    <w:rsid w:val="00D450C3"/>
    <w:rsid w:val="00D4597C"/>
    <w:rsid w:val="00D52206"/>
    <w:rsid w:val="00D57033"/>
    <w:rsid w:val="00D655CC"/>
    <w:rsid w:val="00D6660C"/>
    <w:rsid w:val="00D7515F"/>
    <w:rsid w:val="00D76A89"/>
    <w:rsid w:val="00D80204"/>
    <w:rsid w:val="00D803BA"/>
    <w:rsid w:val="00D91037"/>
    <w:rsid w:val="00D921A3"/>
    <w:rsid w:val="00DA584B"/>
    <w:rsid w:val="00DA6818"/>
    <w:rsid w:val="00DA75DE"/>
    <w:rsid w:val="00DB3DBC"/>
    <w:rsid w:val="00DB5BFC"/>
    <w:rsid w:val="00DC11CD"/>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2681"/>
    <w:rsid w:val="00EB6E0A"/>
    <w:rsid w:val="00EB7BC1"/>
    <w:rsid w:val="00EC03DC"/>
    <w:rsid w:val="00ED0665"/>
    <w:rsid w:val="00ED2BBB"/>
    <w:rsid w:val="00ED44C9"/>
    <w:rsid w:val="00ED6017"/>
    <w:rsid w:val="00ED7B4D"/>
    <w:rsid w:val="00EF1A15"/>
    <w:rsid w:val="00EF29ED"/>
    <w:rsid w:val="00EF3C43"/>
    <w:rsid w:val="00EF524B"/>
    <w:rsid w:val="00F008CD"/>
    <w:rsid w:val="00F05335"/>
    <w:rsid w:val="00F12864"/>
    <w:rsid w:val="00F310C4"/>
    <w:rsid w:val="00F3113F"/>
    <w:rsid w:val="00F32730"/>
    <w:rsid w:val="00F3308A"/>
    <w:rsid w:val="00F3716D"/>
    <w:rsid w:val="00F37D18"/>
    <w:rsid w:val="00F40B1F"/>
    <w:rsid w:val="00F45C7E"/>
    <w:rsid w:val="00F51B57"/>
    <w:rsid w:val="00F524C7"/>
    <w:rsid w:val="00F54780"/>
    <w:rsid w:val="00F55731"/>
    <w:rsid w:val="00F55EFB"/>
    <w:rsid w:val="00F62905"/>
    <w:rsid w:val="00F6631C"/>
    <w:rsid w:val="00F768A3"/>
    <w:rsid w:val="00F85FD3"/>
    <w:rsid w:val="00F87EB4"/>
    <w:rsid w:val="00F906E5"/>
    <w:rsid w:val="00F9086D"/>
    <w:rsid w:val="00F9292B"/>
    <w:rsid w:val="00FA3BC7"/>
    <w:rsid w:val="00FB10F2"/>
    <w:rsid w:val="00FB47ED"/>
    <w:rsid w:val="00FB4DB6"/>
    <w:rsid w:val="00FB69A8"/>
    <w:rsid w:val="00FB7D2A"/>
    <w:rsid w:val="00FC2818"/>
    <w:rsid w:val="00FC3546"/>
    <w:rsid w:val="00FC6262"/>
    <w:rsid w:val="00FD11B5"/>
    <w:rsid w:val="00FD1959"/>
    <w:rsid w:val="00FD44F3"/>
    <w:rsid w:val="00FD5D6D"/>
    <w:rsid w:val="00FD79C1"/>
    <w:rsid w:val="00FE0D3A"/>
    <w:rsid w:val="00FE1A85"/>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76094302">
      <w:bodyDiv w:val="1"/>
      <w:marLeft w:val="0"/>
      <w:marRight w:val="0"/>
      <w:marTop w:val="0"/>
      <w:marBottom w:val="0"/>
      <w:divBdr>
        <w:top w:val="none" w:sz="0" w:space="0" w:color="auto"/>
        <w:left w:val="none" w:sz="0" w:space="0" w:color="auto"/>
        <w:bottom w:val="none" w:sz="0" w:space="0" w:color="auto"/>
        <w:right w:val="none" w:sz="0" w:space="0" w:color="auto"/>
      </w:divBdr>
    </w:div>
    <w:div w:id="224923329">
      <w:bodyDiv w:val="1"/>
      <w:marLeft w:val="0"/>
      <w:marRight w:val="0"/>
      <w:marTop w:val="0"/>
      <w:marBottom w:val="0"/>
      <w:divBdr>
        <w:top w:val="none" w:sz="0" w:space="0" w:color="auto"/>
        <w:left w:val="none" w:sz="0" w:space="0" w:color="auto"/>
        <w:bottom w:val="none" w:sz="0" w:space="0" w:color="auto"/>
        <w:right w:val="none" w:sz="0" w:space="0" w:color="auto"/>
      </w:divBdr>
      <w:divsChild>
        <w:div w:id="1130630068">
          <w:marLeft w:val="0"/>
          <w:marRight w:val="0"/>
          <w:marTop w:val="0"/>
          <w:marBottom w:val="0"/>
          <w:divBdr>
            <w:top w:val="none" w:sz="0" w:space="0" w:color="auto"/>
            <w:left w:val="none" w:sz="0" w:space="0" w:color="auto"/>
            <w:bottom w:val="none" w:sz="0" w:space="0" w:color="auto"/>
            <w:right w:val="none" w:sz="0" w:space="0" w:color="auto"/>
          </w:divBdr>
          <w:divsChild>
            <w:div w:id="29763999">
              <w:marLeft w:val="0"/>
              <w:marRight w:val="0"/>
              <w:marTop w:val="0"/>
              <w:marBottom w:val="0"/>
              <w:divBdr>
                <w:top w:val="none" w:sz="0" w:space="0" w:color="auto"/>
                <w:left w:val="none" w:sz="0" w:space="0" w:color="auto"/>
                <w:bottom w:val="none" w:sz="0" w:space="0" w:color="auto"/>
                <w:right w:val="none" w:sz="0" w:space="0" w:color="auto"/>
              </w:divBdr>
              <w:divsChild>
                <w:div w:id="1322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4363">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989015335">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16766810">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548101551">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73238173">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4937001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29846894">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 w:id="20594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3010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20189</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24</cp:revision>
  <cp:lastPrinted>2011-06-01T15:50:00Z</cp:lastPrinted>
  <dcterms:created xsi:type="dcterms:W3CDTF">2014-07-03T11:16:00Z</dcterms:created>
  <dcterms:modified xsi:type="dcterms:W3CDTF">2015-07-01T11:03:00Z</dcterms:modified>
</cp:coreProperties>
</file>