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4D0188">
                              <w:rPr>
                                <w:rFonts w:ascii="Arial" w:hAnsi="Arial" w:cs="Arial"/>
                                <w:sz w:val="32"/>
                                <w:szCs w:val="32"/>
                              </w:rPr>
                              <w:t>08</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4D0188">
                        <w:rPr>
                          <w:rFonts w:ascii="Arial" w:hAnsi="Arial" w:cs="Arial"/>
                          <w:sz w:val="32"/>
                          <w:szCs w:val="32"/>
                        </w:rPr>
                        <w:t>08</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F35EA9" w:rsidP="00D43881">
            <w:pPr>
              <w:rPr>
                <w:rFonts w:ascii="Arial" w:hAnsi="Arial" w:cs="Arial"/>
                <w:bCs/>
                <w:sz w:val="22"/>
                <w:szCs w:val="22"/>
              </w:rPr>
            </w:pPr>
            <w:r>
              <w:rPr>
                <w:rFonts w:ascii="Arial" w:hAnsi="Arial" w:cs="Arial"/>
                <w:bCs/>
                <w:sz w:val="22"/>
                <w:szCs w:val="22"/>
              </w:rPr>
              <w:t>9</w:t>
            </w:r>
            <w:r w:rsidRPr="00F35EA9">
              <w:rPr>
                <w:rFonts w:ascii="Arial" w:hAnsi="Arial" w:cs="Arial"/>
                <w:bCs/>
                <w:sz w:val="22"/>
                <w:szCs w:val="22"/>
                <w:vertAlign w:val="superscript"/>
              </w:rPr>
              <w:t>th</w:t>
            </w:r>
            <w:r>
              <w:rPr>
                <w:rFonts w:ascii="Arial" w:hAnsi="Arial" w:cs="Arial"/>
                <w:bCs/>
                <w:sz w:val="22"/>
                <w:szCs w:val="22"/>
              </w:rPr>
              <w:t xml:space="preserve"> July</w:t>
            </w:r>
            <w:r w:rsidR="00883C59">
              <w:rPr>
                <w:rFonts w:ascii="Arial" w:hAnsi="Arial" w:cs="Arial"/>
                <w:bCs/>
                <w:sz w:val="22"/>
                <w:szCs w:val="22"/>
              </w:rPr>
              <w:t xml:space="preserve">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506D9" w:rsidP="009306C6">
            <w:pPr>
              <w:rPr>
                <w:rFonts w:ascii="Arial" w:hAnsi="Arial" w:cs="Arial"/>
                <w:bCs/>
                <w:sz w:val="22"/>
                <w:szCs w:val="22"/>
              </w:rPr>
            </w:pPr>
            <w:r>
              <w:rPr>
                <w:rFonts w:ascii="Arial" w:hAnsi="Arial" w:cs="Arial"/>
                <w:bCs/>
                <w:sz w:val="22"/>
                <w:szCs w:val="22"/>
              </w:rPr>
              <w:t>Section 75 Business Plan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506D9" w:rsidP="00752FD6">
            <w:pPr>
              <w:spacing w:before="60"/>
              <w:rPr>
                <w:rFonts w:ascii="Arial" w:hAnsi="Arial" w:cs="Arial"/>
                <w:sz w:val="22"/>
                <w:szCs w:val="22"/>
              </w:rPr>
            </w:pPr>
            <w:bookmarkStart w:id="1" w:name="Check4"/>
            <w:r>
              <w:rPr>
                <w:rFonts w:ascii="Arial" w:hAnsi="Arial" w:cs="Arial"/>
                <w:sz w:val="22"/>
                <w:szCs w:val="22"/>
              </w:rPr>
              <w:t>X</w:t>
            </w:r>
            <w:r w:rsidR="00DD7564">
              <w:rPr>
                <w:rFonts w:ascii="Arial" w:hAnsi="Arial" w:cs="Arial"/>
                <w:sz w:val="22"/>
                <w:szCs w:val="22"/>
              </w:rPr>
              <w:fldChar w:fldCharType="begin">
                <w:ffData>
                  <w:name w:val="Check4"/>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B506D9">
              <w:rPr>
                <w:rFonts w:ascii="Arial" w:hAnsi="Arial" w:cs="Arial"/>
                <w:sz w:val="22"/>
                <w:szCs w:val="22"/>
              </w:rPr>
              <w:t>X</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F62F78" w:rsidTr="00DD7564">
        <w:trPr>
          <w:trHeight w:val="856"/>
        </w:trPr>
        <w:tc>
          <w:tcPr>
            <w:tcW w:w="9889" w:type="dxa"/>
            <w:gridSpan w:val="2"/>
            <w:shd w:val="clear" w:color="auto" w:fill="auto"/>
          </w:tcPr>
          <w:p w:rsidR="00F62F78" w:rsidRPr="00F62F78" w:rsidRDefault="00F62F78" w:rsidP="009306C6">
            <w:pPr>
              <w:rPr>
                <w:rFonts w:ascii="Arial" w:hAnsi="Arial" w:cs="Arial"/>
                <w:bCs/>
                <w:sz w:val="22"/>
                <w:szCs w:val="22"/>
              </w:rPr>
            </w:pPr>
            <w:r w:rsidRPr="00F62F78">
              <w:rPr>
                <w:rFonts w:ascii="Arial" w:hAnsi="Arial" w:cs="Arial"/>
                <w:bCs/>
                <w:sz w:val="22"/>
                <w:szCs w:val="22"/>
              </w:rPr>
              <w:t>To gain Partnership</w:t>
            </w:r>
            <w:r w:rsidR="00F814F4" w:rsidRPr="00F62F78">
              <w:rPr>
                <w:rFonts w:ascii="Arial" w:hAnsi="Arial" w:cs="Arial"/>
                <w:bCs/>
                <w:sz w:val="22"/>
                <w:szCs w:val="22"/>
              </w:rPr>
              <w:t xml:space="preserve"> Board </w:t>
            </w:r>
            <w:proofErr w:type="gramStart"/>
            <w:r w:rsidRPr="00F62F78">
              <w:rPr>
                <w:rFonts w:ascii="Arial" w:hAnsi="Arial" w:cs="Arial"/>
                <w:bCs/>
                <w:sz w:val="22"/>
                <w:szCs w:val="22"/>
              </w:rPr>
              <w:t>sign</w:t>
            </w:r>
            <w:proofErr w:type="gramEnd"/>
            <w:r w:rsidRPr="00F62F78">
              <w:rPr>
                <w:rFonts w:ascii="Arial" w:hAnsi="Arial" w:cs="Arial"/>
                <w:bCs/>
                <w:sz w:val="22"/>
                <w:szCs w:val="22"/>
              </w:rPr>
              <w:t xml:space="preserve"> off</w:t>
            </w:r>
            <w:r w:rsidR="00F814F4" w:rsidRPr="00F62F78">
              <w:rPr>
                <w:rFonts w:ascii="Arial" w:hAnsi="Arial" w:cs="Arial"/>
                <w:bCs/>
                <w:sz w:val="22"/>
                <w:szCs w:val="22"/>
              </w:rPr>
              <w:t xml:space="preserve"> of the </w:t>
            </w:r>
            <w:r w:rsidR="00B506D9" w:rsidRPr="00F62F78">
              <w:rPr>
                <w:rFonts w:ascii="Arial" w:hAnsi="Arial" w:cs="Arial"/>
                <w:bCs/>
                <w:sz w:val="22"/>
                <w:szCs w:val="22"/>
              </w:rPr>
              <w:t xml:space="preserve">Section 75 Business Plan </w:t>
            </w:r>
            <w:r w:rsidR="00F814F4" w:rsidRPr="00F62F78">
              <w:rPr>
                <w:rFonts w:ascii="Arial" w:hAnsi="Arial" w:cs="Arial"/>
                <w:bCs/>
                <w:sz w:val="22"/>
                <w:szCs w:val="22"/>
              </w:rPr>
              <w:t xml:space="preserve">for the coming year.  </w:t>
            </w:r>
          </w:p>
          <w:p w:rsidR="00DD689C" w:rsidRPr="00F62F78" w:rsidRDefault="00F814F4" w:rsidP="009306C6">
            <w:pPr>
              <w:rPr>
                <w:rFonts w:ascii="Arial" w:hAnsi="Arial" w:cs="Arial"/>
                <w:bCs/>
                <w:sz w:val="22"/>
                <w:szCs w:val="22"/>
              </w:rPr>
            </w:pPr>
            <w:r w:rsidRPr="00F62F78">
              <w:rPr>
                <w:rFonts w:ascii="Arial" w:hAnsi="Arial" w:cs="Arial"/>
                <w:bCs/>
                <w:sz w:val="22"/>
                <w:szCs w:val="22"/>
              </w:rPr>
              <w:t xml:space="preserve">The Plan </w:t>
            </w:r>
            <w:r w:rsidR="00B506D9" w:rsidRPr="00F62F78">
              <w:rPr>
                <w:rFonts w:ascii="Arial" w:hAnsi="Arial" w:cs="Arial"/>
                <w:bCs/>
                <w:sz w:val="22"/>
                <w:szCs w:val="22"/>
              </w:rPr>
              <w:t xml:space="preserve">sets out the </w:t>
            </w:r>
            <w:r w:rsidRPr="00F62F78">
              <w:rPr>
                <w:rFonts w:ascii="Arial" w:hAnsi="Arial" w:cs="Arial"/>
                <w:bCs/>
                <w:sz w:val="22"/>
                <w:szCs w:val="22"/>
              </w:rPr>
              <w:t>:</w:t>
            </w:r>
          </w:p>
          <w:p w:rsidR="00F814F4" w:rsidRPr="00F62F78" w:rsidRDefault="00F814F4" w:rsidP="00F814F4">
            <w:pPr>
              <w:numPr>
                <w:ilvl w:val="0"/>
                <w:numId w:val="39"/>
              </w:numPr>
              <w:spacing w:after="200" w:line="276" w:lineRule="auto"/>
              <w:rPr>
                <w:rFonts w:ascii="Arial" w:hAnsi="Arial" w:cs="Arial"/>
                <w:sz w:val="22"/>
                <w:szCs w:val="22"/>
              </w:rPr>
            </w:pPr>
            <w:r w:rsidRPr="00F62F78">
              <w:rPr>
                <w:rFonts w:ascii="Arial" w:hAnsi="Arial" w:cs="Arial"/>
                <w:sz w:val="22"/>
                <w:szCs w:val="22"/>
              </w:rPr>
              <w:t>objectives to be delivered by each partner for the period of the plan</w:t>
            </w:r>
          </w:p>
          <w:p w:rsidR="00F814F4" w:rsidRPr="00F62F78" w:rsidRDefault="00F814F4" w:rsidP="00F814F4">
            <w:pPr>
              <w:numPr>
                <w:ilvl w:val="0"/>
                <w:numId w:val="39"/>
              </w:numPr>
              <w:spacing w:after="200" w:line="276" w:lineRule="auto"/>
              <w:rPr>
                <w:rFonts w:ascii="Arial" w:hAnsi="Arial" w:cs="Arial"/>
                <w:sz w:val="22"/>
                <w:szCs w:val="22"/>
              </w:rPr>
            </w:pPr>
            <w:proofErr w:type="gramStart"/>
            <w:r w:rsidRPr="00F62F78">
              <w:rPr>
                <w:rFonts w:ascii="Arial" w:hAnsi="Arial" w:cs="Arial"/>
                <w:sz w:val="22"/>
                <w:szCs w:val="22"/>
              </w:rPr>
              <w:t>financial</w:t>
            </w:r>
            <w:proofErr w:type="gramEnd"/>
            <w:r w:rsidRPr="00F62F78">
              <w:rPr>
                <w:rFonts w:ascii="Arial" w:hAnsi="Arial" w:cs="Arial"/>
                <w:sz w:val="22"/>
                <w:szCs w:val="22"/>
              </w:rPr>
              <w:t xml:space="preserve"> resources that are transferred under the agreement.</w:t>
            </w:r>
          </w:p>
          <w:p w:rsidR="00DD7564" w:rsidRPr="00F62F78" w:rsidRDefault="00F814F4" w:rsidP="00F814F4">
            <w:pPr>
              <w:pStyle w:val="ListParagraph"/>
              <w:numPr>
                <w:ilvl w:val="0"/>
                <w:numId w:val="39"/>
              </w:numPr>
              <w:rPr>
                <w:rFonts w:ascii="Arial" w:hAnsi="Arial" w:cs="Arial"/>
                <w:bCs/>
                <w:sz w:val="22"/>
                <w:szCs w:val="22"/>
              </w:rPr>
            </w:pPr>
            <w:r w:rsidRPr="00F62F78">
              <w:rPr>
                <w:rFonts w:ascii="Arial" w:hAnsi="Arial" w:cs="Arial"/>
                <w:sz w:val="22"/>
                <w:szCs w:val="22"/>
              </w:rPr>
              <w:t>anticipated major changes in policy, any issues that are defined as ‘reserved matters’ for the council in the Partnership Agreement</w:t>
            </w:r>
          </w:p>
        </w:tc>
      </w:tr>
    </w:tbl>
    <w:p w:rsidR="00DD689C" w:rsidRPr="00F62F78"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F62F78" w:rsidRDefault="00F814F4" w:rsidP="00F814F4">
            <w:pPr>
              <w:rPr>
                <w:rFonts w:ascii="Arial" w:hAnsi="Arial" w:cs="Arial"/>
                <w:bCs/>
                <w:sz w:val="22"/>
                <w:szCs w:val="22"/>
              </w:rPr>
            </w:pPr>
            <w:r>
              <w:rPr>
                <w:rFonts w:ascii="Arial" w:hAnsi="Arial" w:cs="Arial"/>
                <w:bCs/>
                <w:sz w:val="22"/>
                <w:szCs w:val="22"/>
              </w:rPr>
              <w:t>The section 75 partnership business plan ensures that both parties are aware of the requirements the partnership places on them.  It ensures that the partners continue to operate within the latest policy requirements</w:t>
            </w:r>
          </w:p>
          <w:p w:rsidR="00F814F4" w:rsidRDefault="00F814F4" w:rsidP="00F814F4">
            <w:pPr>
              <w:rPr>
                <w:rFonts w:ascii="Arial" w:hAnsi="Arial" w:cs="Arial"/>
                <w:bCs/>
                <w:sz w:val="22"/>
                <w:szCs w:val="22"/>
              </w:rPr>
            </w:pPr>
            <w:r>
              <w:rPr>
                <w:rFonts w:ascii="Arial" w:hAnsi="Arial" w:cs="Arial"/>
                <w:bCs/>
                <w:sz w:val="22"/>
                <w:szCs w:val="22"/>
              </w:rPr>
              <w:t>.</w:t>
            </w:r>
          </w:p>
          <w:p w:rsidR="00F814F4" w:rsidRDefault="00F814F4" w:rsidP="00F814F4">
            <w:pPr>
              <w:rPr>
                <w:rFonts w:ascii="Arial" w:hAnsi="Arial" w:cs="Arial"/>
                <w:bCs/>
                <w:sz w:val="22"/>
                <w:szCs w:val="22"/>
              </w:rPr>
            </w:pPr>
            <w:r>
              <w:rPr>
                <w:rFonts w:ascii="Arial" w:hAnsi="Arial" w:cs="Arial"/>
                <w:bCs/>
                <w:sz w:val="22"/>
                <w:szCs w:val="22"/>
              </w:rPr>
              <w:t xml:space="preserve">This </w:t>
            </w:r>
            <w:proofErr w:type="spellStart"/>
            <w:r>
              <w:rPr>
                <w:rFonts w:ascii="Arial" w:hAnsi="Arial" w:cs="Arial"/>
                <w:bCs/>
                <w:sz w:val="22"/>
                <w:szCs w:val="22"/>
              </w:rPr>
              <w:t>years</w:t>
            </w:r>
            <w:proofErr w:type="spellEnd"/>
            <w:r>
              <w:rPr>
                <w:rFonts w:ascii="Arial" w:hAnsi="Arial" w:cs="Arial"/>
                <w:bCs/>
                <w:sz w:val="22"/>
                <w:szCs w:val="22"/>
              </w:rPr>
              <w:t xml:space="preserve"> partnership agreement specifically picks up: </w:t>
            </w:r>
          </w:p>
          <w:p w:rsidR="00F62F78" w:rsidRPr="00F62F78" w:rsidRDefault="006F0207" w:rsidP="00F814F4">
            <w:pPr>
              <w:numPr>
                <w:ilvl w:val="0"/>
                <w:numId w:val="40"/>
              </w:numPr>
              <w:spacing w:after="200" w:line="276" w:lineRule="auto"/>
              <w:ind w:left="1134"/>
              <w:rPr>
                <w:rFonts w:ascii="Arial" w:hAnsi="Arial" w:cs="Arial"/>
                <w:b/>
                <w:sz w:val="22"/>
                <w:szCs w:val="22"/>
              </w:rPr>
            </w:pPr>
            <w:r w:rsidRPr="00F62F78">
              <w:rPr>
                <w:rFonts w:ascii="Arial" w:hAnsi="Arial" w:cs="Arial"/>
                <w:bCs/>
                <w:sz w:val="22"/>
                <w:szCs w:val="22"/>
              </w:rPr>
              <w:t xml:space="preserve"> </w:t>
            </w:r>
            <w:r w:rsidR="00F814F4" w:rsidRPr="00F62F78">
              <w:rPr>
                <w:rFonts w:ascii="Arial" w:hAnsi="Arial" w:cs="Arial"/>
                <w:sz w:val="22"/>
                <w:szCs w:val="22"/>
              </w:rPr>
              <w:t>Implementation of the Care Act 2014.</w:t>
            </w:r>
          </w:p>
          <w:p w:rsidR="00F814F4" w:rsidRPr="00F62F78" w:rsidRDefault="00F814F4" w:rsidP="00F814F4">
            <w:pPr>
              <w:numPr>
                <w:ilvl w:val="0"/>
                <w:numId w:val="40"/>
              </w:numPr>
              <w:spacing w:after="200" w:line="276" w:lineRule="auto"/>
              <w:ind w:left="1134"/>
              <w:rPr>
                <w:rFonts w:ascii="Arial" w:hAnsi="Arial" w:cs="Arial"/>
                <w:b/>
                <w:sz w:val="22"/>
                <w:szCs w:val="22"/>
              </w:rPr>
            </w:pPr>
            <w:r w:rsidRPr="00F62F78">
              <w:rPr>
                <w:rFonts w:ascii="Arial" w:hAnsi="Arial" w:cs="Arial"/>
                <w:sz w:val="22"/>
                <w:szCs w:val="22"/>
              </w:rPr>
              <w:t xml:space="preserve"> Better Care plan</w:t>
            </w:r>
          </w:p>
          <w:p w:rsidR="00301655" w:rsidRPr="00752FD6" w:rsidRDefault="00301655" w:rsidP="00F814F4">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F814F4" w:rsidP="00F62F78">
            <w:pPr>
              <w:jc w:val="both"/>
              <w:rPr>
                <w:rFonts w:ascii="Arial" w:hAnsi="Arial" w:cs="Arial"/>
                <w:bCs/>
                <w:sz w:val="22"/>
                <w:szCs w:val="22"/>
              </w:rPr>
            </w:pPr>
            <w:r>
              <w:rPr>
                <w:rFonts w:ascii="Arial" w:hAnsi="Arial" w:cs="Arial"/>
                <w:bCs/>
                <w:sz w:val="22"/>
                <w:szCs w:val="22"/>
              </w:rPr>
              <w:t>That the P</w:t>
            </w:r>
            <w:r w:rsidR="006F0207">
              <w:rPr>
                <w:rFonts w:ascii="Arial" w:hAnsi="Arial" w:cs="Arial"/>
                <w:bCs/>
                <w:sz w:val="22"/>
                <w:szCs w:val="22"/>
              </w:rPr>
              <w:t xml:space="preserve">artnership Board is aware of the </w:t>
            </w:r>
            <w:r>
              <w:rPr>
                <w:rFonts w:ascii="Arial" w:hAnsi="Arial" w:cs="Arial"/>
                <w:bCs/>
                <w:sz w:val="22"/>
                <w:szCs w:val="22"/>
              </w:rPr>
              <w:t>requ</w:t>
            </w:r>
            <w:r w:rsidR="00F62F78">
              <w:rPr>
                <w:rFonts w:ascii="Arial" w:hAnsi="Arial" w:cs="Arial"/>
                <w:bCs/>
                <w:sz w:val="22"/>
                <w:szCs w:val="22"/>
              </w:rPr>
              <w:t>irements that the CCG has to deliver in relation to the partnership agreement, and what the council is required to deliver</w:t>
            </w:r>
            <w:r w:rsidR="00FA6C46">
              <w:rPr>
                <w:rFonts w:ascii="Arial" w:hAnsi="Arial" w:cs="Arial"/>
                <w:bCs/>
                <w:sz w:val="22"/>
                <w:szCs w:val="22"/>
              </w:rPr>
              <w:t>.</w:t>
            </w:r>
            <w:r w:rsidR="00F62F78">
              <w:rPr>
                <w:rFonts w:ascii="Arial" w:hAnsi="Arial" w:cs="Arial"/>
                <w:bCs/>
                <w:sz w:val="22"/>
                <w:szCs w:val="22"/>
              </w:rPr>
              <w:t xml:space="preserve">  If either partner is felt not to be delivering against the requirements then the partnership agreement becomes at risk.</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F62F78" w:rsidP="00752FD6">
            <w:pPr>
              <w:jc w:val="both"/>
              <w:rPr>
                <w:rFonts w:ascii="Arial" w:hAnsi="Arial" w:cs="Arial"/>
                <w:bCs/>
                <w:sz w:val="22"/>
                <w:szCs w:val="22"/>
              </w:rPr>
            </w:pPr>
            <w:r>
              <w:rPr>
                <w:rFonts w:ascii="Arial" w:hAnsi="Arial" w:cs="Arial"/>
                <w:bCs/>
                <w:sz w:val="22"/>
                <w:szCs w:val="22"/>
              </w:rPr>
              <w:t xml:space="preserve">The Partnership Board are asked to approve the Section 75 business plan for 2015/16. </w:t>
            </w: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Default="00DD689C" w:rsidP="00DD689C">
      <w:pPr>
        <w:rPr>
          <w:rFonts w:ascii="Arial" w:hAnsi="Arial" w:cs="Arial"/>
          <w:b/>
          <w:sz w:val="22"/>
          <w:szCs w:val="22"/>
        </w:rPr>
      </w:pPr>
    </w:p>
    <w:p w:rsidR="009B5331" w:rsidRDefault="009B5331" w:rsidP="00DD689C">
      <w:pPr>
        <w:rPr>
          <w:rFonts w:ascii="Arial" w:hAnsi="Arial" w:cs="Arial"/>
          <w:b/>
          <w:sz w:val="22"/>
          <w:szCs w:val="22"/>
        </w:rPr>
      </w:pPr>
    </w:p>
    <w:p w:rsidR="009B5331" w:rsidRPr="009D14DD" w:rsidRDefault="009B5331"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585083" w:rsidP="00752FD6">
            <w:pPr>
              <w:spacing w:before="80" w:after="80"/>
              <w:jc w:val="center"/>
              <w:rPr>
                <w:rFonts w:ascii="Arial" w:hAnsi="Arial" w:cs="Arial"/>
                <w:b/>
                <w:sz w:val="22"/>
                <w:szCs w:val="22"/>
              </w:rPr>
            </w:pPr>
            <w:r>
              <w:rPr>
                <w:rFonts w:ascii="Arial" w:hAnsi="Arial" w:cs="Arial"/>
                <w:b/>
                <w:sz w:val="22"/>
                <w:szCs w:val="22"/>
              </w:rPr>
              <w:br w:type="page"/>
            </w: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4D0188"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p>
    <w:sectPr w:rsidR="006A5B18"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65" w:rsidRDefault="00571E65">
      <w:r>
        <w:separator/>
      </w:r>
    </w:p>
  </w:endnote>
  <w:endnote w:type="continuationSeparator" w:id="0">
    <w:p w:rsidR="00571E65" w:rsidRDefault="0057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165AEF19" wp14:editId="39935E6F">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659AA5AF" wp14:editId="78D310D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65" w:rsidRDefault="00571E65">
      <w:r>
        <w:separator/>
      </w:r>
    </w:p>
  </w:footnote>
  <w:footnote w:type="continuationSeparator" w:id="0">
    <w:p w:rsidR="00571E65" w:rsidRDefault="0057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46A91"/>
    <w:multiLevelType w:val="hybridMultilevel"/>
    <w:tmpl w:val="9B0EF3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4">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97B77"/>
    <w:multiLevelType w:val="hybridMultilevel"/>
    <w:tmpl w:val="B044B2B6"/>
    <w:lvl w:ilvl="0" w:tplc="819253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8">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903D8"/>
    <w:multiLevelType w:val="hybridMultilevel"/>
    <w:tmpl w:val="C8307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D83F28"/>
    <w:multiLevelType w:val="hybridMultilevel"/>
    <w:tmpl w:val="4440D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0"/>
  </w:num>
  <w:num w:numId="4">
    <w:abstractNumId w:val="37"/>
  </w:num>
  <w:num w:numId="5">
    <w:abstractNumId w:val="25"/>
  </w:num>
  <w:num w:numId="6">
    <w:abstractNumId w:val="32"/>
  </w:num>
  <w:num w:numId="7">
    <w:abstractNumId w:val="5"/>
  </w:num>
  <w:num w:numId="8">
    <w:abstractNumId w:val="24"/>
  </w:num>
  <w:num w:numId="9">
    <w:abstractNumId w:val="27"/>
  </w:num>
  <w:num w:numId="10">
    <w:abstractNumId w:val="7"/>
  </w:num>
  <w:num w:numId="11">
    <w:abstractNumId w:val="15"/>
  </w:num>
  <w:num w:numId="12">
    <w:abstractNumId w:val="30"/>
  </w:num>
  <w:num w:numId="13">
    <w:abstractNumId w:val="21"/>
  </w:num>
  <w:num w:numId="14">
    <w:abstractNumId w:val="2"/>
  </w:num>
  <w:num w:numId="15">
    <w:abstractNumId w:val="23"/>
  </w:num>
  <w:num w:numId="16">
    <w:abstractNumId w:val="16"/>
  </w:num>
  <w:num w:numId="17">
    <w:abstractNumId w:val="26"/>
  </w:num>
  <w:num w:numId="18">
    <w:abstractNumId w:val="22"/>
  </w:num>
  <w:num w:numId="19">
    <w:abstractNumId w:val="33"/>
  </w:num>
  <w:num w:numId="20">
    <w:abstractNumId w:val="13"/>
  </w:num>
  <w:num w:numId="21">
    <w:abstractNumId w:val="9"/>
  </w:num>
  <w:num w:numId="22">
    <w:abstractNumId w:val="18"/>
  </w:num>
  <w:num w:numId="23">
    <w:abstractNumId w:val="6"/>
  </w:num>
  <w:num w:numId="24">
    <w:abstractNumId w:val="1"/>
  </w:num>
  <w:num w:numId="25">
    <w:abstractNumId w:val="31"/>
  </w:num>
  <w:num w:numId="26">
    <w:abstractNumId w:val="11"/>
  </w:num>
  <w:num w:numId="27">
    <w:abstractNumId w:val="14"/>
  </w:num>
  <w:num w:numId="28">
    <w:abstractNumId w:val="28"/>
  </w:num>
  <w:num w:numId="29">
    <w:abstractNumId w:val="34"/>
  </w:num>
  <w:num w:numId="30">
    <w:abstractNumId w:val="12"/>
  </w:num>
  <w:num w:numId="31">
    <w:abstractNumId w:val="39"/>
  </w:num>
  <w:num w:numId="32">
    <w:abstractNumId w:val="8"/>
  </w:num>
  <w:num w:numId="33">
    <w:abstractNumId w:val="35"/>
  </w:num>
  <w:num w:numId="34">
    <w:abstractNumId w:val="20"/>
  </w:num>
  <w:num w:numId="35">
    <w:abstractNumId w:val="17"/>
  </w:num>
  <w:num w:numId="36">
    <w:abstractNumId w:val="3"/>
  </w:num>
  <w:num w:numId="37">
    <w:abstractNumId w:val="36"/>
  </w:num>
  <w:num w:numId="38">
    <w:abstractNumId w:val="19"/>
  </w:num>
  <w:num w:numId="39">
    <w:abstractNumId w:val="10"/>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22D"/>
    <w:rsid w:val="00091E11"/>
    <w:rsid w:val="000920DD"/>
    <w:rsid w:val="00092A27"/>
    <w:rsid w:val="00095E6B"/>
    <w:rsid w:val="000B1D82"/>
    <w:rsid w:val="000B1EEB"/>
    <w:rsid w:val="000B3544"/>
    <w:rsid w:val="000B4521"/>
    <w:rsid w:val="000C13F4"/>
    <w:rsid w:val="000C440F"/>
    <w:rsid w:val="000E4269"/>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869FD"/>
    <w:rsid w:val="002A3C39"/>
    <w:rsid w:val="002A42AE"/>
    <w:rsid w:val="002A651D"/>
    <w:rsid w:val="002B0AEC"/>
    <w:rsid w:val="002B63BC"/>
    <w:rsid w:val="002C17C1"/>
    <w:rsid w:val="002E26B9"/>
    <w:rsid w:val="002E7820"/>
    <w:rsid w:val="002F445D"/>
    <w:rsid w:val="002F47B6"/>
    <w:rsid w:val="00301655"/>
    <w:rsid w:val="00303B76"/>
    <w:rsid w:val="00312796"/>
    <w:rsid w:val="00316D7E"/>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E5157"/>
    <w:rsid w:val="003F6D7A"/>
    <w:rsid w:val="003F6DF9"/>
    <w:rsid w:val="00406064"/>
    <w:rsid w:val="00420D54"/>
    <w:rsid w:val="00423F06"/>
    <w:rsid w:val="004266AA"/>
    <w:rsid w:val="00427EC0"/>
    <w:rsid w:val="0043321C"/>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1C54"/>
    <w:rsid w:val="004822A5"/>
    <w:rsid w:val="00490D15"/>
    <w:rsid w:val="004A5EE0"/>
    <w:rsid w:val="004A75B1"/>
    <w:rsid w:val="004B29A9"/>
    <w:rsid w:val="004B4F56"/>
    <w:rsid w:val="004C5FA2"/>
    <w:rsid w:val="004C677C"/>
    <w:rsid w:val="004C6F5C"/>
    <w:rsid w:val="004D0188"/>
    <w:rsid w:val="004D0321"/>
    <w:rsid w:val="004D7118"/>
    <w:rsid w:val="004E7A80"/>
    <w:rsid w:val="004F2E71"/>
    <w:rsid w:val="004F3209"/>
    <w:rsid w:val="004F64DF"/>
    <w:rsid w:val="005109BE"/>
    <w:rsid w:val="00517C3A"/>
    <w:rsid w:val="00522E5B"/>
    <w:rsid w:val="0052360E"/>
    <w:rsid w:val="00532C2C"/>
    <w:rsid w:val="00541F74"/>
    <w:rsid w:val="005460DB"/>
    <w:rsid w:val="00562641"/>
    <w:rsid w:val="00562E19"/>
    <w:rsid w:val="00567797"/>
    <w:rsid w:val="00571E65"/>
    <w:rsid w:val="0057544B"/>
    <w:rsid w:val="0057654D"/>
    <w:rsid w:val="005847E8"/>
    <w:rsid w:val="00585083"/>
    <w:rsid w:val="00587A7C"/>
    <w:rsid w:val="00591E40"/>
    <w:rsid w:val="00593311"/>
    <w:rsid w:val="005973A0"/>
    <w:rsid w:val="005A36F7"/>
    <w:rsid w:val="005A625B"/>
    <w:rsid w:val="005A7ACC"/>
    <w:rsid w:val="005E01FA"/>
    <w:rsid w:val="005F0C84"/>
    <w:rsid w:val="005F11AA"/>
    <w:rsid w:val="005F195A"/>
    <w:rsid w:val="0060216B"/>
    <w:rsid w:val="00604967"/>
    <w:rsid w:val="00607C7F"/>
    <w:rsid w:val="006203A2"/>
    <w:rsid w:val="00625124"/>
    <w:rsid w:val="006468ED"/>
    <w:rsid w:val="006569A3"/>
    <w:rsid w:val="00657CC2"/>
    <w:rsid w:val="0066013A"/>
    <w:rsid w:val="00664815"/>
    <w:rsid w:val="006723FD"/>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42B5"/>
    <w:rsid w:val="00876BA5"/>
    <w:rsid w:val="00882C25"/>
    <w:rsid w:val="00883C59"/>
    <w:rsid w:val="008851F8"/>
    <w:rsid w:val="00891846"/>
    <w:rsid w:val="00891EDC"/>
    <w:rsid w:val="0089366A"/>
    <w:rsid w:val="008A57B4"/>
    <w:rsid w:val="008C6467"/>
    <w:rsid w:val="008C64A8"/>
    <w:rsid w:val="008C70FB"/>
    <w:rsid w:val="008D12EA"/>
    <w:rsid w:val="008D6A39"/>
    <w:rsid w:val="008E206C"/>
    <w:rsid w:val="008F140F"/>
    <w:rsid w:val="008F677B"/>
    <w:rsid w:val="00905151"/>
    <w:rsid w:val="00907378"/>
    <w:rsid w:val="009119AD"/>
    <w:rsid w:val="0091688E"/>
    <w:rsid w:val="00920543"/>
    <w:rsid w:val="0092255D"/>
    <w:rsid w:val="00923556"/>
    <w:rsid w:val="009269E7"/>
    <w:rsid w:val="009306C6"/>
    <w:rsid w:val="00936BC2"/>
    <w:rsid w:val="0094097A"/>
    <w:rsid w:val="00946B7B"/>
    <w:rsid w:val="00960460"/>
    <w:rsid w:val="00961032"/>
    <w:rsid w:val="009615DA"/>
    <w:rsid w:val="009646FA"/>
    <w:rsid w:val="00975B74"/>
    <w:rsid w:val="00981F43"/>
    <w:rsid w:val="009846C1"/>
    <w:rsid w:val="00995D16"/>
    <w:rsid w:val="00997C71"/>
    <w:rsid w:val="009A0C1E"/>
    <w:rsid w:val="009A29A7"/>
    <w:rsid w:val="009B25F1"/>
    <w:rsid w:val="009B32B5"/>
    <w:rsid w:val="009B5331"/>
    <w:rsid w:val="009C33D4"/>
    <w:rsid w:val="009D14DD"/>
    <w:rsid w:val="009D4815"/>
    <w:rsid w:val="009E0D79"/>
    <w:rsid w:val="009E7323"/>
    <w:rsid w:val="009F3A26"/>
    <w:rsid w:val="00A01B48"/>
    <w:rsid w:val="00A03A97"/>
    <w:rsid w:val="00A07A07"/>
    <w:rsid w:val="00A1183A"/>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4439"/>
    <w:rsid w:val="00A860CA"/>
    <w:rsid w:val="00A862EF"/>
    <w:rsid w:val="00A873BF"/>
    <w:rsid w:val="00A87ACE"/>
    <w:rsid w:val="00A95091"/>
    <w:rsid w:val="00A9668F"/>
    <w:rsid w:val="00A96FB0"/>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11802"/>
    <w:rsid w:val="00B21F5F"/>
    <w:rsid w:val="00B31017"/>
    <w:rsid w:val="00B349FF"/>
    <w:rsid w:val="00B363A4"/>
    <w:rsid w:val="00B37265"/>
    <w:rsid w:val="00B40742"/>
    <w:rsid w:val="00B41D76"/>
    <w:rsid w:val="00B506D9"/>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17D1"/>
    <w:rsid w:val="00CF258F"/>
    <w:rsid w:val="00CF5F75"/>
    <w:rsid w:val="00D00EFA"/>
    <w:rsid w:val="00D15A2C"/>
    <w:rsid w:val="00D25017"/>
    <w:rsid w:val="00D3494B"/>
    <w:rsid w:val="00D35D4A"/>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0846"/>
    <w:rsid w:val="00DE6E0E"/>
    <w:rsid w:val="00DF00F8"/>
    <w:rsid w:val="00DF3185"/>
    <w:rsid w:val="00DF3E42"/>
    <w:rsid w:val="00E01CE4"/>
    <w:rsid w:val="00E135D3"/>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863C2"/>
    <w:rsid w:val="00E921F2"/>
    <w:rsid w:val="00E94BFF"/>
    <w:rsid w:val="00E96028"/>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27279"/>
    <w:rsid w:val="00F3113F"/>
    <w:rsid w:val="00F32730"/>
    <w:rsid w:val="00F3308A"/>
    <w:rsid w:val="00F34767"/>
    <w:rsid w:val="00F35EA9"/>
    <w:rsid w:val="00F3716D"/>
    <w:rsid w:val="00F37D18"/>
    <w:rsid w:val="00F40B1F"/>
    <w:rsid w:val="00F45C7E"/>
    <w:rsid w:val="00F50E01"/>
    <w:rsid w:val="00F51B57"/>
    <w:rsid w:val="00F524C7"/>
    <w:rsid w:val="00F55731"/>
    <w:rsid w:val="00F55EFB"/>
    <w:rsid w:val="00F62F78"/>
    <w:rsid w:val="00F6631C"/>
    <w:rsid w:val="00F768A3"/>
    <w:rsid w:val="00F76D30"/>
    <w:rsid w:val="00F80178"/>
    <w:rsid w:val="00F814F4"/>
    <w:rsid w:val="00F85FD3"/>
    <w:rsid w:val="00F906E5"/>
    <w:rsid w:val="00F9086D"/>
    <w:rsid w:val="00F9292B"/>
    <w:rsid w:val="00F971CA"/>
    <w:rsid w:val="00F979D8"/>
    <w:rsid w:val="00FA3BC7"/>
    <w:rsid w:val="00FA6C46"/>
    <w:rsid w:val="00FB10F2"/>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 w:val="00F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53BB-6B8C-4B34-BEA5-596273AD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2252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2015-07-03T07:54:00Z</dcterms:created>
  <dcterms:modified xsi:type="dcterms:W3CDTF">2015-07-03T07:54:00Z</dcterms:modified>
</cp:coreProperties>
</file>