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6A74AF" w:rsidP="00BA763E">
      <w:pPr>
        <w:pStyle w:val="Header"/>
        <w:jc w:val="right"/>
        <w:rPr>
          <w:noProof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6BF" w:rsidRPr="00DD7564" w:rsidRDefault="00E906BF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2A4A9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:rsidR="00E906BF" w:rsidRDefault="00E906BF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E906BF" w:rsidRPr="00DD7564" w:rsidRDefault="00E906BF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  <w:r w:rsidR="002A4A94">
                        <w:rPr>
                          <w:rFonts w:ascii="Arial" w:hAnsi="Arial" w:cs="Arial"/>
                          <w:sz w:val="32"/>
                          <w:szCs w:val="32"/>
                        </w:rPr>
                        <w:t>12</w:t>
                      </w:r>
                    </w:p>
                    <w:p w:rsidR="00E906BF" w:rsidRDefault="00E906BF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A2">
        <w:rPr>
          <w:noProof/>
        </w:rPr>
        <w:drawing>
          <wp:inline distT="0" distB="0" distL="0" distR="0" wp14:anchorId="219E91CC" wp14:editId="5B4C0398">
            <wp:extent cx="777240" cy="312225"/>
            <wp:effectExtent l="0" t="0" r="3810" b="0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9C" w:rsidRDefault="00BA763E" w:rsidP="006A74AF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A531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7927F8">
              <w:rPr>
                <w:rFonts w:ascii="Arial" w:hAnsi="Arial" w:cs="Arial"/>
                <w:bCs/>
                <w:sz w:val="22"/>
                <w:szCs w:val="22"/>
              </w:rPr>
              <w:t xml:space="preserve">CCG </w:t>
            </w:r>
            <w:r w:rsidR="00A531CD">
              <w:rPr>
                <w:rFonts w:ascii="Arial" w:hAnsi="Arial" w:cs="Arial"/>
                <w:bCs/>
                <w:sz w:val="22"/>
                <w:szCs w:val="22"/>
              </w:rPr>
              <w:t>Partnership Board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3D495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Laura Whitton</w:t>
            </w:r>
            <w:bookmarkStart w:id="0" w:name="_GoBack"/>
            <w:bookmarkEnd w:id="0"/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3D495F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3D495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July 2015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3D495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NEL CCG Finance report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1" w:name="Check4"/>
        <w:tc>
          <w:tcPr>
            <w:tcW w:w="8003" w:type="dxa"/>
            <w:shd w:val="clear" w:color="auto" w:fill="auto"/>
          </w:tcPr>
          <w:p w:rsidR="00DD689C" w:rsidRPr="00752FD6" w:rsidRDefault="003D495F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752F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>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668B8" w:rsidRDefault="003D495F" w:rsidP="003D49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86960">
              <w:rPr>
                <w:rFonts w:ascii="Arial" w:hAnsi="Arial" w:cs="Arial"/>
                <w:bCs/>
                <w:sz w:val="22"/>
                <w:szCs w:val="22"/>
              </w:rPr>
              <w:t xml:space="preserve">To provide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 update on </w:t>
            </w:r>
            <w:r w:rsidRPr="009840C3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E572A3">
              <w:rPr>
                <w:rFonts w:ascii="Arial" w:hAnsi="Arial" w:cs="Arial"/>
                <w:bCs/>
                <w:sz w:val="22"/>
                <w:szCs w:val="22"/>
              </w:rPr>
              <w:t>CCG</w:t>
            </w:r>
            <w:r w:rsidR="002668B8">
              <w:rPr>
                <w:rFonts w:ascii="Arial" w:hAnsi="Arial" w:cs="Arial"/>
                <w:bCs/>
                <w:sz w:val="22"/>
                <w:szCs w:val="22"/>
              </w:rPr>
              <w:t xml:space="preserve"> and Northern Lincolnshire Community</w:t>
            </w:r>
            <w:r w:rsidR="00E572A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840C3">
              <w:rPr>
                <w:rFonts w:ascii="Arial" w:hAnsi="Arial" w:cs="Arial"/>
                <w:bCs/>
                <w:sz w:val="22"/>
                <w:szCs w:val="22"/>
              </w:rPr>
              <w:t xml:space="preserve">financial position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as </w:t>
            </w:r>
            <w:r w:rsidRPr="009840C3">
              <w:rPr>
                <w:rFonts w:ascii="Arial" w:hAnsi="Arial" w:cs="Arial"/>
                <w:bCs/>
                <w:sz w:val="22"/>
                <w:szCs w:val="22"/>
              </w:rPr>
              <w:t xml:space="preserve">at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May</w:t>
            </w:r>
            <w:r w:rsidRPr="009840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2015</w:t>
            </w:r>
            <w:r w:rsidRPr="009840C3">
              <w:rPr>
                <w:rFonts w:ascii="Arial" w:hAnsi="Arial" w:cs="Arial"/>
                <w:bCs/>
                <w:sz w:val="22"/>
                <w:szCs w:val="22"/>
              </w:rPr>
              <w:t xml:space="preserve"> and the financial risks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that </w:t>
            </w:r>
            <w:r w:rsidR="002668B8">
              <w:rPr>
                <w:rFonts w:ascii="Arial" w:hAnsi="Arial" w:cs="Arial"/>
                <w:bCs/>
                <w:sz w:val="22"/>
                <w:szCs w:val="22"/>
              </w:rPr>
              <w:t xml:space="preserve">the CCG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need</w:t>
            </w:r>
            <w:r w:rsidR="002668B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r w:rsidR="002668B8">
              <w:rPr>
                <w:rFonts w:ascii="Arial" w:hAnsi="Arial" w:cs="Arial"/>
                <w:bCs/>
                <w:sz w:val="22"/>
                <w:szCs w:val="22"/>
              </w:rPr>
              <w:t>manage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during the remainder of the year.</w:t>
            </w:r>
            <w:r w:rsidR="002668B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A74AF" w:rsidRPr="00752FD6" w:rsidRDefault="006A74AF" w:rsidP="002668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3D495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53FB6">
              <w:rPr>
                <w:rFonts w:ascii="Arial" w:hAnsi="Arial" w:cs="Arial"/>
                <w:bCs/>
                <w:sz w:val="22"/>
                <w:szCs w:val="22"/>
              </w:rPr>
              <w:t>To support the achievement of a sustainable care system</w:t>
            </w:r>
            <w:r w:rsidRPr="00DC508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6A74AF" w:rsidRPr="00752FD6" w:rsidTr="00E906BF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E572A3" w:rsidRDefault="00E572A3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572A3" w:rsidRPr="00E572A3" w:rsidRDefault="00E572A3" w:rsidP="009306C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572A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CCG Financial Position</w:t>
            </w:r>
          </w:p>
        </w:tc>
      </w:tr>
      <w:tr w:rsidR="00DD689C" w:rsidRPr="00752FD6" w:rsidTr="00E906BF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603"/>
              <w:gridCol w:w="3492"/>
              <w:gridCol w:w="1546"/>
              <w:gridCol w:w="775"/>
              <w:gridCol w:w="1134"/>
              <w:gridCol w:w="1275"/>
            </w:tblGrid>
            <w:tr w:rsidR="003D495F" w:rsidTr="00235CF1">
              <w:trPr>
                <w:trHeight w:val="612"/>
              </w:trPr>
              <w:tc>
                <w:tcPr>
                  <w:tcW w:w="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95F" w:rsidRPr="003D495F" w:rsidRDefault="003D495F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3D495F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495F" w:rsidRPr="00E572A3" w:rsidRDefault="003D495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495F" w:rsidRPr="00E572A3" w:rsidRDefault="003D495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Classification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Table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Year to date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Forecast</w:t>
                  </w:r>
                </w:p>
              </w:tc>
            </w:tr>
            <w:tr w:rsidR="003D495F" w:rsidTr="00235CF1">
              <w:trPr>
                <w:trHeight w:val="612"/>
              </w:trPr>
              <w:tc>
                <w:tcPr>
                  <w:tcW w:w="490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3D495F" w:rsidP="003D495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Revenue administration resource use does not exceed the amount specified in Directions (planned surplus = £4.53m)</w:t>
                  </w:r>
                </w:p>
                <w:p w:rsidR="003D495F" w:rsidRPr="00E572A3" w:rsidRDefault="003D495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Statutory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Green</w:t>
                  </w:r>
                </w:p>
              </w:tc>
            </w:tr>
            <w:tr w:rsidR="003D495F" w:rsidTr="00235CF1">
              <w:trPr>
                <w:trHeight w:val="612"/>
              </w:trPr>
              <w:tc>
                <w:tcPr>
                  <w:tcW w:w="490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3D495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Capital resource use does not exceed the amount specified in Directions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Statutory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Green</w:t>
                  </w:r>
                </w:p>
              </w:tc>
            </w:tr>
            <w:tr w:rsidR="003D495F" w:rsidTr="00235CF1">
              <w:trPr>
                <w:trHeight w:val="612"/>
              </w:trPr>
              <w:tc>
                <w:tcPr>
                  <w:tcW w:w="490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3D495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Manage cash within 2.5% of monthly drawdown (1.25% at Year End)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Operational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Green</w:t>
                  </w:r>
                </w:p>
              </w:tc>
            </w:tr>
            <w:tr w:rsidR="003D495F" w:rsidTr="00235CF1">
              <w:trPr>
                <w:trHeight w:val="612"/>
              </w:trPr>
              <w:tc>
                <w:tcPr>
                  <w:tcW w:w="490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C86C8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Adult Social Care (ASC) </w:t>
                  </w:r>
                  <w:r w:rsidR="003D495F"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Partnership agreement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Operational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Green</w:t>
                  </w:r>
                </w:p>
              </w:tc>
            </w:tr>
            <w:tr w:rsidR="003D495F" w:rsidTr="00235CF1">
              <w:trPr>
                <w:trHeight w:val="612"/>
              </w:trPr>
              <w:tc>
                <w:tcPr>
                  <w:tcW w:w="490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3D495F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BPPC – number/value paid within 30 days</w:t>
                  </w:r>
                </w:p>
              </w:tc>
              <w:tc>
                <w:tcPr>
                  <w:tcW w:w="1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Operational</w:t>
                  </w:r>
                </w:p>
              </w:tc>
              <w:tc>
                <w:tcPr>
                  <w:tcW w:w="7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Amber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D495F" w:rsidRPr="00E572A3" w:rsidRDefault="003D495F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Green</w:t>
                  </w:r>
                </w:p>
              </w:tc>
            </w:tr>
          </w:tbl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72A3" w:rsidRDefault="00E572A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572A3" w:rsidRDefault="00E572A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D70C4" w:rsidRDefault="00C86C85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 this early stage in the year the CCG is on track to achieve its planned surplus of £4.53m (Health £4.53m + ASC £</w:t>
            </w:r>
            <w:r w:rsidR="00E572A3">
              <w:rPr>
                <w:rFonts w:ascii="Arial" w:hAnsi="Arial" w:cs="Arial"/>
                <w:bCs/>
                <w:sz w:val="22"/>
                <w:szCs w:val="22"/>
              </w:rPr>
              <w:t>nil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(break-eve</w:t>
            </w:r>
            <w:r w:rsidR="00E572A3">
              <w:rPr>
                <w:rFonts w:ascii="Arial" w:hAnsi="Arial" w:cs="Arial"/>
                <w:bCs/>
                <w:sz w:val="22"/>
                <w:szCs w:val="22"/>
              </w:rPr>
              <w:t>n)), however a number of risks (summarised in the table below)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will need to be managed to achieve this. </w:t>
            </w: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1236"/>
              <w:gridCol w:w="1236"/>
              <w:gridCol w:w="1237"/>
            </w:tblGrid>
            <w:tr w:rsidR="000C4451" w:rsidTr="00E906BF">
              <w:tc>
                <w:tcPr>
                  <w:tcW w:w="6091" w:type="dxa"/>
                  <w:tcBorders>
                    <w:bottom w:val="single" w:sz="4" w:space="0" w:color="auto"/>
                  </w:tcBorders>
                </w:tcPr>
                <w:p w:rsidR="000C4451" w:rsidRPr="00E572A3" w:rsidRDefault="000C4451" w:rsidP="00585083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572A3" w:rsidRPr="00E572A3" w:rsidRDefault="00E572A3" w:rsidP="00585083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bottom w:val="single" w:sz="4" w:space="0" w:color="auto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C44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Best Case</w:t>
                  </w:r>
                </w:p>
                <w:p w:rsidR="002567CB" w:rsidRPr="000C4451" w:rsidRDefault="00C86C8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vari</w:t>
                  </w:r>
                  <w:r w:rsidR="002567C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</w:t>
                  </w:r>
                  <w:r w:rsidR="002567C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ce</w:t>
                  </w:r>
                </w:p>
              </w:tc>
              <w:tc>
                <w:tcPr>
                  <w:tcW w:w="1236" w:type="dxa"/>
                  <w:tcBorders>
                    <w:bottom w:val="single" w:sz="4" w:space="0" w:color="auto"/>
                  </w:tcBorders>
                </w:tcPr>
                <w:p w:rsidR="00C86C85" w:rsidRDefault="000C4451" w:rsidP="00C86C85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C44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Likely </w:t>
                  </w:r>
                  <w:r w:rsidR="00C86C8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Case</w:t>
                  </w:r>
                </w:p>
                <w:p w:rsidR="000C4451" w:rsidRPr="000C4451" w:rsidRDefault="00C86C85" w:rsidP="00E572A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Variance* </w:t>
                  </w:r>
                </w:p>
              </w:tc>
              <w:tc>
                <w:tcPr>
                  <w:tcW w:w="1237" w:type="dxa"/>
                  <w:tcBorders>
                    <w:bottom w:val="single" w:sz="4" w:space="0" w:color="auto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C44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Worst Case</w:t>
                  </w:r>
                </w:p>
                <w:p w:rsidR="00C86C85" w:rsidRPr="000C4451" w:rsidRDefault="00C86C8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variance</w:t>
                  </w:r>
                </w:p>
              </w:tc>
            </w:tr>
            <w:tr w:rsidR="000C4451" w:rsidTr="00E906BF">
              <w:tc>
                <w:tcPr>
                  <w:tcW w:w="6091" w:type="dxa"/>
                  <w:tcBorders>
                    <w:bottom w:val="nil"/>
                  </w:tcBorders>
                </w:tcPr>
                <w:p w:rsidR="000C4451" w:rsidRDefault="005D4EC5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E572A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Risks</w:t>
                  </w:r>
                </w:p>
              </w:tc>
              <w:tc>
                <w:tcPr>
                  <w:tcW w:w="1236" w:type="dxa"/>
                  <w:tcBorders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£’000</w:t>
                  </w:r>
                </w:p>
              </w:tc>
              <w:tc>
                <w:tcPr>
                  <w:tcW w:w="1236" w:type="dxa"/>
                  <w:tcBorders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£’000</w:t>
                  </w:r>
                </w:p>
              </w:tc>
              <w:tc>
                <w:tcPr>
                  <w:tcW w:w="1237" w:type="dxa"/>
                  <w:tcBorders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£’000</w:t>
                  </w:r>
                </w:p>
              </w:tc>
            </w:tr>
            <w:tr w:rsidR="000C4451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0C4451" w:rsidRPr="00E572A3" w:rsidRDefault="000C4451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u w:val="single"/>
                    </w:rPr>
                  </w:pPr>
                  <w:r w:rsidRPr="00E572A3">
                    <w:rPr>
                      <w:rFonts w:ascii="Arial" w:hAnsi="Arial" w:cs="Arial"/>
                      <w:bCs/>
                      <w:sz w:val="22"/>
                      <w:szCs w:val="22"/>
                      <w:u w:val="single"/>
                    </w:rPr>
                    <w:t>Health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C4451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0C4451" w:rsidRDefault="000C4451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Acute Activity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(1,000)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Default="00615FF8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2,021</w:t>
                  </w:r>
                </w:p>
              </w:tc>
            </w:tr>
            <w:tr w:rsidR="000C4451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0C4451" w:rsidRDefault="000C4451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Continuing Health Care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(500)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Default="00615FF8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</w:t>
                  </w:r>
                </w:p>
              </w:tc>
            </w:tr>
            <w:tr w:rsidR="000C4451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0C4451" w:rsidRDefault="000C4451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QIPP – non achievement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(250)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750</w:t>
                  </w:r>
                </w:p>
              </w:tc>
            </w:tr>
            <w:tr w:rsidR="000C4451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0C4451" w:rsidRDefault="000C4451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Prescribing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(250)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250</w:t>
                  </w:r>
                </w:p>
              </w:tc>
            </w:tr>
            <w:tr w:rsidR="000C4451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0C4451" w:rsidRDefault="000C4451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Running Costs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(25)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25</w:t>
                  </w:r>
                </w:p>
              </w:tc>
            </w:tr>
            <w:tr w:rsidR="000C4451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0C4451" w:rsidRDefault="000C4451" w:rsidP="00615FF8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B</w:t>
                  </w:r>
                  <w:r w:rsidR="00615F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etter Care Fund – non delivery o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f </w:t>
                  </w:r>
                  <w:r w:rsidR="00615FF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performance targets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140</w:t>
                  </w:r>
                </w:p>
              </w:tc>
            </w:tr>
            <w:tr w:rsidR="000C4451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0C4451" w:rsidRDefault="000C4451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Pr="000C4451" w:rsidRDefault="000C4451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(2,025)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0C4451" w:rsidRPr="000C4451" w:rsidRDefault="00615FF8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0C4451" w:rsidRPr="000C4451" w:rsidRDefault="000C4451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C44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3,686</w:t>
                  </w:r>
                </w:p>
              </w:tc>
            </w:tr>
            <w:tr w:rsidR="00E572A3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E572A3" w:rsidRPr="00E572A3" w:rsidRDefault="00E572A3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u w:val="single"/>
                    </w:rPr>
                  </w:pPr>
                  <w:r w:rsidRPr="00E572A3">
                    <w:rPr>
                      <w:rFonts w:ascii="Arial" w:hAnsi="Arial" w:cs="Arial"/>
                      <w:bCs/>
                      <w:sz w:val="22"/>
                      <w:szCs w:val="22"/>
                      <w:u w:val="single"/>
                    </w:rPr>
                    <w:t>Adult Social Care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E572A3" w:rsidRDefault="00E572A3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E572A3" w:rsidRDefault="00E572A3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E572A3" w:rsidRDefault="00E572A3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0C4451" w:rsidTr="00E906BF">
              <w:tc>
                <w:tcPr>
                  <w:tcW w:w="6091" w:type="dxa"/>
                  <w:tcBorders>
                    <w:top w:val="nil"/>
                    <w:bottom w:val="single" w:sz="4" w:space="0" w:color="auto"/>
                  </w:tcBorders>
                </w:tcPr>
                <w:p w:rsidR="000C4451" w:rsidRDefault="00E572A3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Activity / non achievement of QIPP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single" w:sz="4" w:space="0" w:color="auto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(250)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single" w:sz="4" w:space="0" w:color="auto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37" w:type="dxa"/>
                  <w:tcBorders>
                    <w:top w:val="nil"/>
                    <w:bottom w:val="single" w:sz="4" w:space="0" w:color="auto"/>
                  </w:tcBorders>
                </w:tcPr>
                <w:p w:rsidR="000C4451" w:rsidRDefault="000C4451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425</w:t>
                  </w:r>
                </w:p>
              </w:tc>
            </w:tr>
            <w:tr w:rsidR="000C4451" w:rsidTr="00E906BF">
              <w:tc>
                <w:tcPr>
                  <w:tcW w:w="60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4451" w:rsidRPr="000C4451" w:rsidRDefault="000C4451" w:rsidP="00585083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C44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Total </w:t>
                  </w:r>
                  <w:r w:rsidR="00E572A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CCG </w:t>
                  </w:r>
                  <w:r w:rsidRPr="000C44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Risk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4451" w:rsidRPr="000C4451" w:rsidRDefault="000C4451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(2,275)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4451" w:rsidRPr="000C4451" w:rsidRDefault="00615FF8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4451" w:rsidRPr="000C4451" w:rsidRDefault="000C4451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4,111</w:t>
                  </w:r>
                </w:p>
              </w:tc>
            </w:tr>
            <w:tr w:rsidR="005D4EC5" w:rsidTr="00E906BF">
              <w:tc>
                <w:tcPr>
                  <w:tcW w:w="6091" w:type="dxa"/>
                  <w:tcBorders>
                    <w:top w:val="single" w:sz="4" w:space="0" w:color="auto"/>
                    <w:bottom w:val="nil"/>
                  </w:tcBorders>
                </w:tcPr>
                <w:p w:rsidR="005D4EC5" w:rsidRPr="000C4451" w:rsidRDefault="005D4EC5" w:rsidP="00585083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Mitigations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D4EC5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5D4EC5" w:rsidRPr="005D4EC5" w:rsidRDefault="005D4EC5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u w:val="single"/>
                    </w:rPr>
                  </w:pPr>
                  <w:r w:rsidRPr="005D4EC5">
                    <w:rPr>
                      <w:rFonts w:ascii="Arial" w:hAnsi="Arial" w:cs="Arial"/>
                      <w:bCs/>
                      <w:sz w:val="22"/>
                      <w:szCs w:val="22"/>
                      <w:u w:val="single"/>
                    </w:rPr>
                    <w:t>Health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D4EC5" w:rsidRPr="005D4EC5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5D4EC5" w:rsidRPr="005D4EC5" w:rsidRDefault="005D4EC5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D4E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Contingency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5D4EC5" w:rsidRPr="005D4EC5" w:rsidRDefault="005D4EC5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5D4EC5" w:rsidRPr="005D4EC5" w:rsidRDefault="005D4EC5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5D4EC5" w:rsidRPr="005D4EC5" w:rsidRDefault="005D4EC5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1,130</w:t>
                  </w:r>
                </w:p>
              </w:tc>
            </w:tr>
            <w:tr w:rsidR="005D4EC5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5D4EC5" w:rsidRPr="005D4EC5" w:rsidRDefault="005D4EC5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D4E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Contract Reserves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5D4EC5" w:rsidRPr="005D4EC5" w:rsidRDefault="005D4EC5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D4E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2,411</w:t>
                  </w:r>
                </w:p>
              </w:tc>
            </w:tr>
            <w:tr w:rsidR="005D4EC5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5D4EC5" w:rsidRPr="005D4EC5" w:rsidRDefault="005D4EC5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D4E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Non Recurrent Measures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5D4EC5" w:rsidRPr="005D4EC5" w:rsidRDefault="005D4EC5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5D4EC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145</w:t>
                  </w:r>
                </w:p>
              </w:tc>
            </w:tr>
            <w:tr w:rsidR="005D4EC5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5D4EC5" w:rsidRPr="005D4EC5" w:rsidRDefault="005D4EC5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5D4EC5" w:rsidRP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D4E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3,686</w:t>
                  </w:r>
                </w:p>
              </w:tc>
            </w:tr>
            <w:tr w:rsidR="005D4EC5" w:rsidTr="00E906BF">
              <w:tc>
                <w:tcPr>
                  <w:tcW w:w="6091" w:type="dxa"/>
                  <w:tcBorders>
                    <w:top w:val="nil"/>
                    <w:bottom w:val="nil"/>
                  </w:tcBorders>
                </w:tcPr>
                <w:p w:rsidR="005D4EC5" w:rsidRPr="005D4EC5" w:rsidRDefault="005D4EC5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  <w:u w:val="single"/>
                    </w:rPr>
                  </w:pPr>
                  <w:r w:rsidRPr="005D4EC5">
                    <w:rPr>
                      <w:rFonts w:ascii="Arial" w:hAnsi="Arial" w:cs="Arial"/>
                      <w:bCs/>
                      <w:sz w:val="22"/>
                      <w:szCs w:val="22"/>
                      <w:u w:val="single"/>
                    </w:rPr>
                    <w:t>Adult Social Care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bottom w:val="nil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D4EC5" w:rsidTr="00E906BF">
              <w:tc>
                <w:tcPr>
                  <w:tcW w:w="6091" w:type="dxa"/>
                  <w:tcBorders>
                    <w:top w:val="nil"/>
                    <w:bottom w:val="single" w:sz="4" w:space="0" w:color="auto"/>
                  </w:tcBorders>
                </w:tcPr>
                <w:p w:rsidR="005D4EC5" w:rsidRPr="002668B8" w:rsidRDefault="002668B8" w:rsidP="00585083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Reserves</w:t>
                  </w:r>
                </w:p>
              </w:tc>
              <w:tc>
                <w:tcPr>
                  <w:tcW w:w="1236" w:type="dxa"/>
                  <w:tcBorders>
                    <w:top w:val="nil"/>
                    <w:bottom w:val="single" w:sz="4" w:space="0" w:color="auto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bottom w:val="single" w:sz="4" w:space="0" w:color="auto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bottom w:val="single" w:sz="4" w:space="0" w:color="auto"/>
                  </w:tcBorders>
                </w:tcPr>
                <w:p w:rsidR="005D4EC5" w:rsidRPr="002668B8" w:rsidRDefault="002668B8" w:rsidP="000C4451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668B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425</w:t>
                  </w:r>
                </w:p>
              </w:tc>
            </w:tr>
            <w:tr w:rsidR="005D4EC5" w:rsidTr="00E906BF">
              <w:tc>
                <w:tcPr>
                  <w:tcW w:w="60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4EC5" w:rsidRPr="002668B8" w:rsidRDefault="002668B8" w:rsidP="00585083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668B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Total Mitigation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4EC5" w:rsidRDefault="005D4EC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D4EC5" w:rsidRDefault="002668B8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4,111</w:t>
                  </w:r>
                </w:p>
              </w:tc>
            </w:tr>
            <w:tr w:rsidR="00C86C85" w:rsidTr="00E906BF">
              <w:tc>
                <w:tcPr>
                  <w:tcW w:w="60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C85" w:rsidRPr="000C4451" w:rsidRDefault="00C86C85" w:rsidP="00585083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C85" w:rsidRDefault="00C86C8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C85" w:rsidRDefault="00C86C8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86C85" w:rsidRDefault="00C86C8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86C85" w:rsidTr="00E906BF">
              <w:tc>
                <w:tcPr>
                  <w:tcW w:w="60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C85" w:rsidRPr="00C86C85" w:rsidRDefault="00C86C85" w:rsidP="00C86C85">
                  <w:pPr>
                    <w:jc w:val="both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 w:rsidRPr="00C86C85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*included in FOT as per table 1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C85" w:rsidRDefault="00C86C8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C85" w:rsidRDefault="00C86C8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6C85" w:rsidRDefault="00C86C85" w:rsidP="000C445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5D4EC5" w:rsidRDefault="005D4EC5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5377" w:rsidRDefault="00E572A3" w:rsidP="0058508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572A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Community Finance Position</w:t>
            </w:r>
          </w:p>
          <w:p w:rsidR="00460ABB" w:rsidRDefault="00460ABB" w:rsidP="0058508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tbl>
            <w:tblPr>
              <w:tblW w:w="9775" w:type="dxa"/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3398"/>
              <w:gridCol w:w="1229"/>
              <w:gridCol w:w="1230"/>
              <w:gridCol w:w="1230"/>
            </w:tblGrid>
            <w:tr w:rsidR="00460ABB" w:rsidTr="00460ABB">
              <w:trPr>
                <w:trHeight w:val="273"/>
              </w:trPr>
              <w:tc>
                <w:tcPr>
                  <w:tcW w:w="2688" w:type="dxa"/>
                  <w:tcBorders>
                    <w:top w:val="single" w:sz="8" w:space="0" w:color="auto"/>
                    <w:left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0ABB" w:rsidRDefault="00460ABB" w:rsidP="005E3F4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460AB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Community Total</w:t>
                  </w:r>
                </w:p>
              </w:tc>
              <w:tc>
                <w:tcPr>
                  <w:tcW w:w="3398" w:type="dxa"/>
                  <w:tcBorders>
                    <w:top w:val="single" w:sz="8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0ABB" w:rsidRDefault="00460ABB" w:rsidP="005E3F4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ABB" w:rsidRDefault="00460ABB" w:rsidP="005E3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1230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ABB" w:rsidRDefault="00460ABB" w:rsidP="005E3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May 2015 FOT</w:t>
                  </w:r>
                </w:p>
              </w:tc>
              <w:tc>
                <w:tcPr>
                  <w:tcW w:w="1230" w:type="dxa"/>
                  <w:tcBorders>
                    <w:top w:val="single" w:sz="8" w:space="0" w:color="auto"/>
                    <w:left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60ABB" w:rsidRDefault="00460ABB" w:rsidP="005E3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Variance </w:t>
                  </w:r>
                </w:p>
              </w:tc>
            </w:tr>
            <w:tr w:rsidR="00460ABB" w:rsidTr="005E3F42">
              <w:trPr>
                <w:trHeight w:val="273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ABB" w:rsidRDefault="00460ABB" w:rsidP="005E3F4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3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ABB" w:rsidRDefault="00460ABB" w:rsidP="005E3F4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ABB" w:rsidRDefault="00460ABB" w:rsidP="005E3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£m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ABB" w:rsidRDefault="00460ABB" w:rsidP="005E3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£m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ABB" w:rsidRDefault="00460ABB" w:rsidP="005E3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£m</w:t>
                  </w:r>
                </w:p>
              </w:tc>
            </w:tr>
            <w:tr w:rsidR="00460ABB" w:rsidTr="005E3F42">
              <w:trPr>
                <w:trHeight w:val="285"/>
              </w:trPr>
              <w:tc>
                <w:tcPr>
                  <w:tcW w:w="608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0ABB" w:rsidRPr="00460ABB" w:rsidRDefault="00460ABB" w:rsidP="00460ABB">
                  <w:pP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NEL CCG, NL CCG, NLAG,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Navigo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, Care Plus Group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0ABB" w:rsidRPr="00460ABB" w:rsidRDefault="00460ABB" w:rsidP="005E3F42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60ABB">
                    <w:rPr>
                      <w:rFonts w:ascii="Arial" w:hAnsi="Arial" w:cs="Arial"/>
                      <w:bCs/>
                      <w:color w:val="FF0000"/>
                      <w:sz w:val="22"/>
                      <w:szCs w:val="22"/>
                    </w:rPr>
                    <w:t>(22.5)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0ABB" w:rsidRPr="00460ABB" w:rsidRDefault="00460ABB" w:rsidP="005E3F42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60AB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(23.3)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460ABB" w:rsidRPr="00460ABB" w:rsidRDefault="00460ABB" w:rsidP="005E3F42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460AB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(0.7)</w:t>
                  </w:r>
                </w:p>
              </w:tc>
            </w:tr>
          </w:tbl>
          <w:p w:rsidR="00460ABB" w:rsidRDefault="00460ABB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0ABB" w:rsidRPr="00752FD6" w:rsidRDefault="00460ABB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50"/>
        <w:gridCol w:w="9781"/>
      </w:tblGrid>
      <w:tr w:rsidR="006A2E19" w:rsidRPr="00752FD6" w:rsidTr="00D25F0F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25F0F">
        <w:trPr>
          <w:trHeight w:val="370"/>
        </w:trPr>
        <w:tc>
          <w:tcPr>
            <w:tcW w:w="250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781" w:type="dxa"/>
            <w:shd w:val="clear" w:color="auto" w:fill="auto"/>
          </w:tcPr>
          <w:p w:rsidR="006A74AF" w:rsidRDefault="00D25F0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Partnership Board is asked to note :-</w:t>
            </w:r>
          </w:p>
          <w:p w:rsidR="00D25F0F" w:rsidRDefault="00D25F0F" w:rsidP="00460ABB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financial position of both the CCG and the Northern Lincolnshire Community as a May 15.</w:t>
            </w:r>
          </w:p>
          <w:p w:rsidR="00D25F0F" w:rsidRDefault="00D25F0F" w:rsidP="00460ABB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Risks that need to be managed in the remainder of the year</w:t>
            </w:r>
            <w:r w:rsidR="00460AB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60ABB" w:rsidRPr="00D25F0F" w:rsidRDefault="00460ABB" w:rsidP="00460ABB">
            <w:pPr>
              <w:pStyle w:val="ListParagraph"/>
              <w:ind w:left="317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p w:rsidR="004D5377" w:rsidRDefault="004D5377" w:rsidP="00D7033C">
      <w:pPr>
        <w:rPr>
          <w:rFonts w:ascii="Arial" w:hAnsi="Arial" w:cs="Arial"/>
          <w:b/>
          <w:bCs/>
          <w:sz w:val="22"/>
          <w:szCs w:val="22"/>
        </w:rPr>
      </w:pPr>
    </w:p>
    <w:p w:rsidR="004D5377" w:rsidRDefault="004D5377" w:rsidP="00D7033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-34" w:tblpY="-540"/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092"/>
      </w:tblGrid>
      <w:tr w:rsidR="004D5377" w:rsidRPr="00752FD6" w:rsidTr="00235CF1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4D5377" w:rsidRPr="00752FD6" w:rsidRDefault="004D5377" w:rsidP="004D5377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4D5377" w:rsidRPr="00752FD6" w:rsidRDefault="004D5377" w:rsidP="004D5377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D5377" w:rsidRDefault="004D5377" w:rsidP="004D5377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4D5377" w:rsidRPr="00752FD6" w:rsidRDefault="004D5377" w:rsidP="004D5377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092" w:type="dxa"/>
            <w:shd w:val="clear" w:color="auto" w:fill="C0C0C0"/>
            <w:vAlign w:val="center"/>
          </w:tcPr>
          <w:p w:rsidR="004D5377" w:rsidRPr="00752FD6" w:rsidRDefault="004D5377" w:rsidP="004D5377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4D5377" w:rsidRPr="00752FD6" w:rsidTr="00235CF1">
        <w:tc>
          <w:tcPr>
            <w:tcW w:w="568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377" w:rsidRPr="00752FD6" w:rsidTr="00235CF1">
        <w:tc>
          <w:tcPr>
            <w:tcW w:w="568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4D5377" w:rsidRPr="00752FD6" w:rsidRDefault="00235CF1" w:rsidP="004D53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377" w:rsidRPr="00752FD6" w:rsidTr="00235CF1">
        <w:tc>
          <w:tcPr>
            <w:tcW w:w="568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4D5377" w:rsidRPr="00752FD6" w:rsidRDefault="00235CF1" w:rsidP="004D53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377" w:rsidRPr="00752FD6" w:rsidTr="00235CF1">
        <w:tc>
          <w:tcPr>
            <w:tcW w:w="568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4D5377" w:rsidRPr="00752FD6" w:rsidRDefault="00235CF1" w:rsidP="004D53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377" w:rsidRPr="00752FD6" w:rsidTr="00235CF1">
        <w:tc>
          <w:tcPr>
            <w:tcW w:w="568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4D5377" w:rsidRPr="00752FD6" w:rsidRDefault="00235CF1" w:rsidP="004D53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377" w:rsidRPr="00752FD6" w:rsidTr="00235CF1">
        <w:tc>
          <w:tcPr>
            <w:tcW w:w="568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4D5377" w:rsidRPr="00752FD6" w:rsidRDefault="00235CF1" w:rsidP="004D53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377" w:rsidRPr="00752FD6" w:rsidTr="00235CF1">
        <w:tc>
          <w:tcPr>
            <w:tcW w:w="568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4D5377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4D5377" w:rsidRPr="00752FD6" w:rsidRDefault="002A4A94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4D5377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4D5377" w:rsidRPr="00752FD6" w:rsidRDefault="00235CF1" w:rsidP="004D5377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092" w:type="dxa"/>
            <w:shd w:val="clear" w:color="auto" w:fill="auto"/>
          </w:tcPr>
          <w:p w:rsidR="004D5377" w:rsidRPr="00752FD6" w:rsidRDefault="004D5377" w:rsidP="004D5377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5377" w:rsidRDefault="004D5377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4D5377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BF" w:rsidRDefault="00E906BF">
      <w:r>
        <w:separator/>
      </w:r>
    </w:p>
  </w:endnote>
  <w:endnote w:type="continuationSeparator" w:id="0">
    <w:p w:rsidR="00E906BF" w:rsidRDefault="00E9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BF" w:rsidRDefault="00E906BF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BF" w:rsidRDefault="00E906BF">
      <w:r>
        <w:separator/>
      </w:r>
    </w:p>
  </w:footnote>
  <w:footnote w:type="continuationSeparator" w:id="0">
    <w:p w:rsidR="00E906BF" w:rsidRDefault="00E90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123"/>
    <w:multiLevelType w:val="hybridMultilevel"/>
    <w:tmpl w:val="6CBA82D0"/>
    <w:lvl w:ilvl="0" w:tplc="B7A842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CD2C32"/>
    <w:multiLevelType w:val="hybridMultilevel"/>
    <w:tmpl w:val="572EF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7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20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24"/>
  </w:num>
  <w:num w:numId="5">
    <w:abstractNumId w:val="17"/>
  </w:num>
  <w:num w:numId="6">
    <w:abstractNumId w:val="22"/>
  </w:num>
  <w:num w:numId="7">
    <w:abstractNumId w:val="4"/>
  </w:num>
  <w:num w:numId="8">
    <w:abstractNumId w:val="16"/>
  </w:num>
  <w:num w:numId="9">
    <w:abstractNumId w:val="19"/>
  </w:num>
  <w:num w:numId="10">
    <w:abstractNumId w:val="6"/>
  </w:num>
  <w:num w:numId="11">
    <w:abstractNumId w:val="10"/>
  </w:num>
  <w:num w:numId="12">
    <w:abstractNumId w:val="21"/>
  </w:num>
  <w:num w:numId="13">
    <w:abstractNumId w:val="13"/>
  </w:num>
  <w:num w:numId="14">
    <w:abstractNumId w:val="2"/>
  </w:num>
  <w:num w:numId="15">
    <w:abstractNumId w:val="15"/>
  </w:num>
  <w:num w:numId="16">
    <w:abstractNumId w:val="11"/>
  </w:num>
  <w:num w:numId="17">
    <w:abstractNumId w:val="18"/>
  </w:num>
  <w:num w:numId="18">
    <w:abstractNumId w:val="14"/>
  </w:num>
  <w:num w:numId="19">
    <w:abstractNumId w:val="23"/>
  </w:num>
  <w:num w:numId="20">
    <w:abstractNumId w:val="9"/>
  </w:num>
  <w:num w:numId="21">
    <w:abstractNumId w:val="8"/>
  </w:num>
  <w:num w:numId="22">
    <w:abstractNumId w:val="12"/>
  </w:num>
  <w:num w:numId="23">
    <w:abstractNumId w:val="5"/>
  </w:num>
  <w:num w:numId="24">
    <w:abstractNumId w:val="1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1EA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C4451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35CF1"/>
    <w:rsid w:val="00246031"/>
    <w:rsid w:val="00246D3A"/>
    <w:rsid w:val="0025514C"/>
    <w:rsid w:val="00256406"/>
    <w:rsid w:val="002567CB"/>
    <w:rsid w:val="00261AB5"/>
    <w:rsid w:val="002626F4"/>
    <w:rsid w:val="0026660D"/>
    <w:rsid w:val="002668B8"/>
    <w:rsid w:val="00266FF1"/>
    <w:rsid w:val="002700D2"/>
    <w:rsid w:val="00285B93"/>
    <w:rsid w:val="00285C31"/>
    <w:rsid w:val="00286998"/>
    <w:rsid w:val="002A3C39"/>
    <w:rsid w:val="002A4A94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4D11"/>
    <w:rsid w:val="003B626C"/>
    <w:rsid w:val="003C6569"/>
    <w:rsid w:val="003D2887"/>
    <w:rsid w:val="003D3E08"/>
    <w:rsid w:val="003D489F"/>
    <w:rsid w:val="003D495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0ABB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5377"/>
    <w:rsid w:val="004D7118"/>
    <w:rsid w:val="004E7A80"/>
    <w:rsid w:val="004F2E71"/>
    <w:rsid w:val="004F3209"/>
    <w:rsid w:val="004F4DB7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D4EC5"/>
    <w:rsid w:val="005D70C4"/>
    <w:rsid w:val="005E01FA"/>
    <w:rsid w:val="005F0C84"/>
    <w:rsid w:val="005F11AA"/>
    <w:rsid w:val="005F195A"/>
    <w:rsid w:val="0060216B"/>
    <w:rsid w:val="00604967"/>
    <w:rsid w:val="00607C7F"/>
    <w:rsid w:val="00615FF8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85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5F0F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2F33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572A3"/>
    <w:rsid w:val="00E617F9"/>
    <w:rsid w:val="00E67668"/>
    <w:rsid w:val="00E7471C"/>
    <w:rsid w:val="00E75A46"/>
    <w:rsid w:val="00E857C3"/>
    <w:rsid w:val="00E906BF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3028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Helen Askham</cp:lastModifiedBy>
  <cp:revision>2</cp:revision>
  <cp:lastPrinted>2011-06-01T15:50:00Z</cp:lastPrinted>
  <dcterms:created xsi:type="dcterms:W3CDTF">2015-07-02T09:28:00Z</dcterms:created>
  <dcterms:modified xsi:type="dcterms:W3CDTF">2015-07-02T09:28:00Z</dcterms:modified>
</cp:coreProperties>
</file>