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bookmarkStart w:id="0" w:name="_GoBack"/>
      <w:bookmarkEnd w:id="0"/>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CF6" w:rsidRPr="00A31E5A" w:rsidRDefault="00637895" w:rsidP="00DD689C">
                            <w:pPr>
                              <w:rPr>
                                <w:rFonts w:asciiTheme="minorHAnsi" w:hAnsiTheme="minorHAnsi" w:cs="Arial"/>
                                <w:sz w:val="32"/>
                                <w:szCs w:val="32"/>
                              </w:rPr>
                            </w:pPr>
                            <w:r>
                              <w:rPr>
                                <w:rFonts w:asciiTheme="minorHAnsi" w:hAnsiTheme="minorHAnsi" w:cs="Arial"/>
                                <w:sz w:val="32"/>
                                <w:szCs w:val="32"/>
                              </w:rPr>
                              <w:t>Attachment 08</w:t>
                            </w:r>
                          </w:p>
                          <w:p w:rsidR="00551CF6" w:rsidRDefault="00551CF6"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51CF6" w:rsidRPr="00A31E5A" w:rsidRDefault="00637895" w:rsidP="00DD689C">
                      <w:pPr>
                        <w:rPr>
                          <w:rFonts w:asciiTheme="minorHAnsi" w:hAnsiTheme="minorHAnsi" w:cs="Arial"/>
                          <w:sz w:val="32"/>
                          <w:szCs w:val="32"/>
                        </w:rPr>
                      </w:pPr>
                      <w:r>
                        <w:rPr>
                          <w:rFonts w:asciiTheme="minorHAnsi" w:hAnsiTheme="minorHAnsi" w:cs="Arial"/>
                          <w:sz w:val="32"/>
                          <w:szCs w:val="32"/>
                        </w:rPr>
                        <w:t>Attachment 08</w:t>
                      </w:r>
                    </w:p>
                    <w:p w:rsidR="00551CF6" w:rsidRDefault="00551CF6"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A31E5A" w:rsidP="009306C6">
            <w:pPr>
              <w:rPr>
                <w:rFonts w:ascii="Arial" w:hAnsi="Arial" w:cs="Arial"/>
                <w:bCs/>
                <w:sz w:val="22"/>
                <w:szCs w:val="22"/>
              </w:rPr>
            </w:pPr>
            <w:r>
              <w:rPr>
                <w:rFonts w:ascii="Arial" w:hAnsi="Arial" w:cs="Arial"/>
                <w:bCs/>
                <w:sz w:val="22"/>
                <w:szCs w:val="22"/>
              </w:rPr>
              <w:t>Jan Haxby, Director of Quality &amp; Nursing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A31E5A" w:rsidP="00BC5CEC">
            <w:pPr>
              <w:rPr>
                <w:rFonts w:ascii="Arial" w:hAnsi="Arial" w:cs="Arial"/>
                <w:bCs/>
                <w:sz w:val="22"/>
                <w:szCs w:val="22"/>
              </w:rPr>
            </w:pPr>
            <w:r>
              <w:rPr>
                <w:rFonts w:ascii="Arial" w:hAnsi="Arial" w:cs="Arial"/>
                <w:bCs/>
                <w:sz w:val="22"/>
                <w:szCs w:val="22"/>
              </w:rPr>
              <w:t>1</w:t>
            </w:r>
            <w:r w:rsidR="00D96E55">
              <w:rPr>
                <w:rFonts w:ascii="Arial" w:hAnsi="Arial" w:cs="Arial"/>
                <w:bCs/>
                <w:sz w:val="22"/>
                <w:szCs w:val="22"/>
              </w:rPr>
              <w:t>2</w:t>
            </w:r>
            <w:r w:rsidRPr="00A31E5A">
              <w:rPr>
                <w:rFonts w:ascii="Arial" w:hAnsi="Arial" w:cs="Arial"/>
                <w:bCs/>
                <w:sz w:val="22"/>
                <w:szCs w:val="22"/>
                <w:vertAlign w:val="superscript"/>
              </w:rPr>
              <w:t>th</w:t>
            </w:r>
            <w:r w:rsidR="00D96E55">
              <w:rPr>
                <w:rFonts w:ascii="Arial" w:hAnsi="Arial" w:cs="Arial"/>
                <w:bCs/>
                <w:sz w:val="22"/>
                <w:szCs w:val="22"/>
              </w:rPr>
              <w:t xml:space="preserve"> May</w:t>
            </w:r>
            <w:r>
              <w:rPr>
                <w:rFonts w:ascii="Arial" w:hAnsi="Arial" w:cs="Arial"/>
                <w:bCs/>
                <w:sz w:val="22"/>
                <w:szCs w:val="22"/>
              </w:rPr>
              <w:t xml:space="preserve">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A31E5A" w:rsidP="009306C6">
            <w:pPr>
              <w:rPr>
                <w:rFonts w:ascii="Arial" w:hAnsi="Arial" w:cs="Arial"/>
                <w:bCs/>
                <w:sz w:val="22"/>
                <w:szCs w:val="22"/>
              </w:rPr>
            </w:pPr>
            <w:r>
              <w:rPr>
                <w:rFonts w:ascii="Arial" w:hAnsi="Arial" w:cs="Arial"/>
                <w:bCs/>
                <w:sz w:val="22"/>
                <w:szCs w:val="22"/>
              </w:rPr>
              <w:t>Quality Report from Clinical Quality Committee</w:t>
            </w:r>
          </w:p>
        </w:tc>
      </w:tr>
      <w:tr w:rsidR="00A31E5A" w:rsidRPr="00752FD6" w:rsidTr="00D7033C">
        <w:tc>
          <w:tcPr>
            <w:tcW w:w="2028" w:type="dxa"/>
            <w:shd w:val="clear" w:color="auto" w:fill="auto"/>
          </w:tcPr>
          <w:p w:rsidR="00A31E5A" w:rsidRPr="00830CC4" w:rsidRDefault="00A31E5A" w:rsidP="00332E64">
            <w:pPr>
              <w:spacing w:line="276" w:lineRule="auto"/>
              <w:jc w:val="both"/>
              <w:rPr>
                <w:rFonts w:ascii="Arial" w:hAnsi="Arial" w:cs="Arial"/>
                <w:b/>
                <w:bCs/>
                <w:sz w:val="22"/>
                <w:szCs w:val="22"/>
              </w:rPr>
            </w:pPr>
            <w:r w:rsidRPr="00830CC4">
              <w:rPr>
                <w:rFonts w:ascii="Arial" w:hAnsi="Arial" w:cs="Arial"/>
                <w:b/>
                <w:bCs/>
                <w:sz w:val="22"/>
                <w:szCs w:val="22"/>
              </w:rPr>
              <w:t>Status:</w:t>
            </w:r>
          </w:p>
          <w:p w:rsidR="00A31E5A" w:rsidRPr="00830CC4" w:rsidRDefault="00A31E5A" w:rsidP="00332E64">
            <w:pPr>
              <w:spacing w:line="276" w:lineRule="auto"/>
              <w:jc w:val="both"/>
              <w:rPr>
                <w:rFonts w:ascii="Arial" w:hAnsi="Arial" w:cs="Arial"/>
                <w:b/>
                <w:bCs/>
                <w:sz w:val="22"/>
                <w:szCs w:val="22"/>
              </w:rPr>
            </w:pPr>
          </w:p>
        </w:tc>
        <w:tc>
          <w:tcPr>
            <w:tcW w:w="8003" w:type="dxa"/>
            <w:shd w:val="clear" w:color="auto" w:fill="auto"/>
          </w:tcPr>
          <w:p w:rsidR="00A31E5A" w:rsidRPr="00830CC4" w:rsidRDefault="00A31E5A" w:rsidP="00332E64">
            <w:pPr>
              <w:spacing w:before="60" w:line="276" w:lineRule="auto"/>
              <w:jc w:val="both"/>
              <w:rPr>
                <w:rFonts w:ascii="Arial" w:hAnsi="Arial" w:cs="Arial"/>
                <w:sz w:val="22"/>
                <w:szCs w:val="22"/>
              </w:rPr>
            </w:pP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Pr="00830CC4">
              <w:rPr>
                <w:rFonts w:ascii="Arial" w:hAnsi="Arial" w:cs="Arial"/>
                <w:sz w:val="22"/>
                <w:szCs w:val="22"/>
              </w:rPr>
              <w:t xml:space="preserve"> OPEN</w:t>
            </w:r>
            <w:r w:rsidRPr="00830CC4">
              <w:rPr>
                <w:rFonts w:ascii="Arial" w:hAnsi="Arial" w:cs="Arial"/>
                <w:sz w:val="22"/>
                <w:szCs w:val="22"/>
              </w:rPr>
              <w:tab/>
              <w:t xml:space="preserve">           </w:t>
            </w:r>
            <w:r w:rsidRPr="00830CC4">
              <w:rPr>
                <w:rFonts w:ascii="Arial" w:hAnsi="Arial" w:cs="Arial"/>
                <w:sz w:val="22"/>
                <w:szCs w:val="22"/>
              </w:rPr>
              <w:fldChar w:fldCharType="begin">
                <w:ffData>
                  <w:name w:val="Check8"/>
                  <w:enabled/>
                  <w:calcOnExit w:val="0"/>
                  <w:checkBox>
                    <w:sizeAuto/>
                    <w:default w:val="0"/>
                  </w:checkBox>
                </w:ffData>
              </w:fldChar>
            </w:r>
            <w:bookmarkStart w:id="1" w:name="Check8"/>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bookmarkEnd w:id="1"/>
            <w:r w:rsidRPr="00830CC4">
              <w:rPr>
                <w:rFonts w:ascii="Arial" w:hAnsi="Arial" w:cs="Arial"/>
                <w:sz w:val="22"/>
                <w:szCs w:val="22"/>
              </w:rPr>
              <w:t xml:space="preserve"> CLOSED</w:t>
            </w:r>
          </w:p>
        </w:tc>
      </w:tr>
      <w:tr w:rsidR="00A31E5A" w:rsidRPr="00752FD6" w:rsidTr="00D7033C">
        <w:tc>
          <w:tcPr>
            <w:tcW w:w="2028" w:type="dxa"/>
            <w:shd w:val="clear" w:color="auto" w:fill="auto"/>
          </w:tcPr>
          <w:p w:rsidR="00A31E5A" w:rsidRPr="00830CC4" w:rsidRDefault="00A31E5A" w:rsidP="00332E64">
            <w:pPr>
              <w:spacing w:line="276" w:lineRule="auto"/>
              <w:jc w:val="both"/>
              <w:rPr>
                <w:rFonts w:ascii="Arial" w:hAnsi="Arial" w:cs="Arial"/>
                <w:b/>
                <w:bCs/>
                <w:sz w:val="22"/>
                <w:szCs w:val="22"/>
              </w:rPr>
            </w:pPr>
            <w:r w:rsidRPr="00830CC4">
              <w:rPr>
                <w:rFonts w:ascii="Arial" w:hAnsi="Arial" w:cs="Arial"/>
                <w:b/>
                <w:bCs/>
                <w:sz w:val="22"/>
                <w:szCs w:val="22"/>
              </w:rPr>
              <w:t>Agenda Section:</w:t>
            </w:r>
          </w:p>
        </w:tc>
        <w:bookmarkStart w:id="2" w:name="Check4"/>
        <w:tc>
          <w:tcPr>
            <w:tcW w:w="8003" w:type="dxa"/>
            <w:shd w:val="clear" w:color="auto" w:fill="auto"/>
          </w:tcPr>
          <w:p w:rsidR="00A31E5A" w:rsidRPr="00830CC4" w:rsidRDefault="00A31E5A" w:rsidP="00332E64">
            <w:pPr>
              <w:spacing w:before="60" w:line="276" w:lineRule="auto"/>
              <w:jc w:val="both"/>
              <w:rPr>
                <w:rFonts w:ascii="Arial" w:hAnsi="Arial" w:cs="Arial"/>
                <w:sz w:val="22"/>
                <w:szCs w:val="22"/>
              </w:rPr>
            </w:pPr>
            <w:r w:rsidRPr="00830CC4">
              <w:rPr>
                <w:rFonts w:ascii="Arial" w:hAnsi="Arial" w:cs="Arial"/>
                <w:sz w:val="22"/>
                <w:szCs w:val="22"/>
              </w:rPr>
              <w:fldChar w:fldCharType="begin">
                <w:ffData>
                  <w:name w:val="Check4"/>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bookmarkEnd w:id="2"/>
            <w:r w:rsidRPr="00830CC4">
              <w:rPr>
                <w:rFonts w:ascii="Arial" w:hAnsi="Arial" w:cs="Arial"/>
                <w:sz w:val="22"/>
                <w:szCs w:val="22"/>
              </w:rPr>
              <w:t xml:space="preserve"> STRATEGY</w:t>
            </w:r>
            <w:r w:rsidRPr="00830CC4">
              <w:rPr>
                <w:rFonts w:ascii="Arial" w:hAnsi="Arial" w:cs="Arial"/>
                <w:sz w:val="22"/>
                <w:szCs w:val="22"/>
              </w:rPr>
              <w:tab/>
            </w: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Pr="00830CC4">
              <w:rPr>
                <w:rFonts w:ascii="Arial" w:hAnsi="Arial" w:cs="Arial"/>
                <w:sz w:val="22"/>
                <w:szCs w:val="22"/>
              </w:rPr>
              <w:t xml:space="preserve"> COMMISSIONING    </w:t>
            </w: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Pr="00830CC4">
              <w:rPr>
                <w:rFonts w:ascii="Arial" w:hAnsi="Arial" w:cs="Arial"/>
                <w:sz w:val="22"/>
                <w:szCs w:val="22"/>
              </w:rPr>
              <w:t xml:space="preserve"> OPERATIONAL ISSUES</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A52AAC" w:rsidRDefault="006A74AF" w:rsidP="009306C6">
            <w:pPr>
              <w:rPr>
                <w:rFonts w:asciiTheme="minorHAnsi" w:hAnsiTheme="minorHAnsi" w:cs="Arial"/>
                <w:b/>
                <w:bCs/>
                <w:sz w:val="22"/>
                <w:szCs w:val="22"/>
              </w:rPr>
            </w:pPr>
            <w:r w:rsidRPr="00A52AAC">
              <w:rPr>
                <w:rFonts w:asciiTheme="minorHAnsi" w:hAnsiTheme="minorHAnsi" w:cs="Arial"/>
                <w:b/>
                <w:bCs/>
                <w:sz w:val="22"/>
                <w:szCs w:val="22"/>
              </w:rPr>
              <w:t>OBJECT OF REPORT:</w:t>
            </w:r>
          </w:p>
          <w:p w:rsidR="00A31E5A" w:rsidRPr="00A52AAC" w:rsidRDefault="00A31E5A" w:rsidP="009306C6">
            <w:pPr>
              <w:rPr>
                <w:rFonts w:asciiTheme="minorHAnsi" w:hAnsiTheme="minorHAnsi" w:cs="Arial"/>
                <w:b/>
                <w:bCs/>
                <w:sz w:val="22"/>
                <w:szCs w:val="22"/>
              </w:rPr>
            </w:pPr>
          </w:p>
        </w:tc>
      </w:tr>
      <w:tr w:rsidR="00DD689C" w:rsidRPr="00752FD6" w:rsidTr="00D7033C">
        <w:trPr>
          <w:trHeight w:val="856"/>
        </w:trPr>
        <w:tc>
          <w:tcPr>
            <w:tcW w:w="10031" w:type="dxa"/>
            <w:shd w:val="clear" w:color="auto" w:fill="auto"/>
          </w:tcPr>
          <w:p w:rsidR="00A31E5A" w:rsidRPr="00A52AAC" w:rsidRDefault="00A31E5A" w:rsidP="00A31E5A">
            <w:pPr>
              <w:autoSpaceDE w:val="0"/>
              <w:autoSpaceDN w:val="0"/>
              <w:adjustRightInd w:val="0"/>
              <w:jc w:val="both"/>
              <w:rPr>
                <w:rFonts w:asciiTheme="minorHAnsi" w:eastAsiaTheme="minorHAnsi" w:hAnsiTheme="minorHAnsi" w:cs="Arial"/>
                <w:color w:val="000000"/>
                <w:sz w:val="22"/>
                <w:szCs w:val="22"/>
                <w:lang w:eastAsia="en-US"/>
              </w:rPr>
            </w:pPr>
            <w:r w:rsidRPr="00A52AAC">
              <w:rPr>
                <w:rFonts w:asciiTheme="minorHAnsi" w:eastAsiaTheme="minorHAnsi" w:hAnsiTheme="minorHAnsi" w:cs="Arial"/>
                <w:color w:val="000000"/>
                <w:sz w:val="22"/>
                <w:szCs w:val="22"/>
                <w:lang w:eastAsia="en-US"/>
              </w:rPr>
              <w:t>The report informs the Partnership Board of key metrics for quality and safety of the services it commissions and in doing so provides assurance that North East Lincolnshire CCG is fulfilling its responsibility and commitment to commission safe and effective services that meet the needs of the population of North East Lincolnshire.</w:t>
            </w:r>
          </w:p>
          <w:p w:rsidR="00A31E5A" w:rsidRPr="00A52AAC" w:rsidRDefault="00A31E5A" w:rsidP="00A31E5A">
            <w:pPr>
              <w:autoSpaceDE w:val="0"/>
              <w:autoSpaceDN w:val="0"/>
              <w:adjustRightInd w:val="0"/>
              <w:jc w:val="both"/>
              <w:rPr>
                <w:rFonts w:asciiTheme="minorHAnsi" w:eastAsiaTheme="minorHAnsi" w:hAnsiTheme="minorHAnsi" w:cs="Arial"/>
                <w:color w:val="000000"/>
                <w:sz w:val="22"/>
                <w:szCs w:val="22"/>
                <w:lang w:eastAsia="en-US"/>
              </w:rPr>
            </w:pPr>
          </w:p>
          <w:p w:rsidR="00A31E5A" w:rsidRPr="00A52AAC" w:rsidRDefault="00A31E5A" w:rsidP="00A31E5A">
            <w:pPr>
              <w:autoSpaceDE w:val="0"/>
              <w:autoSpaceDN w:val="0"/>
              <w:adjustRightInd w:val="0"/>
              <w:jc w:val="both"/>
              <w:rPr>
                <w:rFonts w:asciiTheme="minorHAnsi" w:eastAsiaTheme="minorHAnsi" w:hAnsiTheme="minorHAnsi" w:cs="Arial"/>
                <w:color w:val="000000"/>
                <w:sz w:val="22"/>
                <w:szCs w:val="22"/>
                <w:lang w:eastAsia="en-US"/>
              </w:rPr>
            </w:pPr>
            <w:r w:rsidRPr="00A52AAC">
              <w:rPr>
                <w:rFonts w:asciiTheme="minorHAnsi" w:eastAsiaTheme="minorHAnsi" w:hAnsiTheme="minorHAnsi" w:cs="Arial"/>
                <w:color w:val="000000"/>
                <w:sz w:val="22"/>
                <w:szCs w:val="22"/>
                <w:lang w:eastAsia="en-US"/>
              </w:rPr>
              <w:t>The report is delivered in 3 sections:</w:t>
            </w:r>
          </w:p>
          <w:p w:rsidR="00A31E5A" w:rsidRPr="00A52AAC" w:rsidRDefault="00A31E5A" w:rsidP="00C31229">
            <w:pPr>
              <w:pStyle w:val="ListParagraph"/>
              <w:numPr>
                <w:ilvl w:val="0"/>
                <w:numId w:val="3"/>
              </w:numPr>
              <w:autoSpaceDE w:val="0"/>
              <w:autoSpaceDN w:val="0"/>
              <w:adjustRightInd w:val="0"/>
              <w:jc w:val="both"/>
              <w:rPr>
                <w:rFonts w:asciiTheme="minorHAnsi" w:eastAsiaTheme="minorHAnsi" w:hAnsiTheme="minorHAnsi" w:cs="Arial"/>
                <w:color w:val="000000"/>
                <w:sz w:val="22"/>
                <w:szCs w:val="22"/>
                <w:lang w:eastAsia="en-US"/>
              </w:rPr>
            </w:pPr>
            <w:r w:rsidRPr="00A52AAC">
              <w:rPr>
                <w:rFonts w:asciiTheme="minorHAnsi" w:eastAsiaTheme="minorHAnsi" w:hAnsiTheme="minorHAnsi" w:cs="Arial"/>
                <w:color w:val="000000"/>
                <w:sz w:val="22"/>
                <w:szCs w:val="22"/>
                <w:lang w:eastAsia="en-US"/>
              </w:rPr>
              <w:t>Effective Care</w:t>
            </w:r>
          </w:p>
          <w:p w:rsidR="00CF2F06" w:rsidRPr="00A52AAC" w:rsidRDefault="00A31E5A" w:rsidP="00CF2F06">
            <w:pPr>
              <w:pStyle w:val="ListParagraph"/>
              <w:numPr>
                <w:ilvl w:val="0"/>
                <w:numId w:val="3"/>
              </w:numPr>
              <w:autoSpaceDE w:val="0"/>
              <w:autoSpaceDN w:val="0"/>
              <w:adjustRightInd w:val="0"/>
              <w:jc w:val="both"/>
              <w:rPr>
                <w:rFonts w:asciiTheme="minorHAnsi" w:eastAsiaTheme="minorHAnsi" w:hAnsiTheme="minorHAnsi" w:cs="Arial"/>
                <w:color w:val="000000"/>
                <w:sz w:val="22"/>
                <w:szCs w:val="22"/>
                <w:lang w:eastAsia="en-US"/>
              </w:rPr>
            </w:pPr>
            <w:r w:rsidRPr="00A52AAC">
              <w:rPr>
                <w:rFonts w:asciiTheme="minorHAnsi" w:eastAsiaTheme="minorHAnsi" w:hAnsiTheme="minorHAnsi" w:cs="Arial"/>
                <w:color w:val="000000"/>
                <w:sz w:val="22"/>
                <w:szCs w:val="22"/>
                <w:lang w:eastAsia="en-US"/>
              </w:rPr>
              <w:t>Patient Safety</w:t>
            </w:r>
            <w:r w:rsidR="00CF2F06">
              <w:rPr>
                <w:rFonts w:asciiTheme="minorHAnsi" w:eastAsiaTheme="minorHAnsi" w:hAnsiTheme="minorHAnsi" w:cs="Arial"/>
                <w:color w:val="000000"/>
                <w:sz w:val="22"/>
                <w:szCs w:val="22"/>
                <w:lang w:eastAsia="en-US"/>
              </w:rPr>
              <w:t>, including a summary of provider risks</w:t>
            </w:r>
          </w:p>
          <w:p w:rsidR="00A31E5A" w:rsidRPr="00CF2F06" w:rsidRDefault="00A31E5A" w:rsidP="00CF2F06">
            <w:pPr>
              <w:pStyle w:val="ListParagraph"/>
              <w:numPr>
                <w:ilvl w:val="0"/>
                <w:numId w:val="3"/>
              </w:numPr>
              <w:autoSpaceDE w:val="0"/>
              <w:autoSpaceDN w:val="0"/>
              <w:adjustRightInd w:val="0"/>
              <w:jc w:val="both"/>
              <w:rPr>
                <w:rFonts w:asciiTheme="minorHAnsi" w:eastAsiaTheme="minorHAnsi" w:hAnsiTheme="minorHAnsi" w:cs="Arial"/>
                <w:color w:val="000000"/>
                <w:sz w:val="22"/>
                <w:szCs w:val="22"/>
                <w:lang w:eastAsia="en-US"/>
              </w:rPr>
            </w:pPr>
            <w:r w:rsidRPr="00CF2F06">
              <w:rPr>
                <w:rFonts w:asciiTheme="minorHAnsi" w:eastAsiaTheme="minorHAnsi" w:hAnsiTheme="minorHAnsi" w:cs="Arial"/>
                <w:color w:val="000000"/>
                <w:sz w:val="22"/>
                <w:szCs w:val="22"/>
                <w:lang w:eastAsia="en-US"/>
              </w:rPr>
              <w:t>Patient Experience</w:t>
            </w:r>
          </w:p>
          <w:p w:rsidR="006A74AF" w:rsidRPr="00CF2F06" w:rsidRDefault="006A74AF" w:rsidP="00CF2F06">
            <w:pPr>
              <w:autoSpaceDE w:val="0"/>
              <w:autoSpaceDN w:val="0"/>
              <w:adjustRightInd w:val="0"/>
              <w:ind w:left="360"/>
              <w:jc w:val="both"/>
              <w:rPr>
                <w:rFonts w:asciiTheme="minorHAnsi" w:hAnsiTheme="minorHAnsi"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A52AAC" w:rsidRDefault="00A52AAC" w:rsidP="00A8144A">
            <w:pPr>
              <w:rPr>
                <w:rFonts w:asciiTheme="minorHAnsi" w:hAnsiTheme="minorHAnsi" w:cs="Arial"/>
                <w:b/>
                <w:bCs/>
                <w:sz w:val="22"/>
                <w:szCs w:val="22"/>
              </w:rPr>
            </w:pPr>
            <w:r w:rsidRPr="00A52AAC">
              <w:rPr>
                <w:rFonts w:asciiTheme="minorHAnsi" w:hAnsiTheme="minorHAnsi" w:cs="Arial"/>
                <w:b/>
                <w:bCs/>
                <w:sz w:val="22"/>
                <w:szCs w:val="22"/>
              </w:rPr>
              <w:t>SECTION 1. EFFECTIVE CARE</w:t>
            </w:r>
            <w:r w:rsidR="00DC52DA">
              <w:rPr>
                <w:rFonts w:asciiTheme="minorHAnsi" w:hAnsiTheme="minorHAnsi" w:cs="Arial"/>
                <w:b/>
                <w:bCs/>
                <w:sz w:val="22"/>
                <w:szCs w:val="22"/>
              </w:rPr>
              <w:t xml:space="preserve">.  </w:t>
            </w:r>
          </w:p>
        </w:tc>
      </w:tr>
      <w:tr w:rsidR="00DD689C" w:rsidRPr="00752FD6" w:rsidTr="00D7033C">
        <w:trPr>
          <w:trHeight w:val="174"/>
        </w:trPr>
        <w:tc>
          <w:tcPr>
            <w:tcW w:w="10031" w:type="dxa"/>
            <w:shd w:val="clear" w:color="auto" w:fill="auto"/>
          </w:tcPr>
          <w:p w:rsidR="00A52AAC" w:rsidRPr="00F72F91" w:rsidRDefault="00A52AAC" w:rsidP="00C31229">
            <w:pPr>
              <w:pStyle w:val="ListParagraph"/>
              <w:numPr>
                <w:ilvl w:val="0"/>
                <w:numId w:val="4"/>
              </w:numPr>
              <w:spacing w:before="240" w:line="276" w:lineRule="auto"/>
              <w:jc w:val="both"/>
              <w:rPr>
                <w:rFonts w:asciiTheme="minorHAnsi" w:hAnsiTheme="minorHAnsi" w:cs="Arial"/>
                <w:b/>
                <w:bCs/>
                <w:sz w:val="22"/>
                <w:szCs w:val="22"/>
              </w:rPr>
            </w:pPr>
            <w:r w:rsidRPr="00F72F91">
              <w:rPr>
                <w:rFonts w:asciiTheme="minorHAnsi" w:hAnsiTheme="minorHAnsi" w:cs="Arial"/>
                <w:b/>
                <w:bCs/>
                <w:sz w:val="22"/>
                <w:szCs w:val="22"/>
              </w:rPr>
              <w:t>External Reviews</w:t>
            </w:r>
          </w:p>
          <w:p w:rsidR="00A52AAC" w:rsidRPr="0091643D" w:rsidRDefault="00D45ADB" w:rsidP="00F72F91">
            <w:pPr>
              <w:pStyle w:val="ListParagraph"/>
              <w:numPr>
                <w:ilvl w:val="0"/>
                <w:numId w:val="5"/>
              </w:numPr>
              <w:spacing w:line="276" w:lineRule="auto"/>
              <w:jc w:val="both"/>
              <w:rPr>
                <w:rFonts w:asciiTheme="minorHAnsi" w:hAnsiTheme="minorHAnsi" w:cs="Arial"/>
                <w:bCs/>
                <w:sz w:val="22"/>
                <w:szCs w:val="22"/>
              </w:rPr>
            </w:pPr>
            <w:r>
              <w:rPr>
                <w:rFonts w:asciiTheme="minorHAnsi" w:hAnsiTheme="minorHAnsi" w:cs="Arial"/>
                <w:bCs/>
                <w:sz w:val="22"/>
                <w:szCs w:val="22"/>
              </w:rPr>
              <w:t xml:space="preserve">A </w:t>
            </w:r>
            <w:r w:rsidR="00A52AAC" w:rsidRPr="0091643D">
              <w:rPr>
                <w:rFonts w:asciiTheme="minorHAnsi" w:hAnsiTheme="minorHAnsi" w:cs="Arial"/>
                <w:bCs/>
                <w:sz w:val="22"/>
                <w:szCs w:val="22"/>
              </w:rPr>
              <w:t xml:space="preserve">CQC </w:t>
            </w:r>
            <w:r>
              <w:rPr>
                <w:rFonts w:asciiTheme="minorHAnsi" w:hAnsiTheme="minorHAnsi" w:cs="Arial"/>
                <w:bCs/>
                <w:sz w:val="22"/>
                <w:szCs w:val="22"/>
              </w:rPr>
              <w:t xml:space="preserve">inspection of </w:t>
            </w:r>
            <w:r w:rsidR="00A52AAC" w:rsidRPr="0091643D">
              <w:rPr>
                <w:rFonts w:asciiTheme="minorHAnsi" w:hAnsiTheme="minorHAnsi" w:cs="Arial"/>
                <w:bCs/>
                <w:sz w:val="22"/>
                <w:szCs w:val="22"/>
              </w:rPr>
              <w:t>St Hu</w:t>
            </w:r>
            <w:r w:rsidR="006F6120" w:rsidRPr="0091643D">
              <w:rPr>
                <w:rFonts w:asciiTheme="minorHAnsi" w:hAnsiTheme="minorHAnsi" w:cs="Arial"/>
                <w:bCs/>
                <w:sz w:val="22"/>
                <w:szCs w:val="22"/>
              </w:rPr>
              <w:t>ghes Hospital was undertaken in</w:t>
            </w:r>
            <w:r w:rsidR="00054514" w:rsidRPr="0091643D">
              <w:rPr>
                <w:rFonts w:asciiTheme="minorHAnsi" w:hAnsiTheme="minorHAnsi" w:cs="Arial"/>
                <w:bCs/>
                <w:sz w:val="22"/>
                <w:szCs w:val="22"/>
              </w:rPr>
              <w:t xml:space="preserve"> </w:t>
            </w:r>
            <w:r w:rsidR="00F72F91" w:rsidRPr="0091643D">
              <w:rPr>
                <w:rFonts w:asciiTheme="minorHAnsi" w:hAnsiTheme="minorHAnsi" w:cs="Arial"/>
                <w:bCs/>
                <w:sz w:val="22"/>
                <w:szCs w:val="22"/>
              </w:rPr>
              <w:t xml:space="preserve">August </w:t>
            </w:r>
            <w:r w:rsidR="00054514" w:rsidRPr="0091643D">
              <w:rPr>
                <w:rFonts w:asciiTheme="minorHAnsi" w:hAnsiTheme="minorHAnsi" w:cs="Arial"/>
                <w:bCs/>
                <w:sz w:val="22"/>
                <w:szCs w:val="22"/>
              </w:rPr>
              <w:t>2015</w:t>
            </w:r>
            <w:r w:rsidR="006F6120" w:rsidRPr="0091643D">
              <w:rPr>
                <w:rFonts w:asciiTheme="minorHAnsi" w:hAnsiTheme="minorHAnsi" w:cs="Arial"/>
                <w:bCs/>
                <w:sz w:val="22"/>
                <w:szCs w:val="22"/>
              </w:rPr>
              <w:t>.</w:t>
            </w:r>
            <w:r w:rsidR="00054514" w:rsidRPr="0091643D">
              <w:rPr>
                <w:rFonts w:asciiTheme="minorHAnsi" w:hAnsiTheme="minorHAnsi"/>
                <w:sz w:val="22"/>
                <w:szCs w:val="22"/>
              </w:rPr>
              <w:t xml:space="preserve"> </w:t>
            </w:r>
            <w:r w:rsidR="0091643D" w:rsidRPr="0091643D">
              <w:rPr>
                <w:rFonts w:asciiTheme="minorHAnsi" w:hAnsiTheme="minorHAnsi"/>
                <w:sz w:val="22"/>
                <w:szCs w:val="22"/>
              </w:rPr>
              <w:t xml:space="preserve">The final </w:t>
            </w:r>
            <w:r w:rsidR="0091643D">
              <w:rPr>
                <w:rFonts w:asciiTheme="minorHAnsi" w:hAnsiTheme="minorHAnsi"/>
                <w:sz w:val="22"/>
                <w:szCs w:val="22"/>
              </w:rPr>
              <w:t xml:space="preserve">CQC </w:t>
            </w:r>
            <w:r w:rsidR="0091643D" w:rsidRPr="0091643D">
              <w:rPr>
                <w:rFonts w:asciiTheme="minorHAnsi" w:hAnsiTheme="minorHAnsi"/>
                <w:sz w:val="22"/>
                <w:szCs w:val="22"/>
              </w:rPr>
              <w:t xml:space="preserve">report </w:t>
            </w:r>
            <w:r w:rsidR="0091643D">
              <w:rPr>
                <w:rFonts w:asciiTheme="minorHAnsi" w:hAnsiTheme="minorHAnsi"/>
                <w:sz w:val="22"/>
                <w:szCs w:val="22"/>
              </w:rPr>
              <w:t xml:space="preserve">has </w:t>
            </w:r>
            <w:r>
              <w:rPr>
                <w:rFonts w:asciiTheme="minorHAnsi" w:hAnsiTheme="minorHAnsi"/>
                <w:sz w:val="22"/>
                <w:szCs w:val="22"/>
              </w:rPr>
              <w:t>rated S</w:t>
            </w:r>
            <w:r>
              <w:rPr>
                <w:rFonts w:asciiTheme="minorHAnsi" w:hAnsiTheme="minorHAnsi" w:cs="Arial"/>
                <w:bCs/>
                <w:sz w:val="22"/>
                <w:szCs w:val="22"/>
              </w:rPr>
              <w:t xml:space="preserve">t </w:t>
            </w:r>
            <w:proofErr w:type="spellStart"/>
            <w:r>
              <w:rPr>
                <w:rFonts w:asciiTheme="minorHAnsi" w:hAnsiTheme="minorHAnsi" w:cs="Arial"/>
                <w:bCs/>
                <w:sz w:val="22"/>
                <w:szCs w:val="22"/>
              </w:rPr>
              <w:t>Hugh</w:t>
            </w:r>
            <w:r w:rsidR="00054514" w:rsidRPr="0091643D">
              <w:rPr>
                <w:rFonts w:asciiTheme="minorHAnsi" w:hAnsiTheme="minorHAnsi" w:cs="Arial"/>
                <w:bCs/>
                <w:sz w:val="22"/>
                <w:szCs w:val="22"/>
              </w:rPr>
              <w:t>s</w:t>
            </w:r>
            <w:proofErr w:type="spellEnd"/>
            <w:r w:rsidR="00054514" w:rsidRPr="0091643D">
              <w:rPr>
                <w:rFonts w:asciiTheme="minorHAnsi" w:hAnsiTheme="minorHAnsi" w:cs="Arial"/>
                <w:bCs/>
                <w:sz w:val="22"/>
                <w:szCs w:val="22"/>
              </w:rPr>
              <w:t xml:space="preserve"> a</w:t>
            </w:r>
            <w:r>
              <w:rPr>
                <w:rFonts w:asciiTheme="minorHAnsi" w:hAnsiTheme="minorHAnsi" w:cs="Arial"/>
                <w:bCs/>
                <w:sz w:val="22"/>
                <w:szCs w:val="22"/>
              </w:rPr>
              <w:t>s</w:t>
            </w:r>
            <w:r w:rsidR="00054514" w:rsidRPr="0091643D">
              <w:rPr>
                <w:rFonts w:asciiTheme="minorHAnsi" w:hAnsiTheme="minorHAnsi" w:cs="Arial"/>
                <w:bCs/>
                <w:sz w:val="22"/>
                <w:szCs w:val="22"/>
              </w:rPr>
              <w:t xml:space="preserve"> </w:t>
            </w:r>
            <w:r w:rsidR="00F72F91" w:rsidRPr="0091643D">
              <w:rPr>
                <w:rFonts w:asciiTheme="minorHAnsi" w:hAnsiTheme="minorHAnsi" w:cs="Arial"/>
                <w:bCs/>
                <w:sz w:val="22"/>
                <w:szCs w:val="22"/>
              </w:rPr>
              <w:t xml:space="preserve">“requires improvement” </w:t>
            </w:r>
            <w:r w:rsidR="00054514" w:rsidRPr="0091643D">
              <w:rPr>
                <w:rFonts w:asciiTheme="minorHAnsi" w:hAnsiTheme="minorHAnsi" w:cs="Arial"/>
                <w:bCs/>
                <w:sz w:val="22"/>
                <w:szCs w:val="22"/>
              </w:rPr>
              <w:t xml:space="preserve">and </w:t>
            </w:r>
            <w:r w:rsidR="00A8144A">
              <w:rPr>
                <w:rFonts w:asciiTheme="minorHAnsi" w:hAnsiTheme="minorHAnsi" w:cs="Arial"/>
                <w:bCs/>
                <w:sz w:val="22"/>
                <w:szCs w:val="22"/>
              </w:rPr>
              <w:t xml:space="preserve">St </w:t>
            </w:r>
            <w:proofErr w:type="spellStart"/>
            <w:r w:rsidR="00A8144A">
              <w:rPr>
                <w:rFonts w:asciiTheme="minorHAnsi" w:hAnsiTheme="minorHAnsi" w:cs="Arial"/>
                <w:bCs/>
                <w:sz w:val="22"/>
                <w:szCs w:val="22"/>
              </w:rPr>
              <w:t>Hughs</w:t>
            </w:r>
            <w:proofErr w:type="spellEnd"/>
            <w:r w:rsidR="00A8144A">
              <w:rPr>
                <w:rFonts w:asciiTheme="minorHAnsi" w:hAnsiTheme="minorHAnsi" w:cs="Arial"/>
                <w:bCs/>
                <w:sz w:val="22"/>
                <w:szCs w:val="22"/>
              </w:rPr>
              <w:t xml:space="preserve"> are working on delivering their action plan, supported closely by the CCG. </w:t>
            </w:r>
          </w:p>
          <w:p w:rsidR="00A52AAC" w:rsidRPr="00F72F91" w:rsidRDefault="00853D91" w:rsidP="00C31229">
            <w:pPr>
              <w:pStyle w:val="ListParagraph"/>
              <w:numPr>
                <w:ilvl w:val="0"/>
                <w:numId w:val="5"/>
              </w:numPr>
              <w:spacing w:line="276" w:lineRule="auto"/>
              <w:jc w:val="both"/>
              <w:rPr>
                <w:rFonts w:asciiTheme="minorHAnsi" w:hAnsiTheme="minorHAnsi" w:cs="Arial"/>
                <w:bCs/>
                <w:sz w:val="22"/>
                <w:szCs w:val="22"/>
              </w:rPr>
            </w:pPr>
            <w:r>
              <w:rPr>
                <w:rFonts w:asciiTheme="minorHAnsi" w:hAnsiTheme="minorHAnsi" w:cs="Arial"/>
                <w:bCs/>
                <w:sz w:val="22"/>
                <w:szCs w:val="22"/>
              </w:rPr>
              <w:t>The final NLG r</w:t>
            </w:r>
            <w:r w:rsidR="00A52AAC" w:rsidRPr="00F72F91">
              <w:rPr>
                <w:rFonts w:asciiTheme="minorHAnsi" w:hAnsiTheme="minorHAnsi" w:cs="Arial"/>
                <w:bCs/>
                <w:sz w:val="22"/>
                <w:szCs w:val="22"/>
              </w:rPr>
              <w:t xml:space="preserve">eport from CQC </w:t>
            </w:r>
            <w:r>
              <w:rPr>
                <w:rFonts w:asciiTheme="minorHAnsi" w:hAnsiTheme="minorHAnsi" w:cs="Arial"/>
                <w:bCs/>
                <w:sz w:val="22"/>
                <w:szCs w:val="22"/>
              </w:rPr>
              <w:t>rated NLG as</w:t>
            </w:r>
            <w:r w:rsidR="00A8144A">
              <w:rPr>
                <w:rFonts w:asciiTheme="minorHAnsi" w:hAnsiTheme="minorHAnsi" w:cs="Arial"/>
                <w:bCs/>
                <w:sz w:val="22"/>
                <w:szCs w:val="22"/>
              </w:rPr>
              <w:t xml:space="preserve"> “Requires Improvement” – with “I</w:t>
            </w:r>
            <w:r>
              <w:rPr>
                <w:rFonts w:asciiTheme="minorHAnsi" w:hAnsiTheme="minorHAnsi" w:cs="Arial"/>
                <w:bCs/>
                <w:sz w:val="22"/>
                <w:szCs w:val="22"/>
              </w:rPr>
              <w:t>nadequate</w:t>
            </w:r>
            <w:r w:rsidR="00A8144A">
              <w:rPr>
                <w:rFonts w:asciiTheme="minorHAnsi" w:hAnsiTheme="minorHAnsi" w:cs="Arial"/>
                <w:bCs/>
                <w:sz w:val="22"/>
                <w:szCs w:val="22"/>
              </w:rPr>
              <w:t>”</w:t>
            </w:r>
            <w:r>
              <w:rPr>
                <w:rFonts w:asciiTheme="minorHAnsi" w:hAnsiTheme="minorHAnsi" w:cs="Arial"/>
                <w:bCs/>
                <w:sz w:val="22"/>
                <w:szCs w:val="22"/>
              </w:rPr>
              <w:t xml:space="preserve"> at SGH site, </w:t>
            </w:r>
            <w:r w:rsidR="00A8144A">
              <w:rPr>
                <w:rFonts w:asciiTheme="minorHAnsi" w:hAnsiTheme="minorHAnsi" w:cs="Arial"/>
                <w:bCs/>
                <w:sz w:val="22"/>
                <w:szCs w:val="22"/>
              </w:rPr>
              <w:t>“</w:t>
            </w:r>
            <w:r>
              <w:rPr>
                <w:rFonts w:asciiTheme="minorHAnsi" w:hAnsiTheme="minorHAnsi" w:cs="Arial"/>
                <w:bCs/>
                <w:sz w:val="22"/>
                <w:szCs w:val="22"/>
              </w:rPr>
              <w:t>Good</w:t>
            </w:r>
            <w:r w:rsidR="00A8144A">
              <w:rPr>
                <w:rFonts w:asciiTheme="minorHAnsi" w:hAnsiTheme="minorHAnsi" w:cs="Arial"/>
                <w:bCs/>
                <w:sz w:val="22"/>
                <w:szCs w:val="22"/>
              </w:rPr>
              <w:t>”</w:t>
            </w:r>
            <w:r>
              <w:rPr>
                <w:rFonts w:asciiTheme="minorHAnsi" w:hAnsiTheme="minorHAnsi" w:cs="Arial"/>
                <w:bCs/>
                <w:sz w:val="22"/>
                <w:szCs w:val="22"/>
              </w:rPr>
              <w:t xml:space="preserve"> at Goole site and </w:t>
            </w:r>
            <w:r w:rsidR="00A8144A">
              <w:rPr>
                <w:rFonts w:asciiTheme="minorHAnsi" w:hAnsiTheme="minorHAnsi" w:cs="Arial"/>
                <w:bCs/>
                <w:sz w:val="22"/>
                <w:szCs w:val="22"/>
              </w:rPr>
              <w:t>“</w:t>
            </w:r>
            <w:r>
              <w:rPr>
                <w:rFonts w:asciiTheme="minorHAnsi" w:hAnsiTheme="minorHAnsi" w:cs="Arial"/>
                <w:bCs/>
                <w:sz w:val="22"/>
                <w:szCs w:val="22"/>
              </w:rPr>
              <w:t>Requires Improvement</w:t>
            </w:r>
            <w:r w:rsidR="00A8144A">
              <w:rPr>
                <w:rFonts w:asciiTheme="minorHAnsi" w:hAnsiTheme="minorHAnsi" w:cs="Arial"/>
                <w:bCs/>
                <w:sz w:val="22"/>
                <w:szCs w:val="22"/>
              </w:rPr>
              <w:t>”</w:t>
            </w:r>
            <w:r>
              <w:rPr>
                <w:rFonts w:asciiTheme="minorHAnsi" w:hAnsiTheme="minorHAnsi" w:cs="Arial"/>
                <w:bCs/>
                <w:sz w:val="22"/>
                <w:szCs w:val="22"/>
              </w:rPr>
              <w:t xml:space="preserve"> at DPOWH. The CQC Summit workshop took place on April 25</w:t>
            </w:r>
            <w:r w:rsidRPr="00853D91">
              <w:rPr>
                <w:rFonts w:asciiTheme="minorHAnsi" w:hAnsiTheme="minorHAnsi" w:cs="Arial"/>
                <w:bCs/>
                <w:sz w:val="22"/>
                <w:szCs w:val="22"/>
                <w:vertAlign w:val="superscript"/>
              </w:rPr>
              <w:t>th</w:t>
            </w:r>
            <w:r>
              <w:rPr>
                <w:rFonts w:asciiTheme="minorHAnsi" w:hAnsiTheme="minorHAnsi" w:cs="Arial"/>
                <w:bCs/>
                <w:sz w:val="22"/>
                <w:szCs w:val="22"/>
              </w:rPr>
              <w:t xml:space="preserve"> 2016. </w:t>
            </w:r>
            <w:r w:rsidR="00A8144A" w:rsidRPr="00A8144A">
              <w:rPr>
                <w:rFonts w:asciiTheme="minorHAnsi" w:hAnsiTheme="minorHAnsi" w:cs="Arial"/>
                <w:bCs/>
                <w:sz w:val="22"/>
                <w:szCs w:val="22"/>
              </w:rPr>
              <w:t>The NLG CQC Action Plan will be monitored through the ECB meetings with dedicated time being made to enable focused monitoring.</w:t>
            </w:r>
          </w:p>
          <w:p w:rsidR="00853D91" w:rsidRPr="00F72F91" w:rsidRDefault="00853D91" w:rsidP="002C0EB3">
            <w:pPr>
              <w:pStyle w:val="ListParagraph"/>
              <w:numPr>
                <w:ilvl w:val="0"/>
                <w:numId w:val="5"/>
              </w:numPr>
              <w:spacing w:line="276" w:lineRule="auto"/>
              <w:jc w:val="both"/>
              <w:rPr>
                <w:rFonts w:asciiTheme="minorHAnsi" w:hAnsiTheme="minorHAnsi" w:cs="Arial"/>
                <w:bCs/>
                <w:sz w:val="22"/>
                <w:szCs w:val="22"/>
              </w:rPr>
            </w:pPr>
            <w:r>
              <w:rPr>
                <w:rFonts w:asciiTheme="minorHAnsi" w:hAnsiTheme="minorHAnsi" w:cs="Arial"/>
                <w:bCs/>
                <w:sz w:val="22"/>
                <w:szCs w:val="22"/>
              </w:rPr>
              <w:t xml:space="preserve">CQC report </w:t>
            </w:r>
            <w:r w:rsidR="00D45ADB">
              <w:rPr>
                <w:rFonts w:asciiTheme="minorHAnsi" w:hAnsiTheme="minorHAnsi" w:cs="Arial"/>
                <w:bCs/>
                <w:sz w:val="22"/>
                <w:szCs w:val="22"/>
              </w:rPr>
              <w:t>Intermediate Care at Home (</w:t>
            </w:r>
            <w:r>
              <w:rPr>
                <w:rFonts w:asciiTheme="minorHAnsi" w:hAnsiTheme="minorHAnsi" w:cs="Arial"/>
                <w:bCs/>
                <w:sz w:val="22"/>
                <w:szCs w:val="22"/>
              </w:rPr>
              <w:t>CPG</w:t>
            </w:r>
            <w:r w:rsidR="00D45ADB">
              <w:rPr>
                <w:rFonts w:asciiTheme="minorHAnsi" w:hAnsiTheme="minorHAnsi" w:cs="Arial"/>
                <w:bCs/>
                <w:sz w:val="22"/>
                <w:szCs w:val="22"/>
              </w:rPr>
              <w:t xml:space="preserve">) received an overall rating of “Outstanding” in March 2016, with Outstanding for Caring, Responsive and Well-Led and “Good” for Safe and Effective. </w:t>
            </w:r>
            <w:r>
              <w:rPr>
                <w:rFonts w:asciiTheme="minorHAnsi" w:hAnsiTheme="minorHAnsi" w:cs="Arial"/>
                <w:bCs/>
                <w:sz w:val="22"/>
                <w:szCs w:val="22"/>
              </w:rPr>
              <w:t xml:space="preserve"> </w:t>
            </w:r>
          </w:p>
          <w:p w:rsidR="002C0EB3" w:rsidRPr="00F72F91" w:rsidRDefault="002C0EB3" w:rsidP="00A8144A">
            <w:pPr>
              <w:spacing w:line="276" w:lineRule="auto"/>
              <w:jc w:val="both"/>
              <w:rPr>
                <w:rFonts w:asciiTheme="minorHAnsi" w:hAnsiTheme="minorHAnsi" w:cs="Arial"/>
                <w:bCs/>
                <w:sz w:val="22"/>
                <w:szCs w:val="22"/>
              </w:rPr>
            </w:pPr>
          </w:p>
          <w:p w:rsidR="008251D7" w:rsidRDefault="008251D7" w:rsidP="00C31229">
            <w:pPr>
              <w:pStyle w:val="ListParagraph"/>
              <w:numPr>
                <w:ilvl w:val="0"/>
                <w:numId w:val="4"/>
              </w:numPr>
              <w:spacing w:line="276" w:lineRule="auto"/>
              <w:jc w:val="both"/>
              <w:rPr>
                <w:rFonts w:asciiTheme="minorHAnsi" w:hAnsiTheme="minorHAnsi" w:cs="Arial"/>
                <w:b/>
                <w:bCs/>
                <w:sz w:val="22"/>
                <w:szCs w:val="22"/>
              </w:rPr>
            </w:pPr>
            <w:r>
              <w:rPr>
                <w:rFonts w:asciiTheme="minorHAnsi" w:hAnsiTheme="minorHAnsi" w:cs="Arial"/>
                <w:b/>
                <w:bCs/>
                <w:sz w:val="22"/>
                <w:szCs w:val="22"/>
              </w:rPr>
              <w:t>Francis Report</w:t>
            </w:r>
            <w:r w:rsidR="00A8144A">
              <w:rPr>
                <w:rFonts w:asciiTheme="minorHAnsi" w:hAnsiTheme="minorHAnsi" w:cs="Arial"/>
                <w:b/>
                <w:bCs/>
                <w:sz w:val="22"/>
                <w:szCs w:val="22"/>
              </w:rPr>
              <w:t>.</w:t>
            </w:r>
          </w:p>
          <w:p w:rsidR="00CA2114" w:rsidRPr="00CA2114" w:rsidRDefault="006140B8" w:rsidP="00CA2114">
            <w:pPr>
              <w:pStyle w:val="ListParagraph"/>
              <w:spacing w:line="276" w:lineRule="auto"/>
              <w:jc w:val="both"/>
              <w:rPr>
                <w:rFonts w:asciiTheme="minorHAnsi" w:hAnsiTheme="minorHAnsi" w:cs="Arial"/>
                <w:bCs/>
                <w:sz w:val="22"/>
                <w:szCs w:val="22"/>
              </w:rPr>
            </w:pPr>
            <w:r w:rsidRPr="006140B8">
              <w:rPr>
                <w:rFonts w:asciiTheme="minorHAnsi" w:hAnsiTheme="minorHAnsi" w:cs="Arial"/>
                <w:bCs/>
                <w:sz w:val="22"/>
                <w:szCs w:val="22"/>
              </w:rPr>
              <w:t>The CCG Quality Team have completed a review</w:t>
            </w:r>
            <w:r>
              <w:rPr>
                <w:rFonts w:asciiTheme="minorHAnsi" w:hAnsiTheme="minorHAnsi" w:cs="Arial"/>
                <w:bCs/>
                <w:sz w:val="22"/>
                <w:szCs w:val="22"/>
              </w:rPr>
              <w:t xml:space="preserve"> of the Francis 2 </w:t>
            </w:r>
            <w:r w:rsidR="002B5FA5">
              <w:rPr>
                <w:rFonts w:asciiTheme="minorHAnsi" w:hAnsiTheme="minorHAnsi" w:cs="Arial"/>
                <w:bCs/>
                <w:sz w:val="22"/>
                <w:szCs w:val="22"/>
              </w:rPr>
              <w:t xml:space="preserve">(2014) </w:t>
            </w:r>
            <w:r w:rsidR="00CA2114">
              <w:rPr>
                <w:rFonts w:asciiTheme="minorHAnsi" w:hAnsiTheme="minorHAnsi" w:cs="Arial"/>
                <w:bCs/>
                <w:sz w:val="22"/>
                <w:szCs w:val="22"/>
              </w:rPr>
              <w:t xml:space="preserve">290 </w:t>
            </w:r>
            <w:r>
              <w:rPr>
                <w:rFonts w:asciiTheme="minorHAnsi" w:hAnsiTheme="minorHAnsi" w:cs="Arial"/>
                <w:bCs/>
                <w:sz w:val="22"/>
                <w:szCs w:val="22"/>
              </w:rPr>
              <w:t>recommendations</w:t>
            </w:r>
            <w:r w:rsidR="002B5FA5">
              <w:rPr>
                <w:rFonts w:asciiTheme="minorHAnsi" w:hAnsiTheme="minorHAnsi" w:cs="Arial"/>
                <w:bCs/>
                <w:sz w:val="22"/>
                <w:szCs w:val="22"/>
              </w:rPr>
              <w:t xml:space="preserve"> and identified </w:t>
            </w:r>
            <w:r w:rsidR="00CA2114">
              <w:rPr>
                <w:rFonts w:asciiTheme="minorHAnsi" w:hAnsiTheme="minorHAnsi" w:cs="Arial"/>
                <w:bCs/>
                <w:sz w:val="22"/>
                <w:szCs w:val="22"/>
              </w:rPr>
              <w:t xml:space="preserve">89 which </w:t>
            </w:r>
            <w:r w:rsidR="00B458DC">
              <w:rPr>
                <w:rFonts w:asciiTheme="minorHAnsi" w:hAnsiTheme="minorHAnsi" w:cs="Arial"/>
                <w:bCs/>
                <w:sz w:val="22"/>
                <w:szCs w:val="22"/>
              </w:rPr>
              <w:t xml:space="preserve">still </w:t>
            </w:r>
            <w:r w:rsidR="00CA2114">
              <w:rPr>
                <w:rFonts w:asciiTheme="minorHAnsi" w:hAnsiTheme="minorHAnsi" w:cs="Arial"/>
                <w:bCs/>
                <w:sz w:val="22"/>
                <w:szCs w:val="22"/>
              </w:rPr>
              <w:t xml:space="preserve">require action. </w:t>
            </w:r>
            <w:r w:rsidR="00CA2114" w:rsidRPr="00CA2114">
              <w:rPr>
                <w:rFonts w:asciiTheme="minorHAnsi" w:hAnsiTheme="minorHAnsi" w:cs="Arial"/>
                <w:bCs/>
                <w:sz w:val="22"/>
                <w:szCs w:val="22"/>
              </w:rPr>
              <w:t xml:space="preserve">An in depth gap analysis was conducted </w:t>
            </w:r>
            <w:r w:rsidR="00B458DC">
              <w:rPr>
                <w:rFonts w:asciiTheme="minorHAnsi" w:hAnsiTheme="minorHAnsi" w:cs="Arial"/>
                <w:bCs/>
                <w:sz w:val="22"/>
                <w:szCs w:val="22"/>
              </w:rPr>
              <w:t xml:space="preserve">in April 2016 </w:t>
            </w:r>
            <w:r w:rsidR="00CA2114" w:rsidRPr="00CA2114">
              <w:rPr>
                <w:rFonts w:asciiTheme="minorHAnsi" w:hAnsiTheme="minorHAnsi" w:cs="Arial"/>
                <w:bCs/>
                <w:sz w:val="22"/>
                <w:szCs w:val="22"/>
              </w:rPr>
              <w:t>against th</w:t>
            </w:r>
            <w:r w:rsidR="00B458DC">
              <w:rPr>
                <w:rFonts w:asciiTheme="minorHAnsi" w:hAnsiTheme="minorHAnsi" w:cs="Arial"/>
                <w:bCs/>
                <w:sz w:val="22"/>
                <w:szCs w:val="22"/>
              </w:rPr>
              <w:t>os</w:t>
            </w:r>
            <w:r w:rsidR="00CA2114" w:rsidRPr="00CA2114">
              <w:rPr>
                <w:rFonts w:asciiTheme="minorHAnsi" w:hAnsiTheme="minorHAnsi" w:cs="Arial"/>
                <w:bCs/>
                <w:sz w:val="22"/>
                <w:szCs w:val="22"/>
              </w:rPr>
              <w:t>e 89 recommendations</w:t>
            </w:r>
            <w:r w:rsidR="00B458DC">
              <w:rPr>
                <w:rFonts w:asciiTheme="minorHAnsi" w:hAnsiTheme="minorHAnsi" w:cs="Arial"/>
                <w:bCs/>
                <w:sz w:val="22"/>
                <w:szCs w:val="22"/>
              </w:rPr>
              <w:t>,</w:t>
            </w:r>
            <w:r w:rsidR="00CA2114">
              <w:rPr>
                <w:rFonts w:asciiTheme="minorHAnsi" w:hAnsiTheme="minorHAnsi" w:cs="Arial"/>
                <w:bCs/>
                <w:sz w:val="22"/>
                <w:szCs w:val="22"/>
              </w:rPr>
              <w:t xml:space="preserve"> o</w:t>
            </w:r>
            <w:r w:rsidR="00CA2114" w:rsidRPr="00CA2114">
              <w:rPr>
                <w:rFonts w:asciiTheme="minorHAnsi" w:hAnsiTheme="minorHAnsi" w:cs="Arial"/>
                <w:bCs/>
                <w:sz w:val="22"/>
                <w:szCs w:val="22"/>
              </w:rPr>
              <w:t xml:space="preserve">f which the CCG was Fully Compliant in 44, Partially Compliant in 33 and Non-Compliant in 12.  </w:t>
            </w:r>
            <w:r w:rsidR="009A0664">
              <w:rPr>
                <w:rFonts w:asciiTheme="minorHAnsi" w:hAnsiTheme="minorHAnsi" w:cs="Arial"/>
                <w:bCs/>
                <w:sz w:val="22"/>
                <w:szCs w:val="22"/>
              </w:rPr>
              <w:t xml:space="preserve">Some of the 12 non-compliant recommendations </w:t>
            </w:r>
            <w:r w:rsidR="00B458DC">
              <w:rPr>
                <w:rFonts w:asciiTheme="minorHAnsi" w:hAnsiTheme="minorHAnsi" w:cs="Arial"/>
                <w:bCs/>
                <w:sz w:val="22"/>
                <w:szCs w:val="22"/>
              </w:rPr>
              <w:t xml:space="preserve">include </w:t>
            </w:r>
            <w:r w:rsidR="009A0664">
              <w:rPr>
                <w:rFonts w:asciiTheme="minorHAnsi" w:hAnsiTheme="minorHAnsi" w:cs="Arial"/>
                <w:bCs/>
                <w:sz w:val="22"/>
                <w:szCs w:val="22"/>
              </w:rPr>
              <w:t xml:space="preserve">issues regarding </w:t>
            </w:r>
            <w:r w:rsidR="009A0664">
              <w:rPr>
                <w:rFonts w:asciiTheme="minorHAnsi" w:hAnsiTheme="minorHAnsi" w:cs="Arial"/>
                <w:bCs/>
                <w:sz w:val="22"/>
                <w:szCs w:val="22"/>
              </w:rPr>
              <w:lastRenderedPageBreak/>
              <w:t xml:space="preserve">HR policy, requirements within service specifications and contracts and the use of IT systems and data.  </w:t>
            </w:r>
            <w:r w:rsidR="00CA2114" w:rsidRPr="00CA2114">
              <w:rPr>
                <w:rFonts w:asciiTheme="minorHAnsi" w:hAnsiTheme="minorHAnsi" w:cs="Arial"/>
                <w:bCs/>
                <w:sz w:val="22"/>
                <w:szCs w:val="22"/>
              </w:rPr>
              <w:t>Each partially compliant and</w:t>
            </w:r>
            <w:r w:rsidR="00CA2114">
              <w:rPr>
                <w:rFonts w:asciiTheme="minorHAnsi" w:hAnsiTheme="minorHAnsi" w:cs="Arial"/>
                <w:bCs/>
                <w:sz w:val="22"/>
                <w:szCs w:val="22"/>
              </w:rPr>
              <w:t xml:space="preserve"> non-compliant recommendation i</w:t>
            </w:r>
            <w:r w:rsidR="00CA2114" w:rsidRPr="00CA2114">
              <w:rPr>
                <w:rFonts w:asciiTheme="minorHAnsi" w:hAnsiTheme="minorHAnsi" w:cs="Arial"/>
                <w:bCs/>
                <w:sz w:val="22"/>
                <w:szCs w:val="22"/>
              </w:rPr>
              <w:t>s be</w:t>
            </w:r>
            <w:r w:rsidR="00CA2114">
              <w:rPr>
                <w:rFonts w:asciiTheme="minorHAnsi" w:hAnsiTheme="minorHAnsi" w:cs="Arial"/>
                <w:bCs/>
                <w:sz w:val="22"/>
                <w:szCs w:val="22"/>
              </w:rPr>
              <w:t xml:space="preserve">ing </w:t>
            </w:r>
            <w:r w:rsidR="00CA2114" w:rsidRPr="00CA2114">
              <w:rPr>
                <w:rFonts w:asciiTheme="minorHAnsi" w:hAnsiTheme="minorHAnsi" w:cs="Arial"/>
                <w:bCs/>
                <w:sz w:val="22"/>
                <w:szCs w:val="22"/>
              </w:rPr>
              <w:t xml:space="preserve">risk graded in order to ensure issues of non-compliancy are addressed in order of priority.  </w:t>
            </w:r>
          </w:p>
          <w:p w:rsidR="006140B8" w:rsidRPr="006140B8" w:rsidRDefault="00CA2114" w:rsidP="00CA2114">
            <w:pPr>
              <w:pStyle w:val="ListParagraph"/>
              <w:spacing w:line="276" w:lineRule="auto"/>
              <w:jc w:val="both"/>
              <w:rPr>
                <w:rFonts w:asciiTheme="minorHAnsi" w:hAnsiTheme="minorHAnsi" w:cs="Arial"/>
                <w:bCs/>
                <w:sz w:val="22"/>
                <w:szCs w:val="22"/>
              </w:rPr>
            </w:pPr>
            <w:r w:rsidRPr="00CA2114">
              <w:rPr>
                <w:rFonts w:asciiTheme="minorHAnsi" w:hAnsiTheme="minorHAnsi" w:cs="Arial"/>
                <w:bCs/>
                <w:sz w:val="22"/>
                <w:szCs w:val="22"/>
              </w:rPr>
              <w:t>The actions needed to implement the recommendations are being given priority within the Quality Teams work plan</w:t>
            </w:r>
            <w:r>
              <w:rPr>
                <w:rFonts w:asciiTheme="minorHAnsi" w:hAnsiTheme="minorHAnsi" w:cs="Arial"/>
                <w:bCs/>
                <w:sz w:val="22"/>
                <w:szCs w:val="22"/>
              </w:rPr>
              <w:t xml:space="preserve"> and the </w:t>
            </w:r>
            <w:r w:rsidRPr="00CA2114">
              <w:rPr>
                <w:rFonts w:asciiTheme="minorHAnsi" w:hAnsiTheme="minorHAnsi" w:cs="Arial"/>
                <w:bCs/>
                <w:sz w:val="22"/>
                <w:szCs w:val="22"/>
              </w:rPr>
              <w:t xml:space="preserve">delivery of the </w:t>
            </w:r>
            <w:r w:rsidR="00B458DC">
              <w:rPr>
                <w:rFonts w:asciiTheme="minorHAnsi" w:hAnsiTheme="minorHAnsi" w:cs="Arial"/>
                <w:bCs/>
                <w:sz w:val="22"/>
                <w:szCs w:val="22"/>
              </w:rPr>
              <w:t>full 89 recommendations will be</w:t>
            </w:r>
            <w:r w:rsidRPr="00CA2114">
              <w:rPr>
                <w:rFonts w:asciiTheme="minorHAnsi" w:hAnsiTheme="minorHAnsi" w:cs="Arial"/>
                <w:bCs/>
                <w:sz w:val="22"/>
                <w:szCs w:val="22"/>
              </w:rPr>
              <w:t xml:space="preserve"> monitored by the</w:t>
            </w:r>
            <w:r>
              <w:rPr>
                <w:rFonts w:asciiTheme="minorHAnsi" w:hAnsiTheme="minorHAnsi" w:cs="Arial"/>
                <w:bCs/>
                <w:sz w:val="22"/>
                <w:szCs w:val="22"/>
              </w:rPr>
              <w:t xml:space="preserve"> Quality Committee</w:t>
            </w:r>
            <w:r w:rsidRPr="00CA2114">
              <w:rPr>
                <w:rFonts w:asciiTheme="minorHAnsi" w:hAnsiTheme="minorHAnsi" w:cs="Arial"/>
                <w:bCs/>
                <w:sz w:val="22"/>
                <w:szCs w:val="22"/>
              </w:rPr>
              <w:t>.</w:t>
            </w:r>
          </w:p>
          <w:p w:rsidR="008251D7" w:rsidRDefault="008251D7" w:rsidP="008251D7">
            <w:pPr>
              <w:pStyle w:val="ListParagraph"/>
              <w:spacing w:line="276" w:lineRule="auto"/>
              <w:jc w:val="both"/>
              <w:rPr>
                <w:rFonts w:asciiTheme="minorHAnsi" w:hAnsiTheme="minorHAnsi" w:cs="Arial"/>
                <w:b/>
                <w:bCs/>
                <w:sz w:val="22"/>
                <w:szCs w:val="22"/>
              </w:rPr>
            </w:pPr>
          </w:p>
          <w:p w:rsidR="00A52AAC" w:rsidRPr="00F72F91" w:rsidRDefault="00A52AAC" w:rsidP="00C31229">
            <w:pPr>
              <w:pStyle w:val="ListParagraph"/>
              <w:numPr>
                <w:ilvl w:val="0"/>
                <w:numId w:val="4"/>
              </w:numPr>
              <w:spacing w:line="276" w:lineRule="auto"/>
              <w:jc w:val="both"/>
              <w:rPr>
                <w:rFonts w:asciiTheme="minorHAnsi" w:hAnsiTheme="minorHAnsi" w:cs="Arial"/>
                <w:b/>
                <w:bCs/>
                <w:sz w:val="22"/>
                <w:szCs w:val="22"/>
              </w:rPr>
            </w:pPr>
            <w:r w:rsidRPr="00F72F91">
              <w:rPr>
                <w:rFonts w:asciiTheme="minorHAnsi" w:hAnsiTheme="minorHAnsi" w:cs="Arial"/>
                <w:b/>
                <w:bCs/>
                <w:sz w:val="22"/>
                <w:szCs w:val="22"/>
              </w:rPr>
              <w:t>CQUINS</w:t>
            </w:r>
          </w:p>
          <w:p w:rsidR="00A52AAC" w:rsidRPr="00F72F91" w:rsidRDefault="00A52AAC" w:rsidP="002C0EB3">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The Commissioning for Quality &amp; Innovation (CQUIN) is a payment scheme that encourages care providers to share and continually improve how care is delivered. Commissioners are able to allocate up to 2.5% of the provider’s whole contract value to the CQUIN scheme to develop specific quality initiatives during the year.</w:t>
            </w:r>
            <w:r w:rsidR="002C0EB3" w:rsidRPr="00F72F91">
              <w:rPr>
                <w:rFonts w:asciiTheme="minorHAnsi" w:hAnsiTheme="minorHAnsi" w:cs="Arial"/>
                <w:bCs/>
                <w:sz w:val="22"/>
                <w:szCs w:val="22"/>
              </w:rPr>
              <w:t xml:space="preserve"> </w:t>
            </w:r>
            <w:r w:rsidRPr="00F72F91">
              <w:rPr>
                <w:rFonts w:asciiTheme="minorHAnsi" w:hAnsiTheme="minorHAnsi" w:cs="Arial"/>
                <w:bCs/>
                <w:sz w:val="22"/>
                <w:szCs w:val="22"/>
              </w:rPr>
              <w:t xml:space="preserve"> The scheme is split into two sections; the local indicators and the national indicators (the national indicators are defined by NHS England). </w:t>
            </w:r>
            <w:r w:rsidR="002C0EB3" w:rsidRPr="00F72F91">
              <w:rPr>
                <w:rFonts w:asciiTheme="minorHAnsi" w:hAnsiTheme="minorHAnsi" w:cs="Arial"/>
                <w:bCs/>
                <w:sz w:val="22"/>
                <w:szCs w:val="22"/>
              </w:rPr>
              <w:t xml:space="preserve"> </w:t>
            </w:r>
          </w:p>
          <w:p w:rsidR="00A52AAC" w:rsidRPr="00F72F91" w:rsidRDefault="00A52AAC" w:rsidP="00A52AAC">
            <w:pPr>
              <w:spacing w:line="276" w:lineRule="auto"/>
              <w:jc w:val="both"/>
              <w:rPr>
                <w:rFonts w:asciiTheme="minorHAnsi" w:hAnsiTheme="minorHAnsi" w:cs="Arial"/>
                <w:bCs/>
                <w:sz w:val="22"/>
                <w:szCs w:val="22"/>
              </w:rPr>
            </w:pPr>
          </w:p>
          <w:p w:rsidR="00B458DC" w:rsidRDefault="00A52AAC" w:rsidP="00853D91">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 xml:space="preserve">Commissioners have been working closely with NL&amp;G since November </w:t>
            </w:r>
            <w:r w:rsidR="002C0EB3" w:rsidRPr="00F72F91">
              <w:rPr>
                <w:rFonts w:asciiTheme="minorHAnsi" w:hAnsiTheme="minorHAnsi" w:cs="Arial"/>
                <w:bCs/>
                <w:sz w:val="22"/>
                <w:szCs w:val="22"/>
              </w:rPr>
              <w:t>20</w:t>
            </w:r>
            <w:r w:rsidRPr="00F72F91">
              <w:rPr>
                <w:rFonts w:asciiTheme="minorHAnsi" w:hAnsiTheme="minorHAnsi" w:cs="Arial"/>
                <w:bCs/>
                <w:sz w:val="22"/>
                <w:szCs w:val="22"/>
              </w:rPr>
              <w:t xml:space="preserve">15 to negotiate and agree </w:t>
            </w:r>
            <w:r w:rsidR="00B458DC">
              <w:rPr>
                <w:rFonts w:asciiTheme="minorHAnsi" w:hAnsiTheme="minorHAnsi" w:cs="Arial"/>
                <w:bCs/>
                <w:sz w:val="22"/>
                <w:szCs w:val="22"/>
              </w:rPr>
              <w:t xml:space="preserve">the </w:t>
            </w:r>
            <w:r w:rsidR="00054514" w:rsidRPr="00F72F91">
              <w:rPr>
                <w:rFonts w:asciiTheme="minorHAnsi" w:hAnsiTheme="minorHAnsi" w:cs="Arial"/>
                <w:bCs/>
                <w:sz w:val="22"/>
                <w:szCs w:val="22"/>
              </w:rPr>
              <w:t xml:space="preserve">local </w:t>
            </w:r>
            <w:r w:rsidRPr="00F72F91">
              <w:rPr>
                <w:rFonts w:asciiTheme="minorHAnsi" w:hAnsiTheme="minorHAnsi" w:cs="Arial"/>
                <w:bCs/>
                <w:sz w:val="22"/>
                <w:szCs w:val="22"/>
              </w:rPr>
              <w:t xml:space="preserve">quality CQUINs for 2016/17. </w:t>
            </w:r>
            <w:r w:rsidR="00853D91">
              <w:rPr>
                <w:rFonts w:asciiTheme="minorHAnsi" w:hAnsiTheme="minorHAnsi" w:cs="Arial"/>
                <w:bCs/>
                <w:sz w:val="22"/>
                <w:szCs w:val="22"/>
              </w:rPr>
              <w:t>The previous Quality Report outlined the main CQUIN proposed for 2016 regarding Vulnerable Adults</w:t>
            </w:r>
            <w:r w:rsidR="00B458DC">
              <w:rPr>
                <w:rFonts w:asciiTheme="minorHAnsi" w:hAnsiTheme="minorHAnsi" w:cs="Arial"/>
                <w:bCs/>
                <w:sz w:val="22"/>
                <w:szCs w:val="22"/>
              </w:rPr>
              <w:t xml:space="preserve"> and the detail of this CQUIN has been agreed </w:t>
            </w:r>
            <w:r w:rsidR="002C0EB3" w:rsidRPr="00F72F91">
              <w:rPr>
                <w:rFonts w:asciiTheme="minorHAnsi" w:hAnsiTheme="minorHAnsi" w:cs="Arial"/>
                <w:bCs/>
                <w:sz w:val="22"/>
                <w:szCs w:val="22"/>
              </w:rPr>
              <w:t>between all 4 commissioners</w:t>
            </w:r>
            <w:r w:rsidR="00B458DC">
              <w:rPr>
                <w:rFonts w:asciiTheme="minorHAnsi" w:hAnsiTheme="minorHAnsi" w:cs="Arial"/>
                <w:bCs/>
                <w:sz w:val="22"/>
                <w:szCs w:val="22"/>
              </w:rPr>
              <w:t xml:space="preserve">. We are currently </w:t>
            </w:r>
            <w:r w:rsidR="00853D91">
              <w:rPr>
                <w:rFonts w:asciiTheme="minorHAnsi" w:hAnsiTheme="minorHAnsi" w:cs="Arial"/>
                <w:bCs/>
                <w:sz w:val="22"/>
                <w:szCs w:val="22"/>
              </w:rPr>
              <w:t xml:space="preserve">awaiting agreement </w:t>
            </w:r>
            <w:r w:rsidR="00B458DC">
              <w:rPr>
                <w:rFonts w:asciiTheme="minorHAnsi" w:hAnsiTheme="minorHAnsi" w:cs="Arial"/>
                <w:bCs/>
                <w:sz w:val="22"/>
                <w:szCs w:val="22"/>
              </w:rPr>
              <w:t xml:space="preserve">by </w:t>
            </w:r>
            <w:r w:rsidR="00853D91">
              <w:rPr>
                <w:rFonts w:asciiTheme="minorHAnsi" w:hAnsiTheme="minorHAnsi" w:cs="Arial"/>
                <w:bCs/>
                <w:sz w:val="22"/>
                <w:szCs w:val="22"/>
              </w:rPr>
              <w:t xml:space="preserve">NLG. </w:t>
            </w:r>
          </w:p>
          <w:p w:rsidR="00B458DC" w:rsidRDefault="00B458DC" w:rsidP="00853D91">
            <w:pPr>
              <w:pStyle w:val="ListParagraph"/>
              <w:spacing w:line="276" w:lineRule="auto"/>
              <w:jc w:val="both"/>
              <w:rPr>
                <w:rFonts w:asciiTheme="minorHAnsi" w:hAnsiTheme="minorHAnsi" w:cs="Arial"/>
                <w:bCs/>
                <w:sz w:val="22"/>
                <w:szCs w:val="22"/>
              </w:rPr>
            </w:pPr>
          </w:p>
          <w:p w:rsidR="00A52AAC" w:rsidRPr="00853D91" w:rsidRDefault="00B458DC" w:rsidP="00853D91">
            <w:pPr>
              <w:pStyle w:val="ListParagraph"/>
              <w:spacing w:line="276" w:lineRule="auto"/>
              <w:jc w:val="both"/>
              <w:rPr>
                <w:rFonts w:asciiTheme="minorHAnsi" w:hAnsiTheme="minorHAnsi" w:cs="Arial"/>
                <w:bCs/>
                <w:sz w:val="22"/>
                <w:szCs w:val="22"/>
              </w:rPr>
            </w:pPr>
            <w:r>
              <w:rPr>
                <w:rFonts w:asciiTheme="minorHAnsi" w:hAnsiTheme="minorHAnsi" w:cs="Arial"/>
                <w:bCs/>
                <w:sz w:val="22"/>
                <w:szCs w:val="22"/>
              </w:rPr>
              <w:t xml:space="preserve">The process for developing CQUINS will be documented and agreed in the summer of 2016, ready to develop the 2017/18 CQUIN scheme. This </w:t>
            </w:r>
            <w:r w:rsidR="00853D91">
              <w:rPr>
                <w:rFonts w:asciiTheme="minorHAnsi" w:hAnsiTheme="minorHAnsi" w:cs="Arial"/>
                <w:bCs/>
                <w:sz w:val="22"/>
                <w:szCs w:val="22"/>
              </w:rPr>
              <w:t xml:space="preserve">new process will </w:t>
            </w:r>
            <w:r w:rsidR="00A52AAC" w:rsidRPr="00853D91">
              <w:rPr>
                <w:rFonts w:asciiTheme="minorHAnsi" w:hAnsiTheme="minorHAnsi" w:cs="Arial"/>
                <w:bCs/>
                <w:sz w:val="22"/>
                <w:szCs w:val="22"/>
              </w:rPr>
              <w:t>commenc</w:t>
            </w:r>
            <w:r w:rsidR="00853D91">
              <w:rPr>
                <w:rFonts w:asciiTheme="minorHAnsi" w:hAnsiTheme="minorHAnsi" w:cs="Arial"/>
                <w:bCs/>
                <w:sz w:val="22"/>
                <w:szCs w:val="22"/>
              </w:rPr>
              <w:t>e</w:t>
            </w:r>
            <w:r w:rsidR="00A52AAC" w:rsidRPr="00853D91">
              <w:rPr>
                <w:rFonts w:asciiTheme="minorHAnsi" w:hAnsiTheme="minorHAnsi" w:cs="Arial"/>
                <w:bCs/>
                <w:sz w:val="22"/>
                <w:szCs w:val="22"/>
              </w:rPr>
              <w:t xml:space="preserve"> in the autumn 2016 and will be shared and approved by the Quality Committee.</w:t>
            </w:r>
          </w:p>
          <w:p w:rsidR="006A74AF" w:rsidRPr="00F72F91" w:rsidRDefault="006A74AF" w:rsidP="00585083">
            <w:pPr>
              <w:jc w:val="both"/>
              <w:rPr>
                <w:rFonts w:asciiTheme="minorHAnsi" w:hAnsiTheme="minorHAnsi" w:cs="Arial"/>
                <w:bCs/>
                <w:sz w:val="22"/>
                <w:szCs w:val="22"/>
              </w:rPr>
            </w:pPr>
          </w:p>
          <w:p w:rsidR="002E0A15" w:rsidRPr="00F72F91" w:rsidRDefault="008F721F" w:rsidP="00C31229">
            <w:pPr>
              <w:pStyle w:val="ListParagraph"/>
              <w:numPr>
                <w:ilvl w:val="0"/>
                <w:numId w:val="4"/>
              </w:numPr>
              <w:spacing w:line="276" w:lineRule="auto"/>
              <w:jc w:val="both"/>
              <w:rPr>
                <w:rFonts w:asciiTheme="minorHAnsi" w:hAnsiTheme="minorHAnsi" w:cs="Arial"/>
                <w:bCs/>
                <w:sz w:val="22"/>
                <w:szCs w:val="22"/>
              </w:rPr>
            </w:pPr>
            <w:r>
              <w:rPr>
                <w:rFonts w:asciiTheme="minorHAnsi" w:hAnsiTheme="minorHAnsi" w:cs="Arial"/>
                <w:b/>
                <w:bCs/>
                <w:sz w:val="22"/>
                <w:szCs w:val="22"/>
              </w:rPr>
              <w:t>Summary</w:t>
            </w:r>
            <w:r w:rsidR="002E0A15" w:rsidRPr="00F72F91">
              <w:rPr>
                <w:rFonts w:asciiTheme="minorHAnsi" w:hAnsiTheme="minorHAnsi" w:cs="Arial"/>
                <w:b/>
                <w:bCs/>
                <w:sz w:val="22"/>
                <w:szCs w:val="22"/>
              </w:rPr>
              <w:t xml:space="preserve"> Hospital</w:t>
            </w:r>
            <w:r>
              <w:rPr>
                <w:rFonts w:asciiTheme="minorHAnsi" w:hAnsiTheme="minorHAnsi" w:cs="Arial"/>
                <w:b/>
                <w:bCs/>
                <w:sz w:val="22"/>
                <w:szCs w:val="22"/>
              </w:rPr>
              <w:t>-level Mortality Indicator</w:t>
            </w:r>
            <w:r w:rsidR="002E0A15" w:rsidRPr="00F72F91">
              <w:rPr>
                <w:rFonts w:asciiTheme="minorHAnsi" w:hAnsiTheme="minorHAnsi" w:cs="Arial"/>
                <w:b/>
                <w:bCs/>
                <w:sz w:val="22"/>
                <w:szCs w:val="22"/>
              </w:rPr>
              <w:t xml:space="preserve"> (SHMI)</w:t>
            </w:r>
          </w:p>
          <w:p w:rsidR="009025C4" w:rsidRPr="009025C4" w:rsidRDefault="009025C4" w:rsidP="009025C4">
            <w:pPr>
              <w:pStyle w:val="ListParagraph"/>
              <w:spacing w:line="276" w:lineRule="auto"/>
              <w:jc w:val="both"/>
              <w:rPr>
                <w:rFonts w:asciiTheme="minorHAnsi" w:hAnsiTheme="minorHAnsi" w:cs="Arial"/>
                <w:bCs/>
                <w:sz w:val="22"/>
                <w:szCs w:val="22"/>
              </w:rPr>
            </w:pPr>
            <w:r>
              <w:rPr>
                <w:rFonts w:asciiTheme="minorHAnsi" w:hAnsiTheme="minorHAnsi" w:cs="Arial"/>
                <w:bCs/>
                <w:sz w:val="22"/>
                <w:szCs w:val="22"/>
              </w:rPr>
              <w:t>T</w:t>
            </w:r>
            <w:r w:rsidRPr="009025C4">
              <w:rPr>
                <w:rFonts w:asciiTheme="minorHAnsi" w:hAnsiTheme="minorHAnsi" w:cs="Arial"/>
                <w:bCs/>
                <w:sz w:val="22"/>
                <w:szCs w:val="22"/>
              </w:rPr>
              <w:t xml:space="preserve">he summary hospital-level mortality indicator (SHMI) </w:t>
            </w:r>
            <w:r>
              <w:rPr>
                <w:rFonts w:asciiTheme="minorHAnsi" w:hAnsiTheme="minorHAnsi" w:cs="Arial"/>
                <w:bCs/>
                <w:sz w:val="22"/>
                <w:szCs w:val="22"/>
              </w:rPr>
              <w:t>issued in March 2016 for the period October 2014 to September 2015, shows</w:t>
            </w:r>
            <w:r w:rsidRPr="009025C4">
              <w:rPr>
                <w:rFonts w:asciiTheme="minorHAnsi" w:hAnsiTheme="minorHAnsi" w:cs="Arial"/>
                <w:bCs/>
                <w:sz w:val="22"/>
                <w:szCs w:val="22"/>
              </w:rPr>
              <w:t xml:space="preserve"> that the SHMI for Northern Lincolnshire and Goole NHS Foundation Trust (</w:t>
            </w:r>
            <w:proofErr w:type="spellStart"/>
            <w:r w:rsidRPr="009025C4">
              <w:rPr>
                <w:rFonts w:asciiTheme="minorHAnsi" w:hAnsiTheme="minorHAnsi" w:cs="Arial"/>
                <w:bCs/>
                <w:sz w:val="22"/>
                <w:szCs w:val="22"/>
              </w:rPr>
              <w:t>NLaG</w:t>
            </w:r>
            <w:proofErr w:type="spellEnd"/>
            <w:r w:rsidRPr="009025C4">
              <w:rPr>
                <w:rFonts w:asciiTheme="minorHAnsi" w:hAnsiTheme="minorHAnsi" w:cs="Arial"/>
                <w:bCs/>
                <w:sz w:val="22"/>
                <w:szCs w:val="22"/>
              </w:rPr>
              <w:t>) remains in the ‘as expected’ banding with a figure of 107.6.</w:t>
            </w:r>
          </w:p>
          <w:p w:rsidR="009025C4" w:rsidRPr="009025C4" w:rsidRDefault="009025C4" w:rsidP="009025C4">
            <w:pPr>
              <w:pStyle w:val="ListParagraph"/>
              <w:spacing w:line="276" w:lineRule="auto"/>
              <w:jc w:val="both"/>
              <w:rPr>
                <w:rFonts w:asciiTheme="minorHAnsi" w:hAnsiTheme="minorHAnsi" w:cs="Arial"/>
                <w:bCs/>
                <w:sz w:val="22"/>
                <w:szCs w:val="22"/>
              </w:rPr>
            </w:pPr>
          </w:p>
          <w:p w:rsidR="009025C4" w:rsidRPr="009025C4" w:rsidRDefault="009025C4" w:rsidP="009025C4">
            <w:pPr>
              <w:pStyle w:val="ListParagraph"/>
              <w:spacing w:line="276" w:lineRule="auto"/>
              <w:jc w:val="both"/>
              <w:rPr>
                <w:rFonts w:asciiTheme="minorHAnsi" w:hAnsiTheme="minorHAnsi" w:cs="Arial"/>
                <w:bCs/>
                <w:sz w:val="22"/>
                <w:szCs w:val="22"/>
              </w:rPr>
            </w:pPr>
            <w:r w:rsidRPr="009025C4">
              <w:rPr>
                <w:rFonts w:asciiTheme="minorHAnsi" w:hAnsiTheme="minorHAnsi" w:cs="Arial"/>
                <w:bCs/>
                <w:sz w:val="22"/>
                <w:szCs w:val="22"/>
              </w:rPr>
              <w:t>The previous SHMI i</w:t>
            </w:r>
            <w:r>
              <w:rPr>
                <w:rFonts w:asciiTheme="minorHAnsi" w:hAnsiTheme="minorHAnsi" w:cs="Arial"/>
                <w:bCs/>
                <w:sz w:val="22"/>
                <w:szCs w:val="22"/>
              </w:rPr>
              <w:t xml:space="preserve">ssued in January was 109.7 and </w:t>
            </w:r>
            <w:r w:rsidRPr="009025C4">
              <w:rPr>
                <w:rFonts w:asciiTheme="minorHAnsi" w:hAnsiTheme="minorHAnsi" w:cs="Arial"/>
                <w:bCs/>
                <w:sz w:val="22"/>
                <w:szCs w:val="22"/>
              </w:rPr>
              <w:t xml:space="preserve">this latest SHMI shows </w:t>
            </w:r>
            <w:r>
              <w:rPr>
                <w:rFonts w:asciiTheme="minorHAnsi" w:hAnsiTheme="minorHAnsi" w:cs="Arial"/>
                <w:bCs/>
                <w:sz w:val="22"/>
                <w:szCs w:val="22"/>
              </w:rPr>
              <w:t xml:space="preserve">an </w:t>
            </w:r>
            <w:r w:rsidRPr="009025C4">
              <w:rPr>
                <w:rFonts w:asciiTheme="minorHAnsi" w:hAnsiTheme="minorHAnsi" w:cs="Arial"/>
                <w:bCs/>
                <w:sz w:val="22"/>
                <w:szCs w:val="22"/>
              </w:rPr>
              <w:t xml:space="preserve">improvement, which also corresponds with a positive shift of six places for </w:t>
            </w:r>
            <w:proofErr w:type="spellStart"/>
            <w:r w:rsidRPr="009025C4">
              <w:rPr>
                <w:rFonts w:asciiTheme="minorHAnsi" w:hAnsiTheme="minorHAnsi" w:cs="Arial"/>
                <w:bCs/>
                <w:sz w:val="22"/>
                <w:szCs w:val="22"/>
              </w:rPr>
              <w:t>NLaG</w:t>
            </w:r>
            <w:proofErr w:type="spellEnd"/>
            <w:r w:rsidRPr="009025C4">
              <w:rPr>
                <w:rFonts w:asciiTheme="minorHAnsi" w:hAnsiTheme="minorHAnsi" w:cs="Arial"/>
                <w:bCs/>
                <w:sz w:val="22"/>
                <w:szCs w:val="22"/>
              </w:rPr>
              <w:t xml:space="preserve"> in the overall rankings of NHS trusts nationally.</w:t>
            </w:r>
          </w:p>
          <w:p w:rsidR="009025C4" w:rsidRPr="009025C4" w:rsidRDefault="009025C4" w:rsidP="009025C4">
            <w:pPr>
              <w:pStyle w:val="ListParagraph"/>
              <w:spacing w:line="276" w:lineRule="auto"/>
              <w:jc w:val="both"/>
              <w:rPr>
                <w:rFonts w:asciiTheme="minorHAnsi" w:hAnsiTheme="minorHAnsi" w:cs="Arial"/>
                <w:bCs/>
                <w:sz w:val="22"/>
                <w:szCs w:val="22"/>
              </w:rPr>
            </w:pPr>
          </w:p>
          <w:p w:rsidR="009025C4" w:rsidRDefault="009025C4" w:rsidP="00054514">
            <w:pPr>
              <w:pStyle w:val="ListParagraph"/>
              <w:spacing w:line="276" w:lineRule="auto"/>
              <w:jc w:val="both"/>
              <w:rPr>
                <w:rFonts w:asciiTheme="minorHAnsi" w:hAnsiTheme="minorHAnsi" w:cs="Arial"/>
                <w:bCs/>
                <w:sz w:val="22"/>
                <w:szCs w:val="22"/>
              </w:rPr>
            </w:pPr>
            <w:r w:rsidRPr="009025C4">
              <w:rPr>
                <w:rFonts w:asciiTheme="minorHAnsi" w:hAnsiTheme="minorHAnsi" w:cs="Arial"/>
                <w:bCs/>
                <w:sz w:val="22"/>
                <w:szCs w:val="22"/>
              </w:rPr>
              <w:t>The SHMI figures are published quarterly and always refer to a 12-month time period occurring 18 to six months before the publication date. Following the acquisition of the University Hospitals Birmingham’s Healthcare Evaluation Data (HED) reporting product, the Trust is able report on more up to date SHMI data which allows for a breakdown of the data to an in-hospital and out-of-hospital level. For the 12 months to October 2015, the in-hospital SHMI is 104 and th</w:t>
            </w:r>
            <w:r>
              <w:rPr>
                <w:rFonts w:asciiTheme="minorHAnsi" w:hAnsiTheme="minorHAnsi" w:cs="Arial"/>
                <w:bCs/>
                <w:sz w:val="22"/>
                <w:szCs w:val="22"/>
              </w:rPr>
              <w:t xml:space="preserve">e out-of-hospital SHMI is 115. </w:t>
            </w:r>
          </w:p>
          <w:p w:rsidR="00ED0FD3" w:rsidRPr="007C2C67" w:rsidRDefault="00ED0FD3" w:rsidP="007C2C67">
            <w:pPr>
              <w:spacing w:line="276" w:lineRule="auto"/>
              <w:jc w:val="both"/>
              <w:rPr>
                <w:rFonts w:asciiTheme="minorHAnsi" w:hAnsiTheme="minorHAnsi" w:cs="Arial"/>
                <w:bCs/>
                <w:sz w:val="22"/>
                <w:szCs w:val="22"/>
              </w:rPr>
            </w:pPr>
          </w:p>
          <w:p w:rsidR="002E0A15" w:rsidRPr="00F72F91" w:rsidRDefault="002E0A15" w:rsidP="00191D74">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The CCG is working closely with NL&amp;G towards developing one strategic approach</w:t>
            </w:r>
            <w:r w:rsidR="007C2C67">
              <w:rPr>
                <w:rFonts w:asciiTheme="minorHAnsi" w:hAnsiTheme="minorHAnsi" w:cs="Arial"/>
                <w:bCs/>
                <w:sz w:val="22"/>
                <w:szCs w:val="22"/>
              </w:rPr>
              <w:t xml:space="preserve"> for mortality, with a number of work</w:t>
            </w:r>
            <w:r w:rsidR="00191D74">
              <w:rPr>
                <w:rFonts w:asciiTheme="minorHAnsi" w:hAnsiTheme="minorHAnsi" w:cs="Arial"/>
                <w:bCs/>
                <w:sz w:val="22"/>
                <w:szCs w:val="22"/>
              </w:rPr>
              <w:t xml:space="preserve"> </w:t>
            </w:r>
            <w:r w:rsidR="007C2C67">
              <w:rPr>
                <w:rFonts w:asciiTheme="minorHAnsi" w:hAnsiTheme="minorHAnsi" w:cs="Arial"/>
                <w:bCs/>
                <w:sz w:val="22"/>
                <w:szCs w:val="22"/>
              </w:rPr>
              <w:t xml:space="preserve">streams. </w:t>
            </w:r>
            <w:r w:rsidRPr="007C2C67">
              <w:rPr>
                <w:rFonts w:asciiTheme="minorHAnsi" w:hAnsiTheme="minorHAnsi" w:cs="Arial"/>
                <w:bCs/>
                <w:sz w:val="22"/>
                <w:szCs w:val="22"/>
              </w:rPr>
              <w:t xml:space="preserve">The </w:t>
            </w:r>
            <w:r w:rsidR="009025C4" w:rsidRPr="007C2C67">
              <w:rPr>
                <w:rFonts w:asciiTheme="minorHAnsi" w:hAnsiTheme="minorHAnsi" w:cs="Arial"/>
                <w:bCs/>
                <w:sz w:val="22"/>
                <w:szCs w:val="22"/>
              </w:rPr>
              <w:t xml:space="preserve">End of Life </w:t>
            </w:r>
            <w:r w:rsidR="007C2C67">
              <w:rPr>
                <w:rFonts w:asciiTheme="minorHAnsi" w:hAnsiTheme="minorHAnsi" w:cs="Arial"/>
                <w:bCs/>
                <w:sz w:val="22"/>
                <w:szCs w:val="22"/>
              </w:rPr>
              <w:t xml:space="preserve">Strategy </w:t>
            </w:r>
            <w:r w:rsidR="009025C4" w:rsidRPr="007C2C67">
              <w:rPr>
                <w:rFonts w:asciiTheme="minorHAnsi" w:hAnsiTheme="minorHAnsi" w:cs="Arial"/>
                <w:bCs/>
                <w:sz w:val="22"/>
                <w:szCs w:val="22"/>
              </w:rPr>
              <w:t xml:space="preserve">group is the first </w:t>
            </w:r>
            <w:r w:rsidR="007C2C67">
              <w:rPr>
                <w:rFonts w:asciiTheme="minorHAnsi" w:hAnsiTheme="minorHAnsi" w:cs="Arial"/>
                <w:bCs/>
                <w:sz w:val="22"/>
                <w:szCs w:val="22"/>
              </w:rPr>
              <w:t>work</w:t>
            </w:r>
            <w:r w:rsidR="00191D74">
              <w:rPr>
                <w:rFonts w:asciiTheme="minorHAnsi" w:hAnsiTheme="minorHAnsi" w:cs="Arial"/>
                <w:bCs/>
                <w:sz w:val="22"/>
                <w:szCs w:val="22"/>
              </w:rPr>
              <w:t xml:space="preserve"> </w:t>
            </w:r>
            <w:r w:rsidR="007C2C67">
              <w:rPr>
                <w:rFonts w:asciiTheme="minorHAnsi" w:hAnsiTheme="minorHAnsi" w:cs="Arial"/>
                <w:bCs/>
                <w:sz w:val="22"/>
                <w:szCs w:val="22"/>
              </w:rPr>
              <w:t xml:space="preserve">stream </w:t>
            </w:r>
            <w:r w:rsidR="009025C4" w:rsidRPr="007C2C67">
              <w:rPr>
                <w:rFonts w:asciiTheme="minorHAnsi" w:hAnsiTheme="minorHAnsi" w:cs="Arial"/>
                <w:bCs/>
                <w:sz w:val="22"/>
                <w:szCs w:val="22"/>
              </w:rPr>
              <w:t>to become a multi-agency group and is</w:t>
            </w:r>
            <w:r w:rsidR="007C2C67">
              <w:rPr>
                <w:rFonts w:asciiTheme="minorHAnsi" w:hAnsiTheme="minorHAnsi" w:cs="Arial"/>
                <w:bCs/>
                <w:sz w:val="22"/>
                <w:szCs w:val="22"/>
              </w:rPr>
              <w:t xml:space="preserve"> taking forward </w:t>
            </w:r>
            <w:r w:rsidR="009025C4" w:rsidRPr="007C2C67">
              <w:rPr>
                <w:rFonts w:asciiTheme="minorHAnsi" w:hAnsiTheme="minorHAnsi" w:cs="Arial"/>
                <w:bCs/>
                <w:sz w:val="22"/>
                <w:szCs w:val="22"/>
              </w:rPr>
              <w:t xml:space="preserve">a joint strategy that spans the patient pathway. </w:t>
            </w:r>
          </w:p>
          <w:p w:rsidR="002E0A15" w:rsidRDefault="002E0A15" w:rsidP="002E0A15">
            <w:pPr>
              <w:spacing w:line="276" w:lineRule="auto"/>
              <w:jc w:val="both"/>
              <w:rPr>
                <w:rFonts w:asciiTheme="minorHAnsi" w:eastAsia="Calibri" w:hAnsiTheme="minorHAnsi" w:cs="Arial"/>
                <w:sz w:val="22"/>
                <w:szCs w:val="22"/>
                <w:lang w:eastAsia="en-US"/>
              </w:rPr>
            </w:pPr>
          </w:p>
          <w:p w:rsidR="00D45ADB" w:rsidRPr="00F72F91" w:rsidRDefault="00D45ADB" w:rsidP="002E0A15">
            <w:pPr>
              <w:spacing w:line="276" w:lineRule="auto"/>
              <w:jc w:val="both"/>
              <w:rPr>
                <w:rFonts w:asciiTheme="minorHAnsi" w:eastAsia="Calibri" w:hAnsiTheme="minorHAnsi" w:cs="Arial"/>
                <w:sz w:val="22"/>
                <w:szCs w:val="22"/>
                <w:lang w:eastAsia="en-US"/>
              </w:rPr>
            </w:pPr>
          </w:p>
          <w:p w:rsidR="000D62C7" w:rsidRPr="00F72F91" w:rsidRDefault="000D62C7" w:rsidP="000D62C7">
            <w:pPr>
              <w:spacing w:line="276" w:lineRule="auto"/>
              <w:jc w:val="both"/>
              <w:rPr>
                <w:rFonts w:asciiTheme="minorHAnsi" w:eastAsia="Calibri" w:hAnsiTheme="minorHAnsi" w:cs="Arial"/>
                <w:b/>
                <w:sz w:val="22"/>
                <w:szCs w:val="22"/>
                <w:lang w:eastAsia="en-US"/>
              </w:rPr>
            </w:pPr>
            <w:r w:rsidRPr="00F72F91">
              <w:rPr>
                <w:rFonts w:asciiTheme="minorHAnsi" w:eastAsia="Calibri" w:hAnsiTheme="minorHAnsi" w:cs="Arial"/>
                <w:b/>
                <w:sz w:val="22"/>
                <w:szCs w:val="22"/>
                <w:lang w:eastAsia="en-US"/>
              </w:rPr>
              <w:t>SECTION 2. PATIENT AND CLIENT SAFETY</w:t>
            </w:r>
            <w:r w:rsidR="00EF376E">
              <w:rPr>
                <w:rFonts w:asciiTheme="minorHAnsi" w:eastAsia="Calibri" w:hAnsiTheme="minorHAnsi" w:cs="Arial"/>
                <w:b/>
                <w:sz w:val="22"/>
                <w:szCs w:val="22"/>
                <w:lang w:eastAsia="en-US"/>
              </w:rPr>
              <w:t xml:space="preserve">.  </w:t>
            </w:r>
          </w:p>
          <w:p w:rsidR="000D62C7" w:rsidRPr="00F72F91" w:rsidRDefault="000D62C7" w:rsidP="000D62C7">
            <w:pPr>
              <w:spacing w:line="276" w:lineRule="auto"/>
              <w:jc w:val="both"/>
              <w:rPr>
                <w:rFonts w:asciiTheme="minorHAnsi" w:hAnsiTheme="minorHAnsi" w:cs="Arial"/>
                <w:b/>
                <w:bCs/>
                <w:sz w:val="22"/>
                <w:szCs w:val="22"/>
                <w:u w:val="single"/>
              </w:rPr>
            </w:pPr>
          </w:p>
          <w:p w:rsidR="000D62C7" w:rsidRPr="001217F0" w:rsidRDefault="000D62C7" w:rsidP="00C31229">
            <w:pPr>
              <w:pStyle w:val="ListParagraph"/>
              <w:numPr>
                <w:ilvl w:val="0"/>
                <w:numId w:val="9"/>
              </w:numPr>
              <w:spacing w:line="276" w:lineRule="auto"/>
              <w:jc w:val="both"/>
              <w:rPr>
                <w:rFonts w:asciiTheme="minorHAnsi" w:hAnsiTheme="minorHAnsi"/>
                <w:b/>
              </w:rPr>
            </w:pPr>
            <w:r w:rsidRPr="00F72F91">
              <w:rPr>
                <w:rFonts w:asciiTheme="minorHAnsi" w:hAnsiTheme="minorHAnsi" w:cs="Arial"/>
                <w:b/>
                <w:bCs/>
                <w:sz w:val="22"/>
                <w:szCs w:val="22"/>
              </w:rPr>
              <w:t>Safeguarding</w:t>
            </w:r>
          </w:p>
          <w:p w:rsidR="00846210" w:rsidRDefault="00D373DA" w:rsidP="001217F0">
            <w:pPr>
              <w:pStyle w:val="ListParagraph"/>
              <w:spacing w:line="276" w:lineRule="auto"/>
              <w:jc w:val="both"/>
              <w:rPr>
                <w:rFonts w:asciiTheme="minorHAnsi" w:hAnsiTheme="minorHAnsi"/>
              </w:rPr>
            </w:pPr>
            <w:r>
              <w:rPr>
                <w:rFonts w:asciiTheme="minorHAnsi" w:hAnsiTheme="minorHAnsi"/>
              </w:rPr>
              <w:t>The Safeguardin</w:t>
            </w:r>
            <w:r w:rsidR="00B458DC">
              <w:rPr>
                <w:rFonts w:asciiTheme="minorHAnsi" w:hAnsiTheme="minorHAnsi"/>
              </w:rPr>
              <w:t>g T</w:t>
            </w:r>
            <w:r>
              <w:rPr>
                <w:rFonts w:asciiTheme="minorHAnsi" w:hAnsiTheme="minorHAnsi"/>
              </w:rPr>
              <w:t>eam are developing an</w:t>
            </w:r>
            <w:r w:rsidR="00B458DC">
              <w:rPr>
                <w:rFonts w:asciiTheme="minorHAnsi" w:hAnsiTheme="minorHAnsi"/>
              </w:rPr>
              <w:t xml:space="preserve"> annual work p</w:t>
            </w:r>
            <w:r>
              <w:rPr>
                <w:rFonts w:asciiTheme="minorHAnsi" w:hAnsiTheme="minorHAnsi"/>
              </w:rPr>
              <w:t>lan to support the strategic work required</w:t>
            </w:r>
            <w:r w:rsidR="00B458DC">
              <w:rPr>
                <w:rFonts w:asciiTheme="minorHAnsi" w:hAnsiTheme="minorHAnsi"/>
              </w:rPr>
              <w:t xml:space="preserve"> by the CCG</w:t>
            </w:r>
            <w:r>
              <w:rPr>
                <w:rFonts w:asciiTheme="minorHAnsi" w:hAnsiTheme="minorHAnsi"/>
              </w:rPr>
              <w:t xml:space="preserve">. The priorities include; improving access to training across all levels for Primary Care, developing the support offered to safeguarding leads within practices, and how the team work with practices to audit &amp; benchmark practice. </w:t>
            </w:r>
          </w:p>
          <w:p w:rsidR="00846210" w:rsidRDefault="00846210" w:rsidP="001217F0">
            <w:pPr>
              <w:pStyle w:val="ListParagraph"/>
              <w:spacing w:line="276" w:lineRule="auto"/>
              <w:jc w:val="both"/>
              <w:rPr>
                <w:rFonts w:asciiTheme="minorHAnsi" w:hAnsiTheme="minorHAnsi"/>
              </w:rPr>
            </w:pPr>
          </w:p>
          <w:p w:rsidR="001217F0" w:rsidRPr="001217F0" w:rsidRDefault="00846210" w:rsidP="001217F0">
            <w:pPr>
              <w:pStyle w:val="ListParagraph"/>
              <w:spacing w:line="276" w:lineRule="auto"/>
              <w:jc w:val="both"/>
              <w:rPr>
                <w:rFonts w:asciiTheme="minorHAnsi" w:hAnsiTheme="minorHAnsi"/>
              </w:rPr>
            </w:pPr>
            <w:r>
              <w:rPr>
                <w:rFonts w:asciiTheme="minorHAnsi" w:hAnsiTheme="minorHAnsi"/>
              </w:rPr>
              <w:t>The safeguarding team is now fully established with a specialist nurse supporting both safeguarding children and adults work.</w:t>
            </w:r>
            <w:r w:rsidR="00D373DA">
              <w:rPr>
                <w:rFonts w:asciiTheme="minorHAnsi" w:hAnsiTheme="minorHAnsi"/>
              </w:rPr>
              <w:t xml:space="preserve"> </w:t>
            </w:r>
          </w:p>
          <w:p w:rsidR="000D62C7" w:rsidRPr="00F72F91" w:rsidRDefault="000D62C7" w:rsidP="000D62C7">
            <w:pPr>
              <w:rPr>
                <w:rFonts w:asciiTheme="minorHAnsi" w:hAnsiTheme="minorHAnsi" w:cs="Arial"/>
                <w:sz w:val="22"/>
                <w:szCs w:val="22"/>
              </w:rPr>
            </w:pPr>
          </w:p>
          <w:p w:rsidR="005B23EF" w:rsidRPr="00C764B2" w:rsidRDefault="00282EB7" w:rsidP="00C764B2">
            <w:pPr>
              <w:pStyle w:val="ListParagraph"/>
              <w:numPr>
                <w:ilvl w:val="0"/>
                <w:numId w:val="9"/>
              </w:numPr>
              <w:spacing w:line="276" w:lineRule="auto"/>
              <w:jc w:val="both"/>
              <w:rPr>
                <w:rFonts w:asciiTheme="minorHAnsi" w:hAnsiTheme="minorHAnsi" w:cs="Arial"/>
                <w:b/>
                <w:bCs/>
                <w:sz w:val="22"/>
                <w:szCs w:val="22"/>
              </w:rPr>
            </w:pPr>
            <w:r w:rsidRPr="00F72F91">
              <w:rPr>
                <w:rFonts w:asciiTheme="minorHAnsi" w:hAnsiTheme="minorHAnsi" w:cs="Arial"/>
                <w:b/>
                <w:bCs/>
                <w:sz w:val="22"/>
                <w:szCs w:val="22"/>
              </w:rPr>
              <w:t>Infection Control</w:t>
            </w:r>
          </w:p>
          <w:p w:rsidR="005B23EF" w:rsidRPr="005B23EF" w:rsidRDefault="005B23EF" w:rsidP="005B23EF">
            <w:pPr>
              <w:pStyle w:val="ListParagraph"/>
              <w:spacing w:line="276" w:lineRule="auto"/>
              <w:jc w:val="both"/>
              <w:rPr>
                <w:rFonts w:asciiTheme="minorHAnsi" w:hAnsiTheme="minorHAnsi" w:cs="Arial"/>
                <w:bCs/>
                <w:sz w:val="22"/>
                <w:szCs w:val="22"/>
              </w:rPr>
            </w:pPr>
            <w:r w:rsidRPr="005B23EF">
              <w:rPr>
                <w:rFonts w:asciiTheme="minorHAnsi" w:hAnsiTheme="minorHAnsi" w:cs="Arial"/>
                <w:bCs/>
                <w:sz w:val="22"/>
                <w:szCs w:val="22"/>
              </w:rPr>
              <w:t>CDIFFICILE</w:t>
            </w:r>
          </w:p>
          <w:p w:rsidR="005B23EF" w:rsidRPr="005B23EF" w:rsidRDefault="005B23EF" w:rsidP="005B23EF">
            <w:pPr>
              <w:pStyle w:val="ListParagraph"/>
              <w:spacing w:line="276" w:lineRule="auto"/>
              <w:jc w:val="both"/>
              <w:rPr>
                <w:rFonts w:asciiTheme="minorHAnsi" w:hAnsiTheme="minorHAnsi" w:cs="Arial"/>
                <w:bCs/>
                <w:sz w:val="22"/>
                <w:szCs w:val="22"/>
              </w:rPr>
            </w:pPr>
            <w:r w:rsidRPr="005B23EF">
              <w:rPr>
                <w:rFonts w:asciiTheme="minorHAnsi" w:hAnsiTheme="minorHAnsi" w:cs="Arial"/>
                <w:bCs/>
                <w:sz w:val="22"/>
                <w:szCs w:val="22"/>
              </w:rPr>
              <w:t>A total of 33 cases have occurred in the period April 2015 to March 2016 against the annual 2015/16 target of 35. Of the 33 cases, 19 were Community acquired infections and the other 14 were Acute.</w:t>
            </w:r>
          </w:p>
          <w:p w:rsidR="005B23EF" w:rsidRPr="005B23EF" w:rsidRDefault="005B23EF" w:rsidP="005B23EF">
            <w:pPr>
              <w:pStyle w:val="ListParagraph"/>
              <w:spacing w:line="276" w:lineRule="auto"/>
              <w:jc w:val="both"/>
              <w:rPr>
                <w:rFonts w:asciiTheme="minorHAnsi" w:hAnsiTheme="minorHAnsi" w:cs="Arial"/>
                <w:bCs/>
                <w:sz w:val="22"/>
                <w:szCs w:val="22"/>
              </w:rPr>
            </w:pPr>
          </w:p>
          <w:p w:rsidR="005B23EF" w:rsidRPr="005B23EF" w:rsidRDefault="005B23EF" w:rsidP="005B23EF">
            <w:pPr>
              <w:pStyle w:val="ListParagraph"/>
              <w:spacing w:line="276" w:lineRule="auto"/>
              <w:jc w:val="both"/>
              <w:rPr>
                <w:rFonts w:asciiTheme="minorHAnsi" w:hAnsiTheme="minorHAnsi" w:cs="Arial"/>
                <w:bCs/>
                <w:sz w:val="22"/>
                <w:szCs w:val="22"/>
              </w:rPr>
            </w:pPr>
            <w:r w:rsidRPr="005B23EF">
              <w:rPr>
                <w:rFonts w:asciiTheme="minorHAnsi" w:hAnsiTheme="minorHAnsi" w:cs="Arial"/>
                <w:bCs/>
                <w:sz w:val="22"/>
                <w:szCs w:val="22"/>
              </w:rPr>
              <w:t xml:space="preserve">RCA of all C Diff cases take place.  Themes, trends, review and action plans are revised and </w:t>
            </w:r>
            <w:r w:rsidR="00846210">
              <w:rPr>
                <w:rFonts w:asciiTheme="minorHAnsi" w:hAnsiTheme="minorHAnsi" w:cs="Arial"/>
                <w:bCs/>
                <w:sz w:val="22"/>
                <w:szCs w:val="22"/>
              </w:rPr>
              <w:t xml:space="preserve">a </w:t>
            </w:r>
            <w:r w:rsidRPr="005B23EF">
              <w:rPr>
                <w:rFonts w:asciiTheme="minorHAnsi" w:hAnsiTheme="minorHAnsi" w:cs="Arial"/>
                <w:bCs/>
                <w:sz w:val="22"/>
                <w:szCs w:val="22"/>
              </w:rPr>
              <w:t>proactive newsletter goes out to prescribers.</w:t>
            </w:r>
          </w:p>
          <w:p w:rsidR="005B23EF" w:rsidRPr="005B23EF" w:rsidRDefault="005B23EF" w:rsidP="005B23EF">
            <w:pPr>
              <w:pStyle w:val="ListParagraph"/>
              <w:spacing w:line="276" w:lineRule="auto"/>
              <w:jc w:val="both"/>
              <w:rPr>
                <w:rFonts w:asciiTheme="minorHAnsi" w:hAnsiTheme="minorHAnsi" w:cs="Arial"/>
                <w:bCs/>
                <w:sz w:val="22"/>
                <w:szCs w:val="22"/>
              </w:rPr>
            </w:pPr>
          </w:p>
          <w:p w:rsidR="005B23EF" w:rsidRPr="005B23EF" w:rsidRDefault="005B23EF" w:rsidP="005B23EF">
            <w:pPr>
              <w:pStyle w:val="ListParagraph"/>
              <w:spacing w:line="276" w:lineRule="auto"/>
              <w:jc w:val="both"/>
              <w:rPr>
                <w:rFonts w:asciiTheme="minorHAnsi" w:hAnsiTheme="minorHAnsi" w:cs="Arial"/>
                <w:bCs/>
                <w:sz w:val="22"/>
                <w:szCs w:val="22"/>
              </w:rPr>
            </w:pPr>
            <w:r w:rsidRPr="005B23EF">
              <w:rPr>
                <w:rFonts w:asciiTheme="minorHAnsi" w:hAnsiTheme="minorHAnsi" w:cs="Arial"/>
                <w:bCs/>
                <w:sz w:val="22"/>
                <w:szCs w:val="22"/>
              </w:rPr>
              <w:t>MRSA</w:t>
            </w:r>
          </w:p>
          <w:p w:rsidR="000D62C7" w:rsidRPr="00C764B2" w:rsidRDefault="005B23EF" w:rsidP="00C764B2">
            <w:pPr>
              <w:pStyle w:val="ListParagraph"/>
              <w:spacing w:line="276" w:lineRule="auto"/>
              <w:jc w:val="both"/>
              <w:rPr>
                <w:rFonts w:asciiTheme="minorHAnsi" w:hAnsiTheme="minorHAnsi" w:cs="Arial"/>
                <w:bCs/>
                <w:sz w:val="22"/>
                <w:szCs w:val="22"/>
              </w:rPr>
            </w:pPr>
            <w:r w:rsidRPr="005B23EF">
              <w:rPr>
                <w:rFonts w:asciiTheme="minorHAnsi" w:hAnsiTheme="minorHAnsi" w:cs="Arial"/>
                <w:bCs/>
                <w:sz w:val="22"/>
                <w:szCs w:val="22"/>
              </w:rPr>
              <w:t>We have 2 cases of MRSA in 2015/</w:t>
            </w:r>
            <w:proofErr w:type="gramStart"/>
            <w:r w:rsidRPr="005B23EF">
              <w:rPr>
                <w:rFonts w:asciiTheme="minorHAnsi" w:hAnsiTheme="minorHAnsi" w:cs="Arial"/>
                <w:bCs/>
                <w:sz w:val="22"/>
                <w:szCs w:val="22"/>
              </w:rPr>
              <w:t>16,</w:t>
            </w:r>
            <w:proofErr w:type="gramEnd"/>
            <w:r w:rsidRPr="005B23EF">
              <w:rPr>
                <w:rFonts w:asciiTheme="minorHAnsi" w:hAnsiTheme="minorHAnsi" w:cs="Arial"/>
                <w:bCs/>
                <w:sz w:val="22"/>
                <w:szCs w:val="22"/>
              </w:rPr>
              <w:t xml:space="preserve"> this measure has a zero tolerance as the target.  Post Infection Reviews (PIR) </w:t>
            </w:r>
            <w:proofErr w:type="gramStart"/>
            <w:r w:rsidRPr="005B23EF">
              <w:rPr>
                <w:rFonts w:asciiTheme="minorHAnsi" w:hAnsiTheme="minorHAnsi" w:cs="Arial"/>
                <w:bCs/>
                <w:sz w:val="22"/>
                <w:szCs w:val="22"/>
              </w:rPr>
              <w:t>were</w:t>
            </w:r>
            <w:proofErr w:type="gramEnd"/>
            <w:r w:rsidRPr="005B23EF">
              <w:rPr>
                <w:rFonts w:asciiTheme="minorHAnsi" w:hAnsiTheme="minorHAnsi" w:cs="Arial"/>
                <w:bCs/>
                <w:sz w:val="22"/>
                <w:szCs w:val="22"/>
              </w:rPr>
              <w:t xml:space="preserve"> undertaken as per guidelines and results sent to NHS England. </w:t>
            </w:r>
            <w:r w:rsidR="00B458DC">
              <w:rPr>
                <w:rFonts w:asciiTheme="minorHAnsi" w:hAnsiTheme="minorHAnsi" w:cs="Arial"/>
                <w:bCs/>
                <w:sz w:val="22"/>
                <w:szCs w:val="22"/>
              </w:rPr>
              <w:t>NHSE d</w:t>
            </w:r>
            <w:r w:rsidRPr="005B23EF">
              <w:rPr>
                <w:rFonts w:asciiTheme="minorHAnsi" w:hAnsiTheme="minorHAnsi" w:cs="Arial"/>
                <w:bCs/>
                <w:sz w:val="22"/>
                <w:szCs w:val="22"/>
              </w:rPr>
              <w:t>eemed that all procedures were handled correctly.  Action plans are formulated for all cases and are monitored</w:t>
            </w:r>
            <w:r w:rsidR="00C764B2">
              <w:rPr>
                <w:rFonts w:asciiTheme="minorHAnsi" w:hAnsiTheme="minorHAnsi" w:cs="Arial"/>
                <w:bCs/>
                <w:sz w:val="22"/>
                <w:szCs w:val="22"/>
              </w:rPr>
              <w:t xml:space="preserve"> by </w:t>
            </w:r>
            <w:proofErr w:type="spellStart"/>
            <w:r w:rsidR="000D62C7" w:rsidRPr="00C764B2">
              <w:rPr>
                <w:rFonts w:asciiTheme="minorHAnsi" w:hAnsiTheme="minorHAnsi" w:cs="Arial"/>
                <w:bCs/>
                <w:sz w:val="22"/>
                <w:szCs w:val="22"/>
              </w:rPr>
              <w:t>Yorks</w:t>
            </w:r>
            <w:proofErr w:type="spellEnd"/>
            <w:r w:rsidR="000D62C7" w:rsidRPr="00C764B2">
              <w:rPr>
                <w:rFonts w:asciiTheme="minorHAnsi" w:hAnsiTheme="minorHAnsi" w:cs="Arial"/>
                <w:bCs/>
                <w:sz w:val="22"/>
                <w:szCs w:val="22"/>
              </w:rPr>
              <w:t xml:space="preserve"> and Humber Hospital Ac</w:t>
            </w:r>
            <w:r w:rsidR="00282EB7" w:rsidRPr="00C764B2">
              <w:rPr>
                <w:rFonts w:asciiTheme="minorHAnsi" w:hAnsiTheme="minorHAnsi" w:cs="Arial"/>
                <w:bCs/>
                <w:sz w:val="22"/>
                <w:szCs w:val="22"/>
              </w:rPr>
              <w:t>quired Infection Strategy Group.</w:t>
            </w:r>
          </w:p>
          <w:p w:rsidR="000D62C7" w:rsidRPr="00F72F91" w:rsidRDefault="000D62C7" w:rsidP="000D62C7">
            <w:pPr>
              <w:spacing w:line="276" w:lineRule="auto"/>
              <w:jc w:val="both"/>
              <w:rPr>
                <w:rFonts w:asciiTheme="minorHAnsi" w:hAnsiTheme="minorHAnsi" w:cs="Arial"/>
                <w:bCs/>
                <w:sz w:val="22"/>
                <w:szCs w:val="22"/>
              </w:rPr>
            </w:pPr>
          </w:p>
          <w:p w:rsidR="000D62C7" w:rsidRPr="00F72F91" w:rsidRDefault="00282EB7" w:rsidP="00C31229">
            <w:pPr>
              <w:pStyle w:val="ListParagraph"/>
              <w:numPr>
                <w:ilvl w:val="0"/>
                <w:numId w:val="9"/>
              </w:numPr>
              <w:spacing w:line="276" w:lineRule="auto"/>
              <w:jc w:val="both"/>
              <w:rPr>
                <w:rFonts w:asciiTheme="minorHAnsi" w:eastAsia="Calibri" w:hAnsiTheme="minorHAnsi" w:cs="Arial"/>
                <w:b/>
                <w:bCs/>
                <w:sz w:val="22"/>
                <w:szCs w:val="22"/>
                <w:lang w:eastAsia="en-US"/>
              </w:rPr>
            </w:pPr>
            <w:r w:rsidRPr="00F72F91">
              <w:rPr>
                <w:rFonts w:asciiTheme="minorHAnsi" w:eastAsia="Calibri" w:hAnsiTheme="minorHAnsi" w:cs="Arial"/>
                <w:b/>
                <w:bCs/>
                <w:sz w:val="22"/>
                <w:szCs w:val="22"/>
                <w:lang w:eastAsia="en-US"/>
              </w:rPr>
              <w:t>Incident Reporting</w:t>
            </w:r>
          </w:p>
          <w:p w:rsidR="008F43D5" w:rsidRPr="00062C28" w:rsidRDefault="00062C28" w:rsidP="00062C28">
            <w:pPr>
              <w:pStyle w:val="ListParagraph"/>
              <w:autoSpaceDE w:val="0"/>
              <w:autoSpaceDN w:val="0"/>
              <w:spacing w:line="276" w:lineRule="auto"/>
              <w:jc w:val="both"/>
              <w:rPr>
                <w:rFonts w:asciiTheme="minorHAnsi" w:eastAsia="Calibri" w:hAnsiTheme="minorHAnsi" w:cs="Arial"/>
                <w:color w:val="000000"/>
                <w:sz w:val="22"/>
                <w:szCs w:val="22"/>
              </w:rPr>
            </w:pPr>
            <w:r>
              <w:rPr>
                <w:rFonts w:asciiTheme="minorHAnsi" w:eastAsia="Calibri" w:hAnsiTheme="minorHAnsi" w:cs="Arial"/>
                <w:color w:val="000000"/>
                <w:sz w:val="22"/>
                <w:szCs w:val="22"/>
              </w:rPr>
              <w:t>On 1</w:t>
            </w:r>
            <w:r w:rsidRPr="00062C28">
              <w:rPr>
                <w:rFonts w:asciiTheme="minorHAnsi" w:eastAsia="Calibri" w:hAnsiTheme="minorHAnsi" w:cs="Arial"/>
                <w:color w:val="000000"/>
                <w:sz w:val="22"/>
                <w:szCs w:val="22"/>
                <w:vertAlign w:val="superscript"/>
              </w:rPr>
              <w:t>st</w:t>
            </w:r>
            <w:r>
              <w:rPr>
                <w:rFonts w:asciiTheme="minorHAnsi" w:eastAsia="Calibri" w:hAnsiTheme="minorHAnsi" w:cs="Arial"/>
                <w:color w:val="000000"/>
                <w:sz w:val="22"/>
                <w:szCs w:val="22"/>
              </w:rPr>
              <w:t xml:space="preserve"> April 2016 the CCG</w:t>
            </w:r>
            <w:r w:rsidR="000D62C7" w:rsidRPr="00F72F91">
              <w:rPr>
                <w:rFonts w:asciiTheme="minorHAnsi" w:eastAsia="Calibri" w:hAnsiTheme="minorHAnsi" w:cs="Arial"/>
                <w:color w:val="000000"/>
                <w:sz w:val="22"/>
                <w:szCs w:val="22"/>
              </w:rPr>
              <w:t xml:space="preserve"> introduced a new Incident reporting process through an App </w:t>
            </w:r>
            <w:r w:rsidR="00243672" w:rsidRPr="00F72F91">
              <w:rPr>
                <w:rFonts w:asciiTheme="minorHAnsi" w:eastAsia="Calibri" w:hAnsiTheme="minorHAnsi" w:cs="Arial"/>
                <w:color w:val="000000"/>
                <w:sz w:val="22"/>
                <w:szCs w:val="22"/>
              </w:rPr>
              <w:t>(replacing Datix)</w:t>
            </w:r>
            <w:r w:rsidR="00243672">
              <w:rPr>
                <w:rFonts w:asciiTheme="minorHAnsi" w:eastAsia="Calibri" w:hAnsiTheme="minorHAnsi" w:cs="Arial"/>
                <w:color w:val="000000"/>
                <w:sz w:val="22"/>
                <w:szCs w:val="22"/>
              </w:rPr>
              <w:t xml:space="preserve"> </w:t>
            </w:r>
            <w:r w:rsidR="000D62C7" w:rsidRPr="00F72F91">
              <w:rPr>
                <w:rFonts w:asciiTheme="minorHAnsi" w:eastAsia="Calibri" w:hAnsiTheme="minorHAnsi" w:cs="Arial"/>
                <w:color w:val="000000"/>
                <w:sz w:val="22"/>
                <w:szCs w:val="22"/>
              </w:rPr>
              <w:t>acc</w:t>
            </w:r>
            <w:r>
              <w:rPr>
                <w:rFonts w:asciiTheme="minorHAnsi" w:eastAsia="Calibri" w:hAnsiTheme="minorHAnsi" w:cs="Arial"/>
                <w:color w:val="000000"/>
                <w:sz w:val="22"/>
                <w:szCs w:val="22"/>
              </w:rPr>
              <w:t xml:space="preserve">essible through the CCG network. This created a </w:t>
            </w:r>
            <w:r w:rsidR="008F43D5" w:rsidRPr="008F43D5">
              <w:rPr>
                <w:rFonts w:asciiTheme="minorHAnsi" w:eastAsia="Calibri" w:hAnsiTheme="minorHAnsi" w:cs="Arial"/>
                <w:color w:val="000000"/>
                <w:sz w:val="22"/>
                <w:szCs w:val="22"/>
              </w:rPr>
              <w:t>12k</w:t>
            </w:r>
            <w:r>
              <w:rPr>
                <w:rFonts w:asciiTheme="minorHAnsi" w:eastAsia="Calibri" w:hAnsiTheme="minorHAnsi" w:cs="Arial"/>
                <w:color w:val="000000"/>
                <w:sz w:val="22"/>
                <w:szCs w:val="22"/>
              </w:rPr>
              <w:t xml:space="preserve"> annual</w:t>
            </w:r>
            <w:r w:rsidR="008F43D5" w:rsidRPr="008F43D5">
              <w:rPr>
                <w:rFonts w:asciiTheme="minorHAnsi" w:eastAsia="Calibri" w:hAnsiTheme="minorHAnsi" w:cs="Arial"/>
                <w:color w:val="000000"/>
                <w:sz w:val="22"/>
                <w:szCs w:val="22"/>
              </w:rPr>
              <w:t xml:space="preserve"> saving on the licence fee</w:t>
            </w:r>
            <w:r>
              <w:rPr>
                <w:rFonts w:asciiTheme="minorHAnsi" w:eastAsia="Calibri" w:hAnsiTheme="minorHAnsi" w:cs="Arial"/>
                <w:color w:val="000000"/>
                <w:sz w:val="22"/>
                <w:szCs w:val="22"/>
              </w:rPr>
              <w:t xml:space="preserve">. </w:t>
            </w:r>
            <w:r w:rsidR="008F43D5" w:rsidRPr="00062C28">
              <w:rPr>
                <w:rFonts w:asciiTheme="minorHAnsi" w:eastAsia="Calibri" w:hAnsiTheme="minorHAnsi" w:cs="Arial"/>
                <w:color w:val="000000"/>
                <w:sz w:val="22"/>
                <w:szCs w:val="22"/>
              </w:rPr>
              <w:t>All practices and CCG s</w:t>
            </w:r>
            <w:r w:rsidRPr="00062C28">
              <w:rPr>
                <w:rFonts w:asciiTheme="minorHAnsi" w:eastAsia="Calibri" w:hAnsiTheme="minorHAnsi" w:cs="Arial"/>
                <w:color w:val="000000"/>
                <w:sz w:val="22"/>
                <w:szCs w:val="22"/>
              </w:rPr>
              <w:t>taff now trained on the New App and i</w:t>
            </w:r>
            <w:r w:rsidR="008F43D5" w:rsidRPr="00062C28">
              <w:rPr>
                <w:rFonts w:asciiTheme="minorHAnsi" w:eastAsia="Calibri" w:hAnsiTheme="minorHAnsi" w:cs="Arial"/>
                <w:color w:val="000000"/>
                <w:sz w:val="22"/>
                <w:szCs w:val="22"/>
              </w:rPr>
              <w:t xml:space="preserve">nitial feedback from Practice staff is </w:t>
            </w:r>
            <w:r w:rsidRPr="00062C28">
              <w:rPr>
                <w:rFonts w:asciiTheme="minorHAnsi" w:eastAsia="Calibri" w:hAnsiTheme="minorHAnsi" w:cs="Arial"/>
                <w:color w:val="000000"/>
                <w:sz w:val="22"/>
                <w:szCs w:val="22"/>
              </w:rPr>
              <w:t xml:space="preserve">very positive </w:t>
            </w:r>
            <w:r w:rsidR="008F43D5" w:rsidRPr="00062C28">
              <w:rPr>
                <w:rFonts w:asciiTheme="minorHAnsi" w:eastAsia="Calibri" w:hAnsiTheme="minorHAnsi" w:cs="Arial"/>
                <w:color w:val="000000"/>
                <w:sz w:val="22"/>
                <w:szCs w:val="22"/>
              </w:rPr>
              <w:t>i.e. the</w:t>
            </w:r>
            <w:r w:rsidRPr="00062C28">
              <w:rPr>
                <w:rFonts w:asciiTheme="minorHAnsi" w:eastAsia="Calibri" w:hAnsiTheme="minorHAnsi" w:cs="Arial"/>
                <w:color w:val="000000"/>
                <w:sz w:val="22"/>
                <w:szCs w:val="22"/>
              </w:rPr>
              <w:t xml:space="preserve"> new process is much quicker and easier to use. </w:t>
            </w:r>
          </w:p>
          <w:p w:rsidR="00062C28" w:rsidRDefault="00062C28" w:rsidP="00062C28">
            <w:pPr>
              <w:pStyle w:val="ListParagraph"/>
              <w:autoSpaceDE w:val="0"/>
              <w:autoSpaceDN w:val="0"/>
              <w:spacing w:line="276" w:lineRule="auto"/>
              <w:jc w:val="both"/>
              <w:rPr>
                <w:rFonts w:asciiTheme="minorHAnsi" w:eastAsia="Calibri" w:hAnsiTheme="minorHAnsi" w:cs="Arial"/>
                <w:color w:val="000000"/>
                <w:sz w:val="22"/>
                <w:szCs w:val="22"/>
              </w:rPr>
            </w:pPr>
          </w:p>
          <w:p w:rsidR="00062C28" w:rsidRPr="00062C28" w:rsidRDefault="00062C28" w:rsidP="00062C28">
            <w:pPr>
              <w:pStyle w:val="ListParagraph"/>
              <w:autoSpaceDE w:val="0"/>
              <w:autoSpaceDN w:val="0"/>
              <w:spacing w:line="276" w:lineRule="auto"/>
              <w:jc w:val="both"/>
              <w:rPr>
                <w:rFonts w:asciiTheme="minorHAnsi" w:eastAsia="Calibri" w:hAnsiTheme="minorHAnsi" w:cs="Arial"/>
                <w:color w:val="000000"/>
                <w:sz w:val="22"/>
                <w:szCs w:val="22"/>
              </w:rPr>
            </w:pPr>
            <w:r>
              <w:rPr>
                <w:rFonts w:asciiTheme="minorHAnsi" w:eastAsia="Calibri" w:hAnsiTheme="minorHAnsi" w:cs="Arial"/>
                <w:color w:val="000000"/>
                <w:sz w:val="22"/>
                <w:szCs w:val="22"/>
              </w:rPr>
              <w:t>Incident reporting has generally increased</w:t>
            </w:r>
            <w:r w:rsidR="00E9692F">
              <w:rPr>
                <w:rFonts w:asciiTheme="minorHAnsi" w:eastAsia="Calibri" w:hAnsiTheme="minorHAnsi" w:cs="Arial"/>
                <w:color w:val="000000"/>
                <w:sz w:val="22"/>
                <w:szCs w:val="22"/>
              </w:rPr>
              <w:t xml:space="preserve"> in the last 12 months.</w:t>
            </w:r>
            <w:r>
              <w:rPr>
                <w:rFonts w:asciiTheme="minorHAnsi" w:eastAsia="Calibri" w:hAnsiTheme="minorHAnsi" w:cs="Arial"/>
                <w:color w:val="000000"/>
                <w:sz w:val="22"/>
                <w:szCs w:val="22"/>
              </w:rPr>
              <w:t xml:space="preserve"> </w:t>
            </w:r>
          </w:p>
          <w:p w:rsidR="008F43D5" w:rsidRPr="008F43D5" w:rsidRDefault="008F43D5" w:rsidP="008F43D5">
            <w:pPr>
              <w:pStyle w:val="ListParagraph"/>
              <w:autoSpaceDE w:val="0"/>
              <w:autoSpaceDN w:val="0"/>
              <w:spacing w:line="276" w:lineRule="auto"/>
              <w:jc w:val="both"/>
              <w:rPr>
                <w:rFonts w:asciiTheme="minorHAnsi" w:eastAsia="Calibri" w:hAnsiTheme="minorHAnsi" w:cs="Arial"/>
                <w:color w:val="000000"/>
                <w:sz w:val="22"/>
                <w:szCs w:val="22"/>
              </w:rPr>
            </w:pPr>
            <w:r w:rsidRPr="008F43D5">
              <w:rPr>
                <w:rFonts w:asciiTheme="minorHAnsi" w:eastAsia="Calibri" w:hAnsiTheme="minorHAnsi" w:cs="Arial"/>
                <w:color w:val="000000"/>
                <w:sz w:val="22"/>
                <w:szCs w:val="22"/>
              </w:rPr>
              <w:t>•</w:t>
            </w:r>
            <w:r w:rsidRPr="008F43D5">
              <w:rPr>
                <w:rFonts w:asciiTheme="minorHAnsi" w:eastAsia="Calibri" w:hAnsiTheme="minorHAnsi" w:cs="Arial"/>
                <w:color w:val="000000"/>
                <w:sz w:val="22"/>
                <w:szCs w:val="22"/>
              </w:rPr>
              <w:tab/>
              <w:t>Total number of incidents reported during 2014/2015     =             250</w:t>
            </w:r>
          </w:p>
          <w:p w:rsidR="008F43D5" w:rsidRPr="008F43D5" w:rsidRDefault="008F43D5" w:rsidP="008F43D5">
            <w:pPr>
              <w:pStyle w:val="ListParagraph"/>
              <w:autoSpaceDE w:val="0"/>
              <w:autoSpaceDN w:val="0"/>
              <w:spacing w:line="276" w:lineRule="auto"/>
              <w:jc w:val="both"/>
              <w:rPr>
                <w:rFonts w:asciiTheme="minorHAnsi" w:eastAsia="Calibri" w:hAnsiTheme="minorHAnsi" w:cs="Arial"/>
                <w:color w:val="000000"/>
                <w:sz w:val="22"/>
                <w:szCs w:val="22"/>
              </w:rPr>
            </w:pPr>
            <w:r w:rsidRPr="008F43D5">
              <w:rPr>
                <w:rFonts w:asciiTheme="minorHAnsi" w:eastAsia="Calibri" w:hAnsiTheme="minorHAnsi" w:cs="Arial"/>
                <w:color w:val="000000"/>
                <w:sz w:val="22"/>
                <w:szCs w:val="22"/>
              </w:rPr>
              <w:t>•</w:t>
            </w:r>
            <w:r w:rsidRPr="008F43D5">
              <w:rPr>
                <w:rFonts w:asciiTheme="minorHAnsi" w:eastAsia="Calibri" w:hAnsiTheme="minorHAnsi" w:cs="Arial"/>
                <w:color w:val="000000"/>
                <w:sz w:val="22"/>
                <w:szCs w:val="22"/>
              </w:rPr>
              <w:tab/>
              <w:t>Total number of incidents reported during 2015/2016     =             350</w:t>
            </w:r>
          </w:p>
          <w:p w:rsidR="008F43D5" w:rsidRPr="008F43D5" w:rsidRDefault="008F43D5" w:rsidP="008F43D5">
            <w:pPr>
              <w:pStyle w:val="ListParagraph"/>
              <w:autoSpaceDE w:val="0"/>
              <w:autoSpaceDN w:val="0"/>
              <w:spacing w:line="276" w:lineRule="auto"/>
              <w:jc w:val="both"/>
              <w:rPr>
                <w:rFonts w:asciiTheme="minorHAnsi" w:eastAsia="Calibri" w:hAnsiTheme="minorHAnsi" w:cs="Arial"/>
                <w:color w:val="000000"/>
                <w:sz w:val="22"/>
                <w:szCs w:val="22"/>
              </w:rPr>
            </w:pPr>
          </w:p>
          <w:p w:rsidR="008F43D5" w:rsidRPr="008F43D5" w:rsidRDefault="00E9692F" w:rsidP="008F43D5">
            <w:pPr>
              <w:pStyle w:val="ListParagraph"/>
              <w:autoSpaceDE w:val="0"/>
              <w:autoSpaceDN w:val="0"/>
              <w:spacing w:line="276" w:lineRule="auto"/>
              <w:jc w:val="both"/>
              <w:rPr>
                <w:rFonts w:asciiTheme="minorHAnsi" w:eastAsia="Calibri" w:hAnsiTheme="minorHAnsi" w:cs="Arial"/>
                <w:color w:val="000000"/>
                <w:sz w:val="22"/>
                <w:szCs w:val="22"/>
              </w:rPr>
            </w:pPr>
            <w:r>
              <w:rPr>
                <w:rFonts w:asciiTheme="minorHAnsi" w:eastAsia="Calibri" w:hAnsiTheme="minorHAnsi" w:cs="Arial"/>
                <w:color w:val="000000"/>
                <w:sz w:val="22"/>
                <w:szCs w:val="22"/>
              </w:rPr>
              <w:t>We have recently u</w:t>
            </w:r>
            <w:r w:rsidR="008F43D5" w:rsidRPr="008F43D5">
              <w:rPr>
                <w:rFonts w:asciiTheme="minorHAnsi" w:eastAsia="Calibri" w:hAnsiTheme="minorHAnsi" w:cs="Arial"/>
                <w:color w:val="000000"/>
                <w:sz w:val="22"/>
                <w:szCs w:val="22"/>
              </w:rPr>
              <w:t>pdated</w:t>
            </w:r>
            <w:r>
              <w:rPr>
                <w:rFonts w:asciiTheme="minorHAnsi" w:eastAsia="Calibri" w:hAnsiTheme="minorHAnsi" w:cs="Arial"/>
                <w:color w:val="000000"/>
                <w:sz w:val="22"/>
                <w:szCs w:val="22"/>
              </w:rPr>
              <w:t xml:space="preserve"> the</w:t>
            </w:r>
            <w:r w:rsidR="008F43D5" w:rsidRPr="008F43D5">
              <w:rPr>
                <w:rFonts w:asciiTheme="minorHAnsi" w:eastAsia="Calibri" w:hAnsiTheme="minorHAnsi" w:cs="Arial"/>
                <w:color w:val="000000"/>
                <w:sz w:val="22"/>
                <w:szCs w:val="22"/>
              </w:rPr>
              <w:t xml:space="preserve"> App with criteria</w:t>
            </w:r>
            <w:r>
              <w:rPr>
                <w:rFonts w:asciiTheme="minorHAnsi" w:eastAsia="Calibri" w:hAnsiTheme="minorHAnsi" w:cs="Arial"/>
                <w:color w:val="000000"/>
                <w:sz w:val="22"/>
                <w:szCs w:val="22"/>
              </w:rPr>
              <w:t xml:space="preserve"> encouraging </w:t>
            </w:r>
            <w:r w:rsidR="008F43D5" w:rsidRPr="008F43D5">
              <w:rPr>
                <w:rFonts w:asciiTheme="minorHAnsi" w:eastAsia="Calibri" w:hAnsiTheme="minorHAnsi" w:cs="Arial"/>
                <w:color w:val="000000"/>
                <w:sz w:val="22"/>
                <w:szCs w:val="22"/>
              </w:rPr>
              <w:t xml:space="preserve">GP’s &amp; Nurses to be able to use </w:t>
            </w:r>
            <w:r>
              <w:rPr>
                <w:rFonts w:asciiTheme="minorHAnsi" w:eastAsia="Calibri" w:hAnsiTheme="minorHAnsi" w:cs="Arial"/>
                <w:color w:val="000000"/>
                <w:sz w:val="22"/>
                <w:szCs w:val="22"/>
              </w:rPr>
              <w:t xml:space="preserve">the refection on incidents </w:t>
            </w:r>
            <w:r w:rsidR="008F43D5" w:rsidRPr="008F43D5">
              <w:rPr>
                <w:rFonts w:asciiTheme="minorHAnsi" w:eastAsia="Calibri" w:hAnsiTheme="minorHAnsi" w:cs="Arial"/>
                <w:color w:val="000000"/>
                <w:sz w:val="22"/>
                <w:szCs w:val="22"/>
              </w:rPr>
              <w:t>for Revalidation purposes</w:t>
            </w:r>
            <w:r>
              <w:rPr>
                <w:rFonts w:asciiTheme="minorHAnsi" w:eastAsia="Calibri" w:hAnsiTheme="minorHAnsi" w:cs="Arial"/>
                <w:color w:val="000000"/>
                <w:sz w:val="22"/>
                <w:szCs w:val="22"/>
              </w:rPr>
              <w:t xml:space="preserve">. We have also worked with the regional </w:t>
            </w:r>
            <w:r w:rsidRPr="008F43D5">
              <w:rPr>
                <w:rFonts w:asciiTheme="minorHAnsi" w:eastAsia="Calibri" w:hAnsiTheme="minorHAnsi" w:cs="Arial"/>
                <w:color w:val="000000"/>
                <w:sz w:val="22"/>
                <w:szCs w:val="22"/>
              </w:rPr>
              <w:t>Screening &amp; Imm</w:t>
            </w:r>
            <w:r>
              <w:rPr>
                <w:rFonts w:asciiTheme="minorHAnsi" w:eastAsia="Calibri" w:hAnsiTheme="minorHAnsi" w:cs="Arial"/>
                <w:color w:val="000000"/>
                <w:sz w:val="22"/>
                <w:szCs w:val="22"/>
              </w:rPr>
              <w:t>uni</w:t>
            </w:r>
            <w:r w:rsidRPr="008F43D5">
              <w:rPr>
                <w:rFonts w:asciiTheme="minorHAnsi" w:eastAsia="Calibri" w:hAnsiTheme="minorHAnsi" w:cs="Arial"/>
                <w:color w:val="000000"/>
                <w:sz w:val="22"/>
                <w:szCs w:val="22"/>
              </w:rPr>
              <w:t>s</w:t>
            </w:r>
            <w:r>
              <w:rPr>
                <w:rFonts w:asciiTheme="minorHAnsi" w:eastAsia="Calibri" w:hAnsiTheme="minorHAnsi" w:cs="Arial"/>
                <w:color w:val="000000"/>
                <w:sz w:val="22"/>
                <w:szCs w:val="22"/>
              </w:rPr>
              <w:t>ation</w:t>
            </w:r>
            <w:r w:rsidRPr="008F43D5">
              <w:rPr>
                <w:rFonts w:asciiTheme="minorHAnsi" w:eastAsia="Calibri" w:hAnsiTheme="minorHAnsi" w:cs="Arial"/>
                <w:color w:val="000000"/>
                <w:sz w:val="22"/>
                <w:szCs w:val="22"/>
              </w:rPr>
              <w:t xml:space="preserve"> </w:t>
            </w:r>
            <w:r>
              <w:rPr>
                <w:rFonts w:asciiTheme="minorHAnsi" w:eastAsia="Calibri" w:hAnsiTheme="minorHAnsi" w:cs="Arial"/>
                <w:color w:val="000000"/>
                <w:sz w:val="22"/>
                <w:szCs w:val="22"/>
              </w:rPr>
              <w:t xml:space="preserve">lead from PHE to </w:t>
            </w:r>
            <w:r w:rsidRPr="008F43D5">
              <w:rPr>
                <w:rFonts w:asciiTheme="minorHAnsi" w:eastAsia="Calibri" w:hAnsiTheme="minorHAnsi" w:cs="Arial"/>
                <w:color w:val="000000"/>
                <w:sz w:val="22"/>
                <w:szCs w:val="22"/>
              </w:rPr>
              <w:t>introduc</w:t>
            </w:r>
            <w:r>
              <w:rPr>
                <w:rFonts w:asciiTheme="minorHAnsi" w:eastAsia="Calibri" w:hAnsiTheme="minorHAnsi" w:cs="Arial"/>
                <w:color w:val="000000"/>
                <w:sz w:val="22"/>
                <w:szCs w:val="22"/>
              </w:rPr>
              <w:t xml:space="preserve">e </w:t>
            </w:r>
            <w:r w:rsidRPr="008F43D5">
              <w:rPr>
                <w:rFonts w:asciiTheme="minorHAnsi" w:eastAsia="Calibri" w:hAnsiTheme="minorHAnsi" w:cs="Arial"/>
                <w:color w:val="000000"/>
                <w:sz w:val="22"/>
                <w:szCs w:val="22"/>
              </w:rPr>
              <w:t>new categories in the App so</w:t>
            </w:r>
            <w:r>
              <w:rPr>
                <w:rFonts w:asciiTheme="minorHAnsi" w:eastAsia="Calibri" w:hAnsiTheme="minorHAnsi" w:cs="Arial"/>
                <w:color w:val="000000"/>
                <w:sz w:val="22"/>
                <w:szCs w:val="22"/>
              </w:rPr>
              <w:t xml:space="preserve"> that p</w:t>
            </w:r>
            <w:r w:rsidRPr="008F43D5">
              <w:rPr>
                <w:rFonts w:asciiTheme="minorHAnsi" w:eastAsia="Calibri" w:hAnsiTheme="minorHAnsi" w:cs="Arial"/>
                <w:color w:val="000000"/>
                <w:sz w:val="22"/>
                <w:szCs w:val="22"/>
              </w:rPr>
              <w:t>ractice staff can inform the CCG of issues i.e. cold chain problems, scheduling problems.</w:t>
            </w:r>
            <w:r>
              <w:rPr>
                <w:rFonts w:asciiTheme="minorHAnsi" w:eastAsia="Calibri" w:hAnsiTheme="minorHAnsi" w:cs="Arial"/>
                <w:color w:val="000000"/>
                <w:sz w:val="22"/>
                <w:szCs w:val="22"/>
              </w:rPr>
              <w:t xml:space="preserve"> This enables us to work with PHE </w:t>
            </w:r>
            <w:r w:rsidR="008F43D5" w:rsidRPr="008F43D5">
              <w:rPr>
                <w:rFonts w:asciiTheme="minorHAnsi" w:eastAsia="Calibri" w:hAnsiTheme="minorHAnsi" w:cs="Arial"/>
                <w:color w:val="000000"/>
                <w:sz w:val="22"/>
                <w:szCs w:val="22"/>
              </w:rPr>
              <w:t xml:space="preserve">to </w:t>
            </w:r>
            <w:r>
              <w:rPr>
                <w:rFonts w:asciiTheme="minorHAnsi" w:eastAsia="Calibri" w:hAnsiTheme="minorHAnsi" w:cs="Arial"/>
                <w:color w:val="000000"/>
                <w:sz w:val="22"/>
                <w:szCs w:val="22"/>
              </w:rPr>
              <w:t xml:space="preserve">share </w:t>
            </w:r>
            <w:r w:rsidR="008F43D5" w:rsidRPr="008F43D5">
              <w:rPr>
                <w:rFonts w:asciiTheme="minorHAnsi" w:eastAsia="Calibri" w:hAnsiTheme="minorHAnsi" w:cs="Arial"/>
                <w:color w:val="000000"/>
                <w:sz w:val="22"/>
                <w:szCs w:val="22"/>
              </w:rPr>
              <w:t xml:space="preserve">a </w:t>
            </w:r>
            <w:r>
              <w:rPr>
                <w:rFonts w:asciiTheme="minorHAnsi" w:eastAsia="Calibri" w:hAnsiTheme="minorHAnsi" w:cs="Arial"/>
                <w:color w:val="000000"/>
                <w:sz w:val="22"/>
                <w:szCs w:val="22"/>
              </w:rPr>
              <w:t>wide</w:t>
            </w:r>
            <w:r w:rsidR="00671C34">
              <w:rPr>
                <w:rFonts w:asciiTheme="minorHAnsi" w:eastAsia="Calibri" w:hAnsiTheme="minorHAnsi" w:cs="Arial"/>
                <w:color w:val="000000"/>
                <w:sz w:val="22"/>
                <w:szCs w:val="22"/>
              </w:rPr>
              <w:t>r</w:t>
            </w:r>
            <w:r w:rsidR="008F43D5" w:rsidRPr="008F43D5">
              <w:rPr>
                <w:rFonts w:asciiTheme="minorHAnsi" w:eastAsia="Calibri" w:hAnsiTheme="minorHAnsi" w:cs="Arial"/>
                <w:color w:val="000000"/>
                <w:sz w:val="22"/>
                <w:szCs w:val="22"/>
              </w:rPr>
              <w:t xml:space="preserve"> picture of</w:t>
            </w:r>
            <w:r>
              <w:rPr>
                <w:rFonts w:asciiTheme="minorHAnsi" w:eastAsia="Calibri" w:hAnsiTheme="minorHAnsi" w:cs="Arial"/>
                <w:color w:val="000000"/>
                <w:sz w:val="22"/>
                <w:szCs w:val="22"/>
              </w:rPr>
              <w:t xml:space="preserve"> incidents</w:t>
            </w:r>
            <w:r w:rsidR="008F43D5" w:rsidRPr="008F43D5">
              <w:rPr>
                <w:rFonts w:asciiTheme="minorHAnsi" w:eastAsia="Calibri" w:hAnsiTheme="minorHAnsi" w:cs="Arial"/>
                <w:color w:val="000000"/>
                <w:sz w:val="22"/>
                <w:szCs w:val="22"/>
              </w:rPr>
              <w:t xml:space="preserve"> across </w:t>
            </w:r>
            <w:r>
              <w:rPr>
                <w:rFonts w:asciiTheme="minorHAnsi" w:eastAsia="Calibri" w:hAnsiTheme="minorHAnsi" w:cs="Arial"/>
                <w:color w:val="000000"/>
                <w:sz w:val="22"/>
                <w:szCs w:val="22"/>
              </w:rPr>
              <w:t>the patch.</w:t>
            </w:r>
            <w:r w:rsidR="008F43D5" w:rsidRPr="008F43D5">
              <w:rPr>
                <w:rFonts w:asciiTheme="minorHAnsi" w:eastAsia="Calibri" w:hAnsiTheme="minorHAnsi" w:cs="Arial"/>
                <w:color w:val="000000"/>
                <w:sz w:val="22"/>
                <w:szCs w:val="22"/>
              </w:rPr>
              <w:t xml:space="preserve"> </w:t>
            </w:r>
          </w:p>
          <w:p w:rsidR="008F43D5" w:rsidRPr="008F43D5" w:rsidRDefault="008F43D5" w:rsidP="008F43D5">
            <w:pPr>
              <w:pStyle w:val="ListParagraph"/>
              <w:autoSpaceDE w:val="0"/>
              <w:autoSpaceDN w:val="0"/>
              <w:spacing w:line="276" w:lineRule="auto"/>
              <w:jc w:val="both"/>
              <w:rPr>
                <w:rFonts w:asciiTheme="minorHAnsi" w:eastAsia="Calibri" w:hAnsiTheme="minorHAnsi" w:cs="Arial"/>
                <w:color w:val="000000"/>
                <w:sz w:val="22"/>
                <w:szCs w:val="22"/>
              </w:rPr>
            </w:pPr>
          </w:p>
          <w:p w:rsidR="00376E43" w:rsidRPr="00324406" w:rsidRDefault="00671C34" w:rsidP="00324406">
            <w:pPr>
              <w:pStyle w:val="ListParagraph"/>
              <w:autoSpaceDE w:val="0"/>
              <w:autoSpaceDN w:val="0"/>
              <w:spacing w:line="276" w:lineRule="auto"/>
              <w:jc w:val="both"/>
              <w:rPr>
                <w:rFonts w:asciiTheme="minorHAnsi" w:eastAsia="Calibri" w:hAnsiTheme="minorHAnsi" w:cs="Arial"/>
                <w:color w:val="000000"/>
                <w:sz w:val="22"/>
                <w:szCs w:val="22"/>
              </w:rPr>
            </w:pPr>
            <w:r>
              <w:rPr>
                <w:rFonts w:asciiTheme="minorHAnsi" w:eastAsia="Calibri" w:hAnsiTheme="minorHAnsi" w:cs="Arial"/>
                <w:color w:val="000000"/>
                <w:sz w:val="22"/>
                <w:szCs w:val="22"/>
              </w:rPr>
              <w:t xml:space="preserve">We have realised the benefits of incident reporting through recent work undertaken in the team to analyse and triangulate the intelligence from incident data and from other data e.g. </w:t>
            </w:r>
            <w:proofErr w:type="spellStart"/>
            <w:r>
              <w:rPr>
                <w:rFonts w:asciiTheme="minorHAnsi" w:eastAsia="Calibri" w:hAnsiTheme="minorHAnsi" w:cs="Arial"/>
                <w:color w:val="000000"/>
                <w:sz w:val="22"/>
                <w:szCs w:val="22"/>
              </w:rPr>
              <w:t>vias</w:t>
            </w:r>
            <w:proofErr w:type="spellEnd"/>
            <w:r>
              <w:rPr>
                <w:rFonts w:asciiTheme="minorHAnsi" w:eastAsia="Calibri" w:hAnsiTheme="minorHAnsi" w:cs="Arial"/>
                <w:color w:val="000000"/>
                <w:sz w:val="22"/>
                <w:szCs w:val="22"/>
              </w:rPr>
              <w:t xml:space="preserve"> the PALS route. The team identified a number of themed </w:t>
            </w:r>
            <w:proofErr w:type="gramStart"/>
            <w:r>
              <w:rPr>
                <w:rFonts w:asciiTheme="minorHAnsi" w:eastAsia="Calibri" w:hAnsiTheme="minorHAnsi" w:cs="Arial"/>
                <w:color w:val="000000"/>
                <w:sz w:val="22"/>
                <w:szCs w:val="22"/>
              </w:rPr>
              <w:t>area</w:t>
            </w:r>
            <w:proofErr w:type="gramEnd"/>
            <w:r>
              <w:rPr>
                <w:rFonts w:asciiTheme="minorHAnsi" w:eastAsia="Calibri" w:hAnsiTheme="minorHAnsi" w:cs="Arial"/>
                <w:color w:val="000000"/>
                <w:sz w:val="22"/>
                <w:szCs w:val="22"/>
              </w:rPr>
              <w:t xml:space="preserve"> that appear to be linked to the Clinical Admin Review at NLG that we have escalated to NLG for their investigation and actions. The team will continue to promote the use of the App to enable us to capture local intelligence aiming to identify themes and trends. </w:t>
            </w:r>
            <w:r w:rsidR="0052687C" w:rsidRPr="00324406">
              <w:rPr>
                <w:rFonts w:asciiTheme="minorHAnsi" w:eastAsia="Calibri" w:hAnsiTheme="minorHAnsi" w:cs="Arial"/>
                <w:color w:val="000000"/>
                <w:sz w:val="22"/>
                <w:szCs w:val="22"/>
              </w:rPr>
              <w:t xml:space="preserve"> </w:t>
            </w:r>
          </w:p>
          <w:p w:rsidR="00282EB7" w:rsidRPr="00F72F91" w:rsidRDefault="00282EB7" w:rsidP="00282EB7">
            <w:pPr>
              <w:pStyle w:val="Default"/>
              <w:spacing w:line="276" w:lineRule="auto"/>
              <w:jc w:val="both"/>
              <w:rPr>
                <w:rFonts w:asciiTheme="minorHAnsi" w:hAnsiTheme="minorHAnsi"/>
                <w:b/>
                <w:color w:val="auto"/>
                <w:sz w:val="22"/>
                <w:szCs w:val="22"/>
              </w:rPr>
            </w:pPr>
          </w:p>
          <w:p w:rsidR="001217F0" w:rsidRDefault="00282EB7" w:rsidP="001217F0">
            <w:pPr>
              <w:pStyle w:val="Default"/>
              <w:numPr>
                <w:ilvl w:val="0"/>
                <w:numId w:val="9"/>
              </w:numPr>
              <w:spacing w:line="276" w:lineRule="auto"/>
              <w:jc w:val="both"/>
              <w:rPr>
                <w:rFonts w:asciiTheme="minorHAnsi" w:hAnsiTheme="minorHAnsi"/>
                <w:b/>
                <w:color w:val="auto"/>
                <w:sz w:val="22"/>
                <w:szCs w:val="22"/>
              </w:rPr>
            </w:pPr>
            <w:r w:rsidRPr="00F72F91">
              <w:rPr>
                <w:rFonts w:asciiTheme="minorHAnsi" w:hAnsiTheme="minorHAnsi"/>
                <w:b/>
                <w:color w:val="auto"/>
                <w:sz w:val="22"/>
                <w:szCs w:val="22"/>
              </w:rPr>
              <w:t xml:space="preserve">Key Risks within </w:t>
            </w:r>
            <w:r w:rsidR="00712365" w:rsidRPr="00F72F91">
              <w:rPr>
                <w:rFonts w:asciiTheme="minorHAnsi" w:hAnsiTheme="minorHAnsi"/>
                <w:b/>
                <w:color w:val="auto"/>
                <w:sz w:val="22"/>
                <w:szCs w:val="22"/>
              </w:rPr>
              <w:t>M</w:t>
            </w:r>
            <w:r w:rsidRPr="00F72F91">
              <w:rPr>
                <w:rFonts w:asciiTheme="minorHAnsi" w:hAnsiTheme="minorHAnsi"/>
                <w:b/>
                <w:color w:val="auto"/>
                <w:sz w:val="22"/>
                <w:szCs w:val="22"/>
              </w:rPr>
              <w:t xml:space="preserve">ain </w:t>
            </w:r>
            <w:r w:rsidR="00712365" w:rsidRPr="00F72F91">
              <w:rPr>
                <w:rFonts w:asciiTheme="minorHAnsi" w:hAnsiTheme="minorHAnsi"/>
                <w:b/>
                <w:color w:val="auto"/>
                <w:sz w:val="22"/>
                <w:szCs w:val="22"/>
              </w:rPr>
              <w:t>P</w:t>
            </w:r>
            <w:r w:rsidRPr="00F72F91">
              <w:rPr>
                <w:rFonts w:asciiTheme="minorHAnsi" w:hAnsiTheme="minorHAnsi"/>
                <w:b/>
                <w:color w:val="auto"/>
                <w:sz w:val="22"/>
                <w:szCs w:val="22"/>
              </w:rPr>
              <w:t>roviders</w:t>
            </w:r>
          </w:p>
          <w:p w:rsidR="001217F0" w:rsidRPr="0049399C" w:rsidRDefault="00EF376E" w:rsidP="0049399C">
            <w:pPr>
              <w:pStyle w:val="Default"/>
              <w:spacing w:line="276" w:lineRule="auto"/>
              <w:ind w:left="720"/>
              <w:jc w:val="both"/>
              <w:rPr>
                <w:rFonts w:asciiTheme="minorHAnsi" w:hAnsiTheme="minorHAnsi"/>
                <w:b/>
                <w:color w:val="auto"/>
                <w:sz w:val="22"/>
                <w:szCs w:val="22"/>
              </w:rPr>
            </w:pPr>
            <w:r w:rsidRPr="00C764B2">
              <w:rPr>
                <w:rFonts w:asciiTheme="minorHAnsi" w:eastAsiaTheme="minorHAnsi" w:hAnsiTheme="minorHAnsi"/>
                <w:b/>
                <w:bCs/>
                <w:sz w:val="22"/>
                <w:szCs w:val="22"/>
                <w:u w:val="single"/>
                <w:lang w:eastAsia="en-US"/>
              </w:rPr>
              <w:t>Hull &amp; East Yorkshire Hospitals</w:t>
            </w:r>
          </w:p>
          <w:p w:rsidR="001217F0" w:rsidRPr="0049399C" w:rsidRDefault="001217F0" w:rsidP="0049399C">
            <w:pPr>
              <w:pStyle w:val="ListParagraph"/>
              <w:rPr>
                <w:rFonts w:asciiTheme="minorHAnsi" w:eastAsiaTheme="minorHAnsi" w:hAnsiTheme="minorHAnsi" w:cs="Arial"/>
                <w:bCs/>
                <w:sz w:val="22"/>
                <w:szCs w:val="22"/>
                <w:lang w:eastAsia="en-US"/>
              </w:rPr>
            </w:pPr>
            <w:r w:rsidRPr="001217F0">
              <w:rPr>
                <w:rFonts w:asciiTheme="minorHAnsi" w:eastAsiaTheme="minorHAnsi" w:hAnsiTheme="minorHAnsi" w:cs="Arial"/>
                <w:bCs/>
                <w:sz w:val="22"/>
                <w:szCs w:val="22"/>
                <w:lang w:eastAsia="en-US"/>
              </w:rPr>
              <w:t>Venous Thromboem</w:t>
            </w:r>
            <w:r w:rsidR="0049399C">
              <w:rPr>
                <w:rFonts w:asciiTheme="minorHAnsi" w:eastAsiaTheme="minorHAnsi" w:hAnsiTheme="minorHAnsi" w:cs="Arial"/>
                <w:bCs/>
                <w:sz w:val="22"/>
                <w:szCs w:val="22"/>
                <w:lang w:eastAsia="en-US"/>
              </w:rPr>
              <w:t xml:space="preserve">bolism (VTE) performance at HEY. </w:t>
            </w:r>
            <w:r w:rsidRPr="0049399C">
              <w:rPr>
                <w:rFonts w:asciiTheme="minorHAnsi" w:eastAsiaTheme="minorHAnsi" w:hAnsiTheme="minorHAnsi" w:cs="Arial"/>
                <w:bCs/>
                <w:sz w:val="22"/>
                <w:szCs w:val="22"/>
                <w:lang w:eastAsia="en-US"/>
              </w:rPr>
              <w:t>The Trust continues to report low performance against the 95% target (latest data, Q3, reflects 78.39% achievement). The Trust states that this performance is reflective of data capture issues between the paper system and the electronic system, but that in reality the Trust is achieving the 95% requirement and states that this is evidenced via the VTE data submitted as part of the CQUIN submission.</w:t>
            </w:r>
            <w:r w:rsidR="0049399C">
              <w:rPr>
                <w:rFonts w:asciiTheme="minorHAnsi" w:eastAsiaTheme="minorHAnsi" w:hAnsiTheme="minorHAnsi" w:cs="Arial"/>
                <w:bCs/>
                <w:sz w:val="22"/>
                <w:szCs w:val="22"/>
                <w:lang w:eastAsia="en-US"/>
              </w:rPr>
              <w:t xml:space="preserve"> We will continue to monitor this via quality contract review meetings.</w:t>
            </w:r>
          </w:p>
          <w:p w:rsidR="001217F0" w:rsidRPr="001217F0" w:rsidRDefault="001217F0" w:rsidP="001217F0">
            <w:pPr>
              <w:rPr>
                <w:rFonts w:asciiTheme="minorHAnsi" w:eastAsiaTheme="minorHAnsi" w:hAnsiTheme="minorHAnsi" w:cs="Arial"/>
                <w:bCs/>
                <w:sz w:val="22"/>
                <w:szCs w:val="22"/>
                <w:lang w:eastAsia="en-US"/>
              </w:rPr>
            </w:pPr>
          </w:p>
          <w:p w:rsidR="0049399C" w:rsidRDefault="001217F0" w:rsidP="0049399C">
            <w:pPr>
              <w:pStyle w:val="ListParagraph"/>
              <w:rPr>
                <w:rFonts w:asciiTheme="minorHAnsi" w:eastAsiaTheme="minorHAnsi" w:hAnsiTheme="minorHAnsi" w:cs="Arial"/>
                <w:bCs/>
                <w:sz w:val="22"/>
                <w:szCs w:val="22"/>
                <w:lang w:eastAsia="en-US"/>
              </w:rPr>
            </w:pPr>
            <w:r w:rsidRPr="00C764B2">
              <w:rPr>
                <w:rFonts w:asciiTheme="minorHAnsi" w:eastAsiaTheme="minorHAnsi" w:hAnsiTheme="minorHAnsi" w:cs="Arial"/>
                <w:b/>
                <w:color w:val="000000"/>
                <w:sz w:val="22"/>
                <w:szCs w:val="22"/>
                <w:u w:val="single"/>
                <w:lang w:eastAsia="en-US"/>
              </w:rPr>
              <w:t>Northern Lincolnshire &amp; Goole NHS Foundation Trust</w:t>
            </w:r>
            <w:r>
              <w:rPr>
                <w:rFonts w:asciiTheme="minorHAnsi" w:eastAsiaTheme="minorHAnsi" w:hAnsiTheme="minorHAnsi" w:cs="Arial"/>
                <w:color w:val="000000"/>
                <w:sz w:val="22"/>
                <w:szCs w:val="22"/>
                <w:u w:val="single"/>
                <w:lang w:eastAsia="en-US"/>
              </w:rPr>
              <w:t>.</w:t>
            </w:r>
            <w:r w:rsidRPr="001217F0">
              <w:rPr>
                <w:rFonts w:asciiTheme="minorHAnsi" w:eastAsiaTheme="minorHAnsi" w:hAnsiTheme="minorHAnsi" w:cs="Arial"/>
                <w:bCs/>
                <w:sz w:val="22"/>
                <w:szCs w:val="22"/>
                <w:lang w:eastAsia="en-US"/>
              </w:rPr>
              <w:t xml:space="preserve"> </w:t>
            </w:r>
          </w:p>
          <w:p w:rsidR="00EF376E" w:rsidRPr="0049399C" w:rsidRDefault="00EF376E" w:rsidP="0049399C">
            <w:pPr>
              <w:pStyle w:val="ListParagraph"/>
              <w:rPr>
                <w:rFonts w:asciiTheme="minorHAnsi" w:eastAsiaTheme="minorHAnsi" w:hAnsiTheme="minorHAnsi" w:cs="Arial"/>
                <w:bCs/>
                <w:sz w:val="22"/>
                <w:szCs w:val="22"/>
                <w:lang w:eastAsia="en-US"/>
              </w:rPr>
            </w:pPr>
            <w:r w:rsidRPr="0049399C">
              <w:rPr>
                <w:rFonts w:asciiTheme="minorHAnsi" w:eastAsiaTheme="minorHAnsi" w:hAnsiTheme="minorHAnsi" w:cs="Arial"/>
                <w:bCs/>
                <w:sz w:val="22"/>
                <w:szCs w:val="22"/>
                <w:lang w:eastAsia="en-US"/>
              </w:rPr>
              <w:t>One never event was declared by the Trust in March 16, in total the Trust declared 4 never events during 15/16. Th</w:t>
            </w:r>
            <w:r w:rsidR="0049399C">
              <w:rPr>
                <w:rFonts w:asciiTheme="minorHAnsi" w:eastAsiaTheme="minorHAnsi" w:hAnsiTheme="minorHAnsi" w:cs="Arial"/>
                <w:bCs/>
                <w:sz w:val="22"/>
                <w:szCs w:val="22"/>
                <w:lang w:eastAsia="en-US"/>
              </w:rPr>
              <w:t>is is discussed further in the SI report.</w:t>
            </w:r>
            <w:r w:rsidRPr="0049399C">
              <w:rPr>
                <w:rFonts w:asciiTheme="minorHAnsi" w:eastAsiaTheme="minorHAnsi" w:hAnsiTheme="minorHAnsi" w:cs="Arial"/>
                <w:bCs/>
                <w:sz w:val="22"/>
                <w:szCs w:val="22"/>
                <w:lang w:eastAsia="en-US"/>
              </w:rPr>
              <w:t xml:space="preserve"> </w:t>
            </w:r>
          </w:p>
          <w:p w:rsidR="001217F0" w:rsidRDefault="001217F0" w:rsidP="001217F0">
            <w:pPr>
              <w:pStyle w:val="ListParagraph"/>
              <w:rPr>
                <w:rFonts w:asciiTheme="minorHAnsi" w:eastAsiaTheme="minorHAnsi" w:hAnsiTheme="minorHAnsi" w:cs="Arial"/>
                <w:bCs/>
                <w:sz w:val="22"/>
                <w:szCs w:val="22"/>
                <w:lang w:eastAsia="en-US"/>
              </w:rPr>
            </w:pPr>
          </w:p>
          <w:p w:rsidR="001217F0" w:rsidRPr="0049399C" w:rsidRDefault="001217F0" w:rsidP="0049399C">
            <w:pPr>
              <w:pStyle w:val="ListParagraph"/>
              <w:rPr>
                <w:rFonts w:asciiTheme="minorHAnsi" w:eastAsiaTheme="minorHAnsi" w:hAnsiTheme="minorHAnsi" w:cs="Arial"/>
                <w:bCs/>
                <w:sz w:val="22"/>
                <w:szCs w:val="22"/>
                <w:lang w:eastAsia="en-US"/>
              </w:rPr>
            </w:pPr>
            <w:r>
              <w:rPr>
                <w:rFonts w:asciiTheme="minorHAnsi" w:eastAsiaTheme="minorHAnsi" w:hAnsiTheme="minorHAnsi" w:cs="Arial"/>
                <w:bCs/>
                <w:sz w:val="22"/>
                <w:szCs w:val="22"/>
                <w:lang w:eastAsia="en-US"/>
              </w:rPr>
              <w:t>NICE guidance</w:t>
            </w:r>
            <w:r w:rsidR="0049399C">
              <w:rPr>
                <w:rFonts w:asciiTheme="minorHAnsi" w:eastAsiaTheme="minorHAnsi" w:hAnsiTheme="minorHAnsi" w:cs="Arial"/>
                <w:bCs/>
                <w:sz w:val="22"/>
                <w:szCs w:val="22"/>
                <w:lang w:eastAsia="en-US"/>
              </w:rPr>
              <w:t>.</w:t>
            </w:r>
            <w:r>
              <w:rPr>
                <w:rFonts w:asciiTheme="minorHAnsi" w:eastAsiaTheme="minorHAnsi" w:hAnsiTheme="minorHAnsi" w:cs="Arial"/>
                <w:bCs/>
                <w:sz w:val="22"/>
                <w:szCs w:val="22"/>
                <w:lang w:eastAsia="en-US"/>
              </w:rPr>
              <w:t xml:space="preserve"> </w:t>
            </w:r>
            <w:r w:rsidRPr="0049399C">
              <w:rPr>
                <w:rFonts w:asciiTheme="minorHAnsi" w:eastAsiaTheme="minorHAnsi" w:hAnsiTheme="minorHAnsi" w:cs="Arial"/>
                <w:bCs/>
                <w:sz w:val="22"/>
                <w:szCs w:val="22"/>
                <w:lang w:eastAsia="en-US"/>
              </w:rPr>
              <w:t xml:space="preserve">The Trust is currently achieving 81.4% compliance against a target of 90%. The Trust acknowledges that Medicine continues to pose a challenge in terms of NICE compliance. The Trust identifies that this is mainly due to capacity, pressures within the Group resulting from staff sickness and other recruitment challenges.  The Trust recognises that there is room for improvement and is undertaking an internal review of its performance against this target. </w:t>
            </w:r>
          </w:p>
          <w:p w:rsidR="00EF376E" w:rsidRDefault="00EF376E" w:rsidP="00EF376E">
            <w:pPr>
              <w:pStyle w:val="ListParagraph"/>
              <w:rPr>
                <w:rFonts w:asciiTheme="minorHAnsi" w:eastAsiaTheme="minorHAnsi" w:hAnsiTheme="minorHAnsi" w:cs="Arial"/>
                <w:bCs/>
                <w:sz w:val="22"/>
                <w:szCs w:val="22"/>
                <w:lang w:eastAsia="en-US"/>
              </w:rPr>
            </w:pPr>
          </w:p>
          <w:p w:rsidR="001217F0" w:rsidRPr="0049399C" w:rsidRDefault="001217F0" w:rsidP="0049399C">
            <w:pPr>
              <w:pStyle w:val="ListParagraph"/>
              <w:rPr>
                <w:rFonts w:asciiTheme="minorHAnsi" w:eastAsiaTheme="minorHAnsi" w:hAnsiTheme="minorHAnsi" w:cs="Arial"/>
                <w:bCs/>
                <w:sz w:val="22"/>
                <w:szCs w:val="22"/>
                <w:lang w:eastAsia="en-US"/>
              </w:rPr>
            </w:pPr>
            <w:r w:rsidRPr="001217F0">
              <w:rPr>
                <w:rFonts w:asciiTheme="minorHAnsi" w:eastAsiaTheme="minorHAnsi" w:hAnsiTheme="minorHAnsi" w:cs="Arial"/>
                <w:bCs/>
                <w:sz w:val="22"/>
                <w:szCs w:val="22"/>
                <w:lang w:eastAsia="en-US"/>
              </w:rPr>
              <w:t>Workforce</w:t>
            </w:r>
            <w:r w:rsidR="0049399C">
              <w:rPr>
                <w:rFonts w:asciiTheme="minorHAnsi" w:eastAsiaTheme="minorHAnsi" w:hAnsiTheme="minorHAnsi" w:cs="Arial"/>
                <w:bCs/>
                <w:sz w:val="22"/>
                <w:szCs w:val="22"/>
                <w:lang w:eastAsia="en-US"/>
              </w:rPr>
              <w:t>.</w:t>
            </w:r>
            <w:r w:rsidRPr="001217F0">
              <w:rPr>
                <w:rFonts w:asciiTheme="minorHAnsi" w:eastAsiaTheme="minorHAnsi" w:hAnsiTheme="minorHAnsi" w:cs="Arial"/>
                <w:bCs/>
                <w:sz w:val="22"/>
                <w:szCs w:val="22"/>
                <w:lang w:eastAsia="en-US"/>
              </w:rPr>
              <w:t xml:space="preserve"> </w:t>
            </w:r>
            <w:r w:rsidRPr="0049399C">
              <w:rPr>
                <w:rFonts w:asciiTheme="minorHAnsi" w:eastAsiaTheme="minorHAnsi" w:hAnsiTheme="minorHAnsi" w:cs="Arial"/>
                <w:bCs/>
                <w:sz w:val="22"/>
                <w:szCs w:val="22"/>
                <w:lang w:eastAsia="en-US"/>
              </w:rPr>
              <w:t>The Trust wide vacancy position remains below</w:t>
            </w:r>
            <w:r w:rsidR="008251D7">
              <w:rPr>
                <w:rFonts w:asciiTheme="minorHAnsi" w:eastAsiaTheme="minorHAnsi" w:hAnsiTheme="minorHAnsi" w:cs="Arial"/>
                <w:bCs/>
                <w:sz w:val="22"/>
                <w:szCs w:val="22"/>
                <w:lang w:eastAsia="en-US"/>
              </w:rPr>
              <w:t xml:space="preserve"> target and remains one of the</w:t>
            </w:r>
            <w:r w:rsidRPr="0049399C">
              <w:rPr>
                <w:rFonts w:asciiTheme="minorHAnsi" w:eastAsiaTheme="minorHAnsi" w:hAnsiTheme="minorHAnsi" w:cs="Arial"/>
                <w:bCs/>
                <w:sz w:val="22"/>
                <w:szCs w:val="22"/>
                <w:lang w:eastAsia="en-US"/>
              </w:rPr>
              <w:t xml:space="preserve"> highest risks. The Trust has not achieved its vacancy performance targets for most of 15/16 and thus far in 16/17. The Medical and Dental Health staff group continues to be the staff group with the highest vacancy rate, closely followed by Registered Nursing staff group. The Health Education England (HEE) annual workforce planning data collection is due to be received by the Trust in May 16, once the Trust has submitted this dataset to HEE a Trust wide workforce plan will be created following the Six Steps approach (in line with the Calderdale Framework). </w:t>
            </w:r>
          </w:p>
          <w:p w:rsidR="00EF376E" w:rsidRPr="001217F0" w:rsidRDefault="00EF376E" w:rsidP="001217F0">
            <w:pPr>
              <w:rPr>
                <w:rFonts w:asciiTheme="minorHAnsi" w:eastAsiaTheme="minorHAnsi" w:hAnsiTheme="minorHAnsi" w:cs="Arial"/>
                <w:bCs/>
                <w:sz w:val="22"/>
                <w:szCs w:val="22"/>
                <w:lang w:eastAsia="en-US"/>
              </w:rPr>
            </w:pPr>
          </w:p>
          <w:p w:rsidR="00EF376E" w:rsidRPr="008251D7" w:rsidRDefault="001217F0" w:rsidP="00B82822">
            <w:pPr>
              <w:pStyle w:val="ListParagraph"/>
              <w:spacing w:after="240"/>
              <w:rPr>
                <w:rFonts w:asciiTheme="minorHAnsi" w:eastAsiaTheme="minorHAnsi" w:hAnsiTheme="minorHAnsi" w:cs="Arial"/>
                <w:bCs/>
                <w:sz w:val="22"/>
                <w:szCs w:val="22"/>
                <w:lang w:eastAsia="en-US"/>
              </w:rPr>
            </w:pPr>
            <w:r>
              <w:rPr>
                <w:rFonts w:asciiTheme="minorHAnsi" w:eastAsiaTheme="minorHAnsi" w:hAnsiTheme="minorHAnsi" w:cs="Arial"/>
                <w:bCs/>
                <w:sz w:val="22"/>
                <w:szCs w:val="22"/>
                <w:lang w:eastAsia="en-US"/>
              </w:rPr>
              <w:t>Clinical Administration Review.</w:t>
            </w:r>
            <w:r w:rsidR="008251D7">
              <w:rPr>
                <w:rFonts w:asciiTheme="minorHAnsi" w:eastAsiaTheme="minorHAnsi" w:hAnsiTheme="minorHAnsi" w:cs="Arial"/>
                <w:bCs/>
                <w:sz w:val="22"/>
                <w:szCs w:val="22"/>
                <w:lang w:eastAsia="en-US"/>
              </w:rPr>
              <w:t xml:space="preserve"> T</w:t>
            </w:r>
            <w:r w:rsidR="00EF376E" w:rsidRPr="008251D7">
              <w:rPr>
                <w:rFonts w:asciiTheme="minorHAnsi" w:eastAsiaTheme="minorHAnsi" w:hAnsiTheme="minorHAnsi" w:cs="Arial"/>
                <w:bCs/>
                <w:sz w:val="22"/>
                <w:szCs w:val="22"/>
                <w:lang w:eastAsia="en-US"/>
              </w:rPr>
              <w:t xml:space="preserve">he Trust advised Commissioners in March 16 that the Clinical Admin Review (CAR) is complete. However, an element of risk remains whilst the Specialist Administration Teams are being established.  The Trust continues to provide updates to Commissioners on progress with the CAR via the NL&amp;G Executive Contract Board. </w:t>
            </w:r>
          </w:p>
          <w:p w:rsidR="001217F0" w:rsidRPr="008251D7" w:rsidRDefault="00EF376E" w:rsidP="008251D7">
            <w:pPr>
              <w:pStyle w:val="ListParagraph"/>
              <w:spacing w:after="200" w:line="276" w:lineRule="auto"/>
              <w:jc w:val="both"/>
              <w:rPr>
                <w:rFonts w:asciiTheme="minorHAnsi" w:eastAsiaTheme="minorHAnsi" w:hAnsiTheme="minorHAnsi" w:cs="Arial"/>
                <w:i/>
                <w:sz w:val="22"/>
                <w:szCs w:val="22"/>
                <w:lang w:eastAsia="en-US"/>
              </w:rPr>
            </w:pPr>
            <w:r w:rsidRPr="00EF376E">
              <w:rPr>
                <w:rFonts w:asciiTheme="minorHAnsi" w:eastAsiaTheme="minorHAnsi" w:hAnsiTheme="minorHAnsi" w:cs="Arial"/>
                <w:bCs/>
                <w:sz w:val="22"/>
                <w:szCs w:val="22"/>
                <w:lang w:eastAsia="en-US"/>
              </w:rPr>
              <w:t xml:space="preserve">NLCCG and NELCCG have undertaken a review of all intelligence relating to the CAR (E.g. SI’s, incidents, issues raised via the NL&amp;G Quality Contract review meting) to monitor the situation and ensure that all data relating to the CAR is triangulated and that all learning points are captured. The Trust has reported, via the NL&amp;G Executive Contract Board (NL&amp;G ECB), that all of the recommendations made (in Nov 15) in relation to implementation of the CAR, have now been implemented. The Trust has reported that significant transformation has taken place as a result of the CAR, and KPMG is undertaking a review of the outputs </w:t>
            </w:r>
            <w:r w:rsidR="008251D7">
              <w:rPr>
                <w:rFonts w:asciiTheme="minorHAnsi" w:eastAsiaTheme="minorHAnsi" w:hAnsiTheme="minorHAnsi" w:cs="Arial"/>
                <w:bCs/>
                <w:sz w:val="22"/>
                <w:szCs w:val="22"/>
                <w:lang w:eastAsia="en-US"/>
              </w:rPr>
              <w:t xml:space="preserve">from it. </w:t>
            </w:r>
            <w:r w:rsidRPr="00EF376E">
              <w:rPr>
                <w:rFonts w:asciiTheme="minorHAnsi" w:eastAsiaTheme="minorHAnsi" w:hAnsiTheme="minorHAnsi" w:cs="Arial"/>
                <w:bCs/>
                <w:sz w:val="22"/>
                <w:szCs w:val="22"/>
                <w:lang w:eastAsia="en-US"/>
              </w:rPr>
              <w:t>These outputs will be reviewed by the Exec Team via the Trusts weekly CEO challenge and will be submitted to the NL&amp;G ECB in due course. This item remains an area of potential risk as Commissioners continue to receive challenges in relation to the CAR from primary care colleagues, and further assurance will continue to be sought by Commissioners via the NL&amp;G ECB.</w:t>
            </w:r>
            <w:r w:rsidR="00395D3F" w:rsidRPr="00F72F91">
              <w:rPr>
                <w:rFonts w:asciiTheme="minorHAnsi" w:eastAsiaTheme="minorHAnsi" w:hAnsiTheme="minorHAnsi" w:cs="Arial"/>
                <w:i/>
                <w:sz w:val="22"/>
                <w:szCs w:val="22"/>
                <w:lang w:eastAsia="en-US"/>
              </w:rPr>
              <w:t xml:space="preserve"> </w:t>
            </w:r>
            <w:r w:rsidR="00395D3F" w:rsidRPr="008251D7">
              <w:rPr>
                <w:rFonts w:asciiTheme="minorHAnsi" w:eastAsiaTheme="minorHAnsi" w:hAnsiTheme="minorHAnsi" w:cs="Arial"/>
                <w:sz w:val="22"/>
                <w:szCs w:val="22"/>
                <w:lang w:eastAsia="en-US"/>
              </w:rPr>
              <w:t xml:space="preserve">The </w:t>
            </w:r>
            <w:r w:rsidR="008251D7">
              <w:rPr>
                <w:rFonts w:asciiTheme="minorHAnsi" w:eastAsiaTheme="minorHAnsi" w:hAnsiTheme="minorHAnsi" w:cs="Arial"/>
                <w:sz w:val="22"/>
                <w:szCs w:val="22"/>
                <w:lang w:eastAsia="en-US"/>
              </w:rPr>
              <w:t xml:space="preserve">CCG </w:t>
            </w:r>
            <w:r w:rsidR="00395D3F" w:rsidRPr="008251D7">
              <w:rPr>
                <w:rFonts w:asciiTheme="minorHAnsi" w:eastAsiaTheme="minorHAnsi" w:hAnsiTheme="minorHAnsi" w:cs="Arial"/>
                <w:sz w:val="22"/>
                <w:szCs w:val="22"/>
                <w:lang w:eastAsia="en-US"/>
              </w:rPr>
              <w:t xml:space="preserve">Quality Team </w:t>
            </w:r>
            <w:r w:rsidR="008251D7">
              <w:rPr>
                <w:rFonts w:asciiTheme="minorHAnsi" w:eastAsiaTheme="minorHAnsi" w:hAnsiTheme="minorHAnsi" w:cs="Arial"/>
                <w:sz w:val="22"/>
                <w:szCs w:val="22"/>
                <w:lang w:eastAsia="en-US"/>
              </w:rPr>
              <w:t xml:space="preserve">recently reviewed </w:t>
            </w:r>
            <w:r w:rsidR="00395D3F" w:rsidRPr="008251D7">
              <w:rPr>
                <w:rFonts w:asciiTheme="minorHAnsi" w:eastAsiaTheme="minorHAnsi" w:hAnsiTheme="minorHAnsi" w:cs="Arial"/>
                <w:sz w:val="22"/>
                <w:szCs w:val="22"/>
                <w:lang w:eastAsia="en-US"/>
              </w:rPr>
              <w:t xml:space="preserve">all incident </w:t>
            </w:r>
            <w:r w:rsidR="008251D7">
              <w:rPr>
                <w:rFonts w:asciiTheme="minorHAnsi" w:eastAsiaTheme="minorHAnsi" w:hAnsiTheme="minorHAnsi" w:cs="Arial"/>
                <w:sz w:val="22"/>
                <w:szCs w:val="22"/>
                <w:lang w:eastAsia="en-US"/>
              </w:rPr>
              <w:t xml:space="preserve">or complaints </w:t>
            </w:r>
            <w:r w:rsidR="00395D3F" w:rsidRPr="008251D7">
              <w:rPr>
                <w:rFonts w:asciiTheme="minorHAnsi" w:eastAsiaTheme="minorHAnsi" w:hAnsiTheme="minorHAnsi" w:cs="Arial"/>
                <w:sz w:val="22"/>
                <w:szCs w:val="22"/>
                <w:lang w:eastAsia="en-US"/>
              </w:rPr>
              <w:t xml:space="preserve">data and intelligence available </w:t>
            </w:r>
            <w:r w:rsidR="008251D7">
              <w:rPr>
                <w:rFonts w:asciiTheme="minorHAnsi" w:eastAsiaTheme="minorHAnsi" w:hAnsiTheme="minorHAnsi" w:cs="Arial"/>
                <w:sz w:val="22"/>
                <w:szCs w:val="22"/>
                <w:lang w:eastAsia="en-US"/>
              </w:rPr>
              <w:t xml:space="preserve">that relates to the CAR </w:t>
            </w:r>
            <w:r w:rsidR="00395D3F" w:rsidRPr="008251D7">
              <w:rPr>
                <w:rFonts w:asciiTheme="minorHAnsi" w:eastAsiaTheme="minorHAnsi" w:hAnsiTheme="minorHAnsi" w:cs="Arial"/>
                <w:sz w:val="22"/>
                <w:szCs w:val="22"/>
                <w:lang w:eastAsia="en-US"/>
              </w:rPr>
              <w:t xml:space="preserve">and we are closely monitoring investigation responses by NLG to all related incidents. The Quality Team </w:t>
            </w:r>
            <w:r w:rsidR="008251D7">
              <w:rPr>
                <w:rFonts w:asciiTheme="minorHAnsi" w:eastAsiaTheme="minorHAnsi" w:hAnsiTheme="minorHAnsi" w:cs="Arial"/>
                <w:sz w:val="22"/>
                <w:szCs w:val="22"/>
                <w:lang w:eastAsia="en-US"/>
              </w:rPr>
              <w:t xml:space="preserve">identifies key service areas where issues have been highlighted and shared this with the Trust for them to action. We are currently </w:t>
            </w:r>
            <w:proofErr w:type="gramStart"/>
            <w:r w:rsidR="008251D7">
              <w:rPr>
                <w:rFonts w:asciiTheme="minorHAnsi" w:eastAsiaTheme="minorHAnsi" w:hAnsiTheme="minorHAnsi" w:cs="Arial"/>
                <w:sz w:val="22"/>
                <w:szCs w:val="22"/>
                <w:lang w:eastAsia="en-US"/>
              </w:rPr>
              <w:t>raising</w:t>
            </w:r>
            <w:proofErr w:type="gramEnd"/>
            <w:r w:rsidR="008251D7">
              <w:rPr>
                <w:rFonts w:asciiTheme="minorHAnsi" w:eastAsiaTheme="minorHAnsi" w:hAnsiTheme="minorHAnsi" w:cs="Arial"/>
                <w:sz w:val="22"/>
                <w:szCs w:val="22"/>
                <w:lang w:eastAsia="en-US"/>
              </w:rPr>
              <w:t xml:space="preserve"> with them concerns about delays in clinic letters being received in general practice. </w:t>
            </w:r>
          </w:p>
          <w:p w:rsidR="001217F0" w:rsidRDefault="001217F0" w:rsidP="001217F0">
            <w:pPr>
              <w:pStyle w:val="ListParagraph"/>
              <w:rPr>
                <w:rFonts w:asciiTheme="minorHAnsi" w:eastAsiaTheme="minorHAnsi" w:hAnsiTheme="minorHAnsi" w:cs="Arial"/>
                <w:bCs/>
                <w:sz w:val="22"/>
                <w:szCs w:val="22"/>
                <w:lang w:eastAsia="en-US"/>
              </w:rPr>
            </w:pPr>
          </w:p>
          <w:p w:rsidR="001217F0" w:rsidRDefault="008251D7" w:rsidP="008251D7">
            <w:pPr>
              <w:pStyle w:val="ListParagrap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Ophthalmology. </w:t>
            </w:r>
            <w:r w:rsidR="00282EB7" w:rsidRPr="008251D7">
              <w:rPr>
                <w:rFonts w:asciiTheme="minorHAnsi" w:eastAsiaTheme="minorHAnsi" w:hAnsiTheme="minorHAnsi" w:cs="Arial"/>
                <w:sz w:val="22"/>
                <w:szCs w:val="22"/>
                <w:lang w:eastAsia="en-US"/>
              </w:rPr>
              <w:t>The Trust has confirmed, via the NL&amp;G Executive Contract Board, that all of the Ophthalmology patients identified from the earlier validation process, whose appointments were showing on the system as overdue</w:t>
            </w:r>
            <w:r w:rsidR="00712365" w:rsidRPr="008251D7">
              <w:rPr>
                <w:rFonts w:asciiTheme="minorHAnsi" w:eastAsiaTheme="minorHAnsi" w:hAnsiTheme="minorHAnsi" w:cs="Arial"/>
                <w:sz w:val="22"/>
                <w:szCs w:val="22"/>
                <w:lang w:eastAsia="en-US"/>
              </w:rPr>
              <w:t>, have all now been seen.</w:t>
            </w:r>
            <w:r>
              <w:rPr>
                <w:rFonts w:asciiTheme="minorHAnsi" w:eastAsiaTheme="minorHAnsi" w:hAnsiTheme="minorHAnsi" w:cs="Arial"/>
                <w:sz w:val="22"/>
                <w:szCs w:val="22"/>
                <w:lang w:eastAsia="en-US"/>
              </w:rPr>
              <w:t xml:space="preserve"> </w:t>
            </w:r>
            <w:r w:rsidR="00282EB7" w:rsidRPr="008251D7">
              <w:rPr>
                <w:rFonts w:asciiTheme="minorHAnsi" w:eastAsiaTheme="minorHAnsi" w:hAnsiTheme="minorHAnsi" w:cs="Arial"/>
                <w:sz w:val="22"/>
                <w:szCs w:val="22"/>
                <w:lang w:eastAsia="en-US"/>
              </w:rPr>
              <w:t>The NLCCG and NELCCG Patient Safety Team have confirmed that no additional SIs or incidents that relate to this issue have been reported following completion of the valida</w:t>
            </w:r>
            <w:r w:rsidR="00712365" w:rsidRPr="008251D7">
              <w:rPr>
                <w:rFonts w:asciiTheme="minorHAnsi" w:eastAsiaTheme="minorHAnsi" w:hAnsiTheme="minorHAnsi" w:cs="Arial"/>
                <w:sz w:val="22"/>
                <w:szCs w:val="22"/>
                <w:lang w:eastAsia="en-US"/>
              </w:rPr>
              <w:t>tion exercise at the end of December 2015.</w:t>
            </w:r>
            <w:r>
              <w:rPr>
                <w:rFonts w:asciiTheme="minorHAnsi" w:eastAsiaTheme="minorHAnsi" w:hAnsiTheme="minorHAnsi" w:cs="Arial"/>
                <w:sz w:val="22"/>
                <w:szCs w:val="22"/>
                <w:lang w:eastAsia="en-US"/>
              </w:rPr>
              <w:t xml:space="preserve"> However t</w:t>
            </w:r>
            <w:r w:rsidR="00282EB7" w:rsidRPr="008251D7">
              <w:rPr>
                <w:rFonts w:asciiTheme="minorHAnsi" w:eastAsiaTheme="minorHAnsi" w:hAnsiTheme="minorHAnsi" w:cs="Arial"/>
                <w:sz w:val="22"/>
                <w:szCs w:val="22"/>
                <w:lang w:eastAsia="en-US"/>
              </w:rPr>
              <w:t>his remains an area of concern until the SI action plan is complete</w:t>
            </w:r>
            <w:r w:rsidR="00B82822">
              <w:rPr>
                <w:rFonts w:asciiTheme="minorHAnsi" w:eastAsiaTheme="minorHAnsi" w:hAnsiTheme="minorHAnsi" w:cs="Arial"/>
                <w:sz w:val="22"/>
                <w:szCs w:val="22"/>
                <w:lang w:eastAsia="en-US"/>
              </w:rPr>
              <w:t xml:space="preserve"> later in 2016. </w:t>
            </w:r>
            <w:r w:rsidR="00282EB7" w:rsidRPr="008251D7">
              <w:rPr>
                <w:rFonts w:asciiTheme="minorHAnsi" w:eastAsiaTheme="minorHAnsi" w:hAnsiTheme="minorHAnsi" w:cs="Arial"/>
                <w:sz w:val="22"/>
                <w:szCs w:val="22"/>
                <w:lang w:eastAsia="en-US"/>
              </w:rPr>
              <w:t>Commissioners are also aware that there could be additional incidents/serious incidents that arise as part of the implementation of the new Specialist Administration Teams structure</w:t>
            </w:r>
            <w:r w:rsidR="00712365" w:rsidRPr="008251D7">
              <w:rPr>
                <w:rFonts w:asciiTheme="minorHAnsi" w:eastAsiaTheme="minorHAnsi" w:hAnsiTheme="minorHAnsi" w:cs="Arial"/>
                <w:sz w:val="22"/>
                <w:szCs w:val="22"/>
                <w:lang w:eastAsia="en-US"/>
              </w:rPr>
              <w:t>.</w:t>
            </w:r>
          </w:p>
          <w:p w:rsidR="008251D7" w:rsidRPr="008251D7" w:rsidRDefault="008251D7" w:rsidP="008251D7">
            <w:pPr>
              <w:pStyle w:val="ListParagraph"/>
              <w:rPr>
                <w:rFonts w:asciiTheme="minorHAnsi" w:eastAsiaTheme="minorHAnsi" w:hAnsiTheme="minorHAnsi" w:cs="Arial"/>
                <w:bCs/>
                <w:sz w:val="22"/>
                <w:szCs w:val="22"/>
                <w:lang w:eastAsia="en-US"/>
              </w:rPr>
            </w:pPr>
          </w:p>
          <w:p w:rsidR="001217F0" w:rsidRPr="001217F0" w:rsidRDefault="00A8144A" w:rsidP="001217F0">
            <w:pPr>
              <w:pStyle w:val="ListParagraph"/>
              <w:spacing w:after="200" w:line="276" w:lineRule="auto"/>
              <w:jc w:val="both"/>
              <w:rPr>
                <w:rFonts w:asciiTheme="minorHAnsi" w:eastAsiaTheme="minorHAnsi" w:hAnsiTheme="minorHAnsi" w:cs="Arial"/>
                <w:sz w:val="22"/>
                <w:szCs w:val="22"/>
                <w:u w:val="single"/>
                <w:lang w:eastAsia="en-US"/>
              </w:rPr>
            </w:pPr>
            <w:r>
              <w:rPr>
                <w:rFonts w:asciiTheme="minorHAnsi" w:eastAsiaTheme="minorHAnsi" w:hAnsiTheme="minorHAnsi" w:cs="Arial"/>
                <w:b/>
                <w:sz w:val="22"/>
                <w:szCs w:val="22"/>
                <w:u w:val="single"/>
                <w:lang w:eastAsia="en-US"/>
              </w:rPr>
              <w:t xml:space="preserve">EMAS. </w:t>
            </w:r>
          </w:p>
          <w:p w:rsidR="001217F0" w:rsidRDefault="001217F0" w:rsidP="005B23EF">
            <w:pPr>
              <w:pStyle w:val="ListParagraph"/>
              <w:spacing w:after="200" w:line="276" w:lineRule="auto"/>
              <w:jc w:val="both"/>
              <w:rPr>
                <w:rFonts w:asciiTheme="minorHAnsi" w:eastAsiaTheme="minorHAnsi" w:hAnsiTheme="minorHAnsi" w:cs="Arial"/>
                <w:sz w:val="22"/>
                <w:szCs w:val="22"/>
                <w:lang w:eastAsia="en-US"/>
              </w:rPr>
            </w:pPr>
            <w:r w:rsidRPr="001217F0">
              <w:rPr>
                <w:rFonts w:asciiTheme="minorHAnsi" w:eastAsiaTheme="minorHAnsi" w:hAnsiTheme="minorHAnsi" w:cs="Arial"/>
                <w:sz w:val="22"/>
                <w:szCs w:val="22"/>
                <w:lang w:eastAsia="en-US"/>
              </w:rPr>
              <w:t xml:space="preserve">EMAS have submitted two performance trajectories (to date) to NHS Improvement, neither of which reflects that national performance standards will be achieved in 2016/17. The co-ordinating commissioner will continue to work with EMAS to agree an improvement trajectory for the 2016/17 contract. The Provider has identified a forecasted deficit </w:t>
            </w:r>
            <w:r w:rsidR="008251D7">
              <w:rPr>
                <w:rFonts w:asciiTheme="minorHAnsi" w:eastAsiaTheme="minorHAnsi" w:hAnsiTheme="minorHAnsi" w:cs="Arial"/>
                <w:sz w:val="22"/>
                <w:szCs w:val="22"/>
                <w:lang w:eastAsia="en-US"/>
              </w:rPr>
              <w:t xml:space="preserve">and all </w:t>
            </w:r>
            <w:r w:rsidRPr="001217F0">
              <w:rPr>
                <w:rFonts w:asciiTheme="minorHAnsi" w:eastAsiaTheme="minorHAnsi" w:hAnsiTheme="minorHAnsi" w:cs="Arial"/>
                <w:sz w:val="22"/>
                <w:szCs w:val="22"/>
                <w:lang w:eastAsia="en-US"/>
              </w:rPr>
              <w:t>CCGs that are party to the EMAS contract have agreed to reinvest the penalties that had been withheld in relation to EMAS not meeting national performance standards. In light of these challenges, a Contract Variation has been authorised by EMAS and the co-ordinating commissioner.</w:t>
            </w:r>
          </w:p>
          <w:p w:rsidR="008251D7" w:rsidRDefault="008251D7" w:rsidP="005B23EF">
            <w:pPr>
              <w:pStyle w:val="ListParagraph"/>
              <w:spacing w:after="200" w:line="276" w:lineRule="auto"/>
              <w:jc w:val="both"/>
              <w:rPr>
                <w:rFonts w:asciiTheme="minorHAnsi" w:eastAsiaTheme="minorHAnsi" w:hAnsiTheme="minorHAnsi" w:cs="Arial"/>
                <w:sz w:val="22"/>
                <w:szCs w:val="22"/>
                <w:lang w:eastAsia="en-US"/>
              </w:rPr>
            </w:pPr>
          </w:p>
          <w:p w:rsidR="00A8144A" w:rsidRPr="00A8144A" w:rsidRDefault="00A8144A" w:rsidP="00A8144A">
            <w:pPr>
              <w:pStyle w:val="ListParagraph"/>
              <w:spacing w:after="200" w:line="276" w:lineRule="auto"/>
              <w:jc w:val="both"/>
              <w:rPr>
                <w:rFonts w:asciiTheme="minorHAnsi" w:eastAsiaTheme="minorHAnsi" w:hAnsiTheme="minorHAnsi" w:cs="Arial"/>
                <w:sz w:val="22"/>
                <w:szCs w:val="22"/>
                <w:lang w:eastAsia="en-US"/>
              </w:rPr>
            </w:pPr>
            <w:r w:rsidRPr="00A8144A">
              <w:rPr>
                <w:rFonts w:asciiTheme="minorHAnsi" w:eastAsiaTheme="minorHAnsi" w:hAnsiTheme="minorHAnsi" w:cs="Arial"/>
                <w:sz w:val="22"/>
                <w:szCs w:val="22"/>
                <w:lang w:eastAsia="en-US"/>
              </w:rPr>
              <w:t>Clinical Handovers between E</w:t>
            </w:r>
            <w:r>
              <w:rPr>
                <w:rFonts w:asciiTheme="minorHAnsi" w:eastAsiaTheme="minorHAnsi" w:hAnsiTheme="minorHAnsi" w:cs="Arial"/>
                <w:sz w:val="22"/>
                <w:szCs w:val="22"/>
                <w:lang w:eastAsia="en-US"/>
              </w:rPr>
              <w:t xml:space="preserve">MAS and NLG.  </w:t>
            </w:r>
            <w:r w:rsidRPr="00A8144A">
              <w:rPr>
                <w:rFonts w:asciiTheme="minorHAnsi" w:eastAsiaTheme="minorHAnsi" w:hAnsiTheme="minorHAnsi" w:cs="Arial"/>
                <w:sz w:val="22"/>
                <w:szCs w:val="22"/>
                <w:lang w:eastAsia="en-US"/>
              </w:rPr>
              <w:t>Hospital handovers remain an area of concern as a significant proportion of frontline operational hours have been (and continue to be) lost through delays in th</w:t>
            </w:r>
            <w:r>
              <w:rPr>
                <w:rFonts w:asciiTheme="minorHAnsi" w:eastAsiaTheme="minorHAnsi" w:hAnsiTheme="minorHAnsi" w:cs="Arial"/>
                <w:sz w:val="22"/>
                <w:szCs w:val="22"/>
                <w:lang w:eastAsia="en-US"/>
              </w:rPr>
              <w:t>e clinical handover of patients.</w:t>
            </w:r>
          </w:p>
          <w:p w:rsidR="00A8144A" w:rsidRPr="00A8144A" w:rsidRDefault="00A8144A" w:rsidP="00A8144A">
            <w:pPr>
              <w:pStyle w:val="ListParagraph"/>
              <w:spacing w:after="200" w:line="276" w:lineRule="auto"/>
              <w:jc w:val="both"/>
              <w:rPr>
                <w:rFonts w:asciiTheme="minorHAnsi" w:eastAsiaTheme="minorHAnsi" w:hAnsiTheme="minorHAnsi" w:cs="Arial"/>
                <w:sz w:val="22"/>
                <w:szCs w:val="22"/>
                <w:lang w:eastAsia="en-US"/>
              </w:rPr>
            </w:pPr>
            <w:r w:rsidRPr="00A8144A">
              <w:rPr>
                <w:rFonts w:asciiTheme="minorHAnsi" w:eastAsiaTheme="minorHAnsi" w:hAnsiTheme="minorHAnsi" w:cs="Arial"/>
                <w:sz w:val="22"/>
                <w:szCs w:val="22"/>
                <w:lang w:eastAsia="en-US"/>
              </w:rPr>
              <w:t xml:space="preserve">EMAS and NL&amp;G anticipate that the delays in clinical handovers will reduce once the new ambulance arrival screens have been fully embedded, the arrival screens are in place across all Trust sites but the Trust continues to report discrepancies with the handover data. Commissioners will monitor the handover position via the contract management process.  </w:t>
            </w:r>
          </w:p>
          <w:p w:rsidR="00A8144A" w:rsidRDefault="00A8144A" w:rsidP="00EF376E">
            <w:pPr>
              <w:jc w:val="both"/>
              <w:rPr>
                <w:rFonts w:asciiTheme="minorHAnsi" w:hAnsiTheme="minorHAnsi" w:cs="Arial"/>
                <w:b/>
                <w:sz w:val="22"/>
                <w:szCs w:val="22"/>
              </w:rPr>
            </w:pPr>
          </w:p>
          <w:p w:rsidR="00EF376E" w:rsidRPr="00F72F91" w:rsidRDefault="007F216E" w:rsidP="00EF376E">
            <w:pPr>
              <w:jc w:val="both"/>
              <w:rPr>
                <w:rFonts w:asciiTheme="minorHAnsi" w:hAnsiTheme="minorHAnsi" w:cs="Arial"/>
                <w:b/>
                <w:sz w:val="22"/>
                <w:szCs w:val="22"/>
              </w:rPr>
            </w:pPr>
            <w:r w:rsidRPr="00F72F91">
              <w:rPr>
                <w:rFonts w:asciiTheme="minorHAnsi" w:hAnsiTheme="minorHAnsi" w:cs="Arial"/>
                <w:b/>
                <w:sz w:val="22"/>
                <w:szCs w:val="22"/>
              </w:rPr>
              <w:t>SECTION 3. PATIENT AND CLIENT EXPERIENCE</w:t>
            </w:r>
            <w:r w:rsidR="00EF376E">
              <w:rPr>
                <w:rFonts w:asciiTheme="minorHAnsi" w:hAnsiTheme="minorHAnsi" w:cs="Arial"/>
                <w:b/>
                <w:sz w:val="22"/>
                <w:szCs w:val="22"/>
              </w:rPr>
              <w:t xml:space="preserve">.  </w:t>
            </w:r>
          </w:p>
          <w:p w:rsidR="007F216E" w:rsidRPr="00F72F91" w:rsidRDefault="007F216E" w:rsidP="007F216E">
            <w:pPr>
              <w:jc w:val="both"/>
              <w:rPr>
                <w:rFonts w:asciiTheme="minorHAnsi" w:hAnsiTheme="minorHAnsi" w:cs="Arial"/>
                <w:b/>
                <w:sz w:val="22"/>
                <w:szCs w:val="22"/>
              </w:rPr>
            </w:pPr>
          </w:p>
          <w:p w:rsidR="00EF376E" w:rsidRPr="00395D3F" w:rsidRDefault="007F216E" w:rsidP="00395D3F">
            <w:pPr>
              <w:pStyle w:val="ListParagraph"/>
              <w:numPr>
                <w:ilvl w:val="0"/>
                <w:numId w:val="14"/>
              </w:numPr>
              <w:spacing w:after="200" w:line="276" w:lineRule="auto"/>
              <w:jc w:val="both"/>
              <w:rPr>
                <w:rFonts w:ascii="Arial" w:eastAsiaTheme="minorHAnsi" w:hAnsi="Arial" w:cs="Arial"/>
                <w:sz w:val="22"/>
                <w:szCs w:val="22"/>
                <w:lang w:eastAsia="en-US"/>
              </w:rPr>
            </w:pPr>
            <w:r w:rsidRPr="00F72F91">
              <w:rPr>
                <w:rFonts w:asciiTheme="minorHAnsi" w:eastAsiaTheme="minorHAnsi" w:hAnsiTheme="minorHAnsi" w:cs="Arial"/>
                <w:sz w:val="22"/>
                <w:szCs w:val="22"/>
                <w:lang w:eastAsia="en-US"/>
              </w:rPr>
              <w:t xml:space="preserve">We </w:t>
            </w:r>
            <w:r w:rsidR="00B346B0">
              <w:rPr>
                <w:rFonts w:asciiTheme="minorHAnsi" w:eastAsiaTheme="minorHAnsi" w:hAnsiTheme="minorHAnsi" w:cs="Arial"/>
                <w:sz w:val="22"/>
                <w:szCs w:val="22"/>
                <w:lang w:eastAsia="en-US"/>
              </w:rPr>
              <w:t xml:space="preserve">have been </w:t>
            </w:r>
            <w:r w:rsidRPr="00F72F91">
              <w:rPr>
                <w:rFonts w:asciiTheme="minorHAnsi" w:eastAsiaTheme="minorHAnsi" w:hAnsiTheme="minorHAnsi" w:cs="Arial"/>
                <w:sz w:val="22"/>
                <w:szCs w:val="22"/>
                <w:lang w:eastAsia="en-US"/>
              </w:rPr>
              <w:t xml:space="preserve">working with the Community Forum to develop our thinking about how we measure quality as a CCG that embraces the service users’ view.  </w:t>
            </w:r>
            <w:r w:rsidR="00B346B0">
              <w:rPr>
                <w:rFonts w:asciiTheme="minorHAnsi" w:eastAsiaTheme="minorHAnsi" w:hAnsiTheme="minorHAnsi" w:cs="Arial"/>
                <w:sz w:val="22"/>
                <w:szCs w:val="22"/>
                <w:lang w:eastAsia="en-US"/>
              </w:rPr>
              <w:t>Early analysis suggests that customer care is a theme but further</w:t>
            </w:r>
            <w:r w:rsidRPr="00F72F91">
              <w:rPr>
                <w:rFonts w:asciiTheme="minorHAnsi" w:eastAsiaTheme="minorHAnsi" w:hAnsiTheme="minorHAnsi" w:cs="Arial"/>
                <w:sz w:val="22"/>
                <w:szCs w:val="22"/>
                <w:lang w:eastAsia="en-US"/>
              </w:rPr>
              <w:t xml:space="preserve"> </w:t>
            </w:r>
            <w:r w:rsidR="00B346B0">
              <w:rPr>
                <w:rFonts w:asciiTheme="minorHAnsi" w:eastAsiaTheme="minorHAnsi" w:hAnsiTheme="minorHAnsi" w:cs="Arial"/>
                <w:sz w:val="22"/>
                <w:szCs w:val="22"/>
                <w:lang w:eastAsia="en-US"/>
              </w:rPr>
              <w:t xml:space="preserve">data analysis will be undertaken over the next few weeks. </w:t>
            </w:r>
            <w:r w:rsidRPr="00F72F91">
              <w:rPr>
                <w:rFonts w:asciiTheme="minorHAnsi" w:eastAsiaTheme="minorHAnsi" w:hAnsiTheme="minorHAnsi" w:cs="Arial"/>
                <w:sz w:val="22"/>
                <w:szCs w:val="22"/>
                <w:lang w:eastAsia="en-US"/>
              </w:rPr>
              <w:t xml:space="preserve"> This will inform the development of our Quality Strategy and will shape how </w:t>
            </w:r>
            <w:r w:rsidR="00B346B0">
              <w:rPr>
                <w:rFonts w:asciiTheme="minorHAnsi" w:eastAsiaTheme="minorHAnsi" w:hAnsiTheme="minorHAnsi" w:cs="Arial"/>
                <w:sz w:val="22"/>
                <w:szCs w:val="22"/>
                <w:lang w:eastAsia="en-US"/>
              </w:rPr>
              <w:t xml:space="preserve">we work with providers and their </w:t>
            </w:r>
            <w:r w:rsidRPr="00F72F91">
              <w:rPr>
                <w:rFonts w:asciiTheme="minorHAnsi" w:eastAsiaTheme="minorHAnsi" w:hAnsiTheme="minorHAnsi" w:cs="Arial"/>
                <w:sz w:val="22"/>
                <w:szCs w:val="22"/>
                <w:lang w:eastAsia="en-US"/>
              </w:rPr>
              <w:t>reporting requirements in terms of quality deliverables</w:t>
            </w:r>
            <w:r w:rsidR="00C31229" w:rsidRPr="00F72F91">
              <w:rPr>
                <w:rFonts w:asciiTheme="minorHAnsi" w:eastAsiaTheme="minorHAnsi" w:hAnsiTheme="minorHAnsi" w:cs="Arial"/>
                <w:sz w:val="22"/>
                <w:szCs w:val="22"/>
                <w:lang w:eastAsia="en-US"/>
              </w:rPr>
              <w:t>.</w:t>
            </w:r>
          </w:p>
          <w:p w:rsidR="00395D3F" w:rsidRPr="00395D3F" w:rsidRDefault="00395D3F" w:rsidP="00395D3F">
            <w:pPr>
              <w:pStyle w:val="ListParagraph"/>
              <w:spacing w:after="200" w:line="276" w:lineRule="auto"/>
              <w:jc w:val="both"/>
              <w:rPr>
                <w:rFonts w:ascii="Arial" w:eastAsiaTheme="minorHAnsi" w:hAnsi="Arial" w:cs="Arial"/>
                <w:sz w:val="22"/>
                <w:szCs w:val="22"/>
                <w:lang w:eastAsia="en-US"/>
              </w:rPr>
            </w:pPr>
          </w:p>
          <w:p w:rsidR="005B23EF" w:rsidRPr="005B23EF" w:rsidRDefault="007F216E" w:rsidP="005B23EF">
            <w:pPr>
              <w:pStyle w:val="ListParagraph"/>
              <w:numPr>
                <w:ilvl w:val="0"/>
                <w:numId w:val="14"/>
              </w:numPr>
              <w:spacing w:after="200" w:line="276" w:lineRule="auto"/>
              <w:jc w:val="both"/>
              <w:rPr>
                <w:rFonts w:asciiTheme="minorHAnsi" w:eastAsiaTheme="minorHAnsi" w:hAnsiTheme="minorHAnsi" w:cs="Arial"/>
                <w:sz w:val="22"/>
                <w:szCs w:val="22"/>
                <w:lang w:eastAsia="en-US"/>
              </w:rPr>
            </w:pPr>
            <w:r w:rsidRPr="002A1F94">
              <w:rPr>
                <w:rFonts w:asciiTheme="minorHAnsi" w:eastAsiaTheme="minorHAnsi" w:hAnsiTheme="minorHAnsi" w:cs="Arial"/>
                <w:sz w:val="22"/>
                <w:szCs w:val="22"/>
                <w:lang w:eastAsia="en-US"/>
              </w:rPr>
              <w:t>Friends and Family Test (FFT)</w:t>
            </w:r>
            <w:r w:rsidR="00F72F91" w:rsidRPr="002A1F94">
              <w:rPr>
                <w:rFonts w:asciiTheme="minorHAnsi" w:eastAsiaTheme="minorHAnsi" w:hAnsiTheme="minorHAnsi" w:cs="Arial"/>
                <w:sz w:val="22"/>
                <w:szCs w:val="22"/>
                <w:lang w:eastAsia="en-US"/>
              </w:rPr>
              <w:t>. See below the most recent data showing uptake of FFT and those w</w:t>
            </w:r>
            <w:r w:rsidR="00B10FD4">
              <w:rPr>
                <w:rFonts w:asciiTheme="minorHAnsi" w:eastAsiaTheme="minorHAnsi" w:hAnsiTheme="minorHAnsi" w:cs="Arial"/>
                <w:sz w:val="22"/>
                <w:szCs w:val="22"/>
                <w:lang w:eastAsia="en-US"/>
              </w:rPr>
              <w:t>ho would recommend the service.</w:t>
            </w:r>
          </w:p>
          <w:tbl>
            <w:tblPr>
              <w:tblpPr w:leftFromText="175" w:rightFromText="175" w:vertAnchor="text" w:tblpXSpec="right" w:tblpYSpec="center"/>
              <w:tblW w:w="5180" w:type="dxa"/>
              <w:tblCellMar>
                <w:left w:w="0" w:type="dxa"/>
                <w:right w:w="0" w:type="dxa"/>
              </w:tblCellMar>
              <w:tblLook w:val="04A0" w:firstRow="1" w:lastRow="0" w:firstColumn="1" w:lastColumn="0" w:noHBand="0" w:noVBand="1"/>
            </w:tblPr>
            <w:tblGrid>
              <w:gridCol w:w="2680"/>
              <w:gridCol w:w="854"/>
              <w:gridCol w:w="854"/>
              <w:gridCol w:w="792"/>
            </w:tblGrid>
            <w:tr w:rsidR="005B23EF" w:rsidTr="005B23EF">
              <w:trPr>
                <w:trHeight w:val="219"/>
              </w:trPr>
              <w:tc>
                <w:tcPr>
                  <w:tcW w:w="2680" w:type="dxa"/>
                  <w:vMerge w:val="restart"/>
                  <w:tcBorders>
                    <w:top w:val="single" w:sz="8" w:space="0" w:color="787878"/>
                    <w:left w:val="single" w:sz="8" w:space="0" w:color="787878"/>
                    <w:bottom w:val="single" w:sz="8" w:space="0" w:color="78786E"/>
                    <w:right w:val="single" w:sz="8" w:space="0" w:color="787878"/>
                  </w:tcBorders>
                  <w:shd w:val="clear" w:color="auto" w:fill="DCDCDC"/>
                  <w:tcMar>
                    <w:top w:w="0" w:type="dxa"/>
                    <w:left w:w="108" w:type="dxa"/>
                    <w:bottom w:w="0" w:type="dxa"/>
                    <w:right w:w="108" w:type="dxa"/>
                  </w:tcMar>
                  <w:vAlign w:val="bottom"/>
                  <w:hideMark/>
                </w:tcPr>
                <w:p w:rsidR="005B23EF" w:rsidRDefault="005B23EF" w:rsidP="005B23EF">
                  <w:pPr>
                    <w:rPr>
                      <w:rFonts w:ascii="Verdana" w:eastAsiaTheme="minorHAnsi" w:hAnsi="Verdana"/>
                      <w:b/>
                      <w:bCs/>
                      <w:color w:val="000000"/>
                      <w:sz w:val="16"/>
                      <w:szCs w:val="16"/>
                      <w:lang w:val="en-US" w:eastAsia="en-US"/>
                    </w:rPr>
                  </w:pPr>
                  <w:r>
                    <w:rPr>
                      <w:rFonts w:ascii="Verdana" w:hAnsi="Verdana"/>
                      <w:b/>
                      <w:bCs/>
                      <w:color w:val="000000"/>
                      <w:sz w:val="16"/>
                      <w:szCs w:val="16"/>
                    </w:rPr>
                    <w:t>Indicator</w:t>
                  </w:r>
                </w:p>
              </w:tc>
              <w:tc>
                <w:tcPr>
                  <w:tcW w:w="2500" w:type="dxa"/>
                  <w:gridSpan w:val="3"/>
                  <w:tcBorders>
                    <w:top w:val="single" w:sz="8" w:space="0" w:color="787878"/>
                    <w:left w:val="nil"/>
                    <w:bottom w:val="single" w:sz="8" w:space="0" w:color="787878"/>
                    <w:right w:val="single" w:sz="8" w:space="0" w:color="787878"/>
                  </w:tcBorders>
                  <w:shd w:val="clear" w:color="auto" w:fill="DCDCDC"/>
                  <w:tcMar>
                    <w:top w:w="0" w:type="dxa"/>
                    <w:left w:w="108" w:type="dxa"/>
                    <w:bottom w:w="0" w:type="dxa"/>
                    <w:right w:w="108" w:type="dxa"/>
                  </w:tcMar>
                  <w:vAlign w:val="bottom"/>
                  <w:hideMark/>
                </w:tcPr>
                <w:p w:rsidR="005B23EF" w:rsidRDefault="005B23EF" w:rsidP="005B23EF">
                  <w:pPr>
                    <w:jc w:val="center"/>
                    <w:rPr>
                      <w:rFonts w:ascii="Verdana" w:eastAsiaTheme="minorHAnsi" w:hAnsi="Verdana"/>
                      <w:b/>
                      <w:bCs/>
                      <w:color w:val="000000"/>
                      <w:sz w:val="16"/>
                      <w:szCs w:val="16"/>
                      <w:lang w:val="en-US" w:eastAsia="en-US"/>
                    </w:rPr>
                  </w:pPr>
                  <w:r>
                    <w:rPr>
                      <w:rFonts w:ascii="Verdana" w:hAnsi="Verdana"/>
                      <w:b/>
                      <w:bCs/>
                      <w:color w:val="000000"/>
                      <w:sz w:val="16"/>
                      <w:szCs w:val="16"/>
                    </w:rPr>
                    <w:t>2015/16</w:t>
                  </w:r>
                </w:p>
              </w:tc>
            </w:tr>
            <w:tr w:rsidR="005B23EF" w:rsidTr="005B23EF">
              <w:trPr>
                <w:trHeight w:val="219"/>
              </w:trPr>
              <w:tc>
                <w:tcPr>
                  <w:tcW w:w="0" w:type="auto"/>
                  <w:vMerge/>
                  <w:tcBorders>
                    <w:top w:val="single" w:sz="8" w:space="0" w:color="787878"/>
                    <w:left w:val="single" w:sz="8" w:space="0" w:color="787878"/>
                    <w:bottom w:val="single" w:sz="8" w:space="0" w:color="78786E"/>
                    <w:right w:val="single" w:sz="8" w:space="0" w:color="787878"/>
                  </w:tcBorders>
                  <w:vAlign w:val="center"/>
                  <w:hideMark/>
                </w:tcPr>
                <w:p w:rsidR="005B23EF" w:rsidRDefault="005B23EF" w:rsidP="005B23EF">
                  <w:pPr>
                    <w:rPr>
                      <w:rFonts w:ascii="Verdana" w:eastAsiaTheme="minorHAnsi" w:hAnsi="Verdana"/>
                      <w:b/>
                      <w:bCs/>
                      <w:color w:val="000000"/>
                      <w:sz w:val="16"/>
                      <w:szCs w:val="16"/>
                      <w:lang w:val="en-US" w:eastAsia="en-US"/>
                    </w:rPr>
                  </w:pPr>
                </w:p>
              </w:tc>
              <w:tc>
                <w:tcPr>
                  <w:tcW w:w="854" w:type="dxa"/>
                  <w:tcBorders>
                    <w:top w:val="nil"/>
                    <w:left w:val="nil"/>
                    <w:bottom w:val="single" w:sz="8" w:space="0" w:color="787878"/>
                    <w:right w:val="single" w:sz="8" w:space="0" w:color="787878"/>
                  </w:tcBorders>
                  <w:shd w:val="clear" w:color="auto" w:fill="DCDCDC"/>
                  <w:tcMar>
                    <w:top w:w="0" w:type="dxa"/>
                    <w:left w:w="108" w:type="dxa"/>
                    <w:bottom w:w="0" w:type="dxa"/>
                    <w:right w:w="108" w:type="dxa"/>
                  </w:tcMar>
                  <w:vAlign w:val="bottom"/>
                  <w:hideMark/>
                </w:tcPr>
                <w:p w:rsidR="005B23EF" w:rsidRDefault="005B23EF" w:rsidP="005B23EF">
                  <w:pPr>
                    <w:jc w:val="center"/>
                    <w:rPr>
                      <w:rFonts w:ascii="Verdana" w:eastAsiaTheme="minorHAnsi" w:hAnsi="Verdana"/>
                      <w:b/>
                      <w:bCs/>
                      <w:color w:val="000000"/>
                      <w:sz w:val="16"/>
                      <w:szCs w:val="16"/>
                      <w:lang w:val="en-US" w:eastAsia="en-US"/>
                    </w:rPr>
                  </w:pPr>
                  <w:r>
                    <w:rPr>
                      <w:rFonts w:ascii="Verdana" w:hAnsi="Verdana"/>
                      <w:b/>
                      <w:bCs/>
                      <w:color w:val="000000"/>
                      <w:sz w:val="16"/>
                      <w:szCs w:val="16"/>
                    </w:rPr>
                    <w:t>Target</w:t>
                  </w:r>
                </w:p>
              </w:tc>
              <w:tc>
                <w:tcPr>
                  <w:tcW w:w="854" w:type="dxa"/>
                  <w:tcBorders>
                    <w:top w:val="nil"/>
                    <w:left w:val="nil"/>
                    <w:bottom w:val="single" w:sz="8" w:space="0" w:color="787878"/>
                    <w:right w:val="single" w:sz="8" w:space="0" w:color="787878"/>
                  </w:tcBorders>
                  <w:shd w:val="clear" w:color="auto" w:fill="DCDCDC"/>
                  <w:tcMar>
                    <w:top w:w="0" w:type="dxa"/>
                    <w:left w:w="108" w:type="dxa"/>
                    <w:bottom w:w="0" w:type="dxa"/>
                    <w:right w:w="108" w:type="dxa"/>
                  </w:tcMar>
                  <w:vAlign w:val="bottom"/>
                  <w:hideMark/>
                </w:tcPr>
                <w:p w:rsidR="005B23EF" w:rsidRDefault="005B23EF" w:rsidP="005B23EF">
                  <w:pPr>
                    <w:jc w:val="center"/>
                    <w:rPr>
                      <w:rFonts w:ascii="Verdana" w:eastAsiaTheme="minorHAnsi" w:hAnsi="Verdana"/>
                      <w:b/>
                      <w:bCs/>
                      <w:color w:val="000000"/>
                      <w:sz w:val="16"/>
                      <w:szCs w:val="16"/>
                      <w:lang w:val="en-US" w:eastAsia="en-US"/>
                    </w:rPr>
                  </w:pPr>
                  <w:r>
                    <w:rPr>
                      <w:rFonts w:ascii="Verdana" w:hAnsi="Verdana"/>
                      <w:b/>
                      <w:bCs/>
                      <w:color w:val="000000"/>
                      <w:sz w:val="16"/>
                      <w:szCs w:val="16"/>
                    </w:rPr>
                    <w:t>Value</w:t>
                  </w:r>
                </w:p>
              </w:tc>
              <w:tc>
                <w:tcPr>
                  <w:tcW w:w="792" w:type="dxa"/>
                  <w:tcBorders>
                    <w:top w:val="nil"/>
                    <w:left w:val="nil"/>
                    <w:bottom w:val="single" w:sz="8" w:space="0" w:color="787878"/>
                    <w:right w:val="single" w:sz="8" w:space="0" w:color="787878"/>
                  </w:tcBorders>
                  <w:shd w:val="clear" w:color="auto" w:fill="DCDCDC"/>
                  <w:tcMar>
                    <w:top w:w="0" w:type="dxa"/>
                    <w:left w:w="108" w:type="dxa"/>
                    <w:bottom w:w="0" w:type="dxa"/>
                    <w:right w:w="108" w:type="dxa"/>
                  </w:tcMar>
                  <w:vAlign w:val="bottom"/>
                  <w:hideMark/>
                </w:tcPr>
                <w:p w:rsidR="005B23EF" w:rsidRDefault="005B23EF" w:rsidP="005B23EF">
                  <w:pPr>
                    <w:jc w:val="center"/>
                    <w:rPr>
                      <w:rFonts w:ascii="Verdana" w:eastAsiaTheme="minorHAnsi" w:hAnsi="Verdana"/>
                      <w:b/>
                      <w:bCs/>
                      <w:color w:val="000000"/>
                      <w:sz w:val="16"/>
                      <w:szCs w:val="16"/>
                      <w:lang w:val="en-US" w:eastAsia="en-US"/>
                    </w:rPr>
                  </w:pPr>
                  <w:r>
                    <w:rPr>
                      <w:rFonts w:ascii="Verdana" w:hAnsi="Verdana"/>
                      <w:b/>
                      <w:bCs/>
                      <w:color w:val="000000"/>
                      <w:sz w:val="16"/>
                      <w:szCs w:val="16"/>
                    </w:rPr>
                    <w:t>Status</w:t>
                  </w:r>
                </w:p>
              </w:tc>
            </w:tr>
            <w:tr w:rsidR="005B23EF" w:rsidTr="005B23EF">
              <w:trPr>
                <w:trHeight w:val="416"/>
              </w:trPr>
              <w:tc>
                <w:tcPr>
                  <w:tcW w:w="268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Ambulance - % Who would recommend 'PTS' service</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90.68%</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95.37%</w:t>
                  </w:r>
                </w:p>
              </w:tc>
              <w:tc>
                <w:tcPr>
                  <w:tcW w:w="792"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78208" behindDoc="0" locked="0" layoutInCell="1" allowOverlap="1" wp14:anchorId="68497ABA" wp14:editId="65F61E24">
                        <wp:simplePos x="0" y="0"/>
                        <wp:positionH relativeFrom="column">
                          <wp:posOffset>0</wp:posOffset>
                        </wp:positionH>
                        <wp:positionV relativeFrom="paragraph">
                          <wp:posOffset>0</wp:posOffset>
                        </wp:positionV>
                        <wp:extent cx="233045" cy="189865"/>
                        <wp:effectExtent l="0" t="0" r="0" b="635"/>
                        <wp:wrapNone/>
                        <wp:docPr id="57" name="Picture 57" descr="Description: https://www.covalentcpm.com/lowRes/big_green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s://www.covalentcpm.com/lowRes/big_green_cir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5B23EF">
              <w:trPr>
                <w:trHeight w:val="416"/>
              </w:trPr>
              <w:tc>
                <w:tcPr>
                  <w:tcW w:w="268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Ambulance - % Who would recommend 'SAT' service</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94.39%</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95.52%</w:t>
                  </w:r>
                </w:p>
              </w:tc>
              <w:tc>
                <w:tcPr>
                  <w:tcW w:w="792"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79232" behindDoc="0" locked="0" layoutInCell="1" allowOverlap="1" wp14:anchorId="2DEF2C7D" wp14:editId="4B8A6FFB">
                        <wp:simplePos x="0" y="0"/>
                        <wp:positionH relativeFrom="column">
                          <wp:posOffset>0</wp:posOffset>
                        </wp:positionH>
                        <wp:positionV relativeFrom="paragraph">
                          <wp:posOffset>0</wp:posOffset>
                        </wp:positionV>
                        <wp:extent cx="233045" cy="189865"/>
                        <wp:effectExtent l="0" t="0" r="0" b="635"/>
                        <wp:wrapNone/>
                        <wp:docPr id="56" name="Picture 56" descr="Description: https://www.covalentcpm.com/lowRes/big_green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www.covalentcpm.com/lowRes/big_green_cir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5B23EF">
              <w:trPr>
                <w:trHeight w:val="416"/>
              </w:trPr>
              <w:tc>
                <w:tcPr>
                  <w:tcW w:w="268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AAE % Who would recommend service</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87.66%</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84.60%</w:t>
                  </w:r>
                </w:p>
              </w:tc>
              <w:tc>
                <w:tcPr>
                  <w:tcW w:w="792"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80256" behindDoc="0" locked="0" layoutInCell="1" allowOverlap="1" wp14:anchorId="18F6CF58" wp14:editId="4F7D30AB">
                        <wp:simplePos x="0" y="0"/>
                        <wp:positionH relativeFrom="column">
                          <wp:posOffset>0</wp:posOffset>
                        </wp:positionH>
                        <wp:positionV relativeFrom="paragraph">
                          <wp:posOffset>0</wp:posOffset>
                        </wp:positionV>
                        <wp:extent cx="233045" cy="180975"/>
                        <wp:effectExtent l="0" t="0" r="0" b="9525"/>
                        <wp:wrapNone/>
                        <wp:docPr id="55" name="Picture 55" descr="Description: https://www.covalentcpm.com/lowRes/big_yellow_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s://www.covalentcpm.com/lowRes/big_yellow_triang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5B23EF">
              <w:trPr>
                <w:trHeight w:val="416"/>
              </w:trPr>
              <w:tc>
                <w:tcPr>
                  <w:tcW w:w="268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Inpatient % Who would recommend service</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95.68%</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96.39%</w:t>
                  </w:r>
                </w:p>
              </w:tc>
              <w:tc>
                <w:tcPr>
                  <w:tcW w:w="792"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81280" behindDoc="0" locked="0" layoutInCell="1" allowOverlap="1" wp14:anchorId="10C0F7D3" wp14:editId="55F01C1D">
                        <wp:simplePos x="0" y="0"/>
                        <wp:positionH relativeFrom="column">
                          <wp:posOffset>0</wp:posOffset>
                        </wp:positionH>
                        <wp:positionV relativeFrom="paragraph">
                          <wp:posOffset>0</wp:posOffset>
                        </wp:positionV>
                        <wp:extent cx="233045" cy="189865"/>
                        <wp:effectExtent l="0" t="0" r="0" b="635"/>
                        <wp:wrapNone/>
                        <wp:docPr id="54" name="Picture 54" descr="Description: https://www.covalentcpm.com/lowRes/big_green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s://www.covalentcpm.com/lowRes/big_green_cir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5B23EF">
              <w:trPr>
                <w:trHeight w:val="416"/>
              </w:trPr>
              <w:tc>
                <w:tcPr>
                  <w:tcW w:w="268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Outpatient - % Who would recommend service</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92.34%</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90.49%</w:t>
                  </w:r>
                </w:p>
              </w:tc>
              <w:tc>
                <w:tcPr>
                  <w:tcW w:w="792"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82304" behindDoc="0" locked="0" layoutInCell="1" allowOverlap="1" wp14:anchorId="777362CB" wp14:editId="20A1F2EB">
                        <wp:simplePos x="0" y="0"/>
                        <wp:positionH relativeFrom="column">
                          <wp:posOffset>0</wp:posOffset>
                        </wp:positionH>
                        <wp:positionV relativeFrom="paragraph">
                          <wp:posOffset>0</wp:posOffset>
                        </wp:positionV>
                        <wp:extent cx="233045" cy="180975"/>
                        <wp:effectExtent l="0" t="0" r="0" b="9525"/>
                        <wp:wrapNone/>
                        <wp:docPr id="53" name="Picture 53" descr="Description: https://www.covalentcpm.com/lowRes/big_yellow_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s://www.covalentcpm.com/lowRes/big_yellow_triang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5B23EF">
              <w:trPr>
                <w:trHeight w:val="416"/>
              </w:trPr>
              <w:tc>
                <w:tcPr>
                  <w:tcW w:w="268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Community (CPG) % Who would recommend service</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95.20%</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96.82%</w:t>
                  </w:r>
                </w:p>
              </w:tc>
              <w:tc>
                <w:tcPr>
                  <w:tcW w:w="792"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83328" behindDoc="0" locked="0" layoutInCell="1" allowOverlap="1" wp14:anchorId="7FF0EDDF" wp14:editId="58E26F4F">
                        <wp:simplePos x="0" y="0"/>
                        <wp:positionH relativeFrom="column">
                          <wp:posOffset>0</wp:posOffset>
                        </wp:positionH>
                        <wp:positionV relativeFrom="paragraph">
                          <wp:posOffset>0</wp:posOffset>
                        </wp:positionV>
                        <wp:extent cx="233045" cy="189865"/>
                        <wp:effectExtent l="0" t="0" r="0" b="635"/>
                        <wp:wrapNone/>
                        <wp:docPr id="52" name="Picture 52" descr="Description: https://www.covalentcpm.com/lowRes/big_green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s://www.covalentcpm.com/lowRes/big_green_cir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5B23EF">
              <w:trPr>
                <w:trHeight w:val="416"/>
              </w:trPr>
              <w:tc>
                <w:tcPr>
                  <w:tcW w:w="268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MH % Who would recommend service (NAVIGO)</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87.30%</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93.61%</w:t>
                  </w:r>
                </w:p>
              </w:tc>
              <w:tc>
                <w:tcPr>
                  <w:tcW w:w="792"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84352" behindDoc="0" locked="0" layoutInCell="1" allowOverlap="1" wp14:anchorId="01D507BD" wp14:editId="64968F8F">
                        <wp:simplePos x="0" y="0"/>
                        <wp:positionH relativeFrom="column">
                          <wp:posOffset>0</wp:posOffset>
                        </wp:positionH>
                        <wp:positionV relativeFrom="paragraph">
                          <wp:posOffset>0</wp:posOffset>
                        </wp:positionV>
                        <wp:extent cx="233045" cy="189865"/>
                        <wp:effectExtent l="0" t="0" r="0" b="635"/>
                        <wp:wrapNone/>
                        <wp:docPr id="51" name="Picture 51" descr="Description: https://www.covalentcpm.com/lowRes/big_green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s://www.covalentcpm.com/lowRes/big_green_cir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5B23EF">
              <w:trPr>
                <w:trHeight w:val="416"/>
              </w:trPr>
              <w:tc>
                <w:tcPr>
                  <w:tcW w:w="268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Maternity - Combined % Who would recommend</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95.58%</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93.05%</w:t>
                  </w:r>
                </w:p>
              </w:tc>
              <w:tc>
                <w:tcPr>
                  <w:tcW w:w="792"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85376" behindDoc="0" locked="0" layoutInCell="1" allowOverlap="1" wp14:anchorId="7F0E601A" wp14:editId="6589BFA7">
                        <wp:simplePos x="0" y="0"/>
                        <wp:positionH relativeFrom="column">
                          <wp:posOffset>0</wp:posOffset>
                        </wp:positionH>
                        <wp:positionV relativeFrom="paragraph">
                          <wp:posOffset>0</wp:posOffset>
                        </wp:positionV>
                        <wp:extent cx="233045" cy="180975"/>
                        <wp:effectExtent l="0" t="0" r="0" b="9525"/>
                        <wp:wrapNone/>
                        <wp:docPr id="50" name="Picture 50" descr="Description: https://www.covalentcpm.com/lowRes/big_yellow_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www.covalentcpm.com/lowRes/big_yellow_triang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5B23EF">
              <w:trPr>
                <w:trHeight w:val="416"/>
              </w:trPr>
              <w:tc>
                <w:tcPr>
                  <w:tcW w:w="268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Employee score</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77.89%</w:t>
                  </w:r>
                </w:p>
              </w:tc>
              <w:tc>
                <w:tcPr>
                  <w:tcW w:w="85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50.31%</w:t>
                  </w:r>
                </w:p>
              </w:tc>
              <w:tc>
                <w:tcPr>
                  <w:tcW w:w="792"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86400" behindDoc="0" locked="0" layoutInCell="1" allowOverlap="1" wp14:anchorId="708A4D65" wp14:editId="04C812D5">
                        <wp:simplePos x="0" y="0"/>
                        <wp:positionH relativeFrom="column">
                          <wp:posOffset>0</wp:posOffset>
                        </wp:positionH>
                        <wp:positionV relativeFrom="paragraph">
                          <wp:posOffset>0</wp:posOffset>
                        </wp:positionV>
                        <wp:extent cx="233045" cy="233045"/>
                        <wp:effectExtent l="0" t="0" r="0" b="0"/>
                        <wp:wrapNone/>
                        <wp:docPr id="49" name="Picture 49" descr="Description: https://www.covalentcpm.com/lowRes/big_red_oct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www.covalentcpm.com/lowRes/big_red_octag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pic:spPr>
                            </pic:pic>
                          </a:graphicData>
                        </a:graphic>
                        <wp14:sizeRelH relativeFrom="page">
                          <wp14:pctWidth>0</wp14:pctWidth>
                        </wp14:sizeRelH>
                        <wp14:sizeRelV relativeFrom="page">
                          <wp14:pctHeight>0</wp14:pctHeight>
                        </wp14:sizeRelV>
                      </wp:anchor>
                    </w:drawing>
                  </w:r>
                </w:p>
              </w:tc>
            </w:tr>
          </w:tbl>
          <w:p w:rsidR="005B23EF" w:rsidRDefault="005B23EF" w:rsidP="005B23EF">
            <w:pPr>
              <w:rPr>
                <w:rFonts w:ascii="Arial" w:eastAsiaTheme="minorHAnsi" w:hAnsi="Arial" w:cs="Arial"/>
                <w:b/>
                <w:bCs/>
                <w:color w:val="000000"/>
                <w:sz w:val="20"/>
                <w:szCs w:val="20"/>
                <w:lang w:eastAsia="en-US"/>
              </w:rPr>
            </w:pPr>
            <w:r>
              <w:rPr>
                <w:rFonts w:ascii="Arial" w:hAnsi="Arial" w:cs="Arial"/>
                <w:b/>
                <w:bCs/>
                <w:color w:val="000000"/>
                <w:sz w:val="20"/>
                <w:szCs w:val="20"/>
              </w:rPr>
              <w:t>Friends and Family Test</w:t>
            </w:r>
          </w:p>
          <w:p w:rsidR="005B23EF" w:rsidRDefault="005B23EF" w:rsidP="005B23EF">
            <w:pPr>
              <w:rPr>
                <w:rFonts w:ascii="Arial" w:hAnsi="Arial" w:cs="Arial"/>
                <w:b/>
                <w:bCs/>
                <w:color w:val="000000"/>
                <w:sz w:val="20"/>
                <w:szCs w:val="20"/>
              </w:rPr>
            </w:pPr>
          </w:p>
          <w:p w:rsidR="005B23EF" w:rsidRDefault="005B23EF" w:rsidP="005B23EF">
            <w:pPr>
              <w:rPr>
                <w:rFonts w:ascii="Arial" w:hAnsi="Arial" w:cs="Arial"/>
                <w:b/>
                <w:bCs/>
                <w:i/>
                <w:iCs/>
                <w:color w:val="000000"/>
                <w:sz w:val="20"/>
                <w:szCs w:val="20"/>
              </w:rPr>
            </w:pPr>
            <w:r>
              <w:rPr>
                <w:rFonts w:ascii="Arial" w:hAnsi="Arial" w:cs="Arial"/>
                <w:b/>
                <w:bCs/>
                <w:i/>
                <w:iCs/>
                <w:color w:val="000000"/>
                <w:sz w:val="20"/>
                <w:szCs w:val="20"/>
              </w:rPr>
              <w:t>‘% Who would recommend service’</w:t>
            </w:r>
          </w:p>
          <w:p w:rsidR="005B23EF" w:rsidRDefault="005B23EF" w:rsidP="005B23EF">
            <w:pPr>
              <w:rPr>
                <w:rFonts w:ascii="Arial" w:hAnsi="Arial" w:cs="Arial"/>
                <w:color w:val="000000"/>
                <w:sz w:val="20"/>
                <w:szCs w:val="20"/>
              </w:rPr>
            </w:pPr>
            <w:r>
              <w:rPr>
                <w:rFonts w:ascii="Arial" w:hAnsi="Arial" w:cs="Arial"/>
                <w:color w:val="000000"/>
                <w:sz w:val="20"/>
                <w:szCs w:val="20"/>
              </w:rPr>
              <w:t>The year to date Friends and Family Test performance shows we are below target for A&amp;E, Outpatient, Maternity and Staff who would recommend service but above target for Ambulance, Inpatient, Community and Mental Health when looking at how others are performing nationally.</w:t>
            </w:r>
          </w:p>
          <w:p w:rsidR="005B23EF" w:rsidRDefault="005B23EF" w:rsidP="005B23EF">
            <w:pPr>
              <w:rPr>
                <w:rFonts w:ascii="Arial" w:hAnsi="Arial" w:cs="Arial"/>
                <w:color w:val="000000"/>
                <w:sz w:val="20"/>
                <w:szCs w:val="20"/>
              </w:rPr>
            </w:pPr>
          </w:p>
          <w:p w:rsidR="005B23EF" w:rsidRDefault="005B23EF" w:rsidP="005B23EF">
            <w:pPr>
              <w:rPr>
                <w:rFonts w:ascii="Arial" w:hAnsi="Arial" w:cs="Arial"/>
                <w:color w:val="000000"/>
                <w:sz w:val="20"/>
                <w:szCs w:val="20"/>
              </w:rPr>
            </w:pPr>
          </w:p>
          <w:tbl>
            <w:tblPr>
              <w:tblpPr w:leftFromText="175" w:rightFromText="175" w:vertAnchor="text" w:tblpXSpec="right" w:tblpYSpec="center"/>
              <w:tblW w:w="5173" w:type="dxa"/>
              <w:tblCellMar>
                <w:left w:w="0" w:type="dxa"/>
                <w:right w:w="0" w:type="dxa"/>
              </w:tblCellMar>
              <w:tblLook w:val="04A0" w:firstRow="1" w:lastRow="0" w:firstColumn="1" w:lastColumn="0" w:noHBand="0" w:noVBand="1"/>
            </w:tblPr>
            <w:tblGrid>
              <w:gridCol w:w="2720"/>
              <w:gridCol w:w="833"/>
              <w:gridCol w:w="794"/>
              <w:gridCol w:w="826"/>
            </w:tblGrid>
            <w:tr w:rsidR="005B23EF" w:rsidTr="00C764B2">
              <w:trPr>
                <w:trHeight w:val="189"/>
              </w:trPr>
              <w:tc>
                <w:tcPr>
                  <w:tcW w:w="2720" w:type="dxa"/>
                  <w:vMerge w:val="restart"/>
                  <w:tcBorders>
                    <w:top w:val="single" w:sz="8" w:space="0" w:color="787878"/>
                    <w:left w:val="single" w:sz="8" w:space="0" w:color="787878"/>
                    <w:bottom w:val="single" w:sz="8" w:space="0" w:color="78786E"/>
                    <w:right w:val="single" w:sz="8" w:space="0" w:color="787878"/>
                  </w:tcBorders>
                  <w:shd w:val="clear" w:color="auto" w:fill="DCDCDC"/>
                  <w:tcMar>
                    <w:top w:w="0" w:type="dxa"/>
                    <w:left w:w="108" w:type="dxa"/>
                    <w:bottom w:w="0" w:type="dxa"/>
                    <w:right w:w="108" w:type="dxa"/>
                  </w:tcMar>
                  <w:vAlign w:val="bottom"/>
                  <w:hideMark/>
                </w:tcPr>
                <w:p w:rsidR="005B23EF" w:rsidRDefault="005B23EF" w:rsidP="005B23EF">
                  <w:pPr>
                    <w:rPr>
                      <w:rFonts w:ascii="Verdana" w:eastAsiaTheme="minorHAnsi" w:hAnsi="Verdana"/>
                      <w:b/>
                      <w:bCs/>
                      <w:color w:val="000000"/>
                      <w:sz w:val="16"/>
                      <w:szCs w:val="16"/>
                      <w:lang w:val="en-US" w:eastAsia="en-US"/>
                    </w:rPr>
                  </w:pPr>
                  <w:r>
                    <w:rPr>
                      <w:rFonts w:ascii="Verdana" w:hAnsi="Verdana"/>
                      <w:b/>
                      <w:bCs/>
                      <w:color w:val="000000"/>
                      <w:sz w:val="16"/>
                      <w:szCs w:val="16"/>
                    </w:rPr>
                    <w:t>Indicator</w:t>
                  </w:r>
                </w:p>
              </w:tc>
              <w:tc>
                <w:tcPr>
                  <w:tcW w:w="2453" w:type="dxa"/>
                  <w:gridSpan w:val="3"/>
                  <w:tcBorders>
                    <w:top w:val="single" w:sz="8" w:space="0" w:color="787878"/>
                    <w:left w:val="nil"/>
                    <w:bottom w:val="single" w:sz="8" w:space="0" w:color="787878"/>
                    <w:right w:val="single" w:sz="8" w:space="0" w:color="787878"/>
                  </w:tcBorders>
                  <w:shd w:val="clear" w:color="auto" w:fill="DCDCDC"/>
                  <w:tcMar>
                    <w:top w:w="0" w:type="dxa"/>
                    <w:left w:w="108" w:type="dxa"/>
                    <w:bottom w:w="0" w:type="dxa"/>
                    <w:right w:w="108" w:type="dxa"/>
                  </w:tcMar>
                  <w:vAlign w:val="bottom"/>
                  <w:hideMark/>
                </w:tcPr>
                <w:p w:rsidR="005B23EF" w:rsidRDefault="005B23EF" w:rsidP="005B23EF">
                  <w:pPr>
                    <w:jc w:val="center"/>
                    <w:rPr>
                      <w:rFonts w:ascii="Verdana" w:eastAsiaTheme="minorHAnsi" w:hAnsi="Verdana"/>
                      <w:b/>
                      <w:bCs/>
                      <w:color w:val="000000"/>
                      <w:sz w:val="16"/>
                      <w:szCs w:val="16"/>
                      <w:lang w:val="en-US" w:eastAsia="en-US"/>
                    </w:rPr>
                  </w:pPr>
                  <w:r>
                    <w:rPr>
                      <w:rFonts w:ascii="Verdana" w:hAnsi="Verdana"/>
                      <w:b/>
                      <w:bCs/>
                      <w:color w:val="000000"/>
                      <w:sz w:val="16"/>
                      <w:szCs w:val="16"/>
                    </w:rPr>
                    <w:t>2015/16</w:t>
                  </w:r>
                </w:p>
              </w:tc>
            </w:tr>
            <w:tr w:rsidR="005B23EF" w:rsidTr="00C764B2">
              <w:trPr>
                <w:trHeight w:val="189"/>
              </w:trPr>
              <w:tc>
                <w:tcPr>
                  <w:tcW w:w="2720" w:type="dxa"/>
                  <w:vMerge/>
                  <w:tcBorders>
                    <w:top w:val="single" w:sz="8" w:space="0" w:color="787878"/>
                    <w:left w:val="single" w:sz="8" w:space="0" w:color="787878"/>
                    <w:bottom w:val="single" w:sz="8" w:space="0" w:color="78786E"/>
                    <w:right w:val="single" w:sz="8" w:space="0" w:color="787878"/>
                  </w:tcBorders>
                  <w:vAlign w:val="center"/>
                  <w:hideMark/>
                </w:tcPr>
                <w:p w:rsidR="005B23EF" w:rsidRDefault="005B23EF" w:rsidP="005B23EF">
                  <w:pPr>
                    <w:rPr>
                      <w:rFonts w:ascii="Verdana" w:eastAsiaTheme="minorHAnsi" w:hAnsi="Verdana"/>
                      <w:b/>
                      <w:bCs/>
                      <w:color w:val="000000"/>
                      <w:sz w:val="16"/>
                      <w:szCs w:val="16"/>
                      <w:lang w:val="en-US" w:eastAsia="en-US"/>
                    </w:rPr>
                  </w:pPr>
                </w:p>
              </w:tc>
              <w:tc>
                <w:tcPr>
                  <w:tcW w:w="833" w:type="dxa"/>
                  <w:tcBorders>
                    <w:top w:val="nil"/>
                    <w:left w:val="nil"/>
                    <w:bottom w:val="single" w:sz="8" w:space="0" w:color="787878"/>
                    <w:right w:val="single" w:sz="8" w:space="0" w:color="787878"/>
                  </w:tcBorders>
                  <w:shd w:val="clear" w:color="auto" w:fill="DCDCDC"/>
                  <w:tcMar>
                    <w:top w:w="0" w:type="dxa"/>
                    <w:left w:w="108" w:type="dxa"/>
                    <w:bottom w:w="0" w:type="dxa"/>
                    <w:right w:w="108" w:type="dxa"/>
                  </w:tcMar>
                  <w:vAlign w:val="bottom"/>
                  <w:hideMark/>
                </w:tcPr>
                <w:p w:rsidR="005B23EF" w:rsidRDefault="005B23EF" w:rsidP="005B23EF">
                  <w:pPr>
                    <w:jc w:val="center"/>
                    <w:rPr>
                      <w:rFonts w:ascii="Verdana" w:eastAsiaTheme="minorHAnsi" w:hAnsi="Verdana"/>
                      <w:b/>
                      <w:bCs/>
                      <w:color w:val="000000"/>
                      <w:sz w:val="16"/>
                      <w:szCs w:val="16"/>
                      <w:lang w:val="en-US" w:eastAsia="en-US"/>
                    </w:rPr>
                  </w:pPr>
                  <w:r>
                    <w:rPr>
                      <w:rFonts w:ascii="Verdana" w:hAnsi="Verdana"/>
                      <w:b/>
                      <w:bCs/>
                      <w:color w:val="000000"/>
                      <w:sz w:val="16"/>
                      <w:szCs w:val="16"/>
                    </w:rPr>
                    <w:t>Target</w:t>
                  </w:r>
                </w:p>
              </w:tc>
              <w:tc>
                <w:tcPr>
                  <w:tcW w:w="794" w:type="dxa"/>
                  <w:tcBorders>
                    <w:top w:val="nil"/>
                    <w:left w:val="nil"/>
                    <w:bottom w:val="single" w:sz="8" w:space="0" w:color="787878"/>
                    <w:right w:val="single" w:sz="8" w:space="0" w:color="787878"/>
                  </w:tcBorders>
                  <w:shd w:val="clear" w:color="auto" w:fill="DCDCDC"/>
                  <w:tcMar>
                    <w:top w:w="0" w:type="dxa"/>
                    <w:left w:w="108" w:type="dxa"/>
                    <w:bottom w:w="0" w:type="dxa"/>
                    <w:right w:w="108" w:type="dxa"/>
                  </w:tcMar>
                  <w:vAlign w:val="bottom"/>
                  <w:hideMark/>
                </w:tcPr>
                <w:p w:rsidR="005B23EF" w:rsidRDefault="005B23EF" w:rsidP="005B23EF">
                  <w:pPr>
                    <w:jc w:val="center"/>
                    <w:rPr>
                      <w:rFonts w:ascii="Verdana" w:eastAsiaTheme="minorHAnsi" w:hAnsi="Verdana"/>
                      <w:b/>
                      <w:bCs/>
                      <w:color w:val="000000"/>
                      <w:sz w:val="16"/>
                      <w:szCs w:val="16"/>
                      <w:lang w:val="en-US" w:eastAsia="en-US"/>
                    </w:rPr>
                  </w:pPr>
                  <w:r>
                    <w:rPr>
                      <w:rFonts w:ascii="Verdana" w:hAnsi="Verdana"/>
                      <w:b/>
                      <w:bCs/>
                      <w:color w:val="000000"/>
                      <w:sz w:val="16"/>
                      <w:szCs w:val="16"/>
                    </w:rPr>
                    <w:t>Value</w:t>
                  </w:r>
                </w:p>
              </w:tc>
              <w:tc>
                <w:tcPr>
                  <w:tcW w:w="826" w:type="dxa"/>
                  <w:tcBorders>
                    <w:top w:val="nil"/>
                    <w:left w:val="nil"/>
                    <w:bottom w:val="single" w:sz="8" w:space="0" w:color="787878"/>
                    <w:right w:val="single" w:sz="8" w:space="0" w:color="787878"/>
                  </w:tcBorders>
                  <w:shd w:val="clear" w:color="auto" w:fill="DCDCDC"/>
                  <w:tcMar>
                    <w:top w:w="0" w:type="dxa"/>
                    <w:left w:w="108" w:type="dxa"/>
                    <w:bottom w:w="0" w:type="dxa"/>
                    <w:right w:w="108" w:type="dxa"/>
                  </w:tcMar>
                  <w:vAlign w:val="bottom"/>
                  <w:hideMark/>
                </w:tcPr>
                <w:p w:rsidR="005B23EF" w:rsidRDefault="005B23EF" w:rsidP="005B23EF">
                  <w:pPr>
                    <w:jc w:val="center"/>
                    <w:rPr>
                      <w:rFonts w:ascii="Verdana" w:eastAsiaTheme="minorHAnsi" w:hAnsi="Verdana"/>
                      <w:b/>
                      <w:bCs/>
                      <w:color w:val="000000"/>
                      <w:sz w:val="16"/>
                      <w:szCs w:val="16"/>
                      <w:lang w:val="en-US" w:eastAsia="en-US"/>
                    </w:rPr>
                  </w:pPr>
                  <w:r>
                    <w:rPr>
                      <w:rFonts w:ascii="Calibri" w:eastAsiaTheme="minorHAnsi" w:hAnsi="Calibri"/>
                      <w:noProof/>
                      <w:sz w:val="22"/>
                      <w:szCs w:val="22"/>
                    </w:rPr>
                    <w:drawing>
                      <wp:anchor distT="0" distB="0" distL="114300" distR="114300" simplePos="0" relativeHeight="251687424" behindDoc="0" locked="0" layoutInCell="1" allowOverlap="1" wp14:anchorId="0A8721AA" wp14:editId="7D2337A4">
                        <wp:simplePos x="0" y="0"/>
                        <wp:positionH relativeFrom="column">
                          <wp:posOffset>-14605</wp:posOffset>
                        </wp:positionH>
                        <wp:positionV relativeFrom="paragraph">
                          <wp:posOffset>124460</wp:posOffset>
                        </wp:positionV>
                        <wp:extent cx="233045" cy="233045"/>
                        <wp:effectExtent l="0" t="0" r="0" b="0"/>
                        <wp:wrapNone/>
                        <wp:docPr id="48" name="Picture 48" descr="Description: https://www.covalentcpm.com/lowRes/big_red_oct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https://www.covalentcpm.com/lowRes/big_red_octag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color w:val="000000"/>
                      <w:sz w:val="16"/>
                      <w:szCs w:val="16"/>
                    </w:rPr>
                    <w:t>Status</w:t>
                  </w:r>
                </w:p>
              </w:tc>
            </w:tr>
            <w:tr w:rsidR="005B23EF" w:rsidTr="00C764B2">
              <w:trPr>
                <w:trHeight w:val="358"/>
              </w:trPr>
              <w:tc>
                <w:tcPr>
                  <w:tcW w:w="272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Ambulance Response (PTS)</w:t>
                  </w:r>
                </w:p>
              </w:tc>
              <w:tc>
                <w:tcPr>
                  <w:tcW w:w="833"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0.48%</w:t>
                  </w:r>
                </w:p>
              </w:tc>
              <w:tc>
                <w:tcPr>
                  <w:tcW w:w="79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0.37%</w:t>
                  </w:r>
                </w:p>
              </w:tc>
              <w:tc>
                <w:tcPr>
                  <w:tcW w:w="826"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rPr>
                      <w:sz w:val="20"/>
                      <w:szCs w:val="20"/>
                    </w:rPr>
                  </w:pPr>
                </w:p>
              </w:tc>
            </w:tr>
            <w:tr w:rsidR="005B23EF" w:rsidTr="00C764B2">
              <w:trPr>
                <w:trHeight w:val="358"/>
              </w:trPr>
              <w:tc>
                <w:tcPr>
                  <w:tcW w:w="272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Ambulance Response (SAT)</w:t>
                  </w:r>
                </w:p>
              </w:tc>
              <w:tc>
                <w:tcPr>
                  <w:tcW w:w="833"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0.14%</w:t>
                  </w:r>
                </w:p>
              </w:tc>
              <w:tc>
                <w:tcPr>
                  <w:tcW w:w="79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0.40%</w:t>
                  </w:r>
                </w:p>
              </w:tc>
              <w:tc>
                <w:tcPr>
                  <w:tcW w:w="826"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88448" behindDoc="0" locked="0" layoutInCell="1" allowOverlap="1" wp14:anchorId="4B1A9A52" wp14:editId="569F0C7C">
                        <wp:simplePos x="0" y="0"/>
                        <wp:positionH relativeFrom="column">
                          <wp:posOffset>0</wp:posOffset>
                        </wp:positionH>
                        <wp:positionV relativeFrom="paragraph">
                          <wp:posOffset>0</wp:posOffset>
                        </wp:positionV>
                        <wp:extent cx="233045" cy="189865"/>
                        <wp:effectExtent l="0" t="0" r="0" b="635"/>
                        <wp:wrapNone/>
                        <wp:docPr id="47" name="Picture 47" descr="Description: https://www.covalentcpm.com/lowRes/big_green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https://www.covalentcpm.com/lowRes/big_green_cir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C764B2">
              <w:trPr>
                <w:trHeight w:val="358"/>
              </w:trPr>
              <w:tc>
                <w:tcPr>
                  <w:tcW w:w="272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AAE Response (NLAG)</w:t>
                  </w:r>
                </w:p>
              </w:tc>
              <w:tc>
                <w:tcPr>
                  <w:tcW w:w="833"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13.9%</w:t>
                  </w:r>
                </w:p>
              </w:tc>
              <w:tc>
                <w:tcPr>
                  <w:tcW w:w="79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12.6%</w:t>
                  </w:r>
                </w:p>
              </w:tc>
              <w:tc>
                <w:tcPr>
                  <w:tcW w:w="826"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89472" behindDoc="0" locked="0" layoutInCell="1" allowOverlap="1" wp14:anchorId="2EAEE2F0" wp14:editId="0644EEA0">
                        <wp:simplePos x="0" y="0"/>
                        <wp:positionH relativeFrom="column">
                          <wp:posOffset>0</wp:posOffset>
                        </wp:positionH>
                        <wp:positionV relativeFrom="paragraph">
                          <wp:posOffset>0</wp:posOffset>
                        </wp:positionV>
                        <wp:extent cx="233045" cy="233045"/>
                        <wp:effectExtent l="0" t="0" r="0" b="0"/>
                        <wp:wrapNone/>
                        <wp:docPr id="46" name="Picture 46" descr="Description: https://www.covalentcpm.com/lowRes/big_red_oct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s://www.covalentcpm.com/lowRes/big_red_octag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C764B2">
              <w:trPr>
                <w:trHeight w:val="358"/>
              </w:trPr>
              <w:tc>
                <w:tcPr>
                  <w:tcW w:w="272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Inpatient Response (NLAG)</w:t>
                  </w:r>
                </w:p>
              </w:tc>
              <w:tc>
                <w:tcPr>
                  <w:tcW w:w="833"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25.7%</w:t>
                  </w:r>
                </w:p>
              </w:tc>
              <w:tc>
                <w:tcPr>
                  <w:tcW w:w="79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20.5%</w:t>
                  </w:r>
                </w:p>
              </w:tc>
              <w:tc>
                <w:tcPr>
                  <w:tcW w:w="826"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90496" behindDoc="0" locked="0" layoutInCell="1" allowOverlap="1" wp14:anchorId="1D833702" wp14:editId="4DE21B1F">
                        <wp:simplePos x="0" y="0"/>
                        <wp:positionH relativeFrom="column">
                          <wp:posOffset>0</wp:posOffset>
                        </wp:positionH>
                        <wp:positionV relativeFrom="paragraph">
                          <wp:posOffset>0</wp:posOffset>
                        </wp:positionV>
                        <wp:extent cx="233045" cy="233045"/>
                        <wp:effectExtent l="0" t="0" r="0" b="0"/>
                        <wp:wrapNone/>
                        <wp:docPr id="45" name="Picture 45" descr="Description: https://www.covalentcpm.com/lowRes/big_red_oct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s://www.covalentcpm.com/lowRes/big_red_octag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C764B2">
              <w:trPr>
                <w:trHeight w:val="358"/>
              </w:trPr>
              <w:tc>
                <w:tcPr>
                  <w:tcW w:w="272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Outpatient Response</w:t>
                  </w:r>
                </w:p>
              </w:tc>
              <w:tc>
                <w:tcPr>
                  <w:tcW w:w="833"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6.08%</w:t>
                  </w:r>
                </w:p>
              </w:tc>
              <w:tc>
                <w:tcPr>
                  <w:tcW w:w="79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0.56%</w:t>
                  </w:r>
                </w:p>
              </w:tc>
              <w:tc>
                <w:tcPr>
                  <w:tcW w:w="826"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91520" behindDoc="0" locked="0" layoutInCell="1" allowOverlap="1" wp14:anchorId="76375477" wp14:editId="43B06220">
                        <wp:simplePos x="0" y="0"/>
                        <wp:positionH relativeFrom="column">
                          <wp:posOffset>0</wp:posOffset>
                        </wp:positionH>
                        <wp:positionV relativeFrom="paragraph">
                          <wp:posOffset>0</wp:posOffset>
                        </wp:positionV>
                        <wp:extent cx="233045" cy="233045"/>
                        <wp:effectExtent l="0" t="0" r="0" b="0"/>
                        <wp:wrapNone/>
                        <wp:docPr id="44" name="Picture 44" descr="Description: https://www.covalentcpm.com/lowRes/big_red_oct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ttps://www.covalentcpm.com/lowRes/big_red_octag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C764B2">
              <w:trPr>
                <w:trHeight w:val="358"/>
              </w:trPr>
              <w:tc>
                <w:tcPr>
                  <w:tcW w:w="272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Community Response (CPG)</w:t>
                  </w:r>
                </w:p>
              </w:tc>
              <w:tc>
                <w:tcPr>
                  <w:tcW w:w="833"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3.42%</w:t>
                  </w:r>
                </w:p>
              </w:tc>
              <w:tc>
                <w:tcPr>
                  <w:tcW w:w="79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1.05%</w:t>
                  </w:r>
                </w:p>
              </w:tc>
              <w:tc>
                <w:tcPr>
                  <w:tcW w:w="826"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93568" behindDoc="0" locked="0" layoutInCell="1" allowOverlap="1" wp14:anchorId="60B13A11" wp14:editId="0A0D9338">
                        <wp:simplePos x="0" y="0"/>
                        <wp:positionH relativeFrom="column">
                          <wp:posOffset>0</wp:posOffset>
                        </wp:positionH>
                        <wp:positionV relativeFrom="paragraph">
                          <wp:posOffset>0</wp:posOffset>
                        </wp:positionV>
                        <wp:extent cx="233045" cy="233045"/>
                        <wp:effectExtent l="0" t="0" r="0" b="0"/>
                        <wp:wrapNone/>
                        <wp:docPr id="43" name="Picture 43" descr="Description: https://www.covalentcpm.com/lowRes/big_red_oct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s://www.covalentcpm.com/lowRes/big_red_octag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C764B2">
              <w:trPr>
                <w:trHeight w:val="358"/>
              </w:trPr>
              <w:tc>
                <w:tcPr>
                  <w:tcW w:w="272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MH Response (NAVIGO)</w:t>
                  </w:r>
                </w:p>
              </w:tc>
              <w:tc>
                <w:tcPr>
                  <w:tcW w:w="833"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2.34%</w:t>
                  </w:r>
                </w:p>
              </w:tc>
              <w:tc>
                <w:tcPr>
                  <w:tcW w:w="79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13.2%</w:t>
                  </w:r>
                </w:p>
              </w:tc>
              <w:tc>
                <w:tcPr>
                  <w:tcW w:w="826"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92544" behindDoc="0" locked="0" layoutInCell="1" allowOverlap="1" wp14:anchorId="45D5742E" wp14:editId="28D6E254">
                        <wp:simplePos x="0" y="0"/>
                        <wp:positionH relativeFrom="column">
                          <wp:posOffset>0</wp:posOffset>
                        </wp:positionH>
                        <wp:positionV relativeFrom="paragraph">
                          <wp:posOffset>0</wp:posOffset>
                        </wp:positionV>
                        <wp:extent cx="233045" cy="189865"/>
                        <wp:effectExtent l="0" t="0" r="0" b="635"/>
                        <wp:wrapNone/>
                        <wp:docPr id="42" name="Picture 42" descr="Description: https://www.covalentcpm.com/lowRes/big_green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www.covalentcpm.com/lowRes/big_green_cir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pic:spPr>
                            </pic:pic>
                          </a:graphicData>
                        </a:graphic>
                        <wp14:sizeRelH relativeFrom="page">
                          <wp14:pctWidth>0</wp14:pctWidth>
                        </wp14:sizeRelH>
                        <wp14:sizeRelV relativeFrom="page">
                          <wp14:pctHeight>0</wp14:pctHeight>
                        </wp14:sizeRelV>
                      </wp:anchor>
                    </w:drawing>
                  </w:r>
                </w:p>
              </w:tc>
            </w:tr>
            <w:tr w:rsidR="005B23EF" w:rsidTr="00C764B2">
              <w:trPr>
                <w:trHeight w:val="243"/>
              </w:trPr>
              <w:tc>
                <w:tcPr>
                  <w:tcW w:w="2720" w:type="dxa"/>
                  <w:tcBorders>
                    <w:top w:val="nil"/>
                    <w:left w:val="single" w:sz="8" w:space="0" w:color="78786E"/>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rPr>
                      <w:rFonts w:ascii="Verdana" w:eastAsiaTheme="minorHAnsi" w:hAnsi="Verdana"/>
                      <w:color w:val="000000"/>
                      <w:sz w:val="16"/>
                      <w:szCs w:val="16"/>
                      <w:lang w:val="en-US" w:eastAsia="en-US"/>
                    </w:rPr>
                  </w:pPr>
                  <w:r>
                    <w:rPr>
                      <w:rFonts w:ascii="Verdana" w:hAnsi="Verdana"/>
                      <w:color w:val="000000"/>
                      <w:sz w:val="16"/>
                      <w:szCs w:val="16"/>
                    </w:rPr>
                    <w:t>FFT - Maternity Response (NLAG) Birth</w:t>
                  </w:r>
                </w:p>
              </w:tc>
              <w:tc>
                <w:tcPr>
                  <w:tcW w:w="833"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22.8%</w:t>
                  </w:r>
                </w:p>
              </w:tc>
              <w:tc>
                <w:tcPr>
                  <w:tcW w:w="794"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center"/>
                  <w:hideMark/>
                </w:tcPr>
                <w:p w:rsidR="005B23EF" w:rsidRDefault="005B23EF" w:rsidP="005B23EF">
                  <w:pPr>
                    <w:jc w:val="center"/>
                    <w:rPr>
                      <w:rFonts w:ascii="Verdana" w:eastAsiaTheme="minorHAnsi" w:hAnsi="Verdana"/>
                      <w:color w:val="000000"/>
                      <w:sz w:val="16"/>
                      <w:szCs w:val="16"/>
                      <w:lang w:val="en-US" w:eastAsia="en-US"/>
                    </w:rPr>
                  </w:pPr>
                  <w:r>
                    <w:rPr>
                      <w:rFonts w:ascii="Verdana" w:hAnsi="Verdana"/>
                      <w:color w:val="000000"/>
                      <w:sz w:val="16"/>
                      <w:szCs w:val="16"/>
                    </w:rPr>
                    <w:t>14.0%</w:t>
                  </w:r>
                </w:p>
              </w:tc>
              <w:tc>
                <w:tcPr>
                  <w:tcW w:w="826" w:type="dxa"/>
                  <w:tcBorders>
                    <w:top w:val="nil"/>
                    <w:left w:val="nil"/>
                    <w:bottom w:val="single" w:sz="8" w:space="0" w:color="78786E"/>
                    <w:right w:val="single" w:sz="8" w:space="0" w:color="78786E"/>
                  </w:tcBorders>
                  <w:shd w:val="clear" w:color="auto" w:fill="FFFFFF"/>
                  <w:tcMar>
                    <w:top w:w="0" w:type="dxa"/>
                    <w:left w:w="108" w:type="dxa"/>
                    <w:bottom w:w="0" w:type="dxa"/>
                    <w:right w:w="108" w:type="dxa"/>
                  </w:tcMar>
                  <w:vAlign w:val="bottom"/>
                  <w:hideMark/>
                </w:tcPr>
                <w:p w:rsidR="005B23EF" w:rsidRDefault="005B23EF" w:rsidP="005B23EF">
                  <w:pPr>
                    <w:jc w:val="center"/>
                    <w:rPr>
                      <w:rFonts w:ascii="Verdana" w:eastAsiaTheme="minorHAnsi" w:hAnsi="Verdana"/>
                      <w:color w:val="000000"/>
                      <w:sz w:val="16"/>
                      <w:szCs w:val="16"/>
                      <w:lang w:val="en-US" w:eastAsia="en-US"/>
                    </w:rPr>
                  </w:pPr>
                  <w:r>
                    <w:rPr>
                      <w:rFonts w:ascii="Calibri" w:eastAsiaTheme="minorHAnsi" w:hAnsi="Calibri"/>
                      <w:noProof/>
                      <w:sz w:val="22"/>
                      <w:szCs w:val="22"/>
                    </w:rPr>
                    <w:drawing>
                      <wp:anchor distT="0" distB="0" distL="114300" distR="114300" simplePos="0" relativeHeight="251694592" behindDoc="0" locked="0" layoutInCell="1" allowOverlap="1" wp14:anchorId="56B56D48" wp14:editId="092E48EA">
                        <wp:simplePos x="0" y="0"/>
                        <wp:positionH relativeFrom="column">
                          <wp:posOffset>0</wp:posOffset>
                        </wp:positionH>
                        <wp:positionV relativeFrom="paragraph">
                          <wp:posOffset>0</wp:posOffset>
                        </wp:positionV>
                        <wp:extent cx="233045" cy="233045"/>
                        <wp:effectExtent l="0" t="0" r="0" b="0"/>
                        <wp:wrapNone/>
                        <wp:docPr id="41" name="Picture 41" descr="Description: https://www.covalentcpm.com/lowRes/big_red_oct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s://www.covalentcpm.com/lowRes/big_red_octag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pic:spPr>
                            </pic:pic>
                          </a:graphicData>
                        </a:graphic>
                        <wp14:sizeRelH relativeFrom="page">
                          <wp14:pctWidth>0</wp14:pctWidth>
                        </wp14:sizeRelH>
                        <wp14:sizeRelV relativeFrom="page">
                          <wp14:pctHeight>0</wp14:pctHeight>
                        </wp14:sizeRelV>
                      </wp:anchor>
                    </w:drawing>
                  </w:r>
                </w:p>
              </w:tc>
            </w:tr>
          </w:tbl>
          <w:p w:rsidR="005B23EF" w:rsidRDefault="005B23EF" w:rsidP="005B23EF">
            <w:pPr>
              <w:rPr>
                <w:rFonts w:ascii="Arial" w:eastAsiaTheme="minorHAnsi" w:hAnsi="Arial" w:cs="Arial"/>
                <w:b/>
                <w:bCs/>
                <w:i/>
                <w:iCs/>
                <w:color w:val="000000"/>
                <w:sz w:val="20"/>
                <w:szCs w:val="20"/>
                <w:lang w:eastAsia="en-US"/>
              </w:rPr>
            </w:pPr>
            <w:r>
              <w:rPr>
                <w:rFonts w:ascii="Arial" w:hAnsi="Arial" w:cs="Arial"/>
                <w:b/>
                <w:bCs/>
                <w:i/>
                <w:iCs/>
                <w:color w:val="000000"/>
                <w:sz w:val="20"/>
                <w:szCs w:val="20"/>
              </w:rPr>
              <w:t>‘Response rates’</w:t>
            </w:r>
          </w:p>
          <w:p w:rsidR="00C764B2" w:rsidRDefault="005B23EF" w:rsidP="005B23EF">
            <w:pPr>
              <w:rPr>
                <w:rFonts w:ascii="Arial" w:hAnsi="Arial" w:cs="Arial"/>
                <w:color w:val="000000"/>
                <w:sz w:val="20"/>
                <w:szCs w:val="20"/>
              </w:rPr>
            </w:pPr>
            <w:r>
              <w:rPr>
                <w:rFonts w:ascii="Arial" w:hAnsi="Arial" w:cs="Arial"/>
                <w:color w:val="000000"/>
                <w:sz w:val="20"/>
                <w:szCs w:val="20"/>
              </w:rPr>
              <w:t xml:space="preserve">In respect of response rate currently year </w:t>
            </w:r>
          </w:p>
          <w:p w:rsidR="00C764B2" w:rsidRDefault="005B23EF" w:rsidP="005B23EF">
            <w:pPr>
              <w:rPr>
                <w:rFonts w:ascii="Arial" w:hAnsi="Arial" w:cs="Arial"/>
                <w:color w:val="000000"/>
                <w:sz w:val="20"/>
                <w:szCs w:val="20"/>
              </w:rPr>
            </w:pPr>
            <w:r>
              <w:rPr>
                <w:rFonts w:ascii="Arial" w:hAnsi="Arial" w:cs="Arial"/>
                <w:color w:val="000000"/>
                <w:sz w:val="20"/>
                <w:szCs w:val="20"/>
              </w:rPr>
              <w:t xml:space="preserve">to date we are below target for Ambulance (PTS), </w:t>
            </w:r>
          </w:p>
          <w:p w:rsidR="00C764B2" w:rsidRDefault="005B23EF" w:rsidP="005B23EF">
            <w:pPr>
              <w:rPr>
                <w:rFonts w:ascii="Arial" w:hAnsi="Arial" w:cs="Arial"/>
                <w:color w:val="000000"/>
                <w:sz w:val="20"/>
                <w:szCs w:val="20"/>
              </w:rPr>
            </w:pPr>
            <w:r>
              <w:rPr>
                <w:rFonts w:ascii="Arial" w:hAnsi="Arial" w:cs="Arial"/>
                <w:color w:val="000000"/>
                <w:sz w:val="20"/>
                <w:szCs w:val="20"/>
              </w:rPr>
              <w:t xml:space="preserve">A&amp;E, Inpatient, Outpatient, Community and </w:t>
            </w:r>
          </w:p>
          <w:p w:rsidR="005B23EF" w:rsidRDefault="005B23EF" w:rsidP="005B23EF">
            <w:pPr>
              <w:rPr>
                <w:rFonts w:ascii="Arial" w:hAnsi="Arial" w:cs="Arial"/>
                <w:color w:val="000000"/>
                <w:sz w:val="20"/>
                <w:szCs w:val="20"/>
              </w:rPr>
            </w:pPr>
            <w:r>
              <w:rPr>
                <w:rFonts w:ascii="Arial" w:hAnsi="Arial" w:cs="Arial"/>
                <w:color w:val="000000"/>
                <w:sz w:val="20"/>
                <w:szCs w:val="20"/>
              </w:rPr>
              <w:t>Maternity (Birth) when looking at how others are performing nationally.</w:t>
            </w:r>
          </w:p>
          <w:p w:rsidR="005B23EF" w:rsidRDefault="005B23EF" w:rsidP="005B23EF">
            <w:pPr>
              <w:rPr>
                <w:rFonts w:ascii="Arial" w:hAnsi="Arial" w:cs="Arial"/>
                <w:color w:val="000000"/>
                <w:sz w:val="20"/>
                <w:szCs w:val="20"/>
              </w:rPr>
            </w:pPr>
          </w:p>
          <w:p w:rsidR="005B23EF" w:rsidRDefault="005B23EF" w:rsidP="005B23EF">
            <w:pPr>
              <w:rPr>
                <w:rFonts w:ascii="Arial" w:hAnsi="Arial" w:cs="Arial"/>
                <w:color w:val="000000"/>
                <w:sz w:val="20"/>
                <w:szCs w:val="20"/>
              </w:rPr>
            </w:pPr>
          </w:p>
          <w:p w:rsidR="005B23EF" w:rsidRDefault="005B23EF" w:rsidP="005B23EF">
            <w:pPr>
              <w:rPr>
                <w:rFonts w:ascii="Arial" w:hAnsi="Arial" w:cs="Arial"/>
                <w:color w:val="000000"/>
                <w:sz w:val="20"/>
                <w:szCs w:val="20"/>
              </w:rPr>
            </w:pPr>
          </w:p>
          <w:p w:rsidR="005B23EF" w:rsidRDefault="005B23EF" w:rsidP="005B23EF">
            <w:pPr>
              <w:rPr>
                <w:rFonts w:ascii="Arial" w:hAnsi="Arial" w:cs="Arial"/>
                <w:color w:val="000000"/>
                <w:sz w:val="20"/>
                <w:szCs w:val="20"/>
              </w:rPr>
            </w:pPr>
          </w:p>
          <w:p w:rsidR="005B23EF" w:rsidRDefault="005B23EF" w:rsidP="005B23EF">
            <w:pPr>
              <w:rPr>
                <w:rFonts w:ascii="Arial" w:hAnsi="Arial" w:cs="Arial"/>
                <w:color w:val="000000"/>
                <w:sz w:val="20"/>
                <w:szCs w:val="20"/>
              </w:rPr>
            </w:pPr>
          </w:p>
          <w:p w:rsidR="005B23EF" w:rsidRDefault="005B23EF" w:rsidP="005B23EF">
            <w:pPr>
              <w:rPr>
                <w:rFonts w:ascii="Arial" w:hAnsi="Arial" w:cs="Arial"/>
                <w:color w:val="000000"/>
                <w:sz w:val="20"/>
                <w:szCs w:val="20"/>
              </w:rPr>
            </w:pPr>
          </w:p>
          <w:p w:rsidR="005B23EF" w:rsidRDefault="005B23EF" w:rsidP="005B23EF">
            <w:pPr>
              <w:rPr>
                <w:rFonts w:ascii="Arial" w:hAnsi="Arial" w:cs="Arial"/>
                <w:color w:val="000000"/>
                <w:sz w:val="20"/>
                <w:szCs w:val="20"/>
              </w:rPr>
            </w:pPr>
          </w:p>
          <w:p w:rsidR="005B23EF" w:rsidRDefault="005B23EF" w:rsidP="005B23EF">
            <w:pPr>
              <w:rPr>
                <w:rFonts w:ascii="Arial" w:hAnsi="Arial" w:cs="Arial"/>
                <w:color w:val="000000"/>
                <w:sz w:val="20"/>
                <w:szCs w:val="20"/>
              </w:rPr>
            </w:pPr>
          </w:p>
          <w:p w:rsidR="005B23EF" w:rsidRDefault="005B23EF" w:rsidP="005B23EF">
            <w:pPr>
              <w:rPr>
                <w:rFonts w:ascii="Arial" w:hAnsi="Arial" w:cs="Arial"/>
                <w:color w:val="000000"/>
                <w:sz w:val="20"/>
                <w:szCs w:val="20"/>
              </w:rPr>
            </w:pPr>
          </w:p>
          <w:p w:rsidR="005B23EF" w:rsidRDefault="005B23EF" w:rsidP="005B23EF">
            <w:pPr>
              <w:rPr>
                <w:rFonts w:ascii="Arial" w:hAnsi="Arial" w:cs="Arial"/>
                <w:color w:val="000000"/>
                <w:sz w:val="20"/>
                <w:szCs w:val="20"/>
              </w:rPr>
            </w:pPr>
          </w:p>
          <w:p w:rsidR="00180438" w:rsidRDefault="00180438" w:rsidP="00C764B2">
            <w:pPr>
              <w:rPr>
                <w:rFonts w:asciiTheme="minorHAnsi" w:eastAsiaTheme="minorHAnsi" w:hAnsiTheme="minorHAnsi" w:cs="Arial"/>
                <w:sz w:val="22"/>
                <w:szCs w:val="22"/>
                <w:lang w:eastAsia="en-US"/>
              </w:rPr>
            </w:pPr>
          </w:p>
          <w:p w:rsidR="00D45ADB" w:rsidRDefault="00D45ADB" w:rsidP="00C764B2">
            <w:pPr>
              <w:rPr>
                <w:rFonts w:asciiTheme="minorHAnsi" w:eastAsiaTheme="minorHAnsi" w:hAnsiTheme="minorHAnsi" w:cs="Arial"/>
                <w:sz w:val="22"/>
                <w:szCs w:val="22"/>
                <w:lang w:eastAsia="en-US"/>
              </w:rPr>
            </w:pPr>
          </w:p>
          <w:p w:rsidR="00D45ADB" w:rsidRDefault="00D45ADB" w:rsidP="00C764B2">
            <w:pPr>
              <w:rPr>
                <w:rFonts w:asciiTheme="minorHAnsi" w:eastAsiaTheme="minorHAnsi" w:hAnsiTheme="minorHAnsi" w:cs="Arial"/>
                <w:sz w:val="22"/>
                <w:szCs w:val="22"/>
                <w:lang w:eastAsia="en-US"/>
              </w:rPr>
            </w:pPr>
          </w:p>
          <w:p w:rsidR="00D45ADB" w:rsidRDefault="00D45ADB" w:rsidP="00C764B2">
            <w:pPr>
              <w:rPr>
                <w:rFonts w:asciiTheme="minorHAnsi" w:eastAsiaTheme="minorHAnsi" w:hAnsiTheme="minorHAnsi" w:cs="Arial"/>
                <w:sz w:val="22"/>
                <w:szCs w:val="22"/>
                <w:lang w:eastAsia="en-US"/>
              </w:rPr>
            </w:pPr>
          </w:p>
          <w:p w:rsidR="00B346B0" w:rsidRPr="00B346B0" w:rsidRDefault="00B346B0" w:rsidP="00B346B0">
            <w:pPr>
              <w:pStyle w:val="ListParagraph"/>
              <w:numPr>
                <w:ilvl w:val="0"/>
                <w:numId w:val="14"/>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In an attempt to provide the Quality Committee with a degree of patient focus, a</w:t>
            </w:r>
            <w:r w:rsidR="00DB0400">
              <w:rPr>
                <w:rFonts w:asciiTheme="minorHAnsi" w:eastAsiaTheme="minorHAnsi" w:hAnsiTheme="minorHAnsi" w:cs="Arial"/>
                <w:sz w:val="22"/>
                <w:szCs w:val="22"/>
                <w:lang w:eastAsia="en-US"/>
              </w:rPr>
              <w:t xml:space="preserve">n </w:t>
            </w:r>
            <w:proofErr w:type="spellStart"/>
            <w:r w:rsidR="00DB0400">
              <w:rPr>
                <w:rFonts w:asciiTheme="minorHAnsi" w:eastAsiaTheme="minorHAnsi" w:hAnsiTheme="minorHAnsi" w:cs="Arial"/>
                <w:sz w:val="22"/>
                <w:szCs w:val="22"/>
                <w:lang w:eastAsia="en-US"/>
              </w:rPr>
              <w:t>anonymised</w:t>
            </w:r>
            <w:proofErr w:type="spellEnd"/>
            <w:r w:rsidR="00DB0400">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Patient Journey will be presented during each agenda that describes a patients</w:t>
            </w:r>
            <w:r w:rsidR="00DB0400">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 experience of accessing services, whether this be positive or negative. </w:t>
            </w:r>
            <w:r w:rsidR="00DB0400">
              <w:rPr>
                <w:rFonts w:asciiTheme="minorHAnsi" w:eastAsiaTheme="minorHAnsi" w:hAnsiTheme="minorHAnsi" w:cs="Arial"/>
                <w:sz w:val="22"/>
                <w:szCs w:val="22"/>
                <w:lang w:eastAsia="en-US"/>
              </w:rPr>
              <w:t>These p</w:t>
            </w:r>
            <w:r>
              <w:rPr>
                <w:rFonts w:asciiTheme="minorHAnsi" w:eastAsiaTheme="minorHAnsi" w:hAnsiTheme="minorHAnsi" w:cs="Arial"/>
                <w:sz w:val="22"/>
                <w:szCs w:val="22"/>
                <w:lang w:eastAsia="en-US"/>
              </w:rPr>
              <w:t xml:space="preserve">atient Journeys will be obtained </w:t>
            </w:r>
            <w:r w:rsidR="00DB0400">
              <w:rPr>
                <w:rFonts w:asciiTheme="minorHAnsi" w:eastAsiaTheme="minorHAnsi" w:hAnsiTheme="minorHAnsi" w:cs="Arial"/>
                <w:sz w:val="22"/>
                <w:szCs w:val="22"/>
                <w:lang w:eastAsia="en-US"/>
              </w:rPr>
              <w:t xml:space="preserve">for the agenda </w:t>
            </w:r>
            <w:r>
              <w:rPr>
                <w:rFonts w:asciiTheme="minorHAnsi" w:eastAsiaTheme="minorHAnsi" w:hAnsiTheme="minorHAnsi" w:cs="Arial"/>
                <w:sz w:val="22"/>
                <w:szCs w:val="22"/>
                <w:lang w:eastAsia="en-US"/>
              </w:rPr>
              <w:t>from either CCG Officers, lay members, providers</w:t>
            </w:r>
            <w:r w:rsidR="00DB0400">
              <w:rPr>
                <w:rFonts w:asciiTheme="minorHAnsi" w:eastAsiaTheme="minorHAnsi" w:hAnsiTheme="minorHAnsi" w:cs="Arial"/>
                <w:sz w:val="22"/>
                <w:szCs w:val="22"/>
                <w:lang w:eastAsia="en-US"/>
              </w:rPr>
              <w:t xml:space="preserve"> or regional examples, where it is felt the Quality Committee can learn lessons, make recommendations or explore issues of quality further. </w:t>
            </w:r>
          </w:p>
          <w:p w:rsidR="00B346B0" w:rsidRDefault="00B346B0" w:rsidP="00C764B2">
            <w:pPr>
              <w:rPr>
                <w:rFonts w:asciiTheme="minorHAnsi" w:eastAsiaTheme="minorHAnsi" w:hAnsiTheme="minorHAnsi" w:cs="Arial"/>
                <w:sz w:val="22"/>
                <w:szCs w:val="22"/>
                <w:lang w:eastAsia="en-US"/>
              </w:rPr>
            </w:pPr>
          </w:p>
          <w:p w:rsidR="00B346B0" w:rsidRPr="00180438" w:rsidRDefault="00B346B0" w:rsidP="00C764B2">
            <w:pPr>
              <w:rPr>
                <w:rFonts w:asciiTheme="minorHAnsi" w:eastAsiaTheme="minorHAnsi" w:hAnsiTheme="minorHAnsi" w:cs="Arial"/>
                <w:sz w:val="22"/>
                <w:szCs w:val="22"/>
                <w:lang w:eastAsia="en-US"/>
              </w:rPr>
            </w:pPr>
          </w:p>
        </w:tc>
      </w:tr>
    </w:tbl>
    <w:p w:rsidR="00A03A97" w:rsidRPr="009D14DD" w:rsidRDefault="00A03A97" w:rsidP="00DD689C">
      <w:pPr>
        <w:rPr>
          <w:rFonts w:ascii="Arial" w:hAnsi="Arial" w:cs="Arial"/>
          <w:b/>
          <w:sz w:val="22"/>
          <w:szCs w:val="22"/>
        </w:rPr>
      </w:pPr>
    </w:p>
    <w:tbl>
      <w:tblPr>
        <w:tblW w:w="10314"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gridCol w:w="283"/>
      </w:tblGrid>
      <w:tr w:rsidR="006A2E19" w:rsidRPr="00752FD6" w:rsidTr="006F6120">
        <w:trPr>
          <w:gridAfter w:val="1"/>
          <w:wAfter w:w="283" w:type="dxa"/>
          <w:trHeight w:val="567"/>
        </w:trPr>
        <w:tc>
          <w:tcPr>
            <w:tcW w:w="10031" w:type="dxa"/>
            <w:gridSpan w:val="2"/>
            <w:shd w:val="clear" w:color="auto" w:fill="auto"/>
          </w:tcPr>
          <w:p w:rsidR="00F62DD9" w:rsidRDefault="00F62DD9" w:rsidP="006A74AF">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6F6120">
        <w:trPr>
          <w:gridAfter w:val="1"/>
          <w:wAfter w:w="283" w:type="dxa"/>
          <w:trHeight w:val="370"/>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F6120" w:rsidRPr="00752FD6" w:rsidTr="006F6120">
        <w:trPr>
          <w:gridAfter w:val="1"/>
          <w:wAfter w:w="283" w:type="dxa"/>
          <w:trHeight w:val="379"/>
        </w:trPr>
        <w:tc>
          <w:tcPr>
            <w:tcW w:w="658" w:type="dxa"/>
            <w:shd w:val="clear" w:color="auto" w:fill="auto"/>
          </w:tcPr>
          <w:p w:rsidR="006F6120" w:rsidRPr="002B4829" w:rsidRDefault="006F6120" w:rsidP="006F6120">
            <w:pPr>
              <w:spacing w:line="276" w:lineRule="auto"/>
              <w:jc w:val="both"/>
              <w:rPr>
                <w:rFonts w:ascii="Arial" w:hAnsi="Arial" w:cs="Arial"/>
                <w:bCs/>
                <w:sz w:val="22"/>
                <w:szCs w:val="22"/>
              </w:rPr>
            </w:pPr>
          </w:p>
        </w:tc>
        <w:tc>
          <w:tcPr>
            <w:tcW w:w="9373" w:type="dxa"/>
            <w:shd w:val="clear" w:color="auto" w:fill="auto"/>
          </w:tcPr>
          <w:p w:rsidR="006F6120" w:rsidRDefault="006F6120" w:rsidP="006F6120">
            <w:pPr>
              <w:spacing w:line="276" w:lineRule="auto"/>
              <w:jc w:val="both"/>
              <w:rPr>
                <w:rFonts w:ascii="Arial" w:hAnsi="Arial" w:cs="Arial"/>
                <w:bCs/>
                <w:sz w:val="22"/>
                <w:szCs w:val="22"/>
              </w:rPr>
            </w:pPr>
            <w:r w:rsidRPr="002B4829">
              <w:rPr>
                <w:rFonts w:ascii="Arial" w:hAnsi="Arial" w:cs="Arial"/>
                <w:bCs/>
                <w:sz w:val="22"/>
                <w:szCs w:val="22"/>
              </w:rPr>
              <w:t>Members of the Board are asked to note the content of the report</w:t>
            </w:r>
            <w:r>
              <w:rPr>
                <w:rFonts w:ascii="Arial" w:hAnsi="Arial" w:cs="Arial"/>
                <w:bCs/>
                <w:sz w:val="22"/>
                <w:szCs w:val="22"/>
              </w:rPr>
              <w:t>.</w:t>
            </w:r>
          </w:p>
          <w:p w:rsidR="006F6120" w:rsidRPr="002B4829" w:rsidRDefault="006F6120" w:rsidP="006F6120">
            <w:pPr>
              <w:spacing w:line="276" w:lineRule="auto"/>
              <w:jc w:val="both"/>
              <w:rPr>
                <w:rFonts w:ascii="Arial" w:hAnsi="Arial" w:cs="Arial"/>
                <w:bCs/>
                <w:sz w:val="22"/>
                <w:szCs w:val="22"/>
              </w:rPr>
            </w:pPr>
          </w:p>
        </w:tc>
      </w:tr>
      <w:tr w:rsidR="006F6120" w:rsidRPr="00752FD6" w:rsidTr="006F6120">
        <w:trPr>
          <w:trHeight w:val="379"/>
        </w:trPr>
        <w:tc>
          <w:tcPr>
            <w:tcW w:w="658" w:type="dxa"/>
            <w:shd w:val="clear" w:color="auto" w:fill="auto"/>
          </w:tcPr>
          <w:p w:rsidR="006F6120" w:rsidRPr="00752FD6" w:rsidRDefault="006F6120" w:rsidP="009306C6">
            <w:pPr>
              <w:rPr>
                <w:rFonts w:ascii="Arial" w:hAnsi="Arial" w:cs="Arial"/>
                <w:bCs/>
                <w:sz w:val="22"/>
                <w:szCs w:val="22"/>
              </w:rPr>
            </w:pPr>
          </w:p>
        </w:tc>
        <w:tc>
          <w:tcPr>
            <w:tcW w:w="9656" w:type="dxa"/>
            <w:gridSpan w:val="2"/>
            <w:shd w:val="clear" w:color="auto" w:fill="auto"/>
          </w:tcPr>
          <w:p w:rsidR="006F6120" w:rsidRDefault="006F6120" w:rsidP="009306C6">
            <w:pPr>
              <w:rPr>
                <w:rFonts w:ascii="Arial" w:hAnsi="Arial" w:cs="Arial"/>
                <w:bCs/>
                <w:sz w:val="22"/>
                <w:szCs w:val="22"/>
              </w:rPr>
            </w:pPr>
          </w:p>
          <w:p w:rsidR="006F6120" w:rsidRPr="00752FD6" w:rsidRDefault="006F6120" w:rsidP="009306C6">
            <w:pPr>
              <w:rPr>
                <w:rFonts w:ascii="Arial" w:hAnsi="Arial" w:cs="Arial"/>
                <w:bCs/>
                <w:sz w:val="22"/>
                <w:szCs w:val="22"/>
              </w:rPr>
            </w:pPr>
          </w:p>
        </w:tc>
      </w:tr>
      <w:tr w:rsidR="006F6120" w:rsidRPr="00752FD6" w:rsidTr="006F6120">
        <w:trPr>
          <w:trHeight w:val="379"/>
        </w:trPr>
        <w:tc>
          <w:tcPr>
            <w:tcW w:w="658" w:type="dxa"/>
            <w:shd w:val="clear" w:color="auto" w:fill="auto"/>
          </w:tcPr>
          <w:p w:rsidR="006F6120" w:rsidRPr="00752FD6" w:rsidRDefault="006F6120" w:rsidP="009306C6">
            <w:pPr>
              <w:rPr>
                <w:rFonts w:ascii="Arial" w:hAnsi="Arial" w:cs="Arial"/>
                <w:bCs/>
                <w:sz w:val="22"/>
                <w:szCs w:val="22"/>
              </w:rPr>
            </w:pPr>
          </w:p>
        </w:tc>
        <w:tc>
          <w:tcPr>
            <w:tcW w:w="9656" w:type="dxa"/>
            <w:gridSpan w:val="2"/>
            <w:shd w:val="clear" w:color="auto" w:fill="auto"/>
          </w:tcPr>
          <w:p w:rsidR="006F6120" w:rsidRDefault="006F6120" w:rsidP="009306C6">
            <w:pPr>
              <w:rPr>
                <w:rFonts w:ascii="Arial" w:hAnsi="Arial" w:cs="Arial"/>
                <w:bCs/>
                <w:sz w:val="22"/>
                <w:szCs w:val="22"/>
              </w:rPr>
            </w:pPr>
          </w:p>
          <w:p w:rsidR="006F6120" w:rsidRPr="00752FD6" w:rsidRDefault="006F6120"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637895" w:rsidP="00D7033C">
            <w:pPr>
              <w:spacing w:before="80" w:after="80"/>
              <w:rPr>
                <w:rFonts w:ascii="Arial" w:hAnsi="Arial" w:cs="Arial"/>
                <w:sz w:val="22"/>
                <w:szCs w:val="22"/>
              </w:rPr>
            </w:pPr>
            <w:hyperlink r:id="rId12"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C764B2">
      <w:pPr>
        <w:rPr>
          <w:rFonts w:ascii="Arial" w:hAnsi="Arial" w:cs="Arial"/>
          <w:b/>
          <w:bCs/>
          <w:sz w:val="22"/>
          <w:szCs w:val="22"/>
        </w:rPr>
      </w:pPr>
    </w:p>
    <w:sectPr w:rsidR="00DC3218" w:rsidSect="00DD7564">
      <w:footerReference w:type="default" r:id="rId13"/>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09" w:rsidRDefault="00582C09">
      <w:r>
        <w:separator/>
      </w:r>
    </w:p>
  </w:endnote>
  <w:endnote w:type="continuationSeparator" w:id="0">
    <w:p w:rsidR="00582C09" w:rsidRDefault="0058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F6" w:rsidRDefault="00551CF6"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09" w:rsidRDefault="00582C09">
      <w:r>
        <w:separator/>
      </w:r>
    </w:p>
  </w:footnote>
  <w:footnote w:type="continuationSeparator" w:id="0">
    <w:p w:rsidR="00582C09" w:rsidRDefault="00582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304"/>
    <w:multiLevelType w:val="hybridMultilevel"/>
    <w:tmpl w:val="B4AE13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852E8"/>
    <w:multiLevelType w:val="hybridMultilevel"/>
    <w:tmpl w:val="BBA64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F45EB"/>
    <w:multiLevelType w:val="hybridMultilevel"/>
    <w:tmpl w:val="D29058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A74CBA"/>
    <w:multiLevelType w:val="hybridMultilevel"/>
    <w:tmpl w:val="12ACBC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422EE3"/>
    <w:multiLevelType w:val="hybridMultilevel"/>
    <w:tmpl w:val="2A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382C40"/>
    <w:multiLevelType w:val="hybridMultilevel"/>
    <w:tmpl w:val="8864C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3864D01"/>
    <w:multiLevelType w:val="hybridMultilevel"/>
    <w:tmpl w:val="C90A3E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A941056"/>
    <w:multiLevelType w:val="hybridMultilevel"/>
    <w:tmpl w:val="D408B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E5347B6"/>
    <w:multiLevelType w:val="hybridMultilevel"/>
    <w:tmpl w:val="C8608240"/>
    <w:lvl w:ilvl="0" w:tplc="FBC20B82">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B234B35"/>
    <w:multiLevelType w:val="hybridMultilevel"/>
    <w:tmpl w:val="8ED0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1">
    <w:nsid w:val="4D660D2E"/>
    <w:multiLevelType w:val="hybridMultilevel"/>
    <w:tmpl w:val="8BDC12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3">
    <w:nsid w:val="5A53654E"/>
    <w:multiLevelType w:val="hybridMultilevel"/>
    <w:tmpl w:val="42FAE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2D66FB5"/>
    <w:multiLevelType w:val="hybridMultilevel"/>
    <w:tmpl w:val="7F428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4376B02"/>
    <w:multiLevelType w:val="hybridMultilevel"/>
    <w:tmpl w:val="E2D6CF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C93D7B"/>
    <w:multiLevelType w:val="hybridMultilevel"/>
    <w:tmpl w:val="AA5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481D6B"/>
    <w:multiLevelType w:val="hybridMultilevel"/>
    <w:tmpl w:val="6666D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03E5601"/>
    <w:multiLevelType w:val="hybridMultilevel"/>
    <w:tmpl w:val="21BCB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4203F95"/>
    <w:multiLevelType w:val="hybridMultilevel"/>
    <w:tmpl w:val="EEEA5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4"/>
  </w:num>
  <w:num w:numId="4">
    <w:abstractNumId w:val="3"/>
  </w:num>
  <w:num w:numId="5">
    <w:abstractNumId w:val="2"/>
  </w:num>
  <w:num w:numId="6">
    <w:abstractNumId w:val="1"/>
  </w:num>
  <w:num w:numId="7">
    <w:abstractNumId w:val="16"/>
  </w:num>
  <w:num w:numId="8">
    <w:abstractNumId w:val="14"/>
  </w:num>
  <w:num w:numId="9">
    <w:abstractNumId w:val="15"/>
  </w:num>
  <w:num w:numId="10">
    <w:abstractNumId w:val="5"/>
  </w:num>
  <w:num w:numId="11">
    <w:abstractNumId w:val="17"/>
  </w:num>
  <w:num w:numId="12">
    <w:abstractNumId w:val="19"/>
  </w:num>
  <w:num w:numId="13">
    <w:abstractNumId w:val="6"/>
  </w:num>
  <w:num w:numId="14">
    <w:abstractNumId w:val="11"/>
  </w:num>
  <w:num w:numId="15">
    <w:abstractNumId w:val="0"/>
  </w:num>
  <w:num w:numId="16">
    <w:abstractNumId w:val="18"/>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4514"/>
    <w:rsid w:val="000553ED"/>
    <w:rsid w:val="00060BE3"/>
    <w:rsid w:val="00062ABA"/>
    <w:rsid w:val="00062C28"/>
    <w:rsid w:val="00067D66"/>
    <w:rsid w:val="000804F5"/>
    <w:rsid w:val="00086901"/>
    <w:rsid w:val="00091E11"/>
    <w:rsid w:val="000920DD"/>
    <w:rsid w:val="00095E6B"/>
    <w:rsid w:val="000B1D82"/>
    <w:rsid w:val="000B1EEB"/>
    <w:rsid w:val="000B4521"/>
    <w:rsid w:val="000C440F"/>
    <w:rsid w:val="000D1F5A"/>
    <w:rsid w:val="000D62C7"/>
    <w:rsid w:val="000E4269"/>
    <w:rsid w:val="00101E52"/>
    <w:rsid w:val="00105599"/>
    <w:rsid w:val="00105BD8"/>
    <w:rsid w:val="00112B21"/>
    <w:rsid w:val="001154A6"/>
    <w:rsid w:val="00120909"/>
    <w:rsid w:val="001209C1"/>
    <w:rsid w:val="001217F0"/>
    <w:rsid w:val="00121A76"/>
    <w:rsid w:val="00122A50"/>
    <w:rsid w:val="00124B07"/>
    <w:rsid w:val="00132B3D"/>
    <w:rsid w:val="00136A3D"/>
    <w:rsid w:val="00146F56"/>
    <w:rsid w:val="0015293E"/>
    <w:rsid w:val="00157D2B"/>
    <w:rsid w:val="00176D4A"/>
    <w:rsid w:val="00180438"/>
    <w:rsid w:val="00180D44"/>
    <w:rsid w:val="00185707"/>
    <w:rsid w:val="00190670"/>
    <w:rsid w:val="00191D74"/>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20101"/>
    <w:rsid w:val="00231A40"/>
    <w:rsid w:val="00231D43"/>
    <w:rsid w:val="00243672"/>
    <w:rsid w:val="00246031"/>
    <w:rsid w:val="00246D3A"/>
    <w:rsid w:val="0025514C"/>
    <w:rsid w:val="00256406"/>
    <w:rsid w:val="00261AB5"/>
    <w:rsid w:val="002626F4"/>
    <w:rsid w:val="0026660D"/>
    <w:rsid w:val="00266FF1"/>
    <w:rsid w:val="002700D2"/>
    <w:rsid w:val="00282EB7"/>
    <w:rsid w:val="00285B93"/>
    <w:rsid w:val="00285C31"/>
    <w:rsid w:val="00286998"/>
    <w:rsid w:val="002A1F94"/>
    <w:rsid w:val="002A3C39"/>
    <w:rsid w:val="002A651D"/>
    <w:rsid w:val="002B5FA5"/>
    <w:rsid w:val="002B63BC"/>
    <w:rsid w:val="002C0EB3"/>
    <w:rsid w:val="002C17C1"/>
    <w:rsid w:val="002E0A15"/>
    <w:rsid w:val="002E26B9"/>
    <w:rsid w:val="002E7820"/>
    <w:rsid w:val="002F445D"/>
    <w:rsid w:val="002F47B6"/>
    <w:rsid w:val="00301655"/>
    <w:rsid w:val="00303B76"/>
    <w:rsid w:val="00312796"/>
    <w:rsid w:val="003225BA"/>
    <w:rsid w:val="00324406"/>
    <w:rsid w:val="00326AB8"/>
    <w:rsid w:val="00332E64"/>
    <w:rsid w:val="0034307E"/>
    <w:rsid w:val="00352FE9"/>
    <w:rsid w:val="00363C1F"/>
    <w:rsid w:val="0036628F"/>
    <w:rsid w:val="00366F7D"/>
    <w:rsid w:val="00376E43"/>
    <w:rsid w:val="00380FCF"/>
    <w:rsid w:val="00384979"/>
    <w:rsid w:val="00394F30"/>
    <w:rsid w:val="00395D3F"/>
    <w:rsid w:val="003A03CB"/>
    <w:rsid w:val="003B0A06"/>
    <w:rsid w:val="003B626C"/>
    <w:rsid w:val="003C6569"/>
    <w:rsid w:val="003D2887"/>
    <w:rsid w:val="003D3E08"/>
    <w:rsid w:val="003D489F"/>
    <w:rsid w:val="003D728E"/>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9399C"/>
    <w:rsid w:val="004A5EE0"/>
    <w:rsid w:val="004A75B1"/>
    <w:rsid w:val="004B29A9"/>
    <w:rsid w:val="004B4F56"/>
    <w:rsid w:val="004C5FA2"/>
    <w:rsid w:val="004C677C"/>
    <w:rsid w:val="004C6F5C"/>
    <w:rsid w:val="004D0321"/>
    <w:rsid w:val="004D7118"/>
    <w:rsid w:val="004E7A80"/>
    <w:rsid w:val="004F2E71"/>
    <w:rsid w:val="004F3209"/>
    <w:rsid w:val="004F64DF"/>
    <w:rsid w:val="00500C51"/>
    <w:rsid w:val="0050668F"/>
    <w:rsid w:val="005109BE"/>
    <w:rsid w:val="00517C3A"/>
    <w:rsid w:val="0052360E"/>
    <w:rsid w:val="0052687C"/>
    <w:rsid w:val="00532C2C"/>
    <w:rsid w:val="00540287"/>
    <w:rsid w:val="00541F74"/>
    <w:rsid w:val="00551CF6"/>
    <w:rsid w:val="00562641"/>
    <w:rsid w:val="00562E19"/>
    <w:rsid w:val="005633D4"/>
    <w:rsid w:val="00567797"/>
    <w:rsid w:val="0057544B"/>
    <w:rsid w:val="0057654D"/>
    <w:rsid w:val="00582C09"/>
    <w:rsid w:val="005847E8"/>
    <w:rsid w:val="00585083"/>
    <w:rsid w:val="005875AF"/>
    <w:rsid w:val="00587A7C"/>
    <w:rsid w:val="00591E40"/>
    <w:rsid w:val="00593311"/>
    <w:rsid w:val="005973A0"/>
    <w:rsid w:val="005A0236"/>
    <w:rsid w:val="005A36F7"/>
    <w:rsid w:val="005A625B"/>
    <w:rsid w:val="005B23EF"/>
    <w:rsid w:val="005E01FA"/>
    <w:rsid w:val="005F0C84"/>
    <w:rsid w:val="005F11AA"/>
    <w:rsid w:val="005F195A"/>
    <w:rsid w:val="005F5C0F"/>
    <w:rsid w:val="0060216B"/>
    <w:rsid w:val="00604967"/>
    <w:rsid w:val="00607C7F"/>
    <w:rsid w:val="006140B8"/>
    <w:rsid w:val="006203A2"/>
    <w:rsid w:val="00625124"/>
    <w:rsid w:val="00637895"/>
    <w:rsid w:val="006468ED"/>
    <w:rsid w:val="006569A3"/>
    <w:rsid w:val="00657CC2"/>
    <w:rsid w:val="00664815"/>
    <w:rsid w:val="00671C34"/>
    <w:rsid w:val="0067295A"/>
    <w:rsid w:val="00675C73"/>
    <w:rsid w:val="0068471B"/>
    <w:rsid w:val="0068496F"/>
    <w:rsid w:val="0069645B"/>
    <w:rsid w:val="0069733F"/>
    <w:rsid w:val="006A2E19"/>
    <w:rsid w:val="006A74AF"/>
    <w:rsid w:val="006A788A"/>
    <w:rsid w:val="006A7D61"/>
    <w:rsid w:val="006B060C"/>
    <w:rsid w:val="006B7C64"/>
    <w:rsid w:val="006C03B7"/>
    <w:rsid w:val="006C1DEF"/>
    <w:rsid w:val="006C5536"/>
    <w:rsid w:val="006D2FBF"/>
    <w:rsid w:val="006D535E"/>
    <w:rsid w:val="006E2F1F"/>
    <w:rsid w:val="006E332C"/>
    <w:rsid w:val="006F1162"/>
    <w:rsid w:val="006F45C7"/>
    <w:rsid w:val="006F5C8A"/>
    <w:rsid w:val="006F6120"/>
    <w:rsid w:val="006F7B59"/>
    <w:rsid w:val="0070365F"/>
    <w:rsid w:val="00710714"/>
    <w:rsid w:val="00712365"/>
    <w:rsid w:val="00716CAF"/>
    <w:rsid w:val="007226F8"/>
    <w:rsid w:val="00730C39"/>
    <w:rsid w:val="0073457C"/>
    <w:rsid w:val="007351D1"/>
    <w:rsid w:val="00736E79"/>
    <w:rsid w:val="00740BB8"/>
    <w:rsid w:val="0074400C"/>
    <w:rsid w:val="00746637"/>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6293"/>
    <w:rsid w:val="007A7384"/>
    <w:rsid w:val="007B20A8"/>
    <w:rsid w:val="007B2FB2"/>
    <w:rsid w:val="007C1372"/>
    <w:rsid w:val="007C2C67"/>
    <w:rsid w:val="007C626B"/>
    <w:rsid w:val="007C7176"/>
    <w:rsid w:val="007D373C"/>
    <w:rsid w:val="007D696B"/>
    <w:rsid w:val="007E2B49"/>
    <w:rsid w:val="007E6A63"/>
    <w:rsid w:val="007F216E"/>
    <w:rsid w:val="007F26DD"/>
    <w:rsid w:val="007F26FE"/>
    <w:rsid w:val="007F5413"/>
    <w:rsid w:val="00803AA5"/>
    <w:rsid w:val="008251D7"/>
    <w:rsid w:val="008254CA"/>
    <w:rsid w:val="00831338"/>
    <w:rsid w:val="00832D44"/>
    <w:rsid w:val="00840F53"/>
    <w:rsid w:val="00841F6F"/>
    <w:rsid w:val="00845E6F"/>
    <w:rsid w:val="00846210"/>
    <w:rsid w:val="00846C25"/>
    <w:rsid w:val="00852744"/>
    <w:rsid w:val="00852BCF"/>
    <w:rsid w:val="00853D91"/>
    <w:rsid w:val="00866065"/>
    <w:rsid w:val="00866EFA"/>
    <w:rsid w:val="00866FF8"/>
    <w:rsid w:val="00876BA5"/>
    <w:rsid w:val="00882C25"/>
    <w:rsid w:val="00891846"/>
    <w:rsid w:val="00891EDC"/>
    <w:rsid w:val="0089366A"/>
    <w:rsid w:val="008964B0"/>
    <w:rsid w:val="008A14B2"/>
    <w:rsid w:val="008A57B4"/>
    <w:rsid w:val="008C247C"/>
    <w:rsid w:val="008C70FB"/>
    <w:rsid w:val="008D12EA"/>
    <w:rsid w:val="008D6A39"/>
    <w:rsid w:val="008E206C"/>
    <w:rsid w:val="008F140F"/>
    <w:rsid w:val="008F43D5"/>
    <w:rsid w:val="008F677B"/>
    <w:rsid w:val="008F721F"/>
    <w:rsid w:val="009025C4"/>
    <w:rsid w:val="00905151"/>
    <w:rsid w:val="00907378"/>
    <w:rsid w:val="009119AD"/>
    <w:rsid w:val="0091643D"/>
    <w:rsid w:val="0091688E"/>
    <w:rsid w:val="00920543"/>
    <w:rsid w:val="00923556"/>
    <w:rsid w:val="009269E7"/>
    <w:rsid w:val="009306C6"/>
    <w:rsid w:val="00936BC2"/>
    <w:rsid w:val="0094097A"/>
    <w:rsid w:val="00946B7B"/>
    <w:rsid w:val="00953DAC"/>
    <w:rsid w:val="00960460"/>
    <w:rsid w:val="00961032"/>
    <w:rsid w:val="009615DA"/>
    <w:rsid w:val="009646FA"/>
    <w:rsid w:val="00975B74"/>
    <w:rsid w:val="009846C1"/>
    <w:rsid w:val="00995D16"/>
    <w:rsid w:val="009A0664"/>
    <w:rsid w:val="009A0C1E"/>
    <w:rsid w:val="009B25F1"/>
    <w:rsid w:val="009B32B5"/>
    <w:rsid w:val="009C33D4"/>
    <w:rsid w:val="009D14DD"/>
    <w:rsid w:val="009D4815"/>
    <w:rsid w:val="009E0D79"/>
    <w:rsid w:val="009E7323"/>
    <w:rsid w:val="009F5819"/>
    <w:rsid w:val="00A01B48"/>
    <w:rsid w:val="00A03A97"/>
    <w:rsid w:val="00A07A07"/>
    <w:rsid w:val="00A1183A"/>
    <w:rsid w:val="00A14275"/>
    <w:rsid w:val="00A1625D"/>
    <w:rsid w:val="00A17708"/>
    <w:rsid w:val="00A20848"/>
    <w:rsid w:val="00A31B98"/>
    <w:rsid w:val="00A31E5A"/>
    <w:rsid w:val="00A35F42"/>
    <w:rsid w:val="00A40291"/>
    <w:rsid w:val="00A45F00"/>
    <w:rsid w:val="00A52AAC"/>
    <w:rsid w:val="00A531CD"/>
    <w:rsid w:val="00A57269"/>
    <w:rsid w:val="00A646B0"/>
    <w:rsid w:val="00A66F25"/>
    <w:rsid w:val="00A74848"/>
    <w:rsid w:val="00A773EC"/>
    <w:rsid w:val="00A77DA9"/>
    <w:rsid w:val="00A8144A"/>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AF6E61"/>
    <w:rsid w:val="00B02EF5"/>
    <w:rsid w:val="00B10FD4"/>
    <w:rsid w:val="00B23C91"/>
    <w:rsid w:val="00B31017"/>
    <w:rsid w:val="00B346B0"/>
    <w:rsid w:val="00B349FF"/>
    <w:rsid w:val="00B363A4"/>
    <w:rsid w:val="00B40742"/>
    <w:rsid w:val="00B41D76"/>
    <w:rsid w:val="00B458DC"/>
    <w:rsid w:val="00B54373"/>
    <w:rsid w:val="00B55AF0"/>
    <w:rsid w:val="00B55E86"/>
    <w:rsid w:val="00B60D87"/>
    <w:rsid w:val="00B66E1A"/>
    <w:rsid w:val="00B70B42"/>
    <w:rsid w:val="00B74845"/>
    <w:rsid w:val="00B76561"/>
    <w:rsid w:val="00B76881"/>
    <w:rsid w:val="00B7767F"/>
    <w:rsid w:val="00B82822"/>
    <w:rsid w:val="00B847DA"/>
    <w:rsid w:val="00B8770E"/>
    <w:rsid w:val="00B90280"/>
    <w:rsid w:val="00B93457"/>
    <w:rsid w:val="00B961A5"/>
    <w:rsid w:val="00B97B0B"/>
    <w:rsid w:val="00BA763E"/>
    <w:rsid w:val="00BA7F89"/>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6647"/>
    <w:rsid w:val="00C07D8B"/>
    <w:rsid w:val="00C20949"/>
    <w:rsid w:val="00C31229"/>
    <w:rsid w:val="00C523B4"/>
    <w:rsid w:val="00C52D50"/>
    <w:rsid w:val="00C628C9"/>
    <w:rsid w:val="00C703B6"/>
    <w:rsid w:val="00C74EC1"/>
    <w:rsid w:val="00C7588E"/>
    <w:rsid w:val="00C764B2"/>
    <w:rsid w:val="00C85824"/>
    <w:rsid w:val="00C86CC4"/>
    <w:rsid w:val="00C90691"/>
    <w:rsid w:val="00C965C4"/>
    <w:rsid w:val="00CA2114"/>
    <w:rsid w:val="00CA3315"/>
    <w:rsid w:val="00CA64C1"/>
    <w:rsid w:val="00CB4EE8"/>
    <w:rsid w:val="00CD079D"/>
    <w:rsid w:val="00CD319C"/>
    <w:rsid w:val="00CD4F1D"/>
    <w:rsid w:val="00CE07E5"/>
    <w:rsid w:val="00CE160D"/>
    <w:rsid w:val="00CF258F"/>
    <w:rsid w:val="00CF2F06"/>
    <w:rsid w:val="00CF5F75"/>
    <w:rsid w:val="00D00EFA"/>
    <w:rsid w:val="00D25017"/>
    <w:rsid w:val="00D2758F"/>
    <w:rsid w:val="00D3494B"/>
    <w:rsid w:val="00D35D4A"/>
    <w:rsid w:val="00D373DA"/>
    <w:rsid w:val="00D41C63"/>
    <w:rsid w:val="00D450C3"/>
    <w:rsid w:val="00D4597C"/>
    <w:rsid w:val="00D45ADB"/>
    <w:rsid w:val="00D52206"/>
    <w:rsid w:val="00D655CC"/>
    <w:rsid w:val="00D6660C"/>
    <w:rsid w:val="00D7033C"/>
    <w:rsid w:val="00D76A89"/>
    <w:rsid w:val="00D803BA"/>
    <w:rsid w:val="00D91037"/>
    <w:rsid w:val="00D921A3"/>
    <w:rsid w:val="00D96E55"/>
    <w:rsid w:val="00DA584B"/>
    <w:rsid w:val="00DA6818"/>
    <w:rsid w:val="00DA75DE"/>
    <w:rsid w:val="00DB0400"/>
    <w:rsid w:val="00DC2203"/>
    <w:rsid w:val="00DC3218"/>
    <w:rsid w:val="00DC358F"/>
    <w:rsid w:val="00DC46DB"/>
    <w:rsid w:val="00DC52DA"/>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37D8"/>
    <w:rsid w:val="00E67668"/>
    <w:rsid w:val="00E7471C"/>
    <w:rsid w:val="00E75A46"/>
    <w:rsid w:val="00E857C3"/>
    <w:rsid w:val="00E921F2"/>
    <w:rsid w:val="00E94BFF"/>
    <w:rsid w:val="00E9685C"/>
    <w:rsid w:val="00E9692F"/>
    <w:rsid w:val="00EA1089"/>
    <w:rsid w:val="00EA285F"/>
    <w:rsid w:val="00EB6E0A"/>
    <w:rsid w:val="00EC03DC"/>
    <w:rsid w:val="00EC39D5"/>
    <w:rsid w:val="00ED0665"/>
    <w:rsid w:val="00ED0FD3"/>
    <w:rsid w:val="00ED2BBB"/>
    <w:rsid w:val="00ED44C9"/>
    <w:rsid w:val="00ED6017"/>
    <w:rsid w:val="00EF1A15"/>
    <w:rsid w:val="00EF376E"/>
    <w:rsid w:val="00EF3C43"/>
    <w:rsid w:val="00EF524B"/>
    <w:rsid w:val="00F008CD"/>
    <w:rsid w:val="00F05335"/>
    <w:rsid w:val="00F12864"/>
    <w:rsid w:val="00F24DA5"/>
    <w:rsid w:val="00F3113F"/>
    <w:rsid w:val="00F32730"/>
    <w:rsid w:val="00F3308A"/>
    <w:rsid w:val="00F3716D"/>
    <w:rsid w:val="00F37D18"/>
    <w:rsid w:val="00F40B1F"/>
    <w:rsid w:val="00F45C7E"/>
    <w:rsid w:val="00F51B57"/>
    <w:rsid w:val="00F524C7"/>
    <w:rsid w:val="00F52EF1"/>
    <w:rsid w:val="00F55731"/>
    <w:rsid w:val="00F55EFB"/>
    <w:rsid w:val="00F62DD9"/>
    <w:rsid w:val="00F6631C"/>
    <w:rsid w:val="00F667BC"/>
    <w:rsid w:val="00F72F91"/>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1"/>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2"/>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C906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1"/>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2"/>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C906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19917578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768158285">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08226981">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 w:id="21313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gov.uk/en/Publicationsandstatistics/Publications/PublicationsPolicyAndGuidance/DH_113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2649</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16880</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3</cp:revision>
  <cp:lastPrinted>2011-06-01T15:50:00Z</cp:lastPrinted>
  <dcterms:created xsi:type="dcterms:W3CDTF">2016-05-09T22:09:00Z</dcterms:created>
  <dcterms:modified xsi:type="dcterms:W3CDTF">2016-05-10T10:09:00Z</dcterms:modified>
</cp:coreProperties>
</file>