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Pr="00830CC4" w:rsidRDefault="001D78A2" w:rsidP="00BA763E">
      <w:pPr>
        <w:pStyle w:val="Header"/>
        <w:jc w:val="right"/>
        <w:rPr>
          <w:noProof/>
        </w:rPr>
      </w:pPr>
      <w:r w:rsidRPr="00830CC4">
        <w:rPr>
          <w:noProof/>
        </w:rPr>
        <w:drawing>
          <wp:inline distT="0" distB="0" distL="0" distR="0" wp14:anchorId="5BDBEEC2" wp14:editId="1F635E6C">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Pr="00830CC4" w:rsidRDefault="00BA763E" w:rsidP="00DA5437">
      <w:pPr>
        <w:pStyle w:val="Heading1"/>
        <w:ind w:left="5760"/>
      </w:pPr>
      <w:r w:rsidRPr="00830CC4">
        <w:t>North East Lincolnshire CCG</w:t>
      </w:r>
    </w:p>
    <w:p w:rsidR="005F11AA" w:rsidRPr="00830CC4" w:rsidRDefault="00DC3218" w:rsidP="00DA5437">
      <w:pPr>
        <w:pStyle w:val="Header"/>
        <w:spacing w:line="276" w:lineRule="auto"/>
        <w:jc w:val="right"/>
        <w:rPr>
          <w:b/>
          <w:color w:val="365F91"/>
        </w:rPr>
      </w:pPr>
      <w:bookmarkStart w:id="0" w:name="_GoBack"/>
      <w:bookmarkEnd w:id="0"/>
      <w:r w:rsidRPr="00830CC4">
        <w:rPr>
          <w:rFonts w:ascii="Arial" w:hAnsi="Arial" w:cs="Arial"/>
          <w:b/>
          <w:noProof/>
          <w:sz w:val="52"/>
          <w:szCs w:val="52"/>
        </w:rPr>
        <mc:AlternateContent>
          <mc:Choice Requires="wps">
            <w:drawing>
              <wp:anchor distT="0" distB="0" distL="114300" distR="114300" simplePos="0" relativeHeight="251657728" behindDoc="0" locked="0" layoutInCell="1" allowOverlap="1" wp14:anchorId="422A15D3" wp14:editId="63940928">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0F" w:rsidRDefault="00E207C3" w:rsidP="00DD689C">
                            <w:pPr>
                              <w:rPr>
                                <w:sz w:val="36"/>
                              </w:rPr>
                            </w:pPr>
                            <w:r>
                              <w:rPr>
                                <w:sz w:val="36"/>
                              </w:rPr>
                              <w:t>Attachment 09</w:t>
                            </w:r>
                            <w:r w:rsidR="0083280F">
                              <w:rPr>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83280F" w:rsidRDefault="00E207C3" w:rsidP="00DD689C">
                      <w:pPr>
                        <w:rPr>
                          <w:sz w:val="36"/>
                        </w:rPr>
                      </w:pPr>
                      <w:r>
                        <w:rPr>
                          <w:sz w:val="36"/>
                        </w:rPr>
                        <w:t>Attachment 09</w:t>
                      </w:r>
                      <w:r w:rsidR="0083280F">
                        <w:rPr>
                          <w:sz w:val="36"/>
                        </w:rPr>
                        <w:t xml:space="preserve"> </w:t>
                      </w:r>
                    </w:p>
                  </w:txbxContent>
                </v:textbox>
              </v:shape>
            </w:pict>
          </mc:Fallback>
        </mc:AlternateContent>
      </w:r>
    </w:p>
    <w:p w:rsidR="00DD689C" w:rsidRPr="00830CC4"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DD689C" w:rsidP="00DA5437">
            <w:pPr>
              <w:spacing w:line="276" w:lineRule="auto"/>
              <w:jc w:val="both"/>
              <w:rPr>
                <w:rFonts w:ascii="Arial" w:hAnsi="Arial" w:cs="Arial"/>
                <w:b/>
                <w:bCs/>
                <w:sz w:val="22"/>
                <w:szCs w:val="22"/>
              </w:rPr>
            </w:pP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Report to:</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7E6A63" w:rsidP="00DA5437">
            <w:pPr>
              <w:spacing w:line="276" w:lineRule="auto"/>
              <w:jc w:val="both"/>
              <w:rPr>
                <w:rFonts w:ascii="Arial" w:hAnsi="Arial" w:cs="Arial"/>
                <w:bCs/>
                <w:sz w:val="22"/>
                <w:szCs w:val="22"/>
              </w:rPr>
            </w:pPr>
            <w:r w:rsidRPr="00830CC4">
              <w:rPr>
                <w:rFonts w:ascii="Arial" w:hAnsi="Arial" w:cs="Arial"/>
                <w:bCs/>
                <w:sz w:val="22"/>
                <w:szCs w:val="22"/>
              </w:rPr>
              <w:t xml:space="preserve">NEL </w:t>
            </w:r>
            <w:r w:rsidR="007927F8" w:rsidRPr="00830CC4">
              <w:rPr>
                <w:rFonts w:ascii="Arial" w:hAnsi="Arial" w:cs="Arial"/>
                <w:bCs/>
                <w:sz w:val="22"/>
                <w:szCs w:val="22"/>
              </w:rPr>
              <w:t xml:space="preserve">CCG </w:t>
            </w:r>
            <w:r w:rsidR="00A531CD" w:rsidRPr="00830CC4">
              <w:rPr>
                <w:rFonts w:ascii="Arial" w:hAnsi="Arial" w:cs="Arial"/>
                <w:bCs/>
                <w:sz w:val="22"/>
                <w:szCs w:val="22"/>
              </w:rPr>
              <w:t>Partnership Board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Presented by:</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CF242E" w:rsidRPr="00830CC4" w:rsidRDefault="001C0128" w:rsidP="001C0128">
            <w:pPr>
              <w:spacing w:line="276" w:lineRule="auto"/>
              <w:jc w:val="both"/>
              <w:rPr>
                <w:rFonts w:ascii="Arial" w:hAnsi="Arial" w:cs="Arial"/>
                <w:bCs/>
                <w:sz w:val="22"/>
                <w:szCs w:val="22"/>
              </w:rPr>
            </w:pPr>
            <w:r>
              <w:rPr>
                <w:rFonts w:ascii="Arial" w:hAnsi="Arial" w:cs="Arial"/>
                <w:bCs/>
                <w:sz w:val="22"/>
                <w:szCs w:val="22"/>
              </w:rPr>
              <w:t>Jan Haxby, Director of Quality &amp; Nursing</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Date of Meeting:</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532D8C" w:rsidP="00532D8C">
            <w:pPr>
              <w:spacing w:line="276" w:lineRule="auto"/>
              <w:jc w:val="both"/>
              <w:rPr>
                <w:rFonts w:ascii="Arial" w:hAnsi="Arial" w:cs="Arial"/>
                <w:bCs/>
                <w:sz w:val="22"/>
                <w:szCs w:val="22"/>
              </w:rPr>
            </w:pPr>
            <w:r>
              <w:rPr>
                <w:rFonts w:ascii="Arial" w:hAnsi="Arial" w:cs="Arial"/>
                <w:bCs/>
                <w:sz w:val="22"/>
                <w:szCs w:val="22"/>
              </w:rPr>
              <w:t>14</w:t>
            </w:r>
            <w:r w:rsidR="00486F47">
              <w:rPr>
                <w:rFonts w:ascii="Arial" w:hAnsi="Arial" w:cs="Arial"/>
                <w:bCs/>
                <w:sz w:val="22"/>
                <w:szCs w:val="22"/>
              </w:rPr>
              <w:t xml:space="preserve"> </w:t>
            </w:r>
            <w:r>
              <w:rPr>
                <w:rFonts w:ascii="Arial" w:hAnsi="Arial" w:cs="Arial"/>
                <w:bCs/>
                <w:sz w:val="22"/>
                <w:szCs w:val="22"/>
              </w:rPr>
              <w:t xml:space="preserve">January 2016. </w:t>
            </w:r>
            <w:r w:rsidR="001C0128">
              <w:rPr>
                <w:rFonts w:ascii="Arial" w:hAnsi="Arial" w:cs="Arial"/>
                <w:bCs/>
                <w:sz w:val="22"/>
                <w:szCs w:val="22"/>
              </w:rPr>
              <w:t xml:space="preserve"> </w:t>
            </w:r>
          </w:p>
        </w:tc>
      </w:tr>
      <w:tr w:rsidR="00DD689C" w:rsidRPr="00830CC4" w:rsidTr="00DD7564">
        <w:trPr>
          <w:trHeight w:val="438"/>
        </w:trPr>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Subject:</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2F30C8" w:rsidP="00CF242E">
            <w:pPr>
              <w:spacing w:line="276" w:lineRule="auto"/>
              <w:jc w:val="both"/>
              <w:rPr>
                <w:rFonts w:ascii="Arial" w:hAnsi="Arial" w:cs="Arial"/>
                <w:bCs/>
                <w:sz w:val="22"/>
                <w:szCs w:val="22"/>
              </w:rPr>
            </w:pPr>
            <w:r w:rsidRPr="00830CC4">
              <w:rPr>
                <w:rFonts w:ascii="Arial" w:hAnsi="Arial" w:cs="Arial"/>
                <w:bCs/>
                <w:sz w:val="22"/>
                <w:szCs w:val="22"/>
              </w:rPr>
              <w:t xml:space="preserve">Quality Report </w:t>
            </w:r>
            <w:r w:rsidR="00CF242E">
              <w:rPr>
                <w:rFonts w:ascii="Arial" w:hAnsi="Arial" w:cs="Arial"/>
                <w:bCs/>
                <w:sz w:val="22"/>
                <w:szCs w:val="22"/>
              </w:rPr>
              <w:t>from</w:t>
            </w:r>
            <w:r w:rsidRPr="00830CC4">
              <w:rPr>
                <w:rFonts w:ascii="Arial" w:hAnsi="Arial" w:cs="Arial"/>
                <w:bCs/>
                <w:sz w:val="22"/>
                <w:szCs w:val="22"/>
              </w:rPr>
              <w:t xml:space="preserve"> </w:t>
            </w:r>
            <w:r w:rsidR="00C11E56" w:rsidRPr="00830CC4">
              <w:rPr>
                <w:rFonts w:ascii="Arial" w:hAnsi="Arial" w:cs="Arial"/>
                <w:bCs/>
                <w:sz w:val="22"/>
                <w:szCs w:val="22"/>
              </w:rPr>
              <w:t>Clinical Quality Committee</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Status:</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OPEN</w:t>
            </w:r>
            <w:r w:rsidR="00DD689C" w:rsidRPr="00830CC4">
              <w:rPr>
                <w:rFonts w:ascii="Arial" w:hAnsi="Arial" w:cs="Arial"/>
                <w:sz w:val="22"/>
                <w:szCs w:val="22"/>
              </w:rPr>
              <w:tab/>
              <w:t xml:space="preserve">           </w:t>
            </w:r>
            <w:r w:rsidR="00DD689C" w:rsidRPr="00830CC4">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830CC4">
              <w:rPr>
                <w:rFonts w:ascii="Arial" w:hAnsi="Arial" w:cs="Arial"/>
                <w:sz w:val="22"/>
                <w:szCs w:val="22"/>
              </w:rPr>
              <w:instrText xml:space="preserve"> FORMCHECKBOX </w:instrText>
            </w:r>
            <w:r w:rsidR="00DD689C" w:rsidRPr="00830CC4">
              <w:rPr>
                <w:rFonts w:ascii="Arial" w:hAnsi="Arial" w:cs="Arial"/>
                <w:sz w:val="22"/>
                <w:szCs w:val="22"/>
              </w:rPr>
            </w:r>
            <w:r w:rsidR="00DD689C" w:rsidRPr="00830CC4">
              <w:rPr>
                <w:rFonts w:ascii="Arial" w:hAnsi="Arial" w:cs="Arial"/>
                <w:sz w:val="22"/>
                <w:szCs w:val="22"/>
              </w:rPr>
              <w:fldChar w:fldCharType="end"/>
            </w:r>
            <w:bookmarkEnd w:id="1"/>
            <w:r w:rsidR="00DD689C" w:rsidRPr="00830CC4">
              <w:rPr>
                <w:rFonts w:ascii="Arial" w:hAnsi="Arial" w:cs="Arial"/>
                <w:sz w:val="22"/>
                <w:szCs w:val="22"/>
              </w:rPr>
              <w:t xml:space="preserve"> CLOSED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Agenda Section:</w:t>
            </w:r>
          </w:p>
        </w:tc>
        <w:bookmarkStart w:id="2" w:name="Check4"/>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Check4"/>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2"/>
            <w:r w:rsidR="00DD689C" w:rsidRPr="00830CC4">
              <w:rPr>
                <w:rFonts w:ascii="Arial" w:hAnsi="Arial" w:cs="Arial"/>
                <w:sz w:val="22"/>
                <w:szCs w:val="22"/>
              </w:rPr>
              <w:t xml:space="preserve"> STRATEGY</w:t>
            </w:r>
            <w:r w:rsidR="00DD7564" w:rsidRPr="00830CC4">
              <w:rPr>
                <w:rFonts w:ascii="Arial" w:hAnsi="Arial" w:cs="Arial"/>
                <w:sz w:val="22"/>
                <w:szCs w:val="22"/>
              </w:rPr>
              <w:tab/>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COMMISSIONING</w:t>
            </w:r>
            <w:r w:rsidR="00DD7564" w:rsidRPr="00830CC4">
              <w:rPr>
                <w:rFonts w:ascii="Arial" w:hAnsi="Arial" w:cs="Arial"/>
                <w:sz w:val="22"/>
                <w:szCs w:val="22"/>
              </w:rPr>
              <w:t xml:space="preserve">    </w:t>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w:t>
            </w:r>
            <w:r w:rsidR="00DD689C" w:rsidRPr="00830CC4">
              <w:rPr>
                <w:rFonts w:ascii="Arial" w:hAnsi="Arial" w:cs="Arial"/>
                <w:sz w:val="22"/>
                <w:szCs w:val="22"/>
              </w:rPr>
              <w:t>OPERATIONAL ISSUES</w:t>
            </w:r>
          </w:p>
        </w:tc>
      </w:tr>
    </w:tbl>
    <w:p w:rsidR="00DD689C" w:rsidRPr="00830CC4"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B57A3" w:rsidTr="00DD7564">
        <w:tc>
          <w:tcPr>
            <w:tcW w:w="2868"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b/>
                <w:bCs/>
                <w:sz w:val="22"/>
                <w:szCs w:val="22"/>
              </w:rPr>
            </w:pPr>
            <w:r w:rsidRPr="007B57A3">
              <w:rPr>
                <w:rFonts w:ascii="Arial" w:hAnsi="Arial" w:cs="Arial"/>
                <w:b/>
                <w:bCs/>
                <w:sz w:val="22"/>
                <w:szCs w:val="22"/>
              </w:rPr>
              <w:t>OBJECT OF REPORT</w:t>
            </w:r>
          </w:p>
        </w:tc>
        <w:tc>
          <w:tcPr>
            <w:tcW w:w="7021" w:type="dxa"/>
            <w:shd w:val="clear" w:color="auto" w:fill="auto"/>
          </w:tcPr>
          <w:p w:rsidR="00B170EF" w:rsidRPr="007B57A3" w:rsidRDefault="00B170EF" w:rsidP="00DA5437">
            <w:pPr>
              <w:spacing w:line="276" w:lineRule="auto"/>
              <w:jc w:val="both"/>
              <w:rPr>
                <w:rFonts w:ascii="Arial" w:hAnsi="Arial" w:cs="Arial"/>
                <w:b/>
                <w:bCs/>
                <w:sz w:val="22"/>
                <w:szCs w:val="22"/>
              </w:rPr>
            </w:pPr>
          </w:p>
          <w:p w:rsidR="00B170EF" w:rsidRPr="007B57A3" w:rsidRDefault="00B170EF"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sz w:val="22"/>
                <w:szCs w:val="22"/>
              </w:rPr>
            </w:pPr>
          </w:p>
        </w:tc>
      </w:tr>
      <w:tr w:rsidR="00DD689C" w:rsidRPr="007B57A3" w:rsidTr="00DD7564">
        <w:trPr>
          <w:trHeight w:val="856"/>
        </w:trPr>
        <w:tc>
          <w:tcPr>
            <w:tcW w:w="9889" w:type="dxa"/>
            <w:gridSpan w:val="2"/>
            <w:shd w:val="clear" w:color="auto" w:fill="auto"/>
          </w:tcPr>
          <w:p w:rsidR="00DA5437" w:rsidRPr="007B57A3" w:rsidRDefault="00DA5437" w:rsidP="00DA5437">
            <w:pPr>
              <w:autoSpaceDE w:val="0"/>
              <w:autoSpaceDN w:val="0"/>
              <w:adjustRightInd w:val="0"/>
              <w:jc w:val="both"/>
              <w:rPr>
                <w:rFonts w:ascii="Arial" w:eastAsiaTheme="minorHAnsi" w:hAnsi="Arial" w:cs="Arial"/>
                <w:color w:val="000000"/>
                <w:sz w:val="22"/>
                <w:szCs w:val="22"/>
                <w:lang w:eastAsia="en-US"/>
              </w:rPr>
            </w:pPr>
            <w:r w:rsidRPr="007B57A3">
              <w:rPr>
                <w:rFonts w:ascii="Arial" w:eastAsiaTheme="minorHAnsi" w:hAnsi="Arial" w:cs="Arial"/>
                <w:color w:val="000000"/>
                <w:sz w:val="22"/>
                <w:szCs w:val="22"/>
                <w:lang w:eastAsia="en-US"/>
              </w:rPr>
              <w:t xml:space="preserve">The report informs </w:t>
            </w:r>
            <w:r w:rsidR="00CF242E" w:rsidRPr="007B57A3">
              <w:rPr>
                <w:rFonts w:ascii="Arial" w:eastAsiaTheme="minorHAnsi" w:hAnsi="Arial" w:cs="Arial"/>
                <w:color w:val="000000"/>
                <w:sz w:val="22"/>
                <w:szCs w:val="22"/>
                <w:lang w:eastAsia="en-US"/>
              </w:rPr>
              <w:t xml:space="preserve">the Partnership Board of key metrics for </w:t>
            </w:r>
            <w:r w:rsidRPr="007B57A3">
              <w:rPr>
                <w:rFonts w:ascii="Arial" w:eastAsiaTheme="minorHAnsi" w:hAnsi="Arial" w:cs="Arial"/>
                <w:color w:val="000000"/>
                <w:sz w:val="22"/>
                <w:szCs w:val="22"/>
                <w:lang w:eastAsia="en-US"/>
              </w:rPr>
              <w:t>quality and safety of the services it commissions and in doing so provides assurance that North East Lincolnshire CCG is fulfilling its responsibility and commitment to commission safe and effective services</w:t>
            </w:r>
            <w:r w:rsidR="002F5936" w:rsidRPr="007B57A3">
              <w:rPr>
                <w:rFonts w:ascii="Arial" w:eastAsiaTheme="minorHAnsi" w:hAnsi="Arial" w:cs="Arial"/>
                <w:color w:val="000000"/>
                <w:sz w:val="22"/>
                <w:szCs w:val="22"/>
                <w:lang w:eastAsia="en-US"/>
              </w:rPr>
              <w:t xml:space="preserve"> that meet</w:t>
            </w:r>
            <w:r w:rsidRPr="007B57A3">
              <w:rPr>
                <w:rFonts w:ascii="Arial" w:eastAsiaTheme="minorHAnsi" w:hAnsi="Arial" w:cs="Arial"/>
                <w:color w:val="000000"/>
                <w:sz w:val="22"/>
                <w:szCs w:val="22"/>
                <w:lang w:eastAsia="en-US"/>
              </w:rPr>
              <w:t xml:space="preserve"> the needs of the population of North East Lincolnshire. </w:t>
            </w:r>
          </w:p>
          <w:p w:rsidR="00DD7564" w:rsidRPr="007B57A3" w:rsidRDefault="00DD7564" w:rsidP="00DA5437">
            <w:pPr>
              <w:spacing w:line="276" w:lineRule="auto"/>
              <w:jc w:val="both"/>
              <w:rPr>
                <w:rFonts w:ascii="Arial" w:hAnsi="Arial" w:cs="Arial"/>
              </w:rPr>
            </w:pPr>
          </w:p>
        </w:tc>
      </w:tr>
    </w:tbl>
    <w:p w:rsidR="00DD689C" w:rsidRDefault="00DD689C" w:rsidP="00DA5437">
      <w:pPr>
        <w:spacing w:line="276" w:lineRule="auto"/>
        <w:jc w:val="both"/>
        <w:rPr>
          <w:rFonts w:ascii="Arial" w:hAnsi="Arial" w:cs="Arial"/>
          <w:b/>
          <w:sz w:val="22"/>
          <w:szCs w:val="22"/>
        </w:rPr>
      </w:pPr>
    </w:p>
    <w:p w:rsidR="00A82F1E" w:rsidRDefault="00A82F1E" w:rsidP="00A82F1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rsidR="00A82F1E" w:rsidRDefault="00A82F1E" w:rsidP="00A82F1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roofErr w:type="gramStart"/>
      <w:r>
        <w:rPr>
          <w:rFonts w:ascii="Arial" w:hAnsi="Arial" w:cs="Arial"/>
          <w:b/>
          <w:sz w:val="22"/>
          <w:szCs w:val="22"/>
        </w:rPr>
        <w:t>STRATEGY – 1.</w:t>
      </w:r>
      <w:proofErr w:type="gramEnd"/>
      <w:r>
        <w:rPr>
          <w:rFonts w:ascii="Arial" w:hAnsi="Arial" w:cs="Arial"/>
          <w:b/>
          <w:sz w:val="22"/>
          <w:szCs w:val="22"/>
        </w:rPr>
        <w:t xml:space="preserve"> Effective </w:t>
      </w:r>
      <w:proofErr w:type="gramStart"/>
      <w:r>
        <w:rPr>
          <w:rFonts w:ascii="Arial" w:hAnsi="Arial" w:cs="Arial"/>
          <w:b/>
          <w:sz w:val="22"/>
          <w:szCs w:val="22"/>
        </w:rPr>
        <w:t>Care  2</w:t>
      </w:r>
      <w:proofErr w:type="gramEnd"/>
      <w:r>
        <w:rPr>
          <w:rFonts w:ascii="Arial" w:hAnsi="Arial" w:cs="Arial"/>
          <w:b/>
          <w:sz w:val="22"/>
          <w:szCs w:val="22"/>
        </w:rPr>
        <w:t xml:space="preserve">. </w:t>
      </w:r>
      <w:proofErr w:type="gramStart"/>
      <w:r>
        <w:rPr>
          <w:rFonts w:ascii="Arial" w:hAnsi="Arial" w:cs="Arial"/>
          <w:b/>
          <w:sz w:val="22"/>
          <w:szCs w:val="22"/>
        </w:rPr>
        <w:t>Patient Safety &amp; 3.</w:t>
      </w:r>
      <w:proofErr w:type="gramEnd"/>
      <w:r>
        <w:rPr>
          <w:rFonts w:ascii="Arial" w:hAnsi="Arial" w:cs="Arial"/>
          <w:b/>
          <w:sz w:val="22"/>
          <w:szCs w:val="22"/>
        </w:rPr>
        <w:t xml:space="preserve"> </w:t>
      </w:r>
      <w:proofErr w:type="gramStart"/>
      <w:r>
        <w:rPr>
          <w:rFonts w:ascii="Arial" w:hAnsi="Arial" w:cs="Arial"/>
          <w:b/>
          <w:sz w:val="22"/>
          <w:szCs w:val="22"/>
        </w:rPr>
        <w:t>Patient Experience.</w:t>
      </w:r>
      <w:proofErr w:type="gramEnd"/>
      <w:r>
        <w:rPr>
          <w:rFonts w:ascii="Arial" w:hAnsi="Arial" w:cs="Arial"/>
          <w:b/>
          <w:sz w:val="22"/>
          <w:szCs w:val="22"/>
        </w:rPr>
        <w:t xml:space="preserve"> </w:t>
      </w:r>
    </w:p>
    <w:p w:rsidR="00A82F1E" w:rsidRDefault="00A82F1E" w:rsidP="00A82F1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rsidR="00A82F1E" w:rsidRDefault="00A82F1E" w:rsidP="00DA5437">
      <w:pPr>
        <w:spacing w:line="276" w:lineRule="auto"/>
        <w:jc w:val="both"/>
        <w:rPr>
          <w:rFonts w:ascii="Arial" w:hAnsi="Arial" w:cs="Arial"/>
          <w:b/>
          <w:sz w:val="22"/>
          <w:szCs w:val="22"/>
        </w:rPr>
      </w:pPr>
    </w:p>
    <w:tbl>
      <w:tblPr>
        <w:tblW w:w="9180"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208"/>
      </w:tblGrid>
      <w:tr w:rsidR="00DD689C" w:rsidRPr="007B57A3" w:rsidTr="002124A8">
        <w:tc>
          <w:tcPr>
            <w:tcW w:w="3972" w:type="dxa"/>
            <w:shd w:val="clear" w:color="auto" w:fill="auto"/>
          </w:tcPr>
          <w:p w:rsidR="00DD689C" w:rsidRPr="007B57A3" w:rsidRDefault="00A82F1E" w:rsidP="00DA5437">
            <w:pPr>
              <w:spacing w:line="276" w:lineRule="auto"/>
              <w:jc w:val="both"/>
              <w:rPr>
                <w:rFonts w:ascii="Arial" w:hAnsi="Arial" w:cs="Arial"/>
                <w:b/>
                <w:bCs/>
                <w:sz w:val="22"/>
                <w:szCs w:val="22"/>
              </w:rPr>
            </w:pPr>
            <w:r>
              <w:rPr>
                <w:rFonts w:ascii="Arial" w:hAnsi="Arial" w:cs="Arial"/>
                <w:b/>
                <w:bCs/>
                <w:sz w:val="22"/>
                <w:szCs w:val="22"/>
              </w:rPr>
              <w:t>K</w:t>
            </w:r>
            <w:r w:rsidR="00CF242E" w:rsidRPr="007B57A3">
              <w:rPr>
                <w:rFonts w:ascii="Arial" w:hAnsi="Arial" w:cs="Arial"/>
                <w:b/>
                <w:bCs/>
                <w:sz w:val="22"/>
                <w:szCs w:val="22"/>
              </w:rPr>
              <w:t xml:space="preserve">EY METRICS AND </w:t>
            </w:r>
            <w:r w:rsidR="00DD689C" w:rsidRPr="007B57A3">
              <w:rPr>
                <w:rFonts w:ascii="Arial" w:hAnsi="Arial" w:cs="Arial"/>
                <w:b/>
                <w:bCs/>
                <w:sz w:val="22"/>
                <w:szCs w:val="22"/>
              </w:rPr>
              <w:t>IMPLICATIONS</w:t>
            </w:r>
          </w:p>
        </w:tc>
        <w:tc>
          <w:tcPr>
            <w:tcW w:w="5208" w:type="dxa"/>
            <w:shd w:val="clear" w:color="auto" w:fill="auto"/>
          </w:tcPr>
          <w:p w:rsidR="00DD689C" w:rsidRPr="007B57A3" w:rsidRDefault="00446F94" w:rsidP="00DA5437">
            <w:pPr>
              <w:spacing w:line="276" w:lineRule="auto"/>
              <w:jc w:val="both"/>
              <w:rPr>
                <w:rFonts w:ascii="Arial" w:hAnsi="Arial" w:cs="Arial"/>
                <w:b/>
                <w:bCs/>
                <w:sz w:val="22"/>
                <w:szCs w:val="22"/>
              </w:rPr>
            </w:pPr>
            <w:r w:rsidRPr="007B57A3">
              <w:rPr>
                <w:rFonts w:ascii="Arial" w:hAnsi="Arial" w:cs="Arial"/>
                <w:b/>
                <w:bCs/>
                <w:sz w:val="22"/>
                <w:szCs w:val="22"/>
              </w:rPr>
              <w:t xml:space="preserve">  </w:t>
            </w:r>
          </w:p>
          <w:p w:rsidR="00DD689C" w:rsidRPr="007B57A3" w:rsidRDefault="00DD689C" w:rsidP="00DA5437">
            <w:pPr>
              <w:spacing w:line="276" w:lineRule="auto"/>
              <w:jc w:val="both"/>
              <w:rPr>
                <w:rFonts w:ascii="Arial" w:hAnsi="Arial" w:cs="Arial"/>
                <w:b/>
                <w:bCs/>
                <w:sz w:val="22"/>
                <w:szCs w:val="22"/>
              </w:rPr>
            </w:pPr>
          </w:p>
        </w:tc>
      </w:tr>
      <w:tr w:rsidR="00DD689C" w:rsidRPr="007B57A3" w:rsidTr="002124A8">
        <w:trPr>
          <w:trHeight w:val="57"/>
        </w:trPr>
        <w:tc>
          <w:tcPr>
            <w:tcW w:w="9180" w:type="dxa"/>
            <w:gridSpan w:val="2"/>
            <w:shd w:val="clear" w:color="auto" w:fill="auto"/>
          </w:tcPr>
          <w:p w:rsidR="00DA5437" w:rsidRPr="007B57A3" w:rsidRDefault="00DA5437" w:rsidP="00DA5437">
            <w:pPr>
              <w:spacing w:line="276" w:lineRule="auto"/>
              <w:jc w:val="both"/>
              <w:rPr>
                <w:rFonts w:ascii="Arial" w:hAnsi="Arial" w:cs="Arial"/>
                <w:b/>
                <w:bCs/>
                <w:sz w:val="22"/>
                <w:szCs w:val="22"/>
                <w:u w:val="single"/>
              </w:rPr>
            </w:pPr>
            <w:r w:rsidRPr="007B57A3">
              <w:rPr>
                <w:rFonts w:ascii="Arial" w:hAnsi="Arial" w:cs="Arial"/>
                <w:b/>
                <w:bCs/>
                <w:sz w:val="22"/>
                <w:szCs w:val="22"/>
                <w:u w:val="single"/>
              </w:rPr>
              <w:t xml:space="preserve">1  </w:t>
            </w:r>
            <w:r w:rsidR="00B37AF2" w:rsidRPr="007B57A3">
              <w:rPr>
                <w:rFonts w:ascii="Arial" w:hAnsi="Arial" w:cs="Arial"/>
                <w:b/>
                <w:bCs/>
                <w:sz w:val="22"/>
                <w:szCs w:val="22"/>
                <w:u w:val="single"/>
              </w:rPr>
              <w:t>Effective Care</w:t>
            </w:r>
          </w:p>
          <w:p w:rsidR="00DA7509" w:rsidRPr="007B57A3" w:rsidRDefault="00CF242E" w:rsidP="00DA5437">
            <w:pPr>
              <w:spacing w:before="240" w:line="276" w:lineRule="auto"/>
              <w:jc w:val="both"/>
              <w:rPr>
                <w:rFonts w:ascii="Arial" w:hAnsi="Arial" w:cs="Arial"/>
                <w:b/>
                <w:bCs/>
                <w:sz w:val="22"/>
                <w:szCs w:val="22"/>
              </w:rPr>
            </w:pPr>
            <w:r w:rsidRPr="007B57A3">
              <w:rPr>
                <w:rFonts w:ascii="Arial" w:hAnsi="Arial" w:cs="Arial"/>
                <w:b/>
                <w:bCs/>
                <w:sz w:val="22"/>
                <w:szCs w:val="22"/>
              </w:rPr>
              <w:t>A</w:t>
            </w:r>
            <w:r w:rsidR="00DA5437" w:rsidRPr="007B57A3">
              <w:rPr>
                <w:rFonts w:ascii="Arial" w:hAnsi="Arial" w:cs="Arial"/>
                <w:b/>
                <w:bCs/>
                <w:sz w:val="22"/>
                <w:szCs w:val="22"/>
              </w:rPr>
              <w:t xml:space="preserve">  External Reviews</w:t>
            </w:r>
          </w:p>
          <w:p w:rsidR="001C0128" w:rsidRDefault="001C0128" w:rsidP="00DA5437">
            <w:pPr>
              <w:spacing w:line="276" w:lineRule="auto"/>
              <w:jc w:val="both"/>
              <w:rPr>
                <w:rFonts w:ascii="Arial" w:hAnsi="Arial" w:cs="Arial"/>
                <w:bCs/>
                <w:sz w:val="22"/>
                <w:szCs w:val="22"/>
              </w:rPr>
            </w:pPr>
          </w:p>
          <w:p w:rsidR="00944FDA" w:rsidRDefault="00944FDA" w:rsidP="004F3EAA">
            <w:pPr>
              <w:pStyle w:val="ListParagraph"/>
              <w:numPr>
                <w:ilvl w:val="0"/>
                <w:numId w:val="42"/>
              </w:numPr>
              <w:spacing w:line="276" w:lineRule="auto"/>
              <w:jc w:val="both"/>
              <w:rPr>
                <w:rFonts w:ascii="Arial" w:hAnsi="Arial" w:cs="Arial"/>
                <w:bCs/>
                <w:sz w:val="22"/>
                <w:szCs w:val="22"/>
              </w:rPr>
            </w:pPr>
            <w:r>
              <w:rPr>
                <w:rFonts w:ascii="Arial" w:hAnsi="Arial" w:cs="Arial"/>
                <w:bCs/>
                <w:sz w:val="22"/>
                <w:szCs w:val="22"/>
              </w:rPr>
              <w:t xml:space="preserve">Announced </w:t>
            </w:r>
            <w:r w:rsidR="001C0128" w:rsidRPr="004F3EAA">
              <w:rPr>
                <w:rFonts w:ascii="Arial" w:hAnsi="Arial" w:cs="Arial"/>
                <w:bCs/>
                <w:sz w:val="22"/>
                <w:szCs w:val="22"/>
              </w:rPr>
              <w:t>CQC inspection</w:t>
            </w:r>
            <w:r w:rsidR="00A07D22" w:rsidRPr="004F3EAA">
              <w:rPr>
                <w:rFonts w:ascii="Arial" w:hAnsi="Arial" w:cs="Arial"/>
                <w:bCs/>
                <w:sz w:val="22"/>
                <w:szCs w:val="22"/>
              </w:rPr>
              <w:t>s</w:t>
            </w:r>
            <w:r w:rsidR="001C0128" w:rsidRPr="004F3EAA">
              <w:rPr>
                <w:rFonts w:ascii="Arial" w:hAnsi="Arial" w:cs="Arial"/>
                <w:bCs/>
                <w:sz w:val="22"/>
                <w:szCs w:val="22"/>
              </w:rPr>
              <w:t xml:space="preserve"> of St Hughes Hospital</w:t>
            </w:r>
            <w:r w:rsidR="001E1853" w:rsidRPr="004F3EAA">
              <w:rPr>
                <w:rFonts w:ascii="Arial" w:hAnsi="Arial" w:cs="Arial"/>
                <w:bCs/>
                <w:sz w:val="22"/>
                <w:szCs w:val="22"/>
              </w:rPr>
              <w:t>,</w:t>
            </w:r>
            <w:r w:rsidR="00A07D22" w:rsidRPr="004F3EAA">
              <w:rPr>
                <w:rFonts w:ascii="Arial" w:hAnsi="Arial" w:cs="Arial"/>
                <w:bCs/>
                <w:sz w:val="22"/>
                <w:szCs w:val="22"/>
              </w:rPr>
              <w:t xml:space="preserve"> Northern Lincolnshire &amp; Goole Hospitals NHS Trust </w:t>
            </w:r>
            <w:r w:rsidR="001E1853" w:rsidRPr="004F3EAA">
              <w:rPr>
                <w:rFonts w:ascii="Arial" w:hAnsi="Arial" w:cs="Arial"/>
                <w:bCs/>
                <w:sz w:val="22"/>
                <w:szCs w:val="22"/>
              </w:rPr>
              <w:t xml:space="preserve">and EMAS </w:t>
            </w:r>
            <w:r w:rsidR="00BF300A" w:rsidRPr="004F3EAA">
              <w:rPr>
                <w:rFonts w:ascii="Arial" w:hAnsi="Arial" w:cs="Arial"/>
                <w:bCs/>
                <w:sz w:val="22"/>
                <w:szCs w:val="22"/>
              </w:rPr>
              <w:t>have taken place</w:t>
            </w:r>
            <w:r>
              <w:rPr>
                <w:rFonts w:ascii="Arial" w:hAnsi="Arial" w:cs="Arial"/>
                <w:bCs/>
                <w:sz w:val="22"/>
                <w:szCs w:val="22"/>
              </w:rPr>
              <w:t xml:space="preserve"> in </w:t>
            </w:r>
            <w:proofErr w:type="gramStart"/>
            <w:r>
              <w:rPr>
                <w:rFonts w:ascii="Arial" w:hAnsi="Arial" w:cs="Arial"/>
                <w:bCs/>
                <w:sz w:val="22"/>
                <w:szCs w:val="22"/>
              </w:rPr>
              <w:t>Autumn</w:t>
            </w:r>
            <w:proofErr w:type="gramEnd"/>
            <w:r>
              <w:rPr>
                <w:rFonts w:ascii="Arial" w:hAnsi="Arial" w:cs="Arial"/>
                <w:bCs/>
                <w:sz w:val="22"/>
                <w:szCs w:val="22"/>
              </w:rPr>
              <w:t xml:space="preserve"> 2015. We are s</w:t>
            </w:r>
            <w:r w:rsidR="001E1853" w:rsidRPr="004F3EAA">
              <w:rPr>
                <w:rFonts w:ascii="Arial" w:hAnsi="Arial" w:cs="Arial"/>
                <w:bCs/>
                <w:sz w:val="22"/>
                <w:szCs w:val="22"/>
              </w:rPr>
              <w:t xml:space="preserve">till </w:t>
            </w:r>
            <w:r w:rsidR="00A07D22" w:rsidRPr="004F3EAA">
              <w:rPr>
                <w:rFonts w:ascii="Arial" w:hAnsi="Arial" w:cs="Arial"/>
                <w:bCs/>
                <w:sz w:val="22"/>
                <w:szCs w:val="22"/>
              </w:rPr>
              <w:t>awaiting</w:t>
            </w:r>
            <w:r w:rsidR="001E1853" w:rsidRPr="004F3EAA">
              <w:rPr>
                <w:rFonts w:ascii="Arial" w:hAnsi="Arial" w:cs="Arial"/>
                <w:bCs/>
                <w:sz w:val="22"/>
                <w:szCs w:val="22"/>
              </w:rPr>
              <w:t xml:space="preserve"> all</w:t>
            </w:r>
            <w:r w:rsidR="00A07D22" w:rsidRPr="004F3EAA">
              <w:rPr>
                <w:rFonts w:ascii="Arial" w:hAnsi="Arial" w:cs="Arial"/>
                <w:bCs/>
                <w:sz w:val="22"/>
                <w:szCs w:val="22"/>
              </w:rPr>
              <w:t xml:space="preserve"> final </w:t>
            </w:r>
            <w:proofErr w:type="gramStart"/>
            <w:r w:rsidR="00A07D22" w:rsidRPr="004F3EAA">
              <w:rPr>
                <w:rFonts w:ascii="Arial" w:hAnsi="Arial" w:cs="Arial"/>
                <w:bCs/>
                <w:sz w:val="22"/>
                <w:szCs w:val="22"/>
              </w:rPr>
              <w:t>reports</w:t>
            </w:r>
            <w:r>
              <w:rPr>
                <w:rFonts w:ascii="Arial" w:hAnsi="Arial" w:cs="Arial"/>
                <w:bCs/>
                <w:sz w:val="22"/>
                <w:szCs w:val="22"/>
              </w:rPr>
              <w:t>,</w:t>
            </w:r>
            <w:proofErr w:type="gramEnd"/>
            <w:r>
              <w:rPr>
                <w:rFonts w:ascii="Arial" w:hAnsi="Arial" w:cs="Arial"/>
                <w:bCs/>
                <w:sz w:val="22"/>
                <w:szCs w:val="22"/>
              </w:rPr>
              <w:t xml:space="preserve"> however we are able to provide some information from the early feedback provided</w:t>
            </w:r>
            <w:r w:rsidR="00236749">
              <w:rPr>
                <w:rFonts w:ascii="Arial" w:hAnsi="Arial" w:cs="Arial"/>
                <w:bCs/>
                <w:sz w:val="22"/>
                <w:szCs w:val="22"/>
              </w:rPr>
              <w:t xml:space="preserve"> for NLG and EMAS</w:t>
            </w:r>
            <w:r w:rsidR="00A07D22" w:rsidRPr="004F3EAA">
              <w:rPr>
                <w:rFonts w:ascii="Arial" w:hAnsi="Arial" w:cs="Arial"/>
                <w:bCs/>
                <w:sz w:val="22"/>
                <w:szCs w:val="22"/>
              </w:rPr>
              <w:t xml:space="preserve">.  </w:t>
            </w:r>
          </w:p>
          <w:p w:rsidR="00944FDA" w:rsidRDefault="00944FDA" w:rsidP="00944FDA">
            <w:pPr>
              <w:spacing w:line="276" w:lineRule="auto"/>
              <w:ind w:left="360"/>
              <w:jc w:val="both"/>
              <w:rPr>
                <w:rFonts w:ascii="Arial" w:hAnsi="Arial" w:cs="Arial"/>
                <w:bCs/>
                <w:sz w:val="22"/>
                <w:szCs w:val="22"/>
              </w:rPr>
            </w:pPr>
          </w:p>
          <w:p w:rsidR="000131BE" w:rsidRPr="000131BE" w:rsidRDefault="000131BE" w:rsidP="00944FDA">
            <w:pPr>
              <w:spacing w:line="276" w:lineRule="auto"/>
              <w:ind w:left="360"/>
              <w:jc w:val="both"/>
              <w:rPr>
                <w:rFonts w:ascii="Arial" w:hAnsi="Arial" w:cs="Arial"/>
                <w:bCs/>
                <w:sz w:val="22"/>
                <w:szCs w:val="22"/>
                <w:u w:val="single"/>
              </w:rPr>
            </w:pPr>
            <w:r w:rsidRPr="000131BE">
              <w:rPr>
                <w:rFonts w:ascii="Arial" w:hAnsi="Arial" w:cs="Arial"/>
                <w:bCs/>
                <w:sz w:val="22"/>
                <w:szCs w:val="22"/>
                <w:u w:val="single"/>
              </w:rPr>
              <w:t xml:space="preserve">NLG CQC Inspection: </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 xml:space="preserve">Main feedback points from the CQC to </w:t>
            </w:r>
            <w:proofErr w:type="spellStart"/>
            <w:r w:rsidRPr="00944FDA">
              <w:rPr>
                <w:rFonts w:ascii="Arial" w:hAnsi="Arial" w:cs="Arial"/>
                <w:bCs/>
                <w:sz w:val="22"/>
                <w:szCs w:val="22"/>
              </w:rPr>
              <w:t>NLaG</w:t>
            </w:r>
            <w:proofErr w:type="spellEnd"/>
            <w:r w:rsidRPr="00944FDA">
              <w:rPr>
                <w:rFonts w:ascii="Arial" w:hAnsi="Arial" w:cs="Arial"/>
                <w:bCs/>
                <w:sz w:val="22"/>
                <w:szCs w:val="22"/>
              </w:rPr>
              <w:t xml:space="preserve"> were as follows:</w:t>
            </w:r>
          </w:p>
          <w:p w:rsidR="00944FDA" w:rsidRPr="00944FDA" w:rsidRDefault="00944FDA" w:rsidP="00944FDA">
            <w:pPr>
              <w:spacing w:line="276" w:lineRule="auto"/>
              <w:ind w:left="360"/>
              <w:jc w:val="both"/>
              <w:rPr>
                <w:rFonts w:ascii="Arial" w:hAnsi="Arial" w:cs="Arial"/>
                <w:bCs/>
                <w:sz w:val="22"/>
                <w:szCs w:val="22"/>
              </w:rPr>
            </w:pP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Open and Honest staff answers to questioning</w:t>
            </w:r>
          </w:p>
          <w:p w:rsidR="00944FDA" w:rsidRPr="00944FDA" w:rsidRDefault="00944FDA" w:rsidP="00A82F1E">
            <w:pPr>
              <w:spacing w:line="276" w:lineRule="auto"/>
              <w:ind w:left="360"/>
              <w:jc w:val="both"/>
              <w:rPr>
                <w:rFonts w:ascii="Arial" w:hAnsi="Arial" w:cs="Arial"/>
                <w:bCs/>
                <w:sz w:val="22"/>
                <w:szCs w:val="22"/>
              </w:rPr>
            </w:pPr>
            <w:r w:rsidRPr="00944FDA">
              <w:rPr>
                <w:rFonts w:ascii="Arial" w:hAnsi="Arial" w:cs="Arial"/>
                <w:bCs/>
                <w:sz w:val="22"/>
                <w:szCs w:val="22"/>
              </w:rPr>
              <w:t>Lots of good practice</w:t>
            </w:r>
          </w:p>
          <w:p w:rsidR="00236749" w:rsidRPr="00944FDA" w:rsidRDefault="00236749" w:rsidP="00236749">
            <w:pPr>
              <w:spacing w:line="276" w:lineRule="auto"/>
              <w:ind w:left="360"/>
              <w:jc w:val="both"/>
              <w:rPr>
                <w:rFonts w:ascii="Arial" w:hAnsi="Arial" w:cs="Arial"/>
                <w:bCs/>
                <w:sz w:val="22"/>
                <w:szCs w:val="22"/>
              </w:rPr>
            </w:pPr>
            <w:r w:rsidRPr="00944FDA">
              <w:rPr>
                <w:rFonts w:ascii="Arial" w:hAnsi="Arial" w:cs="Arial"/>
                <w:bCs/>
                <w:sz w:val="22"/>
                <w:szCs w:val="22"/>
              </w:rPr>
              <w:t>Improvements in HDU have been acknowledged</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lastRenderedPageBreak/>
              <w:t>Staff went above and beyond their duties</w:t>
            </w:r>
          </w:p>
          <w:p w:rsidR="00236749" w:rsidRDefault="00236749" w:rsidP="00944FDA">
            <w:pPr>
              <w:spacing w:line="276" w:lineRule="auto"/>
              <w:ind w:left="360"/>
              <w:jc w:val="both"/>
              <w:rPr>
                <w:rFonts w:ascii="Arial" w:hAnsi="Arial" w:cs="Arial"/>
                <w:bCs/>
                <w:sz w:val="22"/>
                <w:szCs w:val="22"/>
              </w:rPr>
            </w:pPr>
            <w:r>
              <w:rPr>
                <w:rFonts w:ascii="Arial" w:hAnsi="Arial" w:cs="Arial"/>
                <w:bCs/>
                <w:sz w:val="22"/>
                <w:szCs w:val="22"/>
              </w:rPr>
              <w:t>CQC r</w:t>
            </w:r>
            <w:r w:rsidRPr="00944FDA">
              <w:rPr>
                <w:rFonts w:ascii="Arial" w:hAnsi="Arial" w:cs="Arial"/>
                <w:bCs/>
                <w:sz w:val="22"/>
                <w:szCs w:val="22"/>
              </w:rPr>
              <w:t>aised concerns</w:t>
            </w:r>
            <w:r>
              <w:rPr>
                <w:rFonts w:ascii="Arial" w:hAnsi="Arial" w:cs="Arial"/>
                <w:bCs/>
                <w:sz w:val="22"/>
                <w:szCs w:val="22"/>
              </w:rPr>
              <w:t xml:space="preserve"> about:</w:t>
            </w:r>
          </w:p>
          <w:p w:rsidR="00236749" w:rsidRDefault="00236749" w:rsidP="00944FDA">
            <w:pPr>
              <w:spacing w:line="276" w:lineRule="auto"/>
              <w:ind w:left="360"/>
              <w:jc w:val="both"/>
              <w:rPr>
                <w:rFonts w:ascii="Arial" w:hAnsi="Arial" w:cs="Arial"/>
                <w:bCs/>
                <w:sz w:val="22"/>
                <w:szCs w:val="22"/>
              </w:rPr>
            </w:pPr>
            <w:r>
              <w:rPr>
                <w:rFonts w:ascii="Arial" w:hAnsi="Arial" w:cs="Arial"/>
                <w:bCs/>
                <w:sz w:val="22"/>
                <w:szCs w:val="22"/>
              </w:rPr>
              <w:t xml:space="preserve">Current </w:t>
            </w:r>
            <w:r w:rsidRPr="00944FDA">
              <w:rPr>
                <w:rFonts w:ascii="Arial" w:hAnsi="Arial" w:cs="Arial"/>
                <w:bCs/>
                <w:sz w:val="22"/>
                <w:szCs w:val="22"/>
              </w:rPr>
              <w:t>Outpatient</w:t>
            </w:r>
            <w:r>
              <w:rPr>
                <w:rFonts w:ascii="Arial" w:hAnsi="Arial" w:cs="Arial"/>
                <w:bCs/>
                <w:sz w:val="22"/>
                <w:szCs w:val="22"/>
              </w:rPr>
              <w:t xml:space="preserve"> review </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Some concerns for staffing</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Sustainability of Chief Executive to progress HLHF</w:t>
            </w:r>
          </w:p>
          <w:p w:rsidR="00944FDA" w:rsidRPr="00944FDA" w:rsidRDefault="00236749" w:rsidP="00944FDA">
            <w:pPr>
              <w:spacing w:line="276" w:lineRule="auto"/>
              <w:ind w:left="360"/>
              <w:jc w:val="both"/>
              <w:rPr>
                <w:rFonts w:ascii="Arial" w:hAnsi="Arial" w:cs="Arial"/>
                <w:bCs/>
                <w:sz w:val="22"/>
                <w:szCs w:val="22"/>
              </w:rPr>
            </w:pPr>
            <w:r>
              <w:rPr>
                <w:rFonts w:ascii="Arial" w:hAnsi="Arial" w:cs="Arial"/>
                <w:bCs/>
                <w:sz w:val="22"/>
                <w:szCs w:val="22"/>
              </w:rPr>
              <w:t>Questioning of sign offs of</w:t>
            </w:r>
            <w:r w:rsidR="00944FDA" w:rsidRPr="00944FDA">
              <w:rPr>
                <w:rFonts w:ascii="Arial" w:hAnsi="Arial" w:cs="Arial"/>
                <w:bCs/>
                <w:sz w:val="22"/>
                <w:szCs w:val="22"/>
              </w:rPr>
              <w:t xml:space="preserve"> Serious Case Reviews</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Issues about Maternity outliers</w:t>
            </w:r>
          </w:p>
          <w:p w:rsidR="00944FDA" w:rsidRPr="00944FDA" w:rsidRDefault="00944FDA" w:rsidP="00944FDA">
            <w:pPr>
              <w:spacing w:line="276" w:lineRule="auto"/>
              <w:ind w:left="360"/>
              <w:jc w:val="both"/>
              <w:rPr>
                <w:rFonts w:ascii="Arial" w:hAnsi="Arial" w:cs="Arial"/>
                <w:bCs/>
                <w:sz w:val="22"/>
                <w:szCs w:val="22"/>
              </w:rPr>
            </w:pPr>
            <w:r w:rsidRPr="00944FDA">
              <w:rPr>
                <w:rFonts w:ascii="Arial" w:hAnsi="Arial" w:cs="Arial"/>
                <w:bCs/>
                <w:sz w:val="22"/>
                <w:szCs w:val="22"/>
              </w:rPr>
              <w:t>The use of cameras on wards</w:t>
            </w:r>
          </w:p>
          <w:p w:rsidR="00944FDA" w:rsidRPr="00944FDA" w:rsidRDefault="00944FDA" w:rsidP="00944FDA">
            <w:pPr>
              <w:spacing w:line="276" w:lineRule="auto"/>
              <w:ind w:left="360"/>
              <w:jc w:val="both"/>
              <w:rPr>
                <w:rFonts w:ascii="Arial" w:hAnsi="Arial" w:cs="Arial"/>
                <w:bCs/>
                <w:sz w:val="22"/>
                <w:szCs w:val="22"/>
              </w:rPr>
            </w:pPr>
          </w:p>
          <w:p w:rsidR="00944FDA" w:rsidRPr="00944FDA" w:rsidRDefault="00944FDA" w:rsidP="00236749">
            <w:pPr>
              <w:spacing w:line="276" w:lineRule="auto"/>
              <w:jc w:val="both"/>
              <w:rPr>
                <w:rFonts w:ascii="Arial" w:hAnsi="Arial" w:cs="Arial"/>
                <w:bCs/>
                <w:sz w:val="22"/>
                <w:szCs w:val="22"/>
              </w:rPr>
            </w:pPr>
            <w:r>
              <w:rPr>
                <w:rFonts w:ascii="Arial" w:hAnsi="Arial" w:cs="Arial"/>
                <w:bCs/>
                <w:sz w:val="22"/>
                <w:szCs w:val="22"/>
              </w:rPr>
              <w:t xml:space="preserve">NLG should now have received their </w:t>
            </w:r>
            <w:r w:rsidRPr="00944FDA">
              <w:rPr>
                <w:rFonts w:ascii="Arial" w:hAnsi="Arial" w:cs="Arial"/>
                <w:bCs/>
                <w:sz w:val="22"/>
                <w:szCs w:val="22"/>
              </w:rPr>
              <w:t>Draft report</w:t>
            </w:r>
            <w:r w:rsidR="00A82F1E">
              <w:rPr>
                <w:rFonts w:ascii="Arial" w:hAnsi="Arial" w:cs="Arial"/>
                <w:bCs/>
                <w:sz w:val="22"/>
                <w:szCs w:val="22"/>
              </w:rPr>
              <w:t>,</w:t>
            </w:r>
            <w:r>
              <w:rPr>
                <w:rFonts w:ascii="Arial" w:hAnsi="Arial" w:cs="Arial"/>
                <w:bCs/>
                <w:sz w:val="22"/>
                <w:szCs w:val="22"/>
              </w:rPr>
              <w:t xml:space="preserve"> and a </w:t>
            </w:r>
            <w:r w:rsidRPr="00944FDA">
              <w:rPr>
                <w:rFonts w:ascii="Arial" w:hAnsi="Arial" w:cs="Arial"/>
                <w:bCs/>
                <w:sz w:val="22"/>
                <w:szCs w:val="22"/>
              </w:rPr>
              <w:t xml:space="preserve">Quality Summit </w:t>
            </w:r>
            <w:r>
              <w:rPr>
                <w:rFonts w:ascii="Arial" w:hAnsi="Arial" w:cs="Arial"/>
                <w:bCs/>
                <w:sz w:val="22"/>
                <w:szCs w:val="22"/>
              </w:rPr>
              <w:t xml:space="preserve">was </w:t>
            </w:r>
            <w:r w:rsidRPr="00944FDA">
              <w:rPr>
                <w:rFonts w:ascii="Arial" w:hAnsi="Arial" w:cs="Arial"/>
                <w:bCs/>
                <w:sz w:val="22"/>
                <w:szCs w:val="22"/>
              </w:rPr>
              <w:t xml:space="preserve">scheduled for Dec </w:t>
            </w:r>
            <w:r w:rsidR="00A82F1E">
              <w:rPr>
                <w:rFonts w:ascii="Arial" w:hAnsi="Arial" w:cs="Arial"/>
                <w:bCs/>
                <w:sz w:val="22"/>
                <w:szCs w:val="22"/>
              </w:rPr>
              <w:t>20</w:t>
            </w:r>
            <w:r w:rsidRPr="00944FDA">
              <w:rPr>
                <w:rFonts w:ascii="Arial" w:hAnsi="Arial" w:cs="Arial"/>
                <w:bCs/>
                <w:sz w:val="22"/>
                <w:szCs w:val="22"/>
              </w:rPr>
              <w:t>15</w:t>
            </w:r>
            <w:r w:rsidR="00A82F1E">
              <w:rPr>
                <w:rFonts w:ascii="Arial" w:hAnsi="Arial" w:cs="Arial"/>
                <w:bCs/>
                <w:sz w:val="22"/>
                <w:szCs w:val="22"/>
              </w:rPr>
              <w:t xml:space="preserve"> where NLG were</w:t>
            </w:r>
            <w:r>
              <w:rPr>
                <w:rFonts w:ascii="Arial" w:hAnsi="Arial" w:cs="Arial"/>
                <w:bCs/>
                <w:sz w:val="22"/>
                <w:szCs w:val="22"/>
              </w:rPr>
              <w:t xml:space="preserve"> required to present an action p</w:t>
            </w:r>
            <w:r w:rsidRPr="00944FDA">
              <w:rPr>
                <w:rFonts w:ascii="Arial" w:hAnsi="Arial" w:cs="Arial"/>
                <w:bCs/>
                <w:sz w:val="22"/>
                <w:szCs w:val="22"/>
              </w:rPr>
              <w:t xml:space="preserve">lan in response to the CQC’s feedback.  An Action Plan </w:t>
            </w:r>
            <w:r>
              <w:rPr>
                <w:rFonts w:ascii="Arial" w:hAnsi="Arial" w:cs="Arial"/>
                <w:bCs/>
                <w:sz w:val="22"/>
                <w:szCs w:val="22"/>
              </w:rPr>
              <w:t xml:space="preserve">will then </w:t>
            </w:r>
            <w:r w:rsidRPr="00944FDA">
              <w:rPr>
                <w:rFonts w:ascii="Arial" w:hAnsi="Arial" w:cs="Arial"/>
                <w:bCs/>
                <w:sz w:val="22"/>
                <w:szCs w:val="22"/>
              </w:rPr>
              <w:t xml:space="preserve">be submitted to Commissioners, from </w:t>
            </w:r>
            <w:proofErr w:type="spellStart"/>
            <w:r w:rsidRPr="00944FDA">
              <w:rPr>
                <w:rFonts w:ascii="Arial" w:hAnsi="Arial" w:cs="Arial"/>
                <w:bCs/>
                <w:sz w:val="22"/>
                <w:szCs w:val="22"/>
              </w:rPr>
              <w:t>NLaG</w:t>
            </w:r>
            <w:proofErr w:type="spellEnd"/>
            <w:r w:rsidRPr="00944FDA">
              <w:rPr>
                <w:rFonts w:ascii="Arial" w:hAnsi="Arial" w:cs="Arial"/>
                <w:bCs/>
                <w:sz w:val="22"/>
                <w:szCs w:val="22"/>
              </w:rPr>
              <w:t xml:space="preserve"> by the end of Jan</w:t>
            </w:r>
            <w:r w:rsidR="00A82F1E">
              <w:rPr>
                <w:rFonts w:ascii="Arial" w:hAnsi="Arial" w:cs="Arial"/>
                <w:bCs/>
                <w:sz w:val="22"/>
                <w:szCs w:val="22"/>
              </w:rPr>
              <w:t>uary</w:t>
            </w:r>
            <w:r w:rsidRPr="00944FDA">
              <w:rPr>
                <w:rFonts w:ascii="Arial" w:hAnsi="Arial" w:cs="Arial"/>
                <w:bCs/>
                <w:sz w:val="22"/>
                <w:szCs w:val="22"/>
              </w:rPr>
              <w:t xml:space="preserve"> 2016. </w:t>
            </w:r>
          </w:p>
          <w:p w:rsidR="00944FDA" w:rsidRPr="00944FDA" w:rsidRDefault="00944FDA" w:rsidP="000131BE">
            <w:pPr>
              <w:spacing w:line="276" w:lineRule="auto"/>
              <w:jc w:val="both"/>
              <w:rPr>
                <w:rFonts w:ascii="Arial" w:hAnsi="Arial" w:cs="Arial"/>
                <w:bCs/>
                <w:sz w:val="22"/>
                <w:szCs w:val="22"/>
              </w:rPr>
            </w:pPr>
          </w:p>
          <w:p w:rsidR="00237E7A" w:rsidRPr="00944FDA" w:rsidRDefault="00237E7A" w:rsidP="00236749">
            <w:pPr>
              <w:spacing w:line="276" w:lineRule="auto"/>
              <w:jc w:val="both"/>
              <w:rPr>
                <w:rFonts w:ascii="Arial" w:hAnsi="Arial" w:cs="Arial"/>
                <w:bCs/>
                <w:sz w:val="22"/>
                <w:szCs w:val="22"/>
              </w:rPr>
            </w:pPr>
            <w:r w:rsidRPr="00944FDA">
              <w:rPr>
                <w:rFonts w:ascii="Arial" w:hAnsi="Arial" w:cs="Arial"/>
                <w:bCs/>
                <w:sz w:val="22"/>
                <w:szCs w:val="22"/>
              </w:rPr>
              <w:t xml:space="preserve">An unannounced inspection of NLG was also undertaken by the CQC the first week in January. </w:t>
            </w:r>
            <w:r>
              <w:rPr>
                <w:rFonts w:ascii="Arial" w:hAnsi="Arial" w:cs="Arial"/>
                <w:bCs/>
                <w:sz w:val="22"/>
                <w:szCs w:val="22"/>
              </w:rPr>
              <w:t>We are awaiting any feedback</w:t>
            </w:r>
            <w:r w:rsidR="00A82F1E">
              <w:rPr>
                <w:rFonts w:ascii="Arial" w:hAnsi="Arial" w:cs="Arial"/>
                <w:bCs/>
                <w:sz w:val="22"/>
                <w:szCs w:val="22"/>
              </w:rPr>
              <w:t xml:space="preserve"> from this</w:t>
            </w:r>
            <w:r>
              <w:rPr>
                <w:rFonts w:ascii="Arial" w:hAnsi="Arial" w:cs="Arial"/>
                <w:bCs/>
                <w:sz w:val="22"/>
                <w:szCs w:val="22"/>
              </w:rPr>
              <w:t>.</w:t>
            </w:r>
          </w:p>
          <w:p w:rsidR="00237E7A" w:rsidRDefault="00237E7A" w:rsidP="000131BE">
            <w:pPr>
              <w:spacing w:line="276" w:lineRule="auto"/>
              <w:ind w:left="360"/>
              <w:jc w:val="both"/>
              <w:rPr>
                <w:rFonts w:ascii="Arial" w:hAnsi="Arial" w:cs="Arial"/>
                <w:bCs/>
                <w:sz w:val="22"/>
                <w:szCs w:val="22"/>
                <w:u w:val="single"/>
              </w:rPr>
            </w:pPr>
          </w:p>
          <w:p w:rsidR="000131BE" w:rsidRDefault="00944FDA" w:rsidP="00236749">
            <w:pPr>
              <w:spacing w:line="276" w:lineRule="auto"/>
              <w:jc w:val="both"/>
              <w:rPr>
                <w:rFonts w:ascii="Arial" w:hAnsi="Arial" w:cs="Arial"/>
                <w:bCs/>
                <w:sz w:val="22"/>
                <w:szCs w:val="22"/>
                <w:u w:val="single"/>
              </w:rPr>
            </w:pPr>
            <w:r w:rsidRPr="00944FDA">
              <w:rPr>
                <w:rFonts w:ascii="Arial" w:hAnsi="Arial" w:cs="Arial"/>
                <w:bCs/>
                <w:sz w:val="22"/>
                <w:szCs w:val="22"/>
                <w:u w:val="single"/>
              </w:rPr>
              <w:t>EMAS</w:t>
            </w:r>
            <w:r w:rsidR="000131BE">
              <w:rPr>
                <w:rFonts w:ascii="Arial" w:hAnsi="Arial" w:cs="Arial"/>
                <w:bCs/>
                <w:sz w:val="22"/>
                <w:szCs w:val="22"/>
                <w:u w:val="single"/>
              </w:rPr>
              <w:t xml:space="preserve"> CQC Inspection. </w:t>
            </w:r>
            <w:r w:rsidR="000131BE" w:rsidRPr="00944FDA">
              <w:rPr>
                <w:rFonts w:ascii="Arial" w:hAnsi="Arial" w:cs="Arial"/>
                <w:bCs/>
                <w:sz w:val="22"/>
                <w:szCs w:val="22"/>
              </w:rPr>
              <w:t xml:space="preserve">The CQC assessment for EMAS </w:t>
            </w:r>
            <w:r w:rsidR="000131BE">
              <w:rPr>
                <w:rFonts w:ascii="Arial" w:hAnsi="Arial" w:cs="Arial"/>
                <w:bCs/>
                <w:sz w:val="22"/>
                <w:szCs w:val="22"/>
              </w:rPr>
              <w:t xml:space="preserve">took </w:t>
            </w:r>
            <w:r w:rsidR="000131BE" w:rsidRPr="00944FDA">
              <w:rPr>
                <w:rFonts w:ascii="Arial" w:hAnsi="Arial" w:cs="Arial"/>
                <w:bCs/>
                <w:sz w:val="22"/>
                <w:szCs w:val="22"/>
              </w:rPr>
              <w:t xml:space="preserve">place </w:t>
            </w:r>
            <w:r w:rsidR="000131BE">
              <w:rPr>
                <w:rFonts w:ascii="Arial" w:hAnsi="Arial" w:cs="Arial"/>
                <w:bCs/>
                <w:sz w:val="22"/>
                <w:szCs w:val="22"/>
              </w:rPr>
              <w:t xml:space="preserve">during </w:t>
            </w:r>
            <w:r w:rsidR="000131BE" w:rsidRPr="00944FDA">
              <w:rPr>
                <w:rFonts w:ascii="Arial" w:hAnsi="Arial" w:cs="Arial"/>
                <w:bCs/>
                <w:sz w:val="22"/>
                <w:szCs w:val="22"/>
              </w:rPr>
              <w:t>November covering the following three areas: Accident &amp; Emergency; Patient Transport Services; and Emergency Operations Centre.</w:t>
            </w:r>
          </w:p>
          <w:p w:rsidR="00236749" w:rsidRDefault="00236749" w:rsidP="000131BE">
            <w:pPr>
              <w:spacing w:line="276" w:lineRule="auto"/>
              <w:ind w:left="360"/>
              <w:jc w:val="both"/>
              <w:rPr>
                <w:rFonts w:ascii="Arial" w:hAnsi="Arial" w:cs="Arial"/>
                <w:bCs/>
                <w:sz w:val="22"/>
                <w:szCs w:val="22"/>
                <w:u w:val="single"/>
              </w:rPr>
            </w:pPr>
          </w:p>
          <w:p w:rsidR="000131BE" w:rsidRPr="00236749" w:rsidRDefault="000131BE" w:rsidP="00236749">
            <w:pPr>
              <w:spacing w:line="276" w:lineRule="auto"/>
              <w:jc w:val="both"/>
              <w:rPr>
                <w:rFonts w:ascii="Arial" w:hAnsi="Arial" w:cs="Arial"/>
                <w:bCs/>
                <w:sz w:val="22"/>
                <w:szCs w:val="22"/>
              </w:rPr>
            </w:pPr>
            <w:r w:rsidRPr="00236749">
              <w:rPr>
                <w:rFonts w:ascii="Arial" w:hAnsi="Arial" w:cs="Arial"/>
                <w:bCs/>
                <w:sz w:val="22"/>
                <w:szCs w:val="22"/>
              </w:rPr>
              <w:t>Main feedback points from the CQC to EMAS were as follows:</w:t>
            </w:r>
          </w:p>
          <w:p w:rsidR="000131BE" w:rsidRDefault="000131BE" w:rsidP="000131BE">
            <w:pPr>
              <w:spacing w:line="276" w:lineRule="auto"/>
              <w:ind w:left="360"/>
              <w:jc w:val="both"/>
              <w:rPr>
                <w:rFonts w:ascii="Arial" w:hAnsi="Arial" w:cs="Arial"/>
                <w:bCs/>
                <w:sz w:val="22"/>
                <w:szCs w:val="22"/>
                <w:u w:val="single"/>
              </w:rPr>
            </w:pPr>
          </w:p>
          <w:p w:rsidR="000131BE" w:rsidRDefault="00944FDA" w:rsidP="000131BE">
            <w:pPr>
              <w:spacing w:line="276" w:lineRule="auto"/>
              <w:ind w:left="360"/>
              <w:jc w:val="both"/>
              <w:rPr>
                <w:rFonts w:ascii="Arial" w:hAnsi="Arial" w:cs="Arial"/>
                <w:bCs/>
                <w:sz w:val="22"/>
                <w:szCs w:val="22"/>
              </w:rPr>
            </w:pPr>
            <w:r w:rsidRPr="00944FDA">
              <w:rPr>
                <w:rFonts w:ascii="Arial" w:hAnsi="Arial" w:cs="Arial"/>
                <w:bCs/>
                <w:sz w:val="22"/>
                <w:szCs w:val="22"/>
              </w:rPr>
              <w:t xml:space="preserve">Innovation Mental Health triage </w:t>
            </w:r>
            <w:r w:rsidR="000131BE">
              <w:rPr>
                <w:rFonts w:ascii="Arial" w:hAnsi="Arial" w:cs="Arial"/>
                <w:bCs/>
                <w:sz w:val="22"/>
                <w:szCs w:val="22"/>
              </w:rPr>
              <w:t>r</w:t>
            </w:r>
            <w:r w:rsidRPr="00944FDA">
              <w:rPr>
                <w:rFonts w:ascii="Arial" w:hAnsi="Arial" w:cs="Arial"/>
                <w:bCs/>
                <w:sz w:val="22"/>
                <w:szCs w:val="22"/>
              </w:rPr>
              <w:t xml:space="preserve">eceived very positive feedback with no major concerns. There were issues highlighted within medicines management </w:t>
            </w:r>
          </w:p>
          <w:p w:rsidR="000131BE" w:rsidRDefault="000131BE" w:rsidP="000131BE">
            <w:pPr>
              <w:spacing w:line="276" w:lineRule="auto"/>
              <w:ind w:left="360"/>
              <w:jc w:val="both"/>
              <w:rPr>
                <w:rFonts w:ascii="Arial" w:hAnsi="Arial" w:cs="Arial"/>
                <w:bCs/>
                <w:sz w:val="22"/>
                <w:szCs w:val="22"/>
              </w:rPr>
            </w:pPr>
            <w:r>
              <w:rPr>
                <w:rFonts w:ascii="Arial" w:hAnsi="Arial" w:cs="Arial"/>
                <w:bCs/>
                <w:sz w:val="22"/>
                <w:szCs w:val="22"/>
              </w:rPr>
              <w:t>no</w:t>
            </w:r>
            <w:r w:rsidR="00944FDA" w:rsidRPr="00944FDA">
              <w:rPr>
                <w:rFonts w:ascii="Arial" w:hAnsi="Arial" w:cs="Arial"/>
                <w:bCs/>
                <w:sz w:val="22"/>
                <w:szCs w:val="22"/>
              </w:rPr>
              <w:t xml:space="preserve"> issues</w:t>
            </w:r>
            <w:r>
              <w:rPr>
                <w:rFonts w:ascii="Arial" w:hAnsi="Arial" w:cs="Arial"/>
                <w:bCs/>
                <w:sz w:val="22"/>
                <w:szCs w:val="22"/>
              </w:rPr>
              <w:t xml:space="preserve"> re Intensive Care Paramedics</w:t>
            </w:r>
            <w:r w:rsidR="00944FDA" w:rsidRPr="00944FDA">
              <w:rPr>
                <w:rFonts w:ascii="Arial" w:hAnsi="Arial" w:cs="Arial"/>
                <w:bCs/>
                <w:sz w:val="22"/>
                <w:szCs w:val="22"/>
              </w:rPr>
              <w:t xml:space="preserve"> </w:t>
            </w:r>
          </w:p>
          <w:p w:rsidR="000131BE" w:rsidRDefault="00944FDA" w:rsidP="000131BE">
            <w:pPr>
              <w:spacing w:line="276" w:lineRule="auto"/>
              <w:ind w:left="360"/>
              <w:jc w:val="both"/>
              <w:rPr>
                <w:rFonts w:ascii="Arial" w:hAnsi="Arial" w:cs="Arial"/>
                <w:bCs/>
                <w:sz w:val="22"/>
                <w:szCs w:val="22"/>
              </w:rPr>
            </w:pPr>
            <w:r w:rsidRPr="00944FDA">
              <w:rPr>
                <w:rFonts w:ascii="Arial" w:hAnsi="Arial" w:cs="Arial"/>
                <w:bCs/>
                <w:sz w:val="22"/>
                <w:szCs w:val="22"/>
              </w:rPr>
              <w:t xml:space="preserve">It was noted staff are very caring &amp; compassionate </w:t>
            </w:r>
          </w:p>
          <w:p w:rsidR="000131BE" w:rsidRDefault="000131BE" w:rsidP="000131BE">
            <w:pPr>
              <w:spacing w:line="276" w:lineRule="auto"/>
              <w:ind w:left="360"/>
              <w:jc w:val="both"/>
              <w:rPr>
                <w:rFonts w:ascii="Arial" w:hAnsi="Arial" w:cs="Arial"/>
                <w:bCs/>
                <w:sz w:val="22"/>
                <w:szCs w:val="22"/>
              </w:rPr>
            </w:pPr>
          </w:p>
          <w:p w:rsidR="00944FDA" w:rsidRPr="00944FDA" w:rsidRDefault="00944FDA" w:rsidP="00236749">
            <w:pPr>
              <w:spacing w:line="276" w:lineRule="auto"/>
              <w:jc w:val="both"/>
              <w:rPr>
                <w:rFonts w:ascii="Arial" w:hAnsi="Arial" w:cs="Arial"/>
                <w:bCs/>
                <w:sz w:val="22"/>
                <w:szCs w:val="22"/>
              </w:rPr>
            </w:pPr>
            <w:r w:rsidRPr="00944FDA">
              <w:rPr>
                <w:rFonts w:ascii="Arial" w:hAnsi="Arial" w:cs="Arial"/>
                <w:bCs/>
                <w:sz w:val="22"/>
                <w:szCs w:val="22"/>
              </w:rPr>
              <w:t>A Quality Summit has been arranged for 26th February, the outcome report is expected to be completed by end of January 2016.</w:t>
            </w:r>
          </w:p>
          <w:p w:rsidR="001E1853" w:rsidRPr="007B57A3" w:rsidRDefault="001E1853" w:rsidP="00DA5437">
            <w:pPr>
              <w:spacing w:line="276" w:lineRule="auto"/>
              <w:jc w:val="both"/>
              <w:rPr>
                <w:rFonts w:ascii="Arial" w:hAnsi="Arial" w:cs="Arial"/>
                <w:b/>
                <w:bCs/>
                <w:sz w:val="22"/>
                <w:szCs w:val="22"/>
              </w:rPr>
            </w:pPr>
          </w:p>
          <w:p w:rsidR="00463727" w:rsidRDefault="00DA5437" w:rsidP="00463727">
            <w:pPr>
              <w:spacing w:line="276" w:lineRule="auto"/>
              <w:jc w:val="both"/>
              <w:rPr>
                <w:rFonts w:ascii="Arial" w:eastAsia="Calibri" w:hAnsi="Arial" w:cs="Arial"/>
                <w:b/>
                <w:sz w:val="22"/>
                <w:szCs w:val="22"/>
                <w:lang w:eastAsia="en-US"/>
              </w:rPr>
            </w:pPr>
            <w:r w:rsidRPr="007B57A3">
              <w:rPr>
                <w:rFonts w:ascii="Arial" w:hAnsi="Arial" w:cs="Arial"/>
                <w:b/>
                <w:bCs/>
                <w:sz w:val="22"/>
                <w:szCs w:val="22"/>
              </w:rPr>
              <w:t xml:space="preserve">B  </w:t>
            </w:r>
            <w:r w:rsidR="00B37AF2" w:rsidRPr="007B57A3">
              <w:rPr>
                <w:rFonts w:ascii="Arial" w:hAnsi="Arial" w:cs="Arial"/>
                <w:b/>
                <w:bCs/>
                <w:sz w:val="22"/>
                <w:szCs w:val="22"/>
              </w:rPr>
              <w:t xml:space="preserve">Winterbourne Concordat: </w:t>
            </w:r>
            <w:r w:rsidR="008032FA" w:rsidRPr="007B57A3">
              <w:rPr>
                <w:rFonts w:ascii="Arial" w:eastAsia="Calibri" w:hAnsi="Arial" w:cs="Arial"/>
                <w:b/>
                <w:sz w:val="22"/>
                <w:szCs w:val="22"/>
                <w:lang w:eastAsia="en-US"/>
              </w:rPr>
              <w:t>Transforming Complex Care</w:t>
            </w:r>
          </w:p>
          <w:p w:rsidR="00463727" w:rsidRPr="00463727" w:rsidRDefault="00463727" w:rsidP="00463727">
            <w:pPr>
              <w:spacing w:line="276" w:lineRule="auto"/>
              <w:jc w:val="both"/>
              <w:rPr>
                <w:rFonts w:ascii="Arial" w:eastAsia="Calibri" w:hAnsi="Arial" w:cs="Arial"/>
                <w:b/>
                <w:sz w:val="22"/>
                <w:szCs w:val="22"/>
                <w:lang w:eastAsia="en-US"/>
              </w:rPr>
            </w:pPr>
          </w:p>
          <w:p w:rsidR="0071408A" w:rsidRDefault="00E55E7F" w:rsidP="0071408A">
            <w:pPr>
              <w:rPr>
                <w:rFonts w:ascii="Arial" w:eastAsia="Calibri" w:hAnsi="Arial" w:cs="Arial"/>
                <w:sz w:val="22"/>
                <w:szCs w:val="22"/>
                <w:lang w:eastAsia="en-US"/>
              </w:rPr>
            </w:pPr>
            <w:r>
              <w:rPr>
                <w:rFonts w:ascii="Arial" w:eastAsia="Calibri" w:hAnsi="Arial" w:cs="Arial"/>
                <w:sz w:val="22"/>
                <w:szCs w:val="22"/>
                <w:lang w:eastAsia="en-US"/>
              </w:rPr>
              <w:t xml:space="preserve">We </w:t>
            </w:r>
            <w:r w:rsidR="001E1853">
              <w:rPr>
                <w:rFonts w:ascii="Arial" w:eastAsia="Calibri" w:hAnsi="Arial" w:cs="Arial"/>
                <w:sz w:val="22"/>
                <w:szCs w:val="22"/>
                <w:lang w:eastAsia="en-US"/>
              </w:rPr>
              <w:t xml:space="preserve">continue to </w:t>
            </w:r>
            <w:r>
              <w:rPr>
                <w:rFonts w:ascii="Arial" w:eastAsia="Calibri" w:hAnsi="Arial" w:cs="Arial"/>
                <w:sz w:val="22"/>
                <w:szCs w:val="22"/>
                <w:lang w:eastAsia="en-US"/>
              </w:rPr>
              <w:t xml:space="preserve">have 1 </w:t>
            </w:r>
            <w:r w:rsidR="0071408A">
              <w:rPr>
                <w:rFonts w:ascii="Arial" w:eastAsia="Calibri" w:hAnsi="Arial" w:cs="Arial"/>
                <w:sz w:val="22"/>
                <w:szCs w:val="22"/>
                <w:lang w:eastAsia="en-US"/>
              </w:rPr>
              <w:t xml:space="preserve">person that is </w:t>
            </w:r>
            <w:r w:rsidRPr="00E55E7F">
              <w:rPr>
                <w:rFonts w:ascii="Arial" w:eastAsia="Calibri" w:hAnsi="Arial" w:cs="Arial"/>
                <w:sz w:val="22"/>
                <w:szCs w:val="22"/>
                <w:lang w:eastAsia="en-US"/>
              </w:rPr>
              <w:t>in a treatment and assessment unit</w:t>
            </w:r>
            <w:r w:rsidR="001E1853">
              <w:rPr>
                <w:rFonts w:ascii="Arial" w:eastAsia="Calibri" w:hAnsi="Arial" w:cs="Arial"/>
                <w:sz w:val="22"/>
                <w:szCs w:val="22"/>
                <w:lang w:eastAsia="en-US"/>
              </w:rPr>
              <w:t xml:space="preserve"> as part of a long-term arrangement</w:t>
            </w:r>
            <w:r w:rsidR="0071408A">
              <w:rPr>
                <w:rFonts w:ascii="Arial" w:eastAsia="Calibri" w:hAnsi="Arial" w:cs="Arial"/>
                <w:sz w:val="22"/>
                <w:szCs w:val="22"/>
                <w:lang w:eastAsia="en-US"/>
              </w:rPr>
              <w:t xml:space="preserve">. The person </w:t>
            </w:r>
            <w:r w:rsidR="00BF300A">
              <w:rPr>
                <w:rFonts w:ascii="Arial" w:eastAsia="Calibri" w:hAnsi="Arial" w:cs="Arial"/>
                <w:sz w:val="22"/>
                <w:szCs w:val="22"/>
                <w:lang w:eastAsia="en-US"/>
              </w:rPr>
              <w:t xml:space="preserve">has </w:t>
            </w:r>
            <w:r w:rsidR="000115E6">
              <w:rPr>
                <w:rFonts w:ascii="Arial" w:eastAsia="Calibri" w:hAnsi="Arial" w:cs="Arial"/>
                <w:sz w:val="22"/>
                <w:szCs w:val="22"/>
                <w:lang w:eastAsia="en-US"/>
              </w:rPr>
              <w:t xml:space="preserve">a case manager and will follow due process, with </w:t>
            </w:r>
            <w:r w:rsidR="0071408A">
              <w:rPr>
                <w:rFonts w:ascii="Arial" w:eastAsia="Calibri" w:hAnsi="Arial" w:cs="Arial"/>
                <w:sz w:val="22"/>
                <w:szCs w:val="22"/>
                <w:lang w:eastAsia="en-US"/>
              </w:rPr>
              <w:t xml:space="preserve">a </w:t>
            </w:r>
            <w:r w:rsidR="0071408A" w:rsidRPr="00E55E7F">
              <w:rPr>
                <w:rFonts w:ascii="Arial" w:eastAsia="Calibri" w:hAnsi="Arial" w:cs="Arial"/>
                <w:sz w:val="22"/>
                <w:szCs w:val="22"/>
                <w:lang w:eastAsia="en-US"/>
              </w:rPr>
              <w:t>clear action plan</w:t>
            </w:r>
            <w:r w:rsidR="0071408A">
              <w:rPr>
                <w:rFonts w:ascii="Arial" w:eastAsia="Calibri" w:hAnsi="Arial" w:cs="Arial"/>
                <w:sz w:val="22"/>
                <w:szCs w:val="22"/>
                <w:lang w:eastAsia="en-US"/>
              </w:rPr>
              <w:t xml:space="preserve"> in place</w:t>
            </w:r>
            <w:r w:rsidR="0071408A" w:rsidRPr="00E55E7F">
              <w:rPr>
                <w:rFonts w:ascii="Arial" w:eastAsia="Calibri" w:hAnsi="Arial" w:cs="Arial"/>
                <w:sz w:val="22"/>
                <w:szCs w:val="22"/>
                <w:lang w:eastAsia="en-US"/>
              </w:rPr>
              <w:t xml:space="preserve"> for discharge</w:t>
            </w:r>
            <w:r w:rsidR="0071408A">
              <w:rPr>
                <w:rFonts w:ascii="Arial" w:eastAsia="Calibri" w:hAnsi="Arial" w:cs="Arial"/>
                <w:sz w:val="22"/>
                <w:szCs w:val="22"/>
                <w:lang w:eastAsia="en-US"/>
              </w:rPr>
              <w:t>.</w:t>
            </w:r>
            <w:r w:rsidR="001E1853">
              <w:rPr>
                <w:rFonts w:ascii="Arial" w:eastAsia="Calibri" w:hAnsi="Arial" w:cs="Arial"/>
                <w:sz w:val="22"/>
                <w:szCs w:val="22"/>
                <w:lang w:eastAsia="en-US"/>
              </w:rPr>
              <w:t xml:space="preserve"> The Transforming Complex Care arrangement for this person has recently been reviewed with NHSE, who were assured by our processes.</w:t>
            </w:r>
            <w:r w:rsidR="0071408A">
              <w:rPr>
                <w:rFonts w:ascii="Arial" w:eastAsia="Calibri" w:hAnsi="Arial" w:cs="Arial"/>
                <w:sz w:val="22"/>
                <w:szCs w:val="22"/>
                <w:lang w:eastAsia="en-US"/>
              </w:rPr>
              <w:t xml:space="preserve"> </w:t>
            </w:r>
            <w:r w:rsidR="000115E6">
              <w:rPr>
                <w:rFonts w:ascii="Arial" w:eastAsia="Calibri" w:hAnsi="Arial" w:cs="Arial"/>
                <w:sz w:val="22"/>
                <w:szCs w:val="22"/>
                <w:lang w:eastAsia="en-US"/>
              </w:rPr>
              <w:t xml:space="preserve"> </w:t>
            </w:r>
            <w:r w:rsidR="0071408A" w:rsidRPr="00E55E7F">
              <w:rPr>
                <w:rFonts w:ascii="Arial" w:eastAsia="Calibri" w:hAnsi="Arial" w:cs="Arial"/>
                <w:sz w:val="22"/>
                <w:szCs w:val="22"/>
                <w:lang w:eastAsia="en-US"/>
              </w:rPr>
              <w:t xml:space="preserve"> </w:t>
            </w:r>
            <w:r w:rsidR="0071408A">
              <w:rPr>
                <w:rFonts w:ascii="Arial" w:eastAsia="Calibri" w:hAnsi="Arial" w:cs="Arial"/>
                <w:sz w:val="22"/>
                <w:szCs w:val="22"/>
                <w:lang w:eastAsia="en-US"/>
              </w:rPr>
              <w:t xml:space="preserve"> </w:t>
            </w:r>
          </w:p>
          <w:p w:rsidR="00E55E7F" w:rsidRDefault="00E55E7F" w:rsidP="00DA5437">
            <w:pPr>
              <w:spacing w:line="276" w:lineRule="auto"/>
              <w:jc w:val="both"/>
              <w:rPr>
                <w:rFonts w:ascii="Arial" w:eastAsia="Calibri" w:hAnsi="Arial" w:cs="Arial"/>
                <w:sz w:val="22"/>
                <w:szCs w:val="22"/>
                <w:lang w:eastAsia="en-US"/>
              </w:rPr>
            </w:pPr>
          </w:p>
          <w:p w:rsidR="00427B4E" w:rsidRDefault="00427B4E" w:rsidP="001E1853">
            <w:pPr>
              <w:spacing w:line="276" w:lineRule="auto"/>
              <w:jc w:val="both"/>
              <w:rPr>
                <w:rFonts w:ascii="Arial" w:eastAsia="Calibri" w:hAnsi="Arial" w:cs="Arial"/>
                <w:sz w:val="22"/>
                <w:szCs w:val="22"/>
                <w:lang w:eastAsia="en-US"/>
              </w:rPr>
            </w:pPr>
          </w:p>
          <w:p w:rsidR="00CB1B56" w:rsidRPr="001E1853" w:rsidRDefault="001E1853" w:rsidP="001E1853">
            <w:pPr>
              <w:spacing w:line="276" w:lineRule="auto"/>
              <w:jc w:val="both"/>
              <w:rPr>
                <w:rFonts w:ascii="Arial" w:hAnsi="Arial" w:cs="Arial"/>
                <w:b/>
                <w:bCs/>
                <w:sz w:val="22"/>
                <w:szCs w:val="22"/>
                <w:u w:val="single"/>
              </w:rPr>
            </w:pPr>
            <w:r>
              <w:rPr>
                <w:rFonts w:ascii="Arial" w:eastAsia="Calibri" w:hAnsi="Arial" w:cs="Arial"/>
                <w:sz w:val="22"/>
                <w:szCs w:val="22"/>
                <w:lang w:eastAsia="en-US"/>
              </w:rPr>
              <w:t xml:space="preserve">2. </w:t>
            </w:r>
            <w:r w:rsidR="00DA5437" w:rsidRPr="001E1853">
              <w:rPr>
                <w:rFonts w:ascii="Arial" w:hAnsi="Arial" w:cs="Arial"/>
                <w:b/>
                <w:bCs/>
                <w:sz w:val="22"/>
                <w:szCs w:val="22"/>
                <w:u w:val="single"/>
              </w:rPr>
              <w:t xml:space="preserve"> </w:t>
            </w:r>
            <w:r w:rsidR="008032FA" w:rsidRPr="001E1853">
              <w:rPr>
                <w:rFonts w:ascii="Arial" w:hAnsi="Arial" w:cs="Arial"/>
                <w:b/>
                <w:bCs/>
                <w:sz w:val="22"/>
                <w:szCs w:val="22"/>
                <w:u w:val="single"/>
              </w:rPr>
              <w:t xml:space="preserve">Patient </w:t>
            </w:r>
            <w:r w:rsidR="001555E0" w:rsidRPr="001E1853">
              <w:rPr>
                <w:rFonts w:ascii="Arial" w:hAnsi="Arial" w:cs="Arial"/>
                <w:b/>
                <w:bCs/>
                <w:sz w:val="22"/>
                <w:szCs w:val="22"/>
                <w:u w:val="single"/>
              </w:rPr>
              <w:t xml:space="preserve">and Client </w:t>
            </w:r>
            <w:r w:rsidR="008032FA" w:rsidRPr="001E1853">
              <w:rPr>
                <w:rFonts w:ascii="Arial" w:hAnsi="Arial" w:cs="Arial"/>
                <w:b/>
                <w:bCs/>
                <w:sz w:val="22"/>
                <w:szCs w:val="22"/>
                <w:u w:val="single"/>
              </w:rPr>
              <w:t>Safety</w:t>
            </w:r>
          </w:p>
          <w:p w:rsidR="002B4829" w:rsidRPr="007B57A3" w:rsidRDefault="002B4829" w:rsidP="00DA5437">
            <w:pPr>
              <w:spacing w:line="276" w:lineRule="auto"/>
              <w:jc w:val="both"/>
              <w:rPr>
                <w:rFonts w:ascii="Arial" w:hAnsi="Arial" w:cs="Arial"/>
                <w:bCs/>
                <w:color w:val="FF0000"/>
                <w:sz w:val="22"/>
                <w:szCs w:val="22"/>
              </w:rPr>
            </w:pPr>
          </w:p>
          <w:p w:rsidR="00564C95" w:rsidRDefault="005A507A" w:rsidP="0070417A">
            <w:pPr>
              <w:spacing w:line="276" w:lineRule="auto"/>
              <w:jc w:val="both"/>
            </w:pPr>
            <w:r>
              <w:rPr>
                <w:rFonts w:ascii="Arial" w:hAnsi="Arial" w:cs="Arial"/>
                <w:b/>
                <w:bCs/>
                <w:sz w:val="22"/>
                <w:szCs w:val="22"/>
              </w:rPr>
              <w:t xml:space="preserve">A.  </w:t>
            </w:r>
            <w:r w:rsidR="000F5290" w:rsidRPr="005A507A">
              <w:rPr>
                <w:rFonts w:ascii="Arial" w:hAnsi="Arial" w:cs="Arial"/>
                <w:b/>
                <w:bCs/>
                <w:sz w:val="22"/>
                <w:szCs w:val="22"/>
              </w:rPr>
              <w:t>Safeguarding.</w:t>
            </w:r>
            <w:r>
              <w:t xml:space="preserve"> </w:t>
            </w:r>
          </w:p>
          <w:p w:rsidR="0070417A" w:rsidRPr="0070417A" w:rsidRDefault="0070417A" w:rsidP="0070417A">
            <w:pPr>
              <w:spacing w:line="276" w:lineRule="auto"/>
              <w:jc w:val="both"/>
            </w:pPr>
          </w:p>
          <w:p w:rsidR="00564C95" w:rsidRPr="008F2672" w:rsidRDefault="00564C95" w:rsidP="00564C95">
            <w:pPr>
              <w:rPr>
                <w:rFonts w:ascii="Arial" w:hAnsi="Arial" w:cs="Arial"/>
                <w:sz w:val="22"/>
                <w:szCs w:val="22"/>
              </w:rPr>
            </w:pPr>
            <w:r w:rsidRPr="008F2672">
              <w:rPr>
                <w:rFonts w:ascii="Arial" w:hAnsi="Arial" w:cs="Arial"/>
                <w:sz w:val="22"/>
                <w:szCs w:val="22"/>
              </w:rPr>
              <w:t>In line with the Prevent Duty guidance, the Channel Panel is established and is meeting regularly. Prevent training has been delivered to the staff of the CCG with a further session to be arranged for any staff who may have missed this training.</w:t>
            </w:r>
          </w:p>
          <w:p w:rsidR="00F16D06" w:rsidRPr="00F16D06" w:rsidRDefault="00F16D06" w:rsidP="00F16D06">
            <w:pPr>
              <w:spacing w:line="276" w:lineRule="auto"/>
              <w:jc w:val="both"/>
              <w:rPr>
                <w:rFonts w:ascii="Arial" w:hAnsi="Arial" w:cs="Arial"/>
                <w:sz w:val="22"/>
                <w:szCs w:val="22"/>
              </w:rPr>
            </w:pPr>
          </w:p>
          <w:p w:rsidR="00564C95" w:rsidRPr="008F2672" w:rsidRDefault="00BE020D" w:rsidP="00564C95">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Following a</w:t>
            </w:r>
            <w:r w:rsidR="00564C95" w:rsidRPr="008F2672">
              <w:rPr>
                <w:rFonts w:ascii="Arial" w:eastAsiaTheme="minorHAnsi" w:hAnsi="Arial" w:cs="Arial"/>
                <w:sz w:val="22"/>
                <w:szCs w:val="22"/>
                <w:lang w:eastAsia="en-US"/>
              </w:rPr>
              <w:t xml:space="preserve"> </w:t>
            </w:r>
            <w:r>
              <w:rPr>
                <w:rFonts w:ascii="Arial" w:eastAsiaTheme="minorHAnsi" w:hAnsi="Arial" w:cs="Arial"/>
                <w:sz w:val="22"/>
                <w:szCs w:val="22"/>
                <w:lang w:eastAsia="en-US"/>
              </w:rPr>
              <w:t>report of a Serious</w:t>
            </w:r>
            <w:r w:rsidR="00564C95" w:rsidRPr="008F2672">
              <w:rPr>
                <w:rFonts w:ascii="Arial" w:eastAsiaTheme="minorHAnsi" w:hAnsi="Arial" w:cs="Arial"/>
                <w:sz w:val="22"/>
                <w:szCs w:val="22"/>
                <w:lang w:eastAsia="en-US"/>
              </w:rPr>
              <w:t xml:space="preserve"> Case Review</w:t>
            </w:r>
            <w:r>
              <w:rPr>
                <w:rFonts w:ascii="Arial" w:eastAsiaTheme="minorHAnsi" w:hAnsi="Arial" w:cs="Arial"/>
                <w:sz w:val="22"/>
                <w:szCs w:val="22"/>
                <w:lang w:eastAsia="en-US"/>
              </w:rPr>
              <w:t xml:space="preserve"> </w:t>
            </w:r>
            <w:r w:rsidR="00564C95" w:rsidRPr="008F2672">
              <w:rPr>
                <w:rFonts w:ascii="Arial" w:eastAsiaTheme="minorHAnsi" w:hAnsi="Arial" w:cs="Arial"/>
                <w:sz w:val="22"/>
                <w:szCs w:val="22"/>
                <w:lang w:eastAsia="en-US"/>
              </w:rPr>
              <w:t xml:space="preserve">in Spring 2015 a number of recommendations </w:t>
            </w:r>
            <w:r>
              <w:rPr>
                <w:rFonts w:ascii="Arial" w:eastAsiaTheme="minorHAnsi" w:hAnsi="Arial" w:cs="Arial"/>
                <w:sz w:val="22"/>
                <w:szCs w:val="22"/>
                <w:lang w:eastAsia="en-US"/>
              </w:rPr>
              <w:t>were made in respect of the nee</w:t>
            </w:r>
            <w:r w:rsidR="00564C95" w:rsidRPr="008F2672">
              <w:rPr>
                <w:rFonts w:ascii="Arial" w:eastAsiaTheme="minorHAnsi" w:hAnsi="Arial" w:cs="Arial"/>
                <w:sz w:val="22"/>
                <w:szCs w:val="22"/>
                <w:lang w:eastAsia="en-US"/>
              </w:rPr>
              <w:t xml:space="preserve">d for greater professional curiosity around babies with injuries, and responding to reports of domestic violence. North East Lincolnshire CCG, through the Designated and Specialist Nurses, has </w:t>
            </w:r>
            <w:r>
              <w:rPr>
                <w:rFonts w:ascii="Arial" w:eastAsiaTheme="minorHAnsi" w:hAnsi="Arial" w:cs="Arial"/>
                <w:sz w:val="22"/>
                <w:szCs w:val="22"/>
                <w:lang w:eastAsia="en-US"/>
              </w:rPr>
              <w:t xml:space="preserve">taken </w:t>
            </w:r>
            <w:r w:rsidR="00564C95" w:rsidRPr="008F2672">
              <w:rPr>
                <w:rFonts w:ascii="Arial" w:eastAsiaTheme="minorHAnsi" w:hAnsi="Arial" w:cs="Arial"/>
                <w:sz w:val="22"/>
                <w:szCs w:val="22"/>
                <w:lang w:eastAsia="en-US"/>
              </w:rPr>
              <w:t xml:space="preserve">the lead on the development of a </w:t>
            </w:r>
            <w:r w:rsidR="00564C95" w:rsidRPr="008F2672">
              <w:rPr>
                <w:rFonts w:ascii="Arial" w:eastAsiaTheme="minorHAnsi" w:hAnsi="Arial" w:cs="Arial"/>
                <w:sz w:val="22"/>
                <w:szCs w:val="22"/>
                <w:lang w:eastAsia="en-US"/>
              </w:rPr>
              <w:lastRenderedPageBreak/>
              <w:t>multi-agency protocol for the assessment and reporting of injuries to non-mobile babies and children.</w:t>
            </w:r>
          </w:p>
          <w:p w:rsidR="00BE020D" w:rsidRDefault="00564C95" w:rsidP="00564C95">
            <w:pPr>
              <w:spacing w:after="200" w:line="276" w:lineRule="auto"/>
              <w:rPr>
                <w:rFonts w:ascii="Arial" w:eastAsiaTheme="minorHAnsi" w:hAnsi="Arial" w:cs="Arial"/>
                <w:sz w:val="22"/>
                <w:szCs w:val="22"/>
                <w:lang w:eastAsia="en-US"/>
              </w:rPr>
            </w:pPr>
            <w:r w:rsidRPr="008F2672">
              <w:rPr>
                <w:rFonts w:ascii="Arial" w:eastAsiaTheme="minorHAnsi" w:hAnsi="Arial" w:cs="Arial"/>
                <w:sz w:val="22"/>
                <w:szCs w:val="22"/>
                <w:lang w:eastAsia="en-US"/>
              </w:rPr>
              <w:t>North Lincolnshire Safeguarding Children Board published a Serious Case Review in October 2015, following the death of a young person in a Tier 4 CAMHS placement. The young person had been a resident of North East Lincolnshire until a year before her death, so organisations from North East Lincolnshire were actively involved in the review process. The SCR highlighted</w:t>
            </w:r>
            <w:r w:rsidR="00BE020D">
              <w:rPr>
                <w:rFonts w:ascii="Arial" w:eastAsiaTheme="minorHAnsi" w:hAnsi="Arial" w:cs="Arial"/>
                <w:sz w:val="22"/>
                <w:szCs w:val="22"/>
                <w:lang w:eastAsia="en-US"/>
              </w:rPr>
              <w:t>;</w:t>
            </w:r>
          </w:p>
          <w:p w:rsidR="00BE020D" w:rsidRDefault="00564C95" w:rsidP="00BE020D">
            <w:pPr>
              <w:pStyle w:val="ListParagraph"/>
              <w:numPr>
                <w:ilvl w:val="0"/>
                <w:numId w:val="43"/>
              </w:numPr>
              <w:spacing w:after="200" w:line="276" w:lineRule="auto"/>
              <w:rPr>
                <w:rFonts w:ascii="Arial" w:eastAsiaTheme="minorHAnsi" w:hAnsi="Arial" w:cs="Arial"/>
                <w:sz w:val="22"/>
                <w:szCs w:val="22"/>
                <w:lang w:eastAsia="en-US"/>
              </w:rPr>
            </w:pPr>
            <w:r w:rsidRPr="00BE020D">
              <w:rPr>
                <w:rFonts w:ascii="Arial" w:eastAsiaTheme="minorHAnsi" w:hAnsi="Arial" w:cs="Arial"/>
                <w:sz w:val="22"/>
                <w:szCs w:val="22"/>
                <w:lang w:eastAsia="en-US"/>
              </w:rPr>
              <w:t xml:space="preserve">gaps in </w:t>
            </w:r>
            <w:r w:rsidR="00BE020D" w:rsidRPr="00BE020D">
              <w:rPr>
                <w:rFonts w:ascii="Arial" w:eastAsiaTheme="minorHAnsi" w:hAnsi="Arial" w:cs="Arial"/>
                <w:sz w:val="22"/>
                <w:szCs w:val="22"/>
                <w:lang w:eastAsia="en-US"/>
              </w:rPr>
              <w:t>the understanding of frontline professionals, including GPs, and their confidence to respond to the reasons that young people self-harm</w:t>
            </w:r>
          </w:p>
          <w:p w:rsidR="00BE020D" w:rsidRPr="00FD13B3" w:rsidRDefault="00564C95" w:rsidP="00FD13B3">
            <w:pPr>
              <w:pStyle w:val="ListParagraph"/>
              <w:numPr>
                <w:ilvl w:val="0"/>
                <w:numId w:val="43"/>
              </w:numPr>
              <w:spacing w:after="200" w:line="276" w:lineRule="auto"/>
              <w:rPr>
                <w:rFonts w:ascii="Arial" w:eastAsiaTheme="minorHAnsi" w:hAnsi="Arial" w:cs="Arial"/>
                <w:sz w:val="22"/>
                <w:szCs w:val="22"/>
                <w:lang w:eastAsia="en-US"/>
              </w:rPr>
            </w:pPr>
            <w:proofErr w:type="gramStart"/>
            <w:r w:rsidRPr="00BE020D">
              <w:rPr>
                <w:rFonts w:ascii="Arial" w:eastAsiaTheme="minorHAnsi" w:hAnsi="Arial" w:cs="Arial"/>
                <w:sz w:val="22"/>
                <w:szCs w:val="22"/>
                <w:lang w:eastAsia="en-US"/>
              </w:rPr>
              <w:t>the</w:t>
            </w:r>
            <w:proofErr w:type="gramEnd"/>
            <w:r w:rsidRPr="00BE020D">
              <w:rPr>
                <w:rFonts w:ascii="Arial" w:eastAsiaTheme="minorHAnsi" w:hAnsi="Arial" w:cs="Arial"/>
                <w:sz w:val="22"/>
                <w:szCs w:val="22"/>
                <w:lang w:eastAsia="en-US"/>
              </w:rPr>
              <w:t xml:space="preserve"> importance of assessment and availability of support arrangements to identify and address the needs of such young people in a holistic manner. </w:t>
            </w:r>
          </w:p>
          <w:p w:rsidR="00564C95" w:rsidRPr="008F2672" w:rsidRDefault="00564C95" w:rsidP="00564C95">
            <w:pPr>
              <w:spacing w:after="200" w:line="276" w:lineRule="auto"/>
              <w:rPr>
                <w:rFonts w:ascii="Arial" w:eastAsiaTheme="minorHAnsi" w:hAnsi="Arial" w:cs="Arial"/>
                <w:sz w:val="22"/>
                <w:szCs w:val="22"/>
                <w:lang w:eastAsia="en-US"/>
              </w:rPr>
            </w:pPr>
            <w:r w:rsidRPr="008F2672">
              <w:rPr>
                <w:rFonts w:ascii="Arial" w:eastAsiaTheme="minorHAnsi" w:hAnsi="Arial" w:cs="Arial"/>
                <w:sz w:val="22"/>
                <w:szCs w:val="22"/>
                <w:lang w:eastAsia="en-US"/>
              </w:rPr>
              <w:t>There is a significant focus nationally on Female Genital</w:t>
            </w:r>
            <w:r w:rsidR="00FD13B3">
              <w:rPr>
                <w:rFonts w:ascii="Arial" w:eastAsiaTheme="minorHAnsi" w:hAnsi="Arial" w:cs="Arial"/>
                <w:sz w:val="22"/>
                <w:szCs w:val="22"/>
                <w:lang w:eastAsia="en-US"/>
              </w:rPr>
              <w:t xml:space="preserve"> Mutilation. Acute Trusts have</w:t>
            </w:r>
            <w:r w:rsidRPr="008F2672">
              <w:rPr>
                <w:rFonts w:ascii="Arial" w:eastAsiaTheme="minorHAnsi" w:hAnsi="Arial" w:cs="Arial"/>
                <w:sz w:val="22"/>
                <w:szCs w:val="22"/>
                <w:lang w:eastAsia="en-US"/>
              </w:rPr>
              <w:t xml:space="preserve"> a responsibility to report to the Health and Social Care Information Centre</w:t>
            </w:r>
            <w:r w:rsidR="00FD13B3">
              <w:rPr>
                <w:rFonts w:ascii="Arial" w:eastAsiaTheme="minorHAnsi" w:hAnsi="Arial" w:cs="Arial"/>
                <w:sz w:val="22"/>
                <w:szCs w:val="22"/>
                <w:lang w:eastAsia="en-US"/>
              </w:rPr>
              <w:t>,</w:t>
            </w:r>
            <w:r w:rsidRPr="008F2672">
              <w:rPr>
                <w:rFonts w:ascii="Arial" w:eastAsiaTheme="minorHAnsi" w:hAnsi="Arial" w:cs="Arial"/>
                <w:sz w:val="22"/>
                <w:szCs w:val="22"/>
                <w:lang w:eastAsia="en-US"/>
              </w:rPr>
              <w:t xml:space="preserve"> all patients who have experienced FGM from 1</w:t>
            </w:r>
            <w:r w:rsidRPr="008F2672">
              <w:rPr>
                <w:rFonts w:ascii="Arial" w:eastAsiaTheme="minorHAnsi" w:hAnsi="Arial" w:cs="Arial"/>
                <w:sz w:val="22"/>
                <w:szCs w:val="22"/>
                <w:vertAlign w:val="superscript"/>
                <w:lang w:eastAsia="en-US"/>
              </w:rPr>
              <w:t>st</w:t>
            </w:r>
            <w:r w:rsidRPr="008F2672">
              <w:rPr>
                <w:rFonts w:ascii="Arial" w:eastAsiaTheme="minorHAnsi" w:hAnsi="Arial" w:cs="Arial"/>
                <w:sz w:val="22"/>
                <w:szCs w:val="22"/>
                <w:lang w:eastAsia="en-US"/>
              </w:rPr>
              <w:t xml:space="preserve"> April</w:t>
            </w:r>
            <w:r w:rsidR="00FD13B3">
              <w:rPr>
                <w:rFonts w:ascii="Arial" w:eastAsiaTheme="minorHAnsi" w:hAnsi="Arial" w:cs="Arial"/>
                <w:sz w:val="22"/>
                <w:szCs w:val="22"/>
                <w:lang w:eastAsia="en-US"/>
              </w:rPr>
              <w:t xml:space="preserve"> 2015</w:t>
            </w:r>
            <w:r w:rsidRPr="008F2672">
              <w:rPr>
                <w:rFonts w:ascii="Arial" w:eastAsiaTheme="minorHAnsi" w:hAnsi="Arial" w:cs="Arial"/>
                <w:sz w:val="22"/>
                <w:szCs w:val="22"/>
                <w:lang w:eastAsia="en-US"/>
              </w:rPr>
              <w:t xml:space="preserve">. This responsibility was extended to include mental health trusts and GP practices from 1st October 2015. In addition, a mandatory duty for health professionals to notify the police of any FGM identified in </w:t>
            </w:r>
            <w:proofErr w:type="gramStart"/>
            <w:r w:rsidRPr="008F2672">
              <w:rPr>
                <w:rFonts w:ascii="Arial" w:eastAsiaTheme="minorHAnsi" w:hAnsi="Arial" w:cs="Arial"/>
                <w:sz w:val="22"/>
                <w:szCs w:val="22"/>
                <w:lang w:eastAsia="en-US"/>
              </w:rPr>
              <w:t>under</w:t>
            </w:r>
            <w:proofErr w:type="gramEnd"/>
            <w:r w:rsidRPr="008F2672">
              <w:rPr>
                <w:rFonts w:ascii="Arial" w:eastAsiaTheme="minorHAnsi" w:hAnsi="Arial" w:cs="Arial"/>
                <w:sz w:val="22"/>
                <w:szCs w:val="22"/>
                <w:lang w:eastAsia="en-US"/>
              </w:rPr>
              <w:t xml:space="preserve"> 18s was introduced on 31st October</w:t>
            </w:r>
            <w:r w:rsidR="00FD13B3">
              <w:rPr>
                <w:rFonts w:ascii="Arial" w:eastAsiaTheme="minorHAnsi" w:hAnsi="Arial" w:cs="Arial"/>
                <w:sz w:val="22"/>
                <w:szCs w:val="22"/>
                <w:lang w:eastAsia="en-US"/>
              </w:rPr>
              <w:t xml:space="preserve"> 2015</w:t>
            </w:r>
            <w:r w:rsidRPr="008F2672">
              <w:rPr>
                <w:rFonts w:ascii="Arial" w:eastAsiaTheme="minorHAnsi" w:hAnsi="Arial" w:cs="Arial"/>
                <w:sz w:val="22"/>
                <w:szCs w:val="22"/>
                <w:lang w:eastAsia="en-US"/>
              </w:rPr>
              <w:t>. The Designated Nurse, with support from the Quality Team in NELCCG</w:t>
            </w:r>
            <w:r w:rsidR="00FD13B3">
              <w:rPr>
                <w:rFonts w:ascii="Arial" w:eastAsiaTheme="minorHAnsi" w:hAnsi="Arial" w:cs="Arial"/>
                <w:sz w:val="22"/>
                <w:szCs w:val="22"/>
                <w:lang w:eastAsia="en-US"/>
              </w:rPr>
              <w:t>,</w:t>
            </w:r>
            <w:r w:rsidRPr="008F2672">
              <w:rPr>
                <w:rFonts w:ascii="Arial" w:eastAsiaTheme="minorHAnsi" w:hAnsi="Arial" w:cs="Arial"/>
                <w:sz w:val="22"/>
                <w:szCs w:val="22"/>
                <w:lang w:eastAsia="en-US"/>
              </w:rPr>
              <w:t xml:space="preserve"> is ensuring all GP practices have appropriate arrangements and support to fulfil these functions.</w:t>
            </w:r>
          </w:p>
          <w:p w:rsidR="00564C95" w:rsidRPr="008F2672" w:rsidRDefault="00564C95" w:rsidP="00564C95">
            <w:pPr>
              <w:spacing w:line="276" w:lineRule="auto"/>
              <w:jc w:val="both"/>
              <w:rPr>
                <w:rFonts w:ascii="Arial" w:hAnsi="Arial" w:cs="Arial"/>
                <w:bCs/>
                <w:sz w:val="22"/>
                <w:szCs w:val="22"/>
              </w:rPr>
            </w:pPr>
            <w:r w:rsidRPr="008F2672">
              <w:rPr>
                <w:rFonts w:ascii="Arial" w:eastAsiaTheme="minorHAnsi" w:hAnsi="Arial" w:cs="Arial"/>
                <w:sz w:val="22"/>
                <w:szCs w:val="22"/>
                <w:lang w:eastAsia="en-US"/>
              </w:rPr>
              <w:t>The CCG Safeguarding Children Policy</w:t>
            </w:r>
            <w:r w:rsidR="00FD13B3">
              <w:rPr>
                <w:rFonts w:ascii="Arial" w:eastAsiaTheme="minorHAnsi" w:hAnsi="Arial" w:cs="Arial"/>
                <w:sz w:val="22"/>
                <w:szCs w:val="22"/>
                <w:lang w:eastAsia="en-US"/>
              </w:rPr>
              <w:t>,</w:t>
            </w:r>
            <w:r w:rsidRPr="008F2672">
              <w:rPr>
                <w:rFonts w:ascii="Arial" w:eastAsiaTheme="minorHAnsi" w:hAnsi="Arial" w:cs="Arial"/>
                <w:sz w:val="22"/>
                <w:szCs w:val="22"/>
                <w:lang w:eastAsia="en-US"/>
              </w:rPr>
              <w:t xml:space="preserve"> which includes standards to be included in </w:t>
            </w:r>
            <w:r w:rsidR="00FD13B3">
              <w:rPr>
                <w:rFonts w:ascii="Arial" w:eastAsiaTheme="minorHAnsi" w:hAnsi="Arial" w:cs="Arial"/>
                <w:sz w:val="22"/>
                <w:szCs w:val="22"/>
                <w:lang w:eastAsia="en-US"/>
              </w:rPr>
              <w:t xml:space="preserve">relevant </w:t>
            </w:r>
            <w:r w:rsidRPr="008F2672">
              <w:rPr>
                <w:rFonts w:ascii="Arial" w:eastAsiaTheme="minorHAnsi" w:hAnsi="Arial" w:cs="Arial"/>
                <w:sz w:val="22"/>
                <w:szCs w:val="22"/>
                <w:lang w:eastAsia="en-US"/>
              </w:rPr>
              <w:t>provider contracts</w:t>
            </w:r>
            <w:r w:rsidR="00FD13B3">
              <w:rPr>
                <w:rFonts w:ascii="Arial" w:eastAsiaTheme="minorHAnsi" w:hAnsi="Arial" w:cs="Arial"/>
                <w:sz w:val="22"/>
                <w:szCs w:val="22"/>
                <w:lang w:eastAsia="en-US"/>
              </w:rPr>
              <w:t>, is currently subject to review</w:t>
            </w:r>
            <w:r w:rsidRPr="008F2672">
              <w:rPr>
                <w:rFonts w:ascii="Arial" w:eastAsiaTheme="minorHAnsi" w:hAnsi="Arial" w:cs="Arial"/>
                <w:sz w:val="22"/>
                <w:szCs w:val="22"/>
                <w:lang w:eastAsia="en-US"/>
              </w:rPr>
              <w:t xml:space="preserve"> and</w:t>
            </w:r>
            <w:r w:rsidR="00FD13B3">
              <w:rPr>
                <w:rFonts w:ascii="Arial" w:eastAsiaTheme="minorHAnsi" w:hAnsi="Arial" w:cs="Arial"/>
                <w:sz w:val="22"/>
                <w:szCs w:val="22"/>
                <w:lang w:eastAsia="en-US"/>
              </w:rPr>
              <w:t xml:space="preserve"> as part of the </w:t>
            </w:r>
            <w:proofErr w:type="gramStart"/>
            <w:r w:rsidR="00FD13B3">
              <w:rPr>
                <w:rFonts w:ascii="Arial" w:eastAsiaTheme="minorHAnsi" w:hAnsi="Arial" w:cs="Arial"/>
                <w:sz w:val="22"/>
                <w:szCs w:val="22"/>
                <w:lang w:eastAsia="en-US"/>
              </w:rPr>
              <w:t>review,</w:t>
            </w:r>
            <w:proofErr w:type="gramEnd"/>
            <w:r w:rsidR="00FD13B3">
              <w:rPr>
                <w:rFonts w:ascii="Arial" w:eastAsiaTheme="minorHAnsi" w:hAnsi="Arial" w:cs="Arial"/>
                <w:sz w:val="22"/>
                <w:szCs w:val="22"/>
                <w:lang w:eastAsia="en-US"/>
              </w:rPr>
              <w:t xml:space="preserve"> it will be</w:t>
            </w:r>
            <w:r w:rsidRPr="008F2672">
              <w:rPr>
                <w:rFonts w:ascii="Arial" w:eastAsiaTheme="minorHAnsi" w:hAnsi="Arial" w:cs="Arial"/>
                <w:sz w:val="22"/>
                <w:szCs w:val="22"/>
                <w:lang w:eastAsia="en-US"/>
              </w:rPr>
              <w:t xml:space="preserve"> amalgamat</w:t>
            </w:r>
            <w:r w:rsidR="00FD13B3">
              <w:rPr>
                <w:rFonts w:ascii="Arial" w:eastAsiaTheme="minorHAnsi" w:hAnsi="Arial" w:cs="Arial"/>
                <w:sz w:val="22"/>
                <w:szCs w:val="22"/>
                <w:lang w:eastAsia="en-US"/>
              </w:rPr>
              <w:t xml:space="preserve">ed with </w:t>
            </w:r>
            <w:r w:rsidRPr="008F2672">
              <w:rPr>
                <w:rFonts w:ascii="Arial" w:eastAsiaTheme="minorHAnsi" w:hAnsi="Arial" w:cs="Arial"/>
                <w:sz w:val="22"/>
                <w:szCs w:val="22"/>
                <w:lang w:eastAsia="en-US"/>
              </w:rPr>
              <w:t>safeguarding adult responsibilities</w:t>
            </w:r>
            <w:r w:rsidR="00FD13B3">
              <w:rPr>
                <w:rFonts w:ascii="Arial" w:eastAsiaTheme="minorHAnsi" w:hAnsi="Arial" w:cs="Arial"/>
                <w:sz w:val="22"/>
                <w:szCs w:val="22"/>
                <w:lang w:eastAsia="en-US"/>
              </w:rPr>
              <w:t>,</w:t>
            </w:r>
            <w:r w:rsidRPr="008F2672">
              <w:rPr>
                <w:rFonts w:ascii="Arial" w:eastAsiaTheme="minorHAnsi" w:hAnsi="Arial" w:cs="Arial"/>
                <w:sz w:val="22"/>
                <w:szCs w:val="22"/>
                <w:lang w:eastAsia="en-US"/>
              </w:rPr>
              <w:t xml:space="preserve"> to create </w:t>
            </w:r>
            <w:r w:rsidR="00FD13B3">
              <w:rPr>
                <w:rFonts w:ascii="Arial" w:eastAsiaTheme="minorHAnsi" w:hAnsi="Arial" w:cs="Arial"/>
                <w:sz w:val="22"/>
                <w:szCs w:val="22"/>
                <w:lang w:eastAsia="en-US"/>
              </w:rPr>
              <w:t xml:space="preserve">one </w:t>
            </w:r>
            <w:r w:rsidRPr="008F2672">
              <w:rPr>
                <w:rFonts w:ascii="Arial" w:eastAsiaTheme="minorHAnsi" w:hAnsi="Arial" w:cs="Arial"/>
                <w:sz w:val="22"/>
                <w:szCs w:val="22"/>
                <w:lang w:eastAsia="en-US"/>
              </w:rPr>
              <w:t>single Safeguarding Policy</w:t>
            </w:r>
            <w:r w:rsidR="00FD13B3">
              <w:rPr>
                <w:rFonts w:ascii="Arial" w:eastAsiaTheme="minorHAnsi" w:hAnsi="Arial" w:cs="Arial"/>
                <w:sz w:val="22"/>
                <w:szCs w:val="22"/>
                <w:lang w:eastAsia="en-US"/>
              </w:rPr>
              <w:t xml:space="preserve"> for the CCG</w:t>
            </w:r>
            <w:r w:rsidRPr="008F2672">
              <w:rPr>
                <w:rFonts w:ascii="Arial" w:eastAsiaTheme="minorHAnsi" w:hAnsi="Arial" w:cs="Arial"/>
                <w:sz w:val="22"/>
                <w:szCs w:val="22"/>
                <w:lang w:eastAsia="en-US"/>
              </w:rPr>
              <w:t>. The Designated N</w:t>
            </w:r>
            <w:r w:rsidR="0070417A">
              <w:rPr>
                <w:rFonts w:ascii="Arial" w:eastAsiaTheme="minorHAnsi" w:hAnsi="Arial" w:cs="Arial"/>
                <w:sz w:val="22"/>
                <w:szCs w:val="22"/>
                <w:lang w:eastAsia="en-US"/>
              </w:rPr>
              <w:t>urse for Safeguarding Children</w:t>
            </w:r>
            <w:r w:rsidRPr="008F2672">
              <w:rPr>
                <w:rFonts w:ascii="Arial" w:eastAsiaTheme="minorHAnsi" w:hAnsi="Arial" w:cs="Arial"/>
                <w:sz w:val="22"/>
                <w:szCs w:val="22"/>
                <w:lang w:eastAsia="en-US"/>
              </w:rPr>
              <w:t xml:space="preserve"> and Designated Professional for Safeguarding Adults are finalising this, before circulation to key stakeholders for comments.</w:t>
            </w:r>
          </w:p>
          <w:p w:rsidR="00E55E7F" w:rsidRPr="007B57A3" w:rsidRDefault="00E55E7F" w:rsidP="006558BC">
            <w:pPr>
              <w:spacing w:line="276" w:lineRule="auto"/>
              <w:jc w:val="both"/>
              <w:rPr>
                <w:rFonts w:ascii="Arial" w:hAnsi="Arial" w:cs="Arial"/>
                <w:bCs/>
                <w:sz w:val="22"/>
                <w:szCs w:val="22"/>
              </w:rPr>
            </w:pPr>
          </w:p>
          <w:p w:rsidR="006558BC" w:rsidRPr="007B57A3" w:rsidRDefault="00361929" w:rsidP="006558BC">
            <w:pPr>
              <w:spacing w:line="276" w:lineRule="auto"/>
              <w:jc w:val="both"/>
              <w:rPr>
                <w:rFonts w:ascii="Arial" w:hAnsi="Arial" w:cs="Arial"/>
                <w:b/>
                <w:bCs/>
                <w:sz w:val="22"/>
                <w:szCs w:val="22"/>
              </w:rPr>
            </w:pPr>
            <w:r w:rsidRPr="007B57A3">
              <w:rPr>
                <w:rFonts w:ascii="Arial" w:hAnsi="Arial" w:cs="Arial"/>
                <w:b/>
                <w:bCs/>
                <w:sz w:val="22"/>
                <w:szCs w:val="22"/>
              </w:rPr>
              <w:t xml:space="preserve">B. </w:t>
            </w:r>
            <w:r w:rsidR="006558BC" w:rsidRPr="007B57A3">
              <w:rPr>
                <w:rFonts w:ascii="Arial" w:hAnsi="Arial" w:cs="Arial"/>
                <w:b/>
                <w:bCs/>
                <w:sz w:val="22"/>
                <w:szCs w:val="22"/>
              </w:rPr>
              <w:t xml:space="preserve"> Infection Control </w:t>
            </w:r>
          </w:p>
          <w:p w:rsidR="00486F47" w:rsidRPr="00486F47" w:rsidRDefault="00486F47" w:rsidP="00486F47">
            <w:pPr>
              <w:spacing w:line="276" w:lineRule="auto"/>
              <w:jc w:val="both"/>
              <w:rPr>
                <w:rFonts w:ascii="Arial" w:hAnsi="Arial" w:cs="Arial"/>
                <w:bCs/>
                <w:color w:val="FF0000"/>
                <w:sz w:val="22"/>
                <w:szCs w:val="22"/>
              </w:rPr>
            </w:pPr>
          </w:p>
          <w:p w:rsidR="0083280F" w:rsidRPr="0083280F" w:rsidRDefault="0083280F" w:rsidP="0083280F">
            <w:pPr>
              <w:spacing w:line="276" w:lineRule="auto"/>
              <w:jc w:val="both"/>
              <w:rPr>
                <w:rFonts w:ascii="Arial" w:hAnsi="Arial" w:cs="Arial"/>
                <w:bCs/>
                <w:sz w:val="22"/>
                <w:szCs w:val="22"/>
              </w:rPr>
            </w:pPr>
            <w:r w:rsidRPr="0083280F">
              <w:rPr>
                <w:rFonts w:ascii="Arial" w:hAnsi="Arial" w:cs="Arial"/>
                <w:bCs/>
                <w:sz w:val="22"/>
                <w:szCs w:val="22"/>
              </w:rPr>
              <w:t xml:space="preserve">Clostridium </w:t>
            </w:r>
            <w:proofErr w:type="spellStart"/>
            <w:r w:rsidRPr="0083280F">
              <w:rPr>
                <w:rFonts w:ascii="Arial" w:hAnsi="Arial" w:cs="Arial"/>
                <w:bCs/>
                <w:sz w:val="22"/>
                <w:szCs w:val="22"/>
              </w:rPr>
              <w:t>Difficile</w:t>
            </w:r>
            <w:proofErr w:type="spellEnd"/>
            <w:r w:rsidRPr="0083280F">
              <w:rPr>
                <w:rFonts w:ascii="Arial" w:hAnsi="Arial" w:cs="Arial"/>
                <w:bCs/>
                <w:sz w:val="22"/>
                <w:szCs w:val="22"/>
              </w:rPr>
              <w:t>.</w:t>
            </w:r>
          </w:p>
          <w:p w:rsidR="0083280F" w:rsidRPr="0083280F" w:rsidRDefault="0083280F" w:rsidP="0083280F">
            <w:pPr>
              <w:spacing w:line="276" w:lineRule="auto"/>
              <w:jc w:val="both"/>
              <w:rPr>
                <w:rFonts w:ascii="Arial" w:hAnsi="Arial" w:cs="Arial"/>
                <w:bCs/>
                <w:sz w:val="22"/>
                <w:szCs w:val="22"/>
              </w:rPr>
            </w:pPr>
            <w:r w:rsidRPr="0083280F">
              <w:rPr>
                <w:rFonts w:ascii="Arial" w:hAnsi="Arial" w:cs="Arial"/>
                <w:bCs/>
                <w:sz w:val="22"/>
                <w:szCs w:val="22"/>
              </w:rPr>
              <w:t xml:space="preserve">A total of 25 cases have occurred to date in the period April to January 15/16 against the annual 2015/16 target of 35, on current trend the forecast position would be within the target.  Of the 25 cases, 14 were Community acquired infections (2 cases were on </w:t>
            </w:r>
            <w:proofErr w:type="spellStart"/>
            <w:r w:rsidRPr="0083280F">
              <w:rPr>
                <w:rFonts w:ascii="Arial" w:hAnsi="Arial" w:cs="Arial"/>
                <w:bCs/>
                <w:sz w:val="22"/>
                <w:szCs w:val="22"/>
              </w:rPr>
              <w:t>Navigo</w:t>
            </w:r>
            <w:proofErr w:type="spellEnd"/>
            <w:r w:rsidRPr="0083280F">
              <w:rPr>
                <w:rFonts w:ascii="Arial" w:hAnsi="Arial" w:cs="Arial"/>
                <w:bCs/>
                <w:sz w:val="22"/>
                <w:szCs w:val="22"/>
              </w:rPr>
              <w:t xml:space="preserve"> Home from Home unit and end of life patients) and the other 11 were Acute.</w:t>
            </w:r>
          </w:p>
          <w:p w:rsidR="0083280F" w:rsidRPr="0083280F" w:rsidRDefault="0083280F" w:rsidP="0083280F">
            <w:pPr>
              <w:spacing w:line="276" w:lineRule="auto"/>
              <w:jc w:val="both"/>
              <w:rPr>
                <w:rFonts w:ascii="Arial" w:hAnsi="Arial" w:cs="Arial"/>
                <w:bCs/>
                <w:sz w:val="22"/>
                <w:szCs w:val="22"/>
              </w:rPr>
            </w:pPr>
          </w:p>
          <w:p w:rsidR="0083280F" w:rsidRPr="0083280F" w:rsidRDefault="0083280F" w:rsidP="0083280F">
            <w:pPr>
              <w:spacing w:line="276" w:lineRule="auto"/>
              <w:jc w:val="both"/>
              <w:rPr>
                <w:rFonts w:ascii="Arial" w:hAnsi="Arial" w:cs="Arial"/>
                <w:bCs/>
                <w:sz w:val="22"/>
                <w:szCs w:val="22"/>
              </w:rPr>
            </w:pPr>
            <w:r w:rsidRPr="0083280F">
              <w:rPr>
                <w:rFonts w:ascii="Arial" w:hAnsi="Arial" w:cs="Arial"/>
                <w:bCs/>
                <w:sz w:val="22"/>
                <w:szCs w:val="22"/>
              </w:rPr>
              <w:t xml:space="preserve">Systems across both primary and secondary care are in place to undertake post infection reviews of all C Diff cases.  C Diff cases are reviewed at the NEL CCG Quality Committee as a standing agenda item. We are continuing to monitor NL&amp;G action plans and Infection Control Policies in the Quality Contracting Committee and </w:t>
            </w:r>
            <w:proofErr w:type="spellStart"/>
            <w:r w:rsidRPr="0083280F">
              <w:rPr>
                <w:rFonts w:ascii="Arial" w:hAnsi="Arial" w:cs="Arial"/>
                <w:bCs/>
                <w:sz w:val="22"/>
                <w:szCs w:val="22"/>
              </w:rPr>
              <w:t>Yorks</w:t>
            </w:r>
            <w:proofErr w:type="spellEnd"/>
            <w:r w:rsidRPr="0083280F">
              <w:rPr>
                <w:rFonts w:ascii="Arial" w:hAnsi="Arial" w:cs="Arial"/>
                <w:bCs/>
                <w:sz w:val="22"/>
                <w:szCs w:val="22"/>
              </w:rPr>
              <w:t xml:space="preserve"> and Humber Hospital Acquired Infection Strategy Group </w:t>
            </w:r>
          </w:p>
          <w:p w:rsidR="0083280F" w:rsidRPr="0083280F" w:rsidRDefault="0083280F" w:rsidP="0083280F">
            <w:pPr>
              <w:spacing w:line="276" w:lineRule="auto"/>
              <w:jc w:val="both"/>
              <w:rPr>
                <w:rFonts w:ascii="Arial" w:hAnsi="Arial" w:cs="Arial"/>
                <w:bCs/>
                <w:sz w:val="22"/>
                <w:szCs w:val="22"/>
              </w:rPr>
            </w:pPr>
          </w:p>
          <w:p w:rsidR="0083280F" w:rsidRPr="0083280F" w:rsidRDefault="0083280F" w:rsidP="0083280F">
            <w:pPr>
              <w:spacing w:line="276" w:lineRule="auto"/>
              <w:jc w:val="both"/>
              <w:rPr>
                <w:rFonts w:ascii="Arial" w:hAnsi="Arial" w:cs="Arial"/>
                <w:bCs/>
                <w:sz w:val="22"/>
                <w:szCs w:val="22"/>
              </w:rPr>
            </w:pPr>
            <w:r w:rsidRPr="0083280F">
              <w:rPr>
                <w:rFonts w:ascii="Arial" w:hAnsi="Arial" w:cs="Arial"/>
                <w:bCs/>
                <w:sz w:val="22"/>
                <w:szCs w:val="22"/>
              </w:rPr>
              <w:t>MRSA BSI</w:t>
            </w:r>
          </w:p>
          <w:p w:rsidR="0083280F" w:rsidRPr="0083280F" w:rsidRDefault="0083280F" w:rsidP="0083280F">
            <w:pPr>
              <w:spacing w:line="276" w:lineRule="auto"/>
              <w:jc w:val="both"/>
              <w:rPr>
                <w:rFonts w:ascii="Arial" w:hAnsi="Arial" w:cs="Arial"/>
                <w:bCs/>
                <w:sz w:val="22"/>
                <w:szCs w:val="22"/>
              </w:rPr>
            </w:pPr>
            <w:r w:rsidRPr="0083280F">
              <w:rPr>
                <w:rFonts w:ascii="Arial" w:hAnsi="Arial" w:cs="Arial"/>
                <w:bCs/>
                <w:sz w:val="22"/>
                <w:szCs w:val="22"/>
              </w:rPr>
              <w:t xml:space="preserve">We had 2 cases of MRSA BSI in April 2015/16, this measure has a zero tolerance as the target and as such the 2015/16 target will not be achieved. Post Infection Reviews (PIR) </w:t>
            </w:r>
            <w:proofErr w:type="gramStart"/>
            <w:r w:rsidRPr="0083280F">
              <w:rPr>
                <w:rFonts w:ascii="Arial" w:hAnsi="Arial" w:cs="Arial"/>
                <w:bCs/>
                <w:sz w:val="22"/>
                <w:szCs w:val="22"/>
              </w:rPr>
              <w:t>were</w:t>
            </w:r>
            <w:proofErr w:type="gramEnd"/>
            <w:r w:rsidRPr="0083280F">
              <w:rPr>
                <w:rFonts w:ascii="Arial" w:hAnsi="Arial" w:cs="Arial"/>
                <w:bCs/>
                <w:sz w:val="22"/>
                <w:szCs w:val="22"/>
              </w:rPr>
              <w:t xml:space="preserve"> undertaken as per guidelines and results sent to NHS England. It was deemed that all procedures were handled correctly.  Action plans are formulated for all cases and are monitored.</w:t>
            </w:r>
          </w:p>
          <w:p w:rsidR="0083280F" w:rsidRDefault="0083280F" w:rsidP="00486F47">
            <w:pPr>
              <w:spacing w:line="276" w:lineRule="auto"/>
              <w:jc w:val="both"/>
              <w:rPr>
                <w:rFonts w:ascii="Arial" w:hAnsi="Arial" w:cs="Arial"/>
                <w:bCs/>
                <w:sz w:val="22"/>
                <w:szCs w:val="22"/>
              </w:rPr>
            </w:pPr>
          </w:p>
          <w:p w:rsidR="006431B3" w:rsidRPr="006431B3" w:rsidRDefault="006431B3" w:rsidP="006431B3">
            <w:pPr>
              <w:spacing w:line="276" w:lineRule="auto"/>
              <w:jc w:val="both"/>
              <w:rPr>
                <w:rFonts w:ascii="Arial" w:eastAsia="Calibri" w:hAnsi="Arial" w:cs="Arial"/>
                <w:b/>
                <w:bCs/>
                <w:sz w:val="22"/>
                <w:szCs w:val="22"/>
                <w:lang w:eastAsia="en-US"/>
              </w:rPr>
            </w:pPr>
            <w:r w:rsidRPr="006431B3">
              <w:rPr>
                <w:rFonts w:ascii="Arial" w:eastAsia="Calibri" w:hAnsi="Arial" w:cs="Arial"/>
                <w:b/>
                <w:bCs/>
                <w:sz w:val="22"/>
                <w:szCs w:val="22"/>
                <w:lang w:eastAsia="en-US"/>
              </w:rPr>
              <w:t xml:space="preserve">B  Serious Untoward Events </w:t>
            </w:r>
          </w:p>
          <w:p w:rsidR="006431B3" w:rsidRPr="006431B3" w:rsidRDefault="006431B3" w:rsidP="006431B3">
            <w:pPr>
              <w:autoSpaceDE w:val="0"/>
              <w:autoSpaceDN w:val="0"/>
              <w:spacing w:line="276" w:lineRule="auto"/>
              <w:jc w:val="both"/>
              <w:rPr>
                <w:rFonts w:ascii="Arial" w:eastAsia="Calibri" w:hAnsi="Arial" w:cs="Arial"/>
                <w:color w:val="000000"/>
                <w:sz w:val="22"/>
                <w:szCs w:val="22"/>
              </w:rPr>
            </w:pPr>
            <w:r w:rsidRPr="006431B3">
              <w:rPr>
                <w:rFonts w:ascii="Arial" w:eastAsia="Calibri" w:hAnsi="Arial" w:cs="Arial"/>
                <w:color w:val="000000"/>
                <w:sz w:val="22"/>
                <w:szCs w:val="22"/>
              </w:rPr>
              <w:t>NELCCG manage the Serious Incident (SI) process working collaboratively where appropriate with North Lincolnshire CCG and Humber CCGs.</w:t>
            </w:r>
          </w:p>
          <w:p w:rsidR="006431B3" w:rsidRPr="006431B3" w:rsidRDefault="006431B3" w:rsidP="006431B3">
            <w:pPr>
              <w:autoSpaceDE w:val="0"/>
              <w:autoSpaceDN w:val="0"/>
              <w:spacing w:line="276" w:lineRule="auto"/>
              <w:jc w:val="both"/>
              <w:rPr>
                <w:rFonts w:ascii="Arial" w:eastAsia="Calibri" w:hAnsi="Arial" w:cs="Arial"/>
                <w:color w:val="000000"/>
                <w:sz w:val="22"/>
                <w:szCs w:val="22"/>
              </w:rPr>
            </w:pPr>
          </w:p>
          <w:p w:rsidR="006431B3" w:rsidRPr="006431B3" w:rsidRDefault="006431B3" w:rsidP="006431B3">
            <w:pPr>
              <w:autoSpaceDE w:val="0"/>
              <w:autoSpaceDN w:val="0"/>
              <w:spacing w:line="276" w:lineRule="auto"/>
              <w:jc w:val="both"/>
              <w:rPr>
                <w:rFonts w:ascii="Arial" w:eastAsia="Calibri" w:hAnsi="Arial" w:cs="Arial"/>
                <w:color w:val="000000"/>
                <w:sz w:val="22"/>
                <w:szCs w:val="22"/>
                <w:lang w:eastAsia="en-US"/>
              </w:rPr>
            </w:pPr>
            <w:r w:rsidRPr="006431B3">
              <w:rPr>
                <w:rFonts w:ascii="Arial" w:eastAsia="Calibri" w:hAnsi="Arial" w:cs="Arial"/>
                <w:color w:val="000000"/>
                <w:sz w:val="22"/>
                <w:szCs w:val="22"/>
              </w:rPr>
              <w:t>The monthly report gives an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 further assurance and scrutiny, this process also oversees the completion of action plans.</w:t>
            </w:r>
            <w:r w:rsidRPr="006431B3">
              <w:rPr>
                <w:rFonts w:ascii="Arial" w:eastAsia="Calibri" w:hAnsi="Arial" w:cs="Arial"/>
                <w:color w:val="000000"/>
                <w:sz w:val="22"/>
                <w:szCs w:val="22"/>
                <w:lang w:eastAsia="en-US"/>
              </w:rPr>
              <w:t xml:space="preserve"> The table below gives an indication of all Serious Incidents reported by NELCCG providers.  The NL&amp;G SI meetings are undertaken as a collaborative approach with NLCCG &amp; ERYCCG (the other figures are North East Lincolnshire patients only).</w:t>
            </w:r>
          </w:p>
          <w:p w:rsidR="006431B3" w:rsidRPr="006431B3" w:rsidRDefault="006431B3" w:rsidP="006431B3">
            <w:pPr>
              <w:autoSpaceDE w:val="0"/>
              <w:autoSpaceDN w:val="0"/>
              <w:spacing w:line="276" w:lineRule="auto"/>
              <w:jc w:val="both"/>
              <w:rPr>
                <w:rFonts w:ascii="Arial" w:eastAsia="Calibri" w:hAnsi="Arial" w:cs="Arial"/>
                <w:color w:val="000000"/>
                <w:sz w:val="22"/>
                <w:szCs w:val="22"/>
                <w:lang w:eastAsia="en-US"/>
              </w:rPr>
            </w:pPr>
          </w:p>
          <w:tbl>
            <w:tblPr>
              <w:tblW w:w="9396" w:type="dxa"/>
              <w:tblLayout w:type="fixed"/>
              <w:tblCellMar>
                <w:left w:w="0" w:type="dxa"/>
                <w:right w:w="0" w:type="dxa"/>
              </w:tblCellMar>
              <w:tblLook w:val="04A0" w:firstRow="1" w:lastRow="0" w:firstColumn="1" w:lastColumn="0" w:noHBand="0" w:noVBand="1"/>
            </w:tblPr>
            <w:tblGrid>
              <w:gridCol w:w="2794"/>
              <w:gridCol w:w="768"/>
              <w:gridCol w:w="697"/>
              <w:gridCol w:w="800"/>
              <w:gridCol w:w="734"/>
              <w:gridCol w:w="798"/>
              <w:gridCol w:w="818"/>
              <w:gridCol w:w="780"/>
              <w:gridCol w:w="1207"/>
            </w:tblGrid>
            <w:tr w:rsidR="006431B3" w:rsidRPr="006431B3" w:rsidTr="006431B3">
              <w:trPr>
                <w:cantSplit/>
                <w:trHeight w:val="517"/>
                <w:tblHeader/>
              </w:trPr>
              <w:tc>
                <w:tcPr>
                  <w:tcW w:w="3620" w:type="dxa"/>
                  <w:tcBorders>
                    <w:top w:val="nil"/>
                    <w:left w:val="nil"/>
                    <w:bottom w:val="single" w:sz="8" w:space="0" w:color="4F81BD"/>
                    <w:right w:val="nil"/>
                  </w:tcBorders>
                  <w:tcMar>
                    <w:top w:w="0" w:type="dxa"/>
                    <w:left w:w="108" w:type="dxa"/>
                    <w:bottom w:w="0" w:type="dxa"/>
                    <w:right w:w="108" w:type="dxa"/>
                  </w:tcMar>
                  <w:hideMark/>
                </w:tcPr>
                <w:p w:rsidR="006431B3" w:rsidRPr="006431B3" w:rsidRDefault="006431B3" w:rsidP="006431B3">
                  <w:pPr>
                    <w:spacing w:line="276" w:lineRule="auto"/>
                    <w:ind w:left="-709"/>
                    <w:jc w:val="center"/>
                    <w:rPr>
                      <w:rFonts w:ascii="Arial" w:eastAsia="Calibri" w:hAnsi="Arial" w:cs="Arial"/>
                      <w:b/>
                      <w:bCs/>
                      <w:color w:val="FF0000"/>
                      <w:sz w:val="18"/>
                      <w:szCs w:val="18"/>
                    </w:rPr>
                  </w:pPr>
                  <w:r w:rsidRPr="006431B3">
                    <w:rPr>
                      <w:rFonts w:ascii="Arial" w:eastAsia="Calibri" w:hAnsi="Arial" w:cs="Arial"/>
                      <w:b/>
                      <w:bCs/>
                      <w:sz w:val="18"/>
                      <w:szCs w:val="18"/>
                    </w:rPr>
                    <w:t>Taken from December 2015 NELCCG Serious Incident Report</w:t>
                  </w:r>
                </w:p>
              </w:tc>
              <w:tc>
                <w:tcPr>
                  <w:tcW w:w="940"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NL&amp;G</w:t>
                  </w:r>
                </w:p>
              </w:tc>
              <w:tc>
                <w:tcPr>
                  <w:tcW w:w="846"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CPG</w:t>
                  </w:r>
                </w:p>
              </w:tc>
              <w:tc>
                <w:tcPr>
                  <w:tcW w:w="982"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proofErr w:type="spellStart"/>
                  <w:r w:rsidRPr="006431B3">
                    <w:rPr>
                      <w:rFonts w:ascii="Arial" w:eastAsia="Calibri" w:hAnsi="Arial" w:cs="Arial"/>
                      <w:b/>
                      <w:bCs/>
                      <w:color w:val="FFFFFF"/>
                      <w:sz w:val="18"/>
                      <w:szCs w:val="18"/>
                    </w:rPr>
                    <w:t>NAViGO</w:t>
                  </w:r>
                  <w:proofErr w:type="spellEnd"/>
                </w:p>
              </w:tc>
              <w:tc>
                <w:tcPr>
                  <w:tcW w:w="895"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HEY</w:t>
                  </w:r>
                </w:p>
              </w:tc>
              <w:tc>
                <w:tcPr>
                  <w:tcW w:w="979"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LPFT</w:t>
                  </w:r>
                </w:p>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CAMHS</w:t>
                  </w:r>
                </w:p>
              </w:tc>
              <w:tc>
                <w:tcPr>
                  <w:tcW w:w="1006"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proofErr w:type="spellStart"/>
                  <w:r w:rsidRPr="006431B3">
                    <w:rPr>
                      <w:rFonts w:ascii="Arial" w:eastAsia="Calibri" w:hAnsi="Arial" w:cs="Arial"/>
                      <w:b/>
                      <w:bCs/>
                      <w:color w:val="FFFFFF"/>
                      <w:sz w:val="18"/>
                      <w:szCs w:val="18"/>
                    </w:rPr>
                    <w:t>Yarb</w:t>
                  </w:r>
                  <w:proofErr w:type="spellEnd"/>
                  <w:r w:rsidRPr="006431B3">
                    <w:rPr>
                      <w:rFonts w:ascii="Arial" w:eastAsia="Calibri" w:hAnsi="Arial" w:cs="Arial"/>
                      <w:b/>
                      <w:bCs/>
                      <w:color w:val="FFFFFF"/>
                      <w:sz w:val="18"/>
                      <w:szCs w:val="18"/>
                    </w:rPr>
                    <w:t>/ Clee</w:t>
                  </w:r>
                </w:p>
              </w:tc>
              <w:tc>
                <w:tcPr>
                  <w:tcW w:w="956"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Core Care Links Ltd</w:t>
                  </w:r>
                </w:p>
              </w:tc>
              <w:tc>
                <w:tcPr>
                  <w:tcW w:w="1521"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b/>
                      <w:bCs/>
                      <w:color w:val="FFFFFF"/>
                      <w:sz w:val="18"/>
                      <w:szCs w:val="18"/>
                    </w:rPr>
                  </w:pPr>
                  <w:r w:rsidRPr="006431B3">
                    <w:rPr>
                      <w:rFonts w:ascii="Arial" w:eastAsia="Calibri" w:hAnsi="Arial" w:cs="Arial"/>
                      <w:b/>
                      <w:bCs/>
                      <w:color w:val="FFFFFF"/>
                      <w:sz w:val="18"/>
                      <w:szCs w:val="18"/>
                    </w:rPr>
                    <w:t>Co-commissioning Primary Care</w:t>
                  </w:r>
                </w:p>
              </w:tc>
            </w:tr>
            <w:tr w:rsidR="006431B3" w:rsidRPr="006431B3" w:rsidTr="006431B3">
              <w:trPr>
                <w:cantSplit/>
                <w:trHeight w:val="435"/>
                <w:tblHeader/>
              </w:trPr>
              <w:tc>
                <w:tcPr>
                  <w:tcW w:w="3620"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6431B3" w:rsidRPr="006431B3" w:rsidRDefault="006431B3" w:rsidP="006431B3">
                  <w:pPr>
                    <w:spacing w:line="276" w:lineRule="auto"/>
                    <w:jc w:val="both"/>
                    <w:rPr>
                      <w:rFonts w:ascii="Arial" w:eastAsia="Calibri" w:hAnsi="Arial" w:cs="Arial"/>
                      <w:sz w:val="20"/>
                      <w:szCs w:val="20"/>
                    </w:rPr>
                  </w:pPr>
                  <w:r w:rsidRPr="006431B3">
                    <w:rPr>
                      <w:rFonts w:ascii="Arial" w:eastAsia="Calibri" w:hAnsi="Arial" w:cs="Arial"/>
                      <w:sz w:val="20"/>
                      <w:szCs w:val="20"/>
                    </w:rPr>
                    <w:t xml:space="preserve">Serious incidents reported during </w:t>
                  </w:r>
                  <w:r w:rsidRPr="006431B3">
                    <w:rPr>
                      <w:rFonts w:ascii="Arial" w:eastAsia="Calibri" w:hAnsi="Arial" w:cs="Arial"/>
                      <w:sz w:val="20"/>
                      <w:szCs w:val="20"/>
                      <w:u w:val="single"/>
                    </w:rPr>
                    <w:t>2014/15 (total)</w:t>
                  </w:r>
                </w:p>
              </w:tc>
              <w:tc>
                <w:tcPr>
                  <w:tcW w:w="940"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79</w:t>
                  </w:r>
                </w:p>
              </w:tc>
              <w:tc>
                <w:tcPr>
                  <w:tcW w:w="846" w:type="dxa"/>
                  <w:tcBorders>
                    <w:top w:val="nil"/>
                    <w:left w:val="nil"/>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21</w:t>
                  </w:r>
                </w:p>
              </w:tc>
              <w:tc>
                <w:tcPr>
                  <w:tcW w:w="98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5</w:t>
                  </w:r>
                </w:p>
              </w:tc>
              <w:tc>
                <w:tcPr>
                  <w:tcW w:w="89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79"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00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5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2</w:t>
                  </w:r>
                </w:p>
              </w:tc>
              <w:tc>
                <w:tcPr>
                  <w:tcW w:w="1521"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N/A</w:t>
                  </w:r>
                </w:p>
              </w:tc>
            </w:tr>
            <w:tr w:rsidR="006431B3" w:rsidRPr="006431B3" w:rsidTr="006431B3">
              <w:trPr>
                <w:cantSplit/>
                <w:trHeight w:val="435"/>
                <w:tblHeader/>
              </w:trPr>
              <w:tc>
                <w:tcPr>
                  <w:tcW w:w="3620"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6431B3" w:rsidRPr="006431B3" w:rsidRDefault="006431B3" w:rsidP="006431B3">
                  <w:pPr>
                    <w:spacing w:line="276" w:lineRule="auto"/>
                    <w:rPr>
                      <w:rFonts w:ascii="Arial" w:eastAsia="Calibri" w:hAnsi="Arial" w:cs="Arial"/>
                      <w:sz w:val="20"/>
                      <w:szCs w:val="20"/>
                    </w:rPr>
                  </w:pPr>
                  <w:r w:rsidRPr="006431B3">
                    <w:rPr>
                      <w:rFonts w:ascii="Arial" w:eastAsia="Calibri" w:hAnsi="Arial" w:cs="Arial"/>
                      <w:sz w:val="20"/>
                      <w:szCs w:val="20"/>
                    </w:rPr>
                    <w:t xml:space="preserve">Serious incidents reported at this point in </w:t>
                  </w:r>
                  <w:r w:rsidRPr="006431B3">
                    <w:rPr>
                      <w:rFonts w:ascii="Arial" w:eastAsia="Calibri" w:hAnsi="Arial" w:cs="Arial"/>
                      <w:sz w:val="20"/>
                      <w:szCs w:val="20"/>
                      <w:u w:val="single"/>
                    </w:rPr>
                    <w:t>2014/15</w:t>
                  </w:r>
                </w:p>
              </w:tc>
              <w:tc>
                <w:tcPr>
                  <w:tcW w:w="940"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60</w:t>
                  </w:r>
                </w:p>
              </w:tc>
              <w:tc>
                <w:tcPr>
                  <w:tcW w:w="846" w:type="dxa"/>
                  <w:tcBorders>
                    <w:top w:val="nil"/>
                    <w:left w:val="nil"/>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18</w:t>
                  </w:r>
                </w:p>
              </w:tc>
              <w:tc>
                <w:tcPr>
                  <w:tcW w:w="98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4</w:t>
                  </w:r>
                </w:p>
              </w:tc>
              <w:tc>
                <w:tcPr>
                  <w:tcW w:w="89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79"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00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5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521"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N/A</w:t>
                  </w:r>
                </w:p>
              </w:tc>
            </w:tr>
            <w:tr w:rsidR="006431B3" w:rsidRPr="006431B3" w:rsidTr="006431B3">
              <w:trPr>
                <w:cantSplit/>
                <w:trHeight w:val="435"/>
                <w:tblHeader/>
              </w:trPr>
              <w:tc>
                <w:tcPr>
                  <w:tcW w:w="3620"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6431B3" w:rsidRPr="006431B3" w:rsidRDefault="006431B3" w:rsidP="006431B3">
                  <w:pPr>
                    <w:spacing w:line="276" w:lineRule="auto"/>
                    <w:rPr>
                      <w:rFonts w:ascii="Arial" w:eastAsia="Calibri" w:hAnsi="Arial" w:cs="Arial"/>
                      <w:sz w:val="20"/>
                      <w:szCs w:val="20"/>
                    </w:rPr>
                  </w:pPr>
                  <w:r w:rsidRPr="006431B3">
                    <w:rPr>
                      <w:rFonts w:ascii="Arial" w:eastAsia="Calibri" w:hAnsi="Arial" w:cs="Arial"/>
                      <w:sz w:val="20"/>
                      <w:szCs w:val="20"/>
                    </w:rPr>
                    <w:t xml:space="preserve">Serious incidents logged </w:t>
                  </w:r>
                  <w:r w:rsidRPr="006431B3">
                    <w:rPr>
                      <w:rFonts w:ascii="Arial" w:eastAsia="Calibri" w:hAnsi="Arial" w:cs="Arial"/>
                      <w:sz w:val="20"/>
                      <w:szCs w:val="20"/>
                      <w:u w:val="single"/>
                    </w:rPr>
                    <w:t>YTD 15-16</w:t>
                  </w:r>
                </w:p>
              </w:tc>
              <w:tc>
                <w:tcPr>
                  <w:tcW w:w="940"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27</w:t>
                  </w:r>
                </w:p>
              </w:tc>
              <w:tc>
                <w:tcPr>
                  <w:tcW w:w="846" w:type="dxa"/>
                  <w:tcBorders>
                    <w:top w:val="nil"/>
                    <w:left w:val="nil"/>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9</w:t>
                  </w:r>
                </w:p>
              </w:tc>
              <w:tc>
                <w:tcPr>
                  <w:tcW w:w="98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8</w:t>
                  </w:r>
                </w:p>
              </w:tc>
              <w:tc>
                <w:tcPr>
                  <w:tcW w:w="89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3</w:t>
                  </w:r>
                </w:p>
              </w:tc>
              <w:tc>
                <w:tcPr>
                  <w:tcW w:w="979"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2</w:t>
                  </w:r>
                </w:p>
              </w:tc>
              <w:tc>
                <w:tcPr>
                  <w:tcW w:w="100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5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2</w:t>
                  </w:r>
                </w:p>
              </w:tc>
              <w:tc>
                <w:tcPr>
                  <w:tcW w:w="1521"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1</w:t>
                  </w:r>
                </w:p>
              </w:tc>
            </w:tr>
            <w:tr w:rsidR="006431B3" w:rsidRPr="006431B3" w:rsidTr="006431B3">
              <w:trPr>
                <w:cantSplit/>
                <w:trHeight w:val="435"/>
                <w:tblHeader/>
              </w:trPr>
              <w:tc>
                <w:tcPr>
                  <w:tcW w:w="3620"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6431B3" w:rsidRPr="006431B3" w:rsidRDefault="006431B3" w:rsidP="006431B3">
                  <w:pPr>
                    <w:spacing w:line="276" w:lineRule="auto"/>
                    <w:rPr>
                      <w:rFonts w:ascii="Arial" w:eastAsia="Calibri" w:hAnsi="Arial" w:cs="Arial"/>
                      <w:sz w:val="20"/>
                      <w:szCs w:val="20"/>
                    </w:rPr>
                  </w:pPr>
                  <w:r w:rsidRPr="006431B3">
                    <w:rPr>
                      <w:rFonts w:ascii="Arial" w:eastAsia="Calibri" w:hAnsi="Arial" w:cs="Arial"/>
                      <w:sz w:val="20"/>
                      <w:szCs w:val="20"/>
                    </w:rPr>
                    <w:t>Serious Incidents De Logged YTD 15-16</w:t>
                  </w:r>
                </w:p>
              </w:tc>
              <w:tc>
                <w:tcPr>
                  <w:tcW w:w="940"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0</w:t>
                  </w:r>
                </w:p>
              </w:tc>
              <w:tc>
                <w:tcPr>
                  <w:tcW w:w="846" w:type="dxa"/>
                  <w:tcBorders>
                    <w:top w:val="nil"/>
                    <w:left w:val="nil"/>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highlight w:val="yellow"/>
                    </w:rPr>
                  </w:pPr>
                  <w:r w:rsidRPr="006431B3">
                    <w:rPr>
                      <w:rFonts w:ascii="Arial" w:eastAsia="Calibri" w:hAnsi="Arial" w:cs="Arial"/>
                      <w:sz w:val="20"/>
                      <w:szCs w:val="20"/>
                    </w:rPr>
                    <w:t>3</w:t>
                  </w:r>
                </w:p>
              </w:tc>
              <w:tc>
                <w:tcPr>
                  <w:tcW w:w="98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2</w:t>
                  </w:r>
                </w:p>
              </w:tc>
              <w:tc>
                <w:tcPr>
                  <w:tcW w:w="89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79"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00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56"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521"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r>
            <w:tr w:rsidR="006431B3" w:rsidRPr="006431B3" w:rsidTr="006431B3">
              <w:trPr>
                <w:cantSplit/>
                <w:trHeight w:val="75"/>
                <w:tblHeader/>
              </w:trPr>
              <w:tc>
                <w:tcPr>
                  <w:tcW w:w="3620" w:type="dxa"/>
                  <w:tcBorders>
                    <w:top w:val="nil"/>
                    <w:left w:val="single" w:sz="8" w:space="0" w:color="4F81BD"/>
                    <w:bottom w:val="single" w:sz="8" w:space="0" w:color="4F81BD"/>
                    <w:right w:val="nil"/>
                  </w:tcBorders>
                  <w:tcMar>
                    <w:top w:w="0" w:type="dxa"/>
                    <w:left w:w="108" w:type="dxa"/>
                    <w:bottom w:w="0" w:type="dxa"/>
                    <w:right w:w="108" w:type="dxa"/>
                  </w:tcMar>
                </w:tcPr>
                <w:p w:rsidR="006431B3" w:rsidRPr="006431B3" w:rsidRDefault="006431B3" w:rsidP="006431B3">
                  <w:pPr>
                    <w:spacing w:line="276" w:lineRule="auto"/>
                    <w:rPr>
                      <w:rFonts w:ascii="Arial" w:eastAsia="Calibri" w:hAnsi="Arial" w:cs="Arial"/>
                      <w:sz w:val="20"/>
                      <w:szCs w:val="20"/>
                    </w:rPr>
                  </w:pPr>
                </w:p>
              </w:tc>
              <w:tc>
                <w:tcPr>
                  <w:tcW w:w="940"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846"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982"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895"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979"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1006" w:type="dxa"/>
                  <w:tcBorders>
                    <w:top w:val="nil"/>
                    <w:left w:val="nil"/>
                    <w:bottom w:val="single" w:sz="8" w:space="0" w:color="4F81BD"/>
                    <w:right w:val="nil"/>
                  </w:tcBorders>
                  <w:tcMar>
                    <w:top w:w="0" w:type="dxa"/>
                    <w:left w:w="108" w:type="dxa"/>
                    <w:bottom w:w="0" w:type="dxa"/>
                    <w:right w:w="108" w:type="dxa"/>
                  </w:tcMar>
                  <w:vAlign w:val="center"/>
                </w:tcPr>
                <w:p w:rsidR="006431B3" w:rsidRPr="006431B3" w:rsidRDefault="006431B3" w:rsidP="006431B3">
                  <w:pPr>
                    <w:spacing w:line="276" w:lineRule="auto"/>
                    <w:jc w:val="center"/>
                    <w:rPr>
                      <w:rFonts w:ascii="Arial" w:eastAsia="Calibri" w:hAnsi="Arial" w:cs="Arial"/>
                      <w:sz w:val="20"/>
                      <w:szCs w:val="20"/>
                    </w:rPr>
                  </w:pPr>
                </w:p>
              </w:tc>
              <w:tc>
                <w:tcPr>
                  <w:tcW w:w="956" w:type="dxa"/>
                  <w:tcBorders>
                    <w:top w:val="nil"/>
                    <w:left w:val="nil"/>
                    <w:bottom w:val="single" w:sz="8" w:space="0" w:color="4F81BD"/>
                    <w:right w:val="nil"/>
                  </w:tcBorders>
                  <w:tcMar>
                    <w:top w:w="0" w:type="dxa"/>
                    <w:left w:w="108" w:type="dxa"/>
                    <w:bottom w:w="0" w:type="dxa"/>
                    <w:right w:w="108" w:type="dxa"/>
                  </w:tcMar>
                </w:tcPr>
                <w:p w:rsidR="006431B3" w:rsidRPr="006431B3" w:rsidRDefault="006431B3" w:rsidP="006431B3">
                  <w:pPr>
                    <w:spacing w:line="276" w:lineRule="auto"/>
                    <w:jc w:val="center"/>
                    <w:rPr>
                      <w:rFonts w:ascii="Arial" w:eastAsia="Calibri" w:hAnsi="Arial" w:cs="Arial"/>
                      <w:sz w:val="20"/>
                      <w:szCs w:val="20"/>
                    </w:rPr>
                  </w:pPr>
                </w:p>
              </w:tc>
              <w:tc>
                <w:tcPr>
                  <w:tcW w:w="1521" w:type="dxa"/>
                  <w:tcBorders>
                    <w:top w:val="nil"/>
                    <w:left w:val="nil"/>
                    <w:bottom w:val="single" w:sz="8" w:space="0" w:color="4F81BD"/>
                    <w:right w:val="nil"/>
                  </w:tcBorders>
                  <w:tcMar>
                    <w:top w:w="0" w:type="dxa"/>
                    <w:left w:w="108" w:type="dxa"/>
                    <w:bottom w:w="0" w:type="dxa"/>
                    <w:right w:w="108" w:type="dxa"/>
                  </w:tcMar>
                </w:tcPr>
                <w:p w:rsidR="006431B3" w:rsidRPr="006431B3" w:rsidRDefault="006431B3" w:rsidP="006431B3">
                  <w:pPr>
                    <w:spacing w:line="276" w:lineRule="auto"/>
                    <w:jc w:val="center"/>
                    <w:rPr>
                      <w:rFonts w:ascii="Arial" w:eastAsia="Calibri" w:hAnsi="Arial" w:cs="Arial"/>
                      <w:sz w:val="20"/>
                      <w:szCs w:val="20"/>
                    </w:rPr>
                  </w:pPr>
                </w:p>
              </w:tc>
            </w:tr>
            <w:tr w:rsidR="006431B3" w:rsidRPr="006431B3" w:rsidTr="006431B3">
              <w:trPr>
                <w:cantSplit/>
                <w:trHeight w:val="435"/>
                <w:tblHeader/>
              </w:trPr>
              <w:tc>
                <w:tcPr>
                  <w:tcW w:w="3620"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6431B3" w:rsidRPr="006431B3" w:rsidRDefault="006431B3" w:rsidP="006431B3">
                  <w:pPr>
                    <w:spacing w:line="276" w:lineRule="auto"/>
                    <w:rPr>
                      <w:rFonts w:ascii="Arial" w:eastAsia="Calibri" w:hAnsi="Arial" w:cs="Arial"/>
                      <w:b/>
                      <w:bCs/>
                      <w:sz w:val="20"/>
                      <w:szCs w:val="20"/>
                    </w:rPr>
                  </w:pPr>
                  <w:r w:rsidRPr="006431B3">
                    <w:rPr>
                      <w:rFonts w:ascii="Arial" w:eastAsia="Calibri" w:hAnsi="Arial" w:cs="Arial"/>
                      <w:b/>
                      <w:bCs/>
                      <w:sz w:val="20"/>
                      <w:szCs w:val="20"/>
                    </w:rPr>
                    <w:t>Never Events (NE) 15-16</w:t>
                  </w:r>
                </w:p>
              </w:tc>
              <w:tc>
                <w:tcPr>
                  <w:tcW w:w="940" w:type="dxa"/>
                  <w:tcBorders>
                    <w:top w:val="nil"/>
                    <w:left w:val="nil"/>
                    <w:bottom w:val="single" w:sz="8" w:space="0" w:color="4F81BD"/>
                    <w:right w:val="single" w:sz="8" w:space="0" w:color="548DD4"/>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3</w:t>
                  </w:r>
                </w:p>
              </w:tc>
              <w:tc>
                <w:tcPr>
                  <w:tcW w:w="846" w:type="dxa"/>
                  <w:tcBorders>
                    <w:top w:val="nil"/>
                    <w:left w:val="nil"/>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82"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895"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1</w:t>
                  </w:r>
                </w:p>
              </w:tc>
              <w:tc>
                <w:tcPr>
                  <w:tcW w:w="979"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006"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956"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c>
                <w:tcPr>
                  <w:tcW w:w="1521" w:type="dxa"/>
                  <w:tcBorders>
                    <w:top w:val="nil"/>
                    <w:left w:val="single" w:sz="8" w:space="0" w:color="548DD4"/>
                    <w:bottom w:val="single" w:sz="8" w:space="0" w:color="4F81BD"/>
                    <w:right w:val="single" w:sz="8" w:space="0" w:color="4F81BD"/>
                  </w:tcBorders>
                  <w:shd w:val="clear" w:color="auto" w:fill="FF0000"/>
                  <w:tcMar>
                    <w:top w:w="0" w:type="dxa"/>
                    <w:left w:w="108" w:type="dxa"/>
                    <w:bottom w:w="0" w:type="dxa"/>
                    <w:right w:w="108" w:type="dxa"/>
                  </w:tcMar>
                  <w:vAlign w:val="center"/>
                  <w:hideMark/>
                </w:tcPr>
                <w:p w:rsidR="006431B3" w:rsidRPr="006431B3" w:rsidRDefault="006431B3" w:rsidP="006431B3">
                  <w:pPr>
                    <w:spacing w:line="276" w:lineRule="auto"/>
                    <w:jc w:val="center"/>
                    <w:rPr>
                      <w:rFonts w:ascii="Arial" w:eastAsia="Calibri" w:hAnsi="Arial" w:cs="Arial"/>
                      <w:sz w:val="20"/>
                      <w:szCs w:val="20"/>
                    </w:rPr>
                  </w:pPr>
                  <w:r w:rsidRPr="006431B3">
                    <w:rPr>
                      <w:rFonts w:ascii="Arial" w:eastAsia="Calibri" w:hAnsi="Arial" w:cs="Arial"/>
                      <w:sz w:val="20"/>
                      <w:szCs w:val="20"/>
                    </w:rPr>
                    <w:t>0</w:t>
                  </w:r>
                </w:p>
              </w:tc>
            </w:tr>
          </w:tbl>
          <w:p w:rsidR="007E6D0A" w:rsidRPr="007B57A3" w:rsidRDefault="007E6D0A" w:rsidP="00DA5437">
            <w:pPr>
              <w:pStyle w:val="Default"/>
              <w:spacing w:line="276" w:lineRule="auto"/>
              <w:jc w:val="both"/>
              <w:rPr>
                <w:rFonts w:eastAsiaTheme="minorHAnsi"/>
                <w:sz w:val="22"/>
                <w:szCs w:val="22"/>
                <w:lang w:eastAsia="en-US"/>
              </w:rPr>
            </w:pPr>
            <w:bookmarkStart w:id="3" w:name="_MON_1497258249"/>
            <w:bookmarkEnd w:id="3"/>
          </w:p>
          <w:p w:rsidR="001555E0" w:rsidRPr="007B57A3" w:rsidRDefault="00361929" w:rsidP="00CF242E">
            <w:pPr>
              <w:spacing w:line="276" w:lineRule="auto"/>
              <w:jc w:val="both"/>
              <w:rPr>
                <w:rFonts w:ascii="Arial" w:hAnsi="Arial" w:cs="Arial"/>
                <w:b/>
                <w:sz w:val="22"/>
                <w:szCs w:val="22"/>
              </w:rPr>
            </w:pPr>
            <w:r w:rsidRPr="00A54156">
              <w:rPr>
                <w:rFonts w:ascii="Arial" w:hAnsi="Arial" w:cs="Arial"/>
                <w:b/>
                <w:bCs/>
                <w:sz w:val="22"/>
                <w:szCs w:val="22"/>
              </w:rPr>
              <w:t>D</w:t>
            </w:r>
            <w:r w:rsidR="00CF242E" w:rsidRPr="00A54156">
              <w:rPr>
                <w:rFonts w:ascii="Arial" w:hAnsi="Arial" w:cs="Arial"/>
                <w:b/>
                <w:bCs/>
                <w:sz w:val="22"/>
                <w:szCs w:val="22"/>
              </w:rPr>
              <w:t>.</w:t>
            </w:r>
            <w:r w:rsidR="00830CC4" w:rsidRPr="00A54156">
              <w:rPr>
                <w:rFonts w:ascii="Arial" w:hAnsi="Arial" w:cs="Arial"/>
                <w:b/>
                <w:bCs/>
                <w:sz w:val="22"/>
                <w:szCs w:val="22"/>
              </w:rPr>
              <w:t xml:space="preserve">  </w:t>
            </w:r>
            <w:r w:rsidR="001555E0" w:rsidRPr="00A54156">
              <w:rPr>
                <w:rFonts w:ascii="Arial" w:hAnsi="Arial" w:cs="Arial"/>
                <w:b/>
                <w:sz w:val="22"/>
                <w:szCs w:val="22"/>
              </w:rPr>
              <w:t>Standardised Hospital Mortality Index (SHMI)</w:t>
            </w:r>
            <w:r w:rsidR="0095098F">
              <w:rPr>
                <w:rFonts w:ascii="Arial" w:hAnsi="Arial" w:cs="Arial"/>
                <w:b/>
                <w:sz w:val="22"/>
                <w:szCs w:val="22"/>
              </w:rPr>
              <w:t xml:space="preserve"> </w:t>
            </w:r>
          </w:p>
          <w:p w:rsidR="0036056B" w:rsidRDefault="00FD13B3" w:rsidP="00830CC4">
            <w:pPr>
              <w:pStyle w:val="Default"/>
              <w:spacing w:line="276" w:lineRule="auto"/>
              <w:jc w:val="both"/>
              <w:rPr>
                <w:sz w:val="22"/>
                <w:szCs w:val="22"/>
              </w:rPr>
            </w:pPr>
            <w:r>
              <w:rPr>
                <w:sz w:val="22"/>
                <w:szCs w:val="22"/>
              </w:rPr>
              <w:t>Recent SHMI data showed</w:t>
            </w:r>
            <w:r w:rsidR="00645866">
              <w:rPr>
                <w:sz w:val="22"/>
                <w:szCs w:val="22"/>
              </w:rPr>
              <w:t xml:space="preserve"> </w:t>
            </w:r>
            <w:r w:rsidR="00AD5328">
              <w:rPr>
                <w:sz w:val="22"/>
                <w:szCs w:val="22"/>
              </w:rPr>
              <w:t>that we are in the “higher than expected range”</w:t>
            </w:r>
            <w:r w:rsidR="00A54156">
              <w:rPr>
                <w:sz w:val="22"/>
                <w:szCs w:val="22"/>
              </w:rPr>
              <w:t xml:space="preserve"> (111.5)</w:t>
            </w:r>
            <w:r w:rsidR="00AD5328">
              <w:rPr>
                <w:sz w:val="22"/>
                <w:szCs w:val="22"/>
              </w:rPr>
              <w:t xml:space="preserve">, </w:t>
            </w:r>
            <w:r w:rsidR="00645866">
              <w:rPr>
                <w:sz w:val="22"/>
                <w:szCs w:val="22"/>
              </w:rPr>
              <w:t xml:space="preserve">with an increase in </w:t>
            </w:r>
            <w:r w:rsidR="00C3745F">
              <w:rPr>
                <w:sz w:val="22"/>
                <w:szCs w:val="22"/>
              </w:rPr>
              <w:t xml:space="preserve">deaths in </w:t>
            </w:r>
            <w:r>
              <w:rPr>
                <w:sz w:val="22"/>
                <w:szCs w:val="22"/>
              </w:rPr>
              <w:t xml:space="preserve">community. </w:t>
            </w:r>
            <w:r w:rsidR="0036056B">
              <w:rPr>
                <w:sz w:val="22"/>
                <w:szCs w:val="22"/>
              </w:rPr>
              <w:t xml:space="preserve">The gap between acute and primary care is widening in N Lincolnshire, and the NLG are working with NL CCG re this. </w:t>
            </w:r>
          </w:p>
          <w:p w:rsidR="0036056B" w:rsidRDefault="0036056B" w:rsidP="00830CC4">
            <w:pPr>
              <w:pStyle w:val="Default"/>
              <w:spacing w:line="276" w:lineRule="auto"/>
              <w:jc w:val="both"/>
              <w:rPr>
                <w:sz w:val="22"/>
                <w:szCs w:val="22"/>
              </w:rPr>
            </w:pPr>
          </w:p>
          <w:p w:rsidR="0036056B" w:rsidRPr="0036056B" w:rsidRDefault="00645866" w:rsidP="0036056B">
            <w:pPr>
              <w:pStyle w:val="Default"/>
              <w:spacing w:line="276" w:lineRule="auto"/>
              <w:jc w:val="both"/>
              <w:rPr>
                <w:sz w:val="22"/>
                <w:szCs w:val="22"/>
              </w:rPr>
            </w:pPr>
            <w:r>
              <w:rPr>
                <w:sz w:val="22"/>
                <w:szCs w:val="22"/>
              </w:rPr>
              <w:t>In response to th</w:t>
            </w:r>
            <w:r w:rsidR="0036056B">
              <w:rPr>
                <w:sz w:val="22"/>
                <w:szCs w:val="22"/>
              </w:rPr>
              <w:t>e recent increase in SHMI</w:t>
            </w:r>
            <w:r>
              <w:rPr>
                <w:sz w:val="22"/>
                <w:szCs w:val="22"/>
              </w:rPr>
              <w:t xml:space="preserve">, the CCG are working with NLG to </w:t>
            </w:r>
            <w:r w:rsidR="00FD13B3">
              <w:rPr>
                <w:sz w:val="22"/>
                <w:szCs w:val="22"/>
              </w:rPr>
              <w:t>develop 1 strategic approach to reducing mortality and aim to create 1 strategy document with appropriate action plans that will be monitored by a group</w:t>
            </w:r>
            <w:r w:rsidR="00A54156">
              <w:rPr>
                <w:sz w:val="22"/>
                <w:szCs w:val="22"/>
              </w:rPr>
              <w:t xml:space="preserve"> focusing on areas of interface between primary/community and secondary care. This work has been delayed since January by the retirement of the mortality lead in NLG, however the new lead is now in post and the CCG will be prioritising this work.</w:t>
            </w:r>
            <w:r w:rsidR="0036056B">
              <w:rPr>
                <w:sz w:val="22"/>
                <w:szCs w:val="22"/>
              </w:rPr>
              <w:t xml:space="preserve"> NLG </w:t>
            </w:r>
            <w:r w:rsidR="0036056B" w:rsidRPr="0036056B">
              <w:rPr>
                <w:sz w:val="22"/>
                <w:szCs w:val="22"/>
              </w:rPr>
              <w:t xml:space="preserve">has established </w:t>
            </w:r>
            <w:r w:rsidR="00964C38">
              <w:rPr>
                <w:sz w:val="22"/>
                <w:szCs w:val="22"/>
              </w:rPr>
              <w:t xml:space="preserve">internal </w:t>
            </w:r>
            <w:r w:rsidR="0036056B" w:rsidRPr="0036056B">
              <w:rPr>
                <w:sz w:val="22"/>
                <w:szCs w:val="22"/>
              </w:rPr>
              <w:t xml:space="preserve">work streams in the following areas, </w:t>
            </w:r>
            <w:r w:rsidR="00964C38">
              <w:rPr>
                <w:sz w:val="22"/>
                <w:szCs w:val="22"/>
              </w:rPr>
              <w:t xml:space="preserve">as </w:t>
            </w:r>
            <w:r w:rsidR="0036056B" w:rsidRPr="0036056B">
              <w:rPr>
                <w:sz w:val="22"/>
                <w:szCs w:val="22"/>
              </w:rPr>
              <w:t>these specialties are considered to be priority areas due to their high levels of crude mortality:</w:t>
            </w:r>
          </w:p>
          <w:p w:rsidR="0036056B" w:rsidRPr="0036056B" w:rsidRDefault="0036056B" w:rsidP="0036056B">
            <w:pPr>
              <w:pStyle w:val="Default"/>
              <w:spacing w:line="276" w:lineRule="auto"/>
              <w:jc w:val="both"/>
              <w:rPr>
                <w:sz w:val="22"/>
                <w:szCs w:val="22"/>
              </w:rPr>
            </w:pPr>
            <w:r w:rsidRPr="0036056B">
              <w:rPr>
                <w:sz w:val="22"/>
                <w:szCs w:val="22"/>
              </w:rPr>
              <w:t>• Respiratory medicine</w:t>
            </w:r>
          </w:p>
          <w:p w:rsidR="0036056B" w:rsidRPr="0036056B" w:rsidRDefault="0036056B" w:rsidP="0036056B">
            <w:pPr>
              <w:pStyle w:val="Default"/>
              <w:spacing w:line="276" w:lineRule="auto"/>
              <w:jc w:val="both"/>
              <w:rPr>
                <w:sz w:val="22"/>
                <w:szCs w:val="22"/>
              </w:rPr>
            </w:pPr>
            <w:r w:rsidRPr="0036056B">
              <w:rPr>
                <w:sz w:val="22"/>
                <w:szCs w:val="22"/>
              </w:rPr>
              <w:t xml:space="preserve">• Cardiology </w:t>
            </w:r>
          </w:p>
          <w:p w:rsidR="0036056B" w:rsidRPr="0036056B" w:rsidRDefault="0036056B" w:rsidP="0036056B">
            <w:pPr>
              <w:pStyle w:val="Default"/>
              <w:spacing w:line="276" w:lineRule="auto"/>
              <w:jc w:val="both"/>
              <w:rPr>
                <w:sz w:val="22"/>
                <w:szCs w:val="22"/>
              </w:rPr>
            </w:pPr>
            <w:r w:rsidRPr="0036056B">
              <w:rPr>
                <w:sz w:val="22"/>
                <w:szCs w:val="22"/>
              </w:rPr>
              <w:t>• Sepsis</w:t>
            </w:r>
          </w:p>
          <w:p w:rsidR="0036056B" w:rsidRPr="0036056B" w:rsidRDefault="0036056B" w:rsidP="0036056B">
            <w:pPr>
              <w:pStyle w:val="Default"/>
              <w:spacing w:line="276" w:lineRule="auto"/>
              <w:jc w:val="both"/>
              <w:rPr>
                <w:sz w:val="22"/>
                <w:szCs w:val="22"/>
              </w:rPr>
            </w:pPr>
            <w:r w:rsidRPr="0036056B">
              <w:rPr>
                <w:sz w:val="22"/>
                <w:szCs w:val="22"/>
              </w:rPr>
              <w:t>• Gastroenterology</w:t>
            </w:r>
          </w:p>
          <w:p w:rsidR="0036056B" w:rsidRPr="0036056B" w:rsidRDefault="0036056B" w:rsidP="0036056B">
            <w:pPr>
              <w:pStyle w:val="Default"/>
              <w:spacing w:line="276" w:lineRule="auto"/>
              <w:jc w:val="both"/>
              <w:rPr>
                <w:sz w:val="22"/>
                <w:szCs w:val="22"/>
              </w:rPr>
            </w:pPr>
            <w:r w:rsidRPr="0036056B">
              <w:rPr>
                <w:sz w:val="22"/>
                <w:szCs w:val="22"/>
              </w:rPr>
              <w:t>• Cancer</w:t>
            </w:r>
          </w:p>
          <w:p w:rsidR="0036056B" w:rsidRPr="0036056B" w:rsidRDefault="0036056B" w:rsidP="0036056B">
            <w:pPr>
              <w:pStyle w:val="Default"/>
              <w:spacing w:line="276" w:lineRule="auto"/>
              <w:jc w:val="both"/>
              <w:rPr>
                <w:sz w:val="22"/>
                <w:szCs w:val="22"/>
              </w:rPr>
            </w:pPr>
            <w:r w:rsidRPr="0036056B">
              <w:rPr>
                <w:sz w:val="22"/>
                <w:szCs w:val="22"/>
              </w:rPr>
              <w:t>• Stroke</w:t>
            </w:r>
          </w:p>
          <w:p w:rsidR="00A54156" w:rsidRDefault="00A54156" w:rsidP="00830CC4">
            <w:pPr>
              <w:pStyle w:val="Default"/>
              <w:spacing w:line="276" w:lineRule="auto"/>
              <w:jc w:val="both"/>
              <w:rPr>
                <w:sz w:val="22"/>
                <w:szCs w:val="22"/>
              </w:rPr>
            </w:pPr>
          </w:p>
          <w:p w:rsidR="00645866" w:rsidRDefault="00A54156" w:rsidP="00830CC4">
            <w:pPr>
              <w:pStyle w:val="Default"/>
              <w:spacing w:line="276" w:lineRule="auto"/>
              <w:jc w:val="both"/>
              <w:rPr>
                <w:sz w:val="22"/>
                <w:szCs w:val="22"/>
              </w:rPr>
            </w:pPr>
            <w:r>
              <w:rPr>
                <w:sz w:val="22"/>
                <w:szCs w:val="22"/>
              </w:rPr>
              <w:t>As part of this work, the CCG are developing a dataset that will help to show the journ</w:t>
            </w:r>
            <w:r w:rsidR="007E6D0A">
              <w:rPr>
                <w:sz w:val="22"/>
                <w:szCs w:val="22"/>
              </w:rPr>
              <w:t>ey towards improving</w:t>
            </w:r>
            <w:r>
              <w:rPr>
                <w:sz w:val="22"/>
                <w:szCs w:val="22"/>
              </w:rPr>
              <w:t xml:space="preserve"> mortality rather than relying on SHMI as the only indicator of a change in mortality in NEL. </w:t>
            </w:r>
          </w:p>
          <w:p w:rsidR="00ED43BD" w:rsidRDefault="00ED43BD" w:rsidP="00ED43BD">
            <w:pPr>
              <w:pStyle w:val="Default"/>
              <w:spacing w:line="276" w:lineRule="auto"/>
              <w:jc w:val="both"/>
              <w:rPr>
                <w:color w:val="auto"/>
                <w:sz w:val="22"/>
                <w:szCs w:val="22"/>
              </w:rPr>
            </w:pPr>
          </w:p>
          <w:p w:rsidR="001B2AE1" w:rsidRDefault="001B2AE1" w:rsidP="00ED43BD">
            <w:pPr>
              <w:pStyle w:val="Default"/>
              <w:spacing w:line="276" w:lineRule="auto"/>
              <w:jc w:val="both"/>
              <w:rPr>
                <w:color w:val="auto"/>
                <w:sz w:val="22"/>
                <w:szCs w:val="22"/>
              </w:rPr>
            </w:pPr>
            <w:r w:rsidRPr="001B2AE1">
              <w:rPr>
                <w:b/>
                <w:color w:val="auto"/>
                <w:sz w:val="22"/>
                <w:szCs w:val="22"/>
              </w:rPr>
              <w:t xml:space="preserve">E. Key Risks </w:t>
            </w:r>
            <w:r w:rsidR="00FB54B5">
              <w:rPr>
                <w:b/>
                <w:color w:val="auto"/>
                <w:sz w:val="22"/>
                <w:szCs w:val="22"/>
              </w:rPr>
              <w:t>with</w:t>
            </w:r>
            <w:r w:rsidRPr="001B2AE1">
              <w:rPr>
                <w:b/>
                <w:color w:val="auto"/>
                <w:sz w:val="22"/>
                <w:szCs w:val="22"/>
              </w:rPr>
              <w:t xml:space="preserve">in </w:t>
            </w:r>
            <w:r w:rsidR="00484A74">
              <w:rPr>
                <w:b/>
                <w:color w:val="auto"/>
                <w:sz w:val="22"/>
                <w:szCs w:val="22"/>
              </w:rPr>
              <w:t xml:space="preserve">main </w:t>
            </w:r>
            <w:r w:rsidRPr="001B2AE1">
              <w:rPr>
                <w:b/>
                <w:color w:val="auto"/>
                <w:sz w:val="22"/>
                <w:szCs w:val="22"/>
              </w:rPr>
              <w:t>providers</w:t>
            </w:r>
            <w:r>
              <w:rPr>
                <w:color w:val="auto"/>
                <w:sz w:val="22"/>
                <w:szCs w:val="22"/>
              </w:rPr>
              <w:t>.</w:t>
            </w:r>
          </w:p>
          <w:p w:rsidR="0036056B" w:rsidRPr="0036056B" w:rsidRDefault="0036056B" w:rsidP="0036056B">
            <w:pPr>
              <w:rPr>
                <w:rFonts w:ascii="Arial" w:eastAsiaTheme="minorHAnsi" w:hAnsi="Arial" w:cs="Arial"/>
                <w:b/>
                <w:bCs/>
                <w:sz w:val="22"/>
                <w:szCs w:val="22"/>
                <w:u w:val="single"/>
                <w:lang w:eastAsia="en-US"/>
              </w:rPr>
            </w:pPr>
            <w:r w:rsidRPr="0036056B">
              <w:rPr>
                <w:rFonts w:ascii="Arial" w:eastAsiaTheme="minorHAnsi" w:hAnsi="Arial" w:cs="Arial"/>
                <w:b/>
                <w:bCs/>
                <w:sz w:val="22"/>
                <w:szCs w:val="22"/>
                <w:u w:val="single"/>
                <w:lang w:eastAsia="en-US"/>
              </w:rPr>
              <w:t>Key risks - NLG</w:t>
            </w:r>
          </w:p>
          <w:p w:rsidR="0036056B" w:rsidRPr="0036056B" w:rsidRDefault="0036056B" w:rsidP="0036056B">
            <w:pPr>
              <w:rPr>
                <w:rFonts w:ascii="Calibri" w:eastAsiaTheme="minorHAnsi" w:hAnsi="Calibri" w:cs="Calibri"/>
                <w:sz w:val="22"/>
                <w:szCs w:val="22"/>
                <w:u w:val="single"/>
                <w:lang w:eastAsia="en-US"/>
              </w:rPr>
            </w:pPr>
          </w:p>
          <w:p w:rsidR="0036056B" w:rsidRPr="0036056B" w:rsidRDefault="0036056B" w:rsidP="0036056B">
            <w:pPr>
              <w:spacing w:after="200" w:line="276" w:lineRule="auto"/>
              <w:contextualSpacing/>
              <w:rPr>
                <w:rFonts w:ascii="Arial" w:eastAsiaTheme="minorHAnsi" w:hAnsi="Arial" w:cs="Arial"/>
                <w:i/>
                <w:sz w:val="22"/>
                <w:szCs w:val="22"/>
                <w:lang w:eastAsia="en-US"/>
              </w:rPr>
            </w:pPr>
            <w:r w:rsidRPr="0036056B">
              <w:rPr>
                <w:rFonts w:ascii="Arial" w:eastAsiaTheme="minorHAnsi" w:hAnsi="Arial" w:cs="Arial"/>
                <w:i/>
                <w:sz w:val="22"/>
                <w:szCs w:val="22"/>
                <w:lang w:eastAsia="en-US"/>
              </w:rPr>
              <w:t>Dementia Screening</w:t>
            </w:r>
          </w:p>
          <w:p w:rsidR="0036056B" w:rsidRPr="0036056B" w:rsidRDefault="0036056B" w:rsidP="0036056B">
            <w:p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The Trust has reported that the dementia screening target has not been achieved since May 2015. The target relates to completion of the initial screening question</w:t>
            </w:r>
            <w:r>
              <w:rPr>
                <w:rFonts w:ascii="Arial" w:eastAsiaTheme="minorHAnsi" w:hAnsi="Arial" w:cs="Arial"/>
                <w:sz w:val="22"/>
                <w:szCs w:val="22"/>
                <w:lang w:eastAsia="en-US"/>
              </w:rPr>
              <w:t xml:space="preserve"> within the first 72 hours of admission</w:t>
            </w:r>
            <w:r w:rsidRPr="0036056B">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but this has not been achieved. NLG </w:t>
            </w:r>
            <w:r w:rsidRPr="0036056B">
              <w:rPr>
                <w:rFonts w:ascii="Arial" w:eastAsiaTheme="minorHAnsi" w:hAnsi="Arial" w:cs="Arial"/>
                <w:sz w:val="22"/>
                <w:szCs w:val="22"/>
                <w:lang w:eastAsia="en-US"/>
              </w:rPr>
              <w:t>Quality Matron</w:t>
            </w:r>
            <w:r>
              <w:rPr>
                <w:rFonts w:ascii="Arial" w:eastAsiaTheme="minorHAnsi" w:hAnsi="Arial" w:cs="Arial"/>
                <w:sz w:val="22"/>
                <w:szCs w:val="22"/>
                <w:lang w:eastAsia="en-US"/>
              </w:rPr>
              <w:t xml:space="preserve"> is looking into </w:t>
            </w:r>
            <w:r w:rsidRPr="0036056B">
              <w:rPr>
                <w:rFonts w:ascii="Arial" w:eastAsiaTheme="minorHAnsi" w:hAnsi="Arial" w:cs="Arial"/>
                <w:sz w:val="22"/>
                <w:szCs w:val="22"/>
                <w:lang w:eastAsia="en-US"/>
              </w:rPr>
              <w:t>the current system for flagging these patients, to</w:t>
            </w:r>
            <w:r>
              <w:rPr>
                <w:rFonts w:ascii="Arial" w:eastAsiaTheme="minorHAnsi" w:hAnsi="Arial" w:cs="Arial"/>
                <w:sz w:val="22"/>
                <w:szCs w:val="22"/>
                <w:lang w:eastAsia="en-US"/>
              </w:rPr>
              <w:t xml:space="preserve"> see how it </w:t>
            </w:r>
            <w:r w:rsidRPr="0036056B">
              <w:rPr>
                <w:rFonts w:ascii="Arial" w:eastAsiaTheme="minorHAnsi" w:hAnsi="Arial" w:cs="Arial"/>
                <w:sz w:val="22"/>
                <w:szCs w:val="22"/>
                <w:lang w:eastAsia="en-US"/>
              </w:rPr>
              <w:t>can be improved</w:t>
            </w:r>
            <w:r>
              <w:rPr>
                <w:rFonts w:ascii="Arial" w:eastAsiaTheme="minorHAnsi" w:hAnsi="Arial" w:cs="Arial"/>
                <w:sz w:val="22"/>
                <w:szCs w:val="22"/>
                <w:lang w:eastAsia="en-US"/>
              </w:rPr>
              <w:t>,</w:t>
            </w:r>
            <w:r w:rsidRPr="0036056B">
              <w:rPr>
                <w:rFonts w:ascii="Arial" w:eastAsiaTheme="minorHAnsi" w:hAnsi="Arial" w:cs="Arial"/>
                <w:sz w:val="22"/>
                <w:szCs w:val="22"/>
                <w:lang w:eastAsia="en-US"/>
              </w:rPr>
              <w:t xml:space="preserve"> and </w:t>
            </w:r>
            <w:r>
              <w:rPr>
                <w:rFonts w:ascii="Arial" w:eastAsiaTheme="minorHAnsi" w:hAnsi="Arial" w:cs="Arial"/>
                <w:sz w:val="22"/>
                <w:szCs w:val="22"/>
                <w:lang w:eastAsia="en-US"/>
              </w:rPr>
              <w:t xml:space="preserve">she </w:t>
            </w:r>
            <w:r w:rsidRPr="0036056B">
              <w:rPr>
                <w:rFonts w:ascii="Arial" w:eastAsiaTheme="minorHAnsi" w:hAnsi="Arial" w:cs="Arial"/>
                <w:sz w:val="22"/>
                <w:szCs w:val="22"/>
                <w:lang w:eastAsia="en-US"/>
              </w:rPr>
              <w:t xml:space="preserve">is working with these areas to better facilitate partnership working. Commissioners </w:t>
            </w:r>
            <w:r>
              <w:rPr>
                <w:rFonts w:ascii="Arial" w:eastAsiaTheme="minorHAnsi" w:hAnsi="Arial" w:cs="Arial"/>
                <w:sz w:val="22"/>
                <w:szCs w:val="22"/>
                <w:lang w:eastAsia="en-US"/>
              </w:rPr>
              <w:t xml:space="preserve">recently </w:t>
            </w:r>
            <w:r w:rsidRPr="0036056B">
              <w:rPr>
                <w:rFonts w:ascii="Arial" w:eastAsiaTheme="minorHAnsi" w:hAnsi="Arial" w:cs="Arial"/>
                <w:sz w:val="22"/>
                <w:szCs w:val="22"/>
                <w:lang w:eastAsia="en-US"/>
              </w:rPr>
              <w:t xml:space="preserve">requested further assurance </w:t>
            </w:r>
            <w:r>
              <w:rPr>
                <w:rFonts w:ascii="Arial" w:eastAsiaTheme="minorHAnsi" w:hAnsi="Arial" w:cs="Arial"/>
                <w:sz w:val="22"/>
                <w:szCs w:val="22"/>
                <w:lang w:eastAsia="en-US"/>
              </w:rPr>
              <w:t xml:space="preserve">at </w:t>
            </w:r>
            <w:r w:rsidRPr="0036056B">
              <w:rPr>
                <w:rFonts w:ascii="Arial" w:eastAsiaTheme="minorHAnsi" w:hAnsi="Arial" w:cs="Arial"/>
                <w:sz w:val="22"/>
                <w:szCs w:val="22"/>
                <w:lang w:eastAsia="en-US"/>
              </w:rPr>
              <w:t>the NL&amp;G Quality Contract Review meeting, that patient safety has not been compromised</w:t>
            </w:r>
            <w:r>
              <w:rPr>
                <w:rFonts w:ascii="Arial" w:eastAsiaTheme="minorHAnsi" w:hAnsi="Arial" w:cs="Arial"/>
                <w:sz w:val="22"/>
                <w:szCs w:val="22"/>
                <w:lang w:eastAsia="en-US"/>
              </w:rPr>
              <w:t xml:space="preserve"> and this should be discussed at the 18</w:t>
            </w:r>
            <w:r w:rsidRPr="0036056B">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January 2016 </w:t>
            </w:r>
            <w:r w:rsidRPr="0036056B">
              <w:rPr>
                <w:rFonts w:ascii="Arial" w:eastAsiaTheme="minorHAnsi" w:hAnsi="Arial" w:cs="Arial"/>
                <w:sz w:val="22"/>
                <w:szCs w:val="22"/>
                <w:lang w:eastAsia="en-US"/>
              </w:rPr>
              <w:t>QCR meeting</w:t>
            </w:r>
            <w:r>
              <w:rPr>
                <w:rFonts w:ascii="Arial" w:eastAsiaTheme="minorHAnsi" w:hAnsi="Arial" w:cs="Arial"/>
                <w:sz w:val="22"/>
                <w:szCs w:val="22"/>
                <w:lang w:eastAsia="en-US"/>
              </w:rPr>
              <w:t>.</w:t>
            </w:r>
          </w:p>
          <w:p w:rsidR="0036056B" w:rsidRPr="0036056B" w:rsidRDefault="0036056B" w:rsidP="0036056B">
            <w:pPr>
              <w:rPr>
                <w:rFonts w:ascii="Arial" w:eastAsiaTheme="minorHAnsi" w:hAnsi="Arial" w:cs="Arial"/>
                <w:i/>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Staffing</w:t>
            </w:r>
          </w:p>
          <w:p w:rsidR="0036056B" w:rsidRPr="0036056B" w:rsidRDefault="0036056B" w:rsidP="0036056B">
            <w:pPr>
              <w:tabs>
                <w:tab w:val="left" w:pos="2376"/>
              </w:tabs>
              <w:spacing w:after="200" w:line="276" w:lineRule="auto"/>
              <w:rPr>
                <w:rFonts w:ascii="Arial" w:eastAsiaTheme="minorHAnsi" w:hAnsi="Arial" w:cs="Arial"/>
                <w:sz w:val="22"/>
                <w:szCs w:val="22"/>
                <w:lang w:eastAsia="en-US"/>
              </w:rPr>
            </w:pPr>
            <w:r w:rsidRPr="0036056B">
              <w:rPr>
                <w:rFonts w:ascii="Arial" w:eastAsiaTheme="minorHAnsi" w:hAnsi="Arial" w:cs="Arial"/>
                <w:sz w:val="22"/>
                <w:szCs w:val="22"/>
                <w:lang w:eastAsia="en-US"/>
              </w:rPr>
              <w:t>The Trust has failed to achieve its staffing performance targets during most of 2015, and they have reported a decline in performance in the following measures:</w:t>
            </w:r>
          </w:p>
          <w:p w:rsidR="0036056B" w:rsidRPr="0036056B" w:rsidRDefault="0036056B" w:rsidP="0036056B">
            <w:pPr>
              <w:numPr>
                <w:ilvl w:val="0"/>
                <w:numId w:val="45"/>
              </w:numPr>
              <w:tabs>
                <w:tab w:val="left" w:pos="2376"/>
              </w:tabs>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Establishment </w:t>
            </w:r>
          </w:p>
          <w:p w:rsidR="0036056B" w:rsidRPr="0036056B" w:rsidRDefault="0036056B" w:rsidP="0036056B">
            <w:pPr>
              <w:numPr>
                <w:ilvl w:val="0"/>
                <w:numId w:val="45"/>
              </w:numPr>
              <w:tabs>
                <w:tab w:val="left" w:pos="2376"/>
              </w:tabs>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Medical vacancies </w:t>
            </w:r>
          </w:p>
          <w:p w:rsidR="0036056B" w:rsidRPr="0036056B" w:rsidRDefault="0036056B" w:rsidP="0036056B">
            <w:pPr>
              <w:numPr>
                <w:ilvl w:val="0"/>
                <w:numId w:val="45"/>
              </w:numPr>
              <w:tabs>
                <w:tab w:val="left" w:pos="2376"/>
              </w:tabs>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Nursing (Registered &amp; Unregistered) </w:t>
            </w:r>
          </w:p>
          <w:p w:rsidR="0036056B" w:rsidRPr="0036056B" w:rsidRDefault="0036056B" w:rsidP="0036056B">
            <w:pPr>
              <w:numPr>
                <w:ilvl w:val="0"/>
                <w:numId w:val="45"/>
              </w:numPr>
              <w:tabs>
                <w:tab w:val="left" w:pos="2376"/>
              </w:tabs>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Completion of staff appraisals </w:t>
            </w:r>
          </w:p>
          <w:p w:rsidR="0036056B" w:rsidRPr="0036056B" w:rsidRDefault="0036056B" w:rsidP="0036056B">
            <w:pPr>
              <w:numPr>
                <w:ilvl w:val="0"/>
                <w:numId w:val="45"/>
              </w:numPr>
              <w:tabs>
                <w:tab w:val="left" w:pos="2376"/>
              </w:tabs>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Compliance with Statutory &amp; Mandatory training</w:t>
            </w:r>
          </w:p>
          <w:p w:rsidR="0036056B" w:rsidRPr="0036056B" w:rsidRDefault="0036056B" w:rsidP="0036056B">
            <w:pPr>
              <w:tabs>
                <w:tab w:val="left" w:pos="2376"/>
              </w:tabs>
              <w:spacing w:after="200" w:line="276" w:lineRule="auto"/>
              <w:ind w:left="720"/>
              <w:contextualSpacing/>
              <w:rPr>
                <w:rFonts w:ascii="Arial" w:eastAsiaTheme="minorHAnsi" w:hAnsi="Arial" w:cs="Arial"/>
                <w:sz w:val="22"/>
                <w:szCs w:val="22"/>
                <w:lang w:eastAsia="en-US"/>
              </w:rPr>
            </w:pPr>
          </w:p>
          <w:p w:rsidR="0036056B" w:rsidRPr="0036056B" w:rsidRDefault="0036056B" w:rsidP="0036056B">
            <w:pPr>
              <w:tabs>
                <w:tab w:val="left" w:pos="2376"/>
              </w:tabs>
              <w:spacing w:after="200" w:line="276" w:lineRule="auto"/>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However, the Trust </w:t>
            </w:r>
            <w:r w:rsidR="00964C38">
              <w:rPr>
                <w:rFonts w:ascii="Arial" w:eastAsiaTheme="minorHAnsi" w:hAnsi="Arial" w:cs="Arial"/>
                <w:sz w:val="22"/>
                <w:szCs w:val="22"/>
                <w:lang w:eastAsia="en-US"/>
              </w:rPr>
              <w:t>did demonstrate</w:t>
            </w:r>
            <w:r w:rsidRPr="0036056B">
              <w:rPr>
                <w:rFonts w:ascii="Arial" w:eastAsiaTheme="minorHAnsi" w:hAnsi="Arial" w:cs="Arial"/>
                <w:sz w:val="22"/>
                <w:szCs w:val="22"/>
                <w:lang w:eastAsia="en-US"/>
              </w:rPr>
              <w:t xml:space="preserve"> an improvement in each of the above measures during September 2015 &amp; October 2015, although this improvement was not sufficient to meet the performance target. This improvement could be attributed to </w:t>
            </w:r>
            <w:r w:rsidR="00964C38">
              <w:rPr>
                <w:rFonts w:ascii="Arial" w:eastAsiaTheme="minorHAnsi" w:hAnsi="Arial" w:cs="Arial"/>
                <w:sz w:val="22"/>
                <w:szCs w:val="22"/>
                <w:lang w:eastAsia="en-US"/>
              </w:rPr>
              <w:t xml:space="preserve">a wide range of </w:t>
            </w:r>
            <w:r w:rsidRPr="0036056B">
              <w:rPr>
                <w:rFonts w:ascii="Arial" w:eastAsiaTheme="minorHAnsi" w:hAnsi="Arial" w:cs="Arial"/>
                <w:sz w:val="22"/>
                <w:szCs w:val="22"/>
                <w:lang w:eastAsia="en-US"/>
              </w:rPr>
              <w:t>recruitment initiatives undertaken by the Trust since May 2015</w:t>
            </w:r>
            <w:r w:rsidR="00964C38">
              <w:rPr>
                <w:rFonts w:ascii="Arial" w:eastAsiaTheme="minorHAnsi" w:hAnsi="Arial" w:cs="Arial"/>
                <w:sz w:val="22"/>
                <w:szCs w:val="22"/>
                <w:lang w:eastAsia="en-US"/>
              </w:rPr>
              <w:t xml:space="preserve">. </w:t>
            </w:r>
            <w:r w:rsidRPr="0036056B">
              <w:rPr>
                <w:rFonts w:ascii="Arial" w:eastAsiaTheme="minorHAnsi" w:hAnsi="Arial" w:cs="Arial"/>
                <w:sz w:val="22"/>
                <w:szCs w:val="22"/>
                <w:lang w:eastAsia="en-US"/>
              </w:rPr>
              <w:t xml:space="preserve"> </w:t>
            </w:r>
          </w:p>
          <w:p w:rsidR="0036056B" w:rsidRPr="0036056B" w:rsidRDefault="0036056B" w:rsidP="0036056B">
            <w:pPr>
              <w:tabs>
                <w:tab w:val="left" w:pos="2376"/>
              </w:tabs>
              <w:spacing w:after="200" w:line="276" w:lineRule="auto"/>
              <w:rPr>
                <w:rFonts w:ascii="Arial" w:eastAsiaTheme="minorHAnsi" w:hAnsi="Arial" w:cs="Arial"/>
                <w:sz w:val="22"/>
                <w:szCs w:val="22"/>
                <w:lang w:eastAsia="en-US"/>
              </w:rPr>
            </w:pPr>
            <w:r w:rsidRPr="0036056B">
              <w:rPr>
                <w:rFonts w:ascii="Arial" w:eastAsiaTheme="minorHAnsi" w:hAnsi="Arial" w:cs="Arial"/>
                <w:sz w:val="22"/>
                <w:szCs w:val="22"/>
                <w:lang w:eastAsia="en-US"/>
              </w:rPr>
              <w:t>The main areas of risk, in relation to staffing are summarised as follows:</w:t>
            </w:r>
          </w:p>
          <w:p w:rsidR="0036056B" w:rsidRPr="0036056B" w:rsidRDefault="0036056B" w:rsidP="0036056B">
            <w:pPr>
              <w:numPr>
                <w:ilvl w:val="0"/>
                <w:numId w:val="46"/>
              </w:num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Recruitment challenges in the Medicine Division </w:t>
            </w:r>
          </w:p>
          <w:p w:rsidR="0036056B" w:rsidRPr="0036056B" w:rsidRDefault="0036056B" w:rsidP="0036056B">
            <w:pPr>
              <w:numPr>
                <w:ilvl w:val="0"/>
                <w:numId w:val="46"/>
              </w:num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Integration of new nursing staff (potential challenges re language and skill mix with new nursing staff) </w:t>
            </w:r>
          </w:p>
          <w:p w:rsidR="0036056B" w:rsidRDefault="0036056B" w:rsidP="0036056B">
            <w:pPr>
              <w:numPr>
                <w:ilvl w:val="0"/>
                <w:numId w:val="46"/>
              </w:num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Fluctuating fill rates on ward 26 </w:t>
            </w:r>
            <w:r w:rsidR="00964C38">
              <w:rPr>
                <w:rFonts w:ascii="Arial" w:eastAsiaTheme="minorHAnsi" w:hAnsi="Arial" w:cs="Arial"/>
                <w:sz w:val="22"/>
                <w:szCs w:val="22"/>
                <w:lang w:eastAsia="en-US"/>
              </w:rPr>
              <w:t xml:space="preserve">(NL) </w:t>
            </w:r>
            <w:r w:rsidRPr="0036056B">
              <w:rPr>
                <w:rFonts w:ascii="Arial" w:eastAsiaTheme="minorHAnsi" w:hAnsi="Arial" w:cs="Arial"/>
                <w:sz w:val="22"/>
                <w:szCs w:val="22"/>
                <w:lang w:eastAsia="en-US"/>
              </w:rPr>
              <w:t xml:space="preserve">and NICU (There are current vacancies on Ward 26, where possible the staff bank system is utilised for the night shifts. At the last confirm and challenge meeting it was agreed that the establishment would be to recruit to 3 midwives at night. Acuity levels do not alter at night and if we are unable to cover this shift escalation is that community are called in to maintain safety, although there is some impact on community work the following day as a consequence). </w:t>
            </w:r>
          </w:p>
          <w:p w:rsidR="00236749" w:rsidRDefault="00236749" w:rsidP="00236749">
            <w:pPr>
              <w:spacing w:after="200" w:line="276" w:lineRule="auto"/>
              <w:contextualSpacing/>
              <w:rPr>
                <w:rFonts w:ascii="Arial" w:eastAsiaTheme="minorHAnsi" w:hAnsi="Arial" w:cs="Arial"/>
                <w:sz w:val="22"/>
                <w:szCs w:val="22"/>
                <w:lang w:eastAsia="en-US"/>
              </w:rPr>
            </w:pPr>
          </w:p>
          <w:p w:rsidR="00964C38" w:rsidRDefault="00964C38" w:rsidP="00236749">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Workforce issues were highlighted in the November inspection of NLG by CQC and the CCG will continue to focus on workforce through QCR meetings. The CCG Quality Committee is planning a focused workshop for March 2016 which will explore the workforce issues and will look further into recruitment within NLG. The workshop will be jointly delivered by CCG and providers.</w:t>
            </w:r>
          </w:p>
          <w:p w:rsidR="00964C38" w:rsidRDefault="00964C38" w:rsidP="00964C38">
            <w:pPr>
              <w:spacing w:after="200" w:line="276" w:lineRule="auto"/>
              <w:ind w:left="720"/>
              <w:contextualSpacing/>
              <w:rPr>
                <w:rFonts w:ascii="Arial" w:eastAsiaTheme="minorHAnsi" w:hAnsi="Arial" w:cs="Arial"/>
                <w:sz w:val="22"/>
                <w:szCs w:val="22"/>
                <w:lang w:eastAsia="en-US"/>
              </w:rPr>
            </w:pPr>
          </w:p>
          <w:p w:rsidR="0036056B" w:rsidRPr="0036056B" w:rsidRDefault="0036056B" w:rsidP="00236749">
            <w:p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b/>
                <w:bCs/>
                <w:sz w:val="22"/>
                <w:szCs w:val="22"/>
                <w:u w:val="single"/>
                <w:lang w:eastAsia="en-US"/>
              </w:rPr>
              <w:t>Key risks - HEYH</w:t>
            </w: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 xml:space="preserve">Cancer waiting lists </w:t>
            </w:r>
          </w:p>
          <w:p w:rsidR="0036056B" w:rsidRPr="0036056B" w:rsidRDefault="001A6265" w:rsidP="0036056B">
            <w:pPr>
              <w:rPr>
                <w:rFonts w:ascii="Arial" w:eastAsiaTheme="minorHAnsi" w:hAnsi="Arial" w:cs="Arial"/>
                <w:sz w:val="22"/>
                <w:szCs w:val="22"/>
                <w:lang w:eastAsia="en-US"/>
              </w:rPr>
            </w:pPr>
            <w:r>
              <w:rPr>
                <w:rFonts w:ascii="Arial" w:eastAsiaTheme="minorHAnsi" w:hAnsi="Arial" w:cs="Arial"/>
                <w:sz w:val="22"/>
                <w:szCs w:val="22"/>
                <w:lang w:eastAsia="en-US"/>
              </w:rPr>
              <w:t>HEY</w:t>
            </w:r>
            <w:r w:rsidR="00236749">
              <w:rPr>
                <w:rFonts w:ascii="Arial" w:eastAsiaTheme="minorHAnsi" w:hAnsi="Arial" w:cs="Arial"/>
                <w:sz w:val="22"/>
                <w:szCs w:val="22"/>
                <w:lang w:eastAsia="en-US"/>
              </w:rPr>
              <w:t>H</w:t>
            </w:r>
            <w:r>
              <w:rPr>
                <w:rFonts w:ascii="Arial" w:eastAsiaTheme="minorHAnsi" w:hAnsi="Arial" w:cs="Arial"/>
                <w:sz w:val="22"/>
                <w:szCs w:val="22"/>
                <w:lang w:eastAsia="en-US"/>
              </w:rPr>
              <w:t xml:space="preserve"> </w:t>
            </w:r>
            <w:r w:rsidR="0036056B" w:rsidRPr="0036056B">
              <w:rPr>
                <w:rFonts w:ascii="Arial" w:eastAsiaTheme="minorHAnsi" w:hAnsi="Arial" w:cs="Arial"/>
                <w:sz w:val="22"/>
                <w:szCs w:val="22"/>
                <w:lang w:eastAsia="en-US"/>
              </w:rPr>
              <w:t xml:space="preserve">continues to report significant challenges in meeting the Cancer 18 RTT performance target. In light of this, Commissioners </w:t>
            </w:r>
            <w:r w:rsidR="0036056B" w:rsidRPr="0036056B">
              <w:rPr>
                <w:rFonts w:ascii="Arial" w:eastAsiaTheme="minorHAnsi" w:hAnsi="Arial" w:cs="Arial"/>
                <w:color w:val="000000"/>
                <w:sz w:val="22"/>
                <w:szCs w:val="22"/>
                <w:lang w:eastAsia="en-US"/>
              </w:rPr>
              <w:t>have requested assurance on the clinical review of 18 weeks RTT performance, with particular focus on the Trusts process to mitigate harm to patients.</w:t>
            </w:r>
            <w:r w:rsidR="0036056B" w:rsidRPr="0036056B">
              <w:rPr>
                <w:rFonts w:ascii="Arial" w:eastAsiaTheme="minorHAnsi" w:hAnsi="Arial" w:cs="Arial"/>
                <w:sz w:val="22"/>
                <w:szCs w:val="22"/>
                <w:lang w:eastAsia="en-US"/>
              </w:rPr>
              <w:t xml:space="preserve"> The Trust has confirmed that this </w:t>
            </w:r>
            <w:r w:rsidRPr="0036056B">
              <w:rPr>
                <w:rFonts w:ascii="Arial" w:eastAsiaTheme="minorHAnsi" w:hAnsi="Arial" w:cs="Arial"/>
                <w:sz w:val="22"/>
                <w:szCs w:val="22"/>
                <w:lang w:eastAsia="en-US"/>
              </w:rPr>
              <w:t xml:space="preserve">assurance </w:t>
            </w:r>
            <w:r w:rsidR="0036056B" w:rsidRPr="0036056B">
              <w:rPr>
                <w:rFonts w:ascii="Arial" w:eastAsiaTheme="minorHAnsi" w:hAnsi="Arial" w:cs="Arial"/>
                <w:sz w:val="22"/>
                <w:szCs w:val="22"/>
                <w:lang w:eastAsia="en-US"/>
              </w:rPr>
              <w:t>information will be provided as part of its response to the Contract Performance Notice</w:t>
            </w:r>
            <w:r>
              <w:rPr>
                <w:rFonts w:ascii="Arial" w:eastAsiaTheme="minorHAnsi" w:hAnsi="Arial" w:cs="Arial"/>
                <w:sz w:val="22"/>
                <w:szCs w:val="22"/>
                <w:lang w:eastAsia="en-US"/>
              </w:rPr>
              <w:t xml:space="preserve">, </w:t>
            </w:r>
            <w:r w:rsidR="0036056B" w:rsidRPr="0036056B">
              <w:rPr>
                <w:rFonts w:ascii="Arial" w:eastAsiaTheme="minorHAnsi" w:hAnsi="Arial" w:cs="Arial"/>
                <w:sz w:val="22"/>
                <w:szCs w:val="22"/>
                <w:lang w:eastAsia="en-US"/>
              </w:rPr>
              <w:t>which was raised by Commissioners in November 2015. Assurance will be monitored via the HEY</w:t>
            </w:r>
            <w:r w:rsidR="00236749">
              <w:rPr>
                <w:rFonts w:ascii="Arial" w:eastAsiaTheme="minorHAnsi" w:hAnsi="Arial" w:cs="Arial"/>
                <w:sz w:val="22"/>
                <w:szCs w:val="22"/>
                <w:lang w:eastAsia="en-US"/>
              </w:rPr>
              <w:t>H</w:t>
            </w:r>
            <w:r w:rsidR="0036056B" w:rsidRPr="0036056B">
              <w:rPr>
                <w:rFonts w:ascii="Arial" w:eastAsiaTheme="minorHAnsi" w:hAnsi="Arial" w:cs="Arial"/>
                <w:sz w:val="22"/>
                <w:szCs w:val="22"/>
                <w:lang w:eastAsia="en-US"/>
              </w:rPr>
              <w:t xml:space="preserve"> Contract Monitoring Board. </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Quality Improvement Plan</w:t>
            </w:r>
          </w:p>
          <w:p w:rsidR="0036056B" w:rsidRPr="0036056B" w:rsidRDefault="0036056B"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Monitoring achievement of the Quality Improvement Plan – Commissioners </w:t>
            </w:r>
            <w:r w:rsidR="001A6265">
              <w:rPr>
                <w:rFonts w:ascii="Arial" w:eastAsiaTheme="minorHAnsi" w:hAnsi="Arial" w:cs="Arial"/>
                <w:sz w:val="22"/>
                <w:szCs w:val="22"/>
                <w:lang w:eastAsia="en-US"/>
              </w:rPr>
              <w:t xml:space="preserve">have requested </w:t>
            </w:r>
            <w:r w:rsidRPr="0036056B">
              <w:rPr>
                <w:rFonts w:ascii="Arial" w:eastAsiaTheme="minorHAnsi" w:hAnsi="Arial" w:cs="Arial"/>
                <w:sz w:val="22"/>
                <w:szCs w:val="22"/>
                <w:lang w:eastAsia="en-US"/>
              </w:rPr>
              <w:t>further assurance of</w:t>
            </w:r>
            <w:r w:rsidR="001A6265">
              <w:rPr>
                <w:rFonts w:ascii="Arial" w:eastAsiaTheme="minorHAnsi" w:hAnsi="Arial" w:cs="Arial"/>
                <w:sz w:val="22"/>
                <w:szCs w:val="22"/>
                <w:lang w:eastAsia="en-US"/>
              </w:rPr>
              <w:t xml:space="preserve"> HEY</w:t>
            </w:r>
            <w:r w:rsidR="00236749">
              <w:rPr>
                <w:rFonts w:ascii="Arial" w:eastAsiaTheme="minorHAnsi" w:hAnsi="Arial" w:cs="Arial"/>
                <w:sz w:val="22"/>
                <w:szCs w:val="22"/>
                <w:lang w:eastAsia="en-US"/>
              </w:rPr>
              <w:t>H</w:t>
            </w:r>
            <w:r w:rsidR="001A6265">
              <w:rPr>
                <w:rFonts w:ascii="Arial" w:eastAsiaTheme="minorHAnsi" w:hAnsi="Arial" w:cs="Arial"/>
                <w:sz w:val="22"/>
                <w:szCs w:val="22"/>
                <w:lang w:eastAsia="en-US"/>
              </w:rPr>
              <w:t xml:space="preserve">’s </w:t>
            </w:r>
            <w:r w:rsidRPr="0036056B">
              <w:rPr>
                <w:rFonts w:ascii="Arial" w:eastAsiaTheme="minorHAnsi" w:hAnsi="Arial" w:cs="Arial"/>
                <w:sz w:val="22"/>
                <w:szCs w:val="22"/>
                <w:lang w:eastAsia="en-US"/>
              </w:rPr>
              <w:t xml:space="preserve">approach to delivering the sepsis action plan, the current arrangements are not sufficiently robust </w:t>
            </w:r>
          </w:p>
          <w:p w:rsidR="0036056B" w:rsidRPr="0036056B" w:rsidRDefault="0036056B" w:rsidP="0036056B">
            <w:pPr>
              <w:rPr>
                <w:rFonts w:ascii="Arial" w:eastAsiaTheme="minorHAnsi" w:hAnsi="Arial" w:cs="Arial"/>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Management of Serious Incidents</w:t>
            </w:r>
          </w:p>
          <w:p w:rsidR="0036056B" w:rsidRPr="0036056B" w:rsidRDefault="0036056B"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Concerns continue to be raised by Commissioners in relation to the Trusts management and monitoring of serious incidents, specifically in relation to the Trusts SI escalation process and the backlog of SI action plans, see summary below for further context. </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numPr>
                <w:ilvl w:val="0"/>
                <w:numId w:val="47"/>
              </w:numPr>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Delay in reporting Serious Incidents in a timely manner. Commissioners are aware of a delay in declaring grades 3 and 4 pressure ulcers (noted and increase in pressure ulcer SI’s) </w:t>
            </w:r>
          </w:p>
          <w:p w:rsidR="0036056B" w:rsidRPr="0036056B" w:rsidRDefault="0036056B" w:rsidP="0036056B">
            <w:pPr>
              <w:numPr>
                <w:ilvl w:val="0"/>
                <w:numId w:val="47"/>
              </w:numPr>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The Trust is in the process of clearing the backlog of serious incident action plans, 12 action plans remain outstanding out of 64. A deadline of 31</w:t>
            </w:r>
            <w:r w:rsidRPr="0036056B">
              <w:rPr>
                <w:rFonts w:ascii="Arial" w:eastAsiaTheme="minorHAnsi" w:hAnsi="Arial" w:cs="Arial"/>
                <w:sz w:val="22"/>
                <w:szCs w:val="22"/>
                <w:vertAlign w:val="superscript"/>
                <w:lang w:eastAsia="en-US"/>
              </w:rPr>
              <w:t>st</w:t>
            </w:r>
            <w:r w:rsidRPr="0036056B">
              <w:rPr>
                <w:rFonts w:ascii="Arial" w:eastAsiaTheme="minorHAnsi" w:hAnsi="Arial" w:cs="Arial"/>
                <w:sz w:val="22"/>
                <w:szCs w:val="22"/>
                <w:lang w:eastAsia="en-US"/>
              </w:rPr>
              <w:t xml:space="preserve"> Jan 16 for completion of all outstanding action plans has been agreed. The backlog relates to SI’s reported up to beginning Oct 15 only, SI’s received since Oct 15 are not (and are not expected to be) included in the backlog. </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Failure to print Radiology reports</w:t>
            </w:r>
          </w:p>
          <w:p w:rsidR="0036056B" w:rsidRPr="0036056B" w:rsidRDefault="0036056B"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Following an enquiry from a HEY Hospitals Trust Consultant Neurologist as to why some reports were arriving late, an investigation revealed that the printing of some reports was being delayed by up to 6 weeks</w:t>
            </w:r>
            <w:r w:rsidR="00236749">
              <w:rPr>
                <w:rFonts w:ascii="Arial" w:eastAsiaTheme="minorHAnsi" w:hAnsi="Arial" w:cs="Arial"/>
                <w:sz w:val="22"/>
                <w:szCs w:val="22"/>
                <w:lang w:eastAsia="en-US"/>
              </w:rPr>
              <w:t xml:space="preserve">, and </w:t>
            </w:r>
            <w:r w:rsidRPr="0036056B">
              <w:rPr>
                <w:rFonts w:ascii="Arial" w:eastAsiaTheme="minorHAnsi" w:hAnsi="Arial" w:cs="Arial"/>
                <w:sz w:val="22"/>
                <w:szCs w:val="22"/>
                <w:lang w:eastAsia="en-US"/>
              </w:rPr>
              <w:t xml:space="preserve">a higher proportion of reports had not printed at all. This anomaly was found to affect all types of investigations referred from multiple sources. Further investigation has shown this issue predates the introduction of the Lorenzo system, but the situation has worsened over time. </w:t>
            </w:r>
          </w:p>
          <w:p w:rsidR="0036056B" w:rsidRPr="0036056B" w:rsidRDefault="0036056B" w:rsidP="0036056B">
            <w:pPr>
              <w:rPr>
                <w:rFonts w:ascii="Arial" w:eastAsiaTheme="minorHAnsi" w:hAnsi="Arial" w:cs="Arial"/>
                <w:sz w:val="22"/>
                <w:szCs w:val="22"/>
                <w:lang w:eastAsia="en-US"/>
              </w:rPr>
            </w:pPr>
          </w:p>
          <w:p w:rsidR="0036056B" w:rsidRPr="0036056B" w:rsidRDefault="0036056B" w:rsidP="0036056B">
            <w:pPr>
              <w:spacing w:after="200" w:line="276" w:lineRule="auto"/>
              <w:rPr>
                <w:rFonts w:ascii="Arial" w:eastAsiaTheme="minorHAnsi" w:hAnsi="Arial" w:cs="Arial"/>
                <w:sz w:val="22"/>
                <w:szCs w:val="22"/>
                <w:lang w:eastAsia="en-US"/>
              </w:rPr>
            </w:pPr>
            <w:r w:rsidRPr="0036056B">
              <w:rPr>
                <w:rFonts w:ascii="Arial" w:eastAsiaTheme="minorHAnsi" w:hAnsi="Arial" w:cs="Arial"/>
                <w:sz w:val="22"/>
                <w:szCs w:val="22"/>
                <w:lang w:eastAsia="en-US"/>
              </w:rPr>
              <w:t>In response to this, members of the HEY Clinical Quality Forum have requested</w:t>
            </w:r>
          </w:p>
          <w:p w:rsidR="0036056B" w:rsidRPr="0036056B" w:rsidRDefault="0036056B" w:rsidP="0036056B">
            <w:pPr>
              <w:numPr>
                <w:ilvl w:val="0"/>
                <w:numId w:val="48"/>
              </w:num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that the Trust reviews potential risk to patients, as a result of the printing failure, and;</w:t>
            </w:r>
          </w:p>
          <w:p w:rsidR="0036056B" w:rsidRPr="0036056B" w:rsidRDefault="0036056B" w:rsidP="0036056B">
            <w:pPr>
              <w:numPr>
                <w:ilvl w:val="0"/>
                <w:numId w:val="48"/>
              </w:numPr>
              <w:spacing w:after="200" w:line="276" w:lineRule="auto"/>
              <w:contextualSpacing/>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that the Trust provides timescales to the actions defined in the summary report  </w:t>
            </w:r>
          </w:p>
          <w:p w:rsidR="0036056B" w:rsidRPr="0036056B" w:rsidRDefault="0036056B" w:rsidP="0036056B">
            <w:pPr>
              <w:rPr>
                <w:rFonts w:ascii="Arial" w:eastAsiaTheme="minorHAnsi" w:hAnsi="Arial" w:cs="Arial"/>
                <w:sz w:val="22"/>
                <w:szCs w:val="22"/>
                <w:lang w:eastAsia="en-US"/>
              </w:rPr>
            </w:pPr>
          </w:p>
          <w:p w:rsidR="0036056B" w:rsidRPr="0036056B" w:rsidRDefault="00236749" w:rsidP="0036056B">
            <w:pPr>
              <w:rPr>
                <w:rFonts w:ascii="Calibri" w:eastAsiaTheme="minorHAnsi" w:hAnsi="Calibri" w:cs="Calibri"/>
                <w:sz w:val="22"/>
                <w:szCs w:val="22"/>
                <w:lang w:eastAsia="en-US"/>
              </w:rPr>
            </w:pPr>
            <w:r>
              <w:rPr>
                <w:rFonts w:ascii="Arial" w:eastAsiaTheme="minorHAnsi" w:hAnsi="Arial" w:cs="Arial"/>
                <w:sz w:val="22"/>
                <w:szCs w:val="22"/>
                <w:lang w:eastAsia="en-US"/>
              </w:rPr>
              <w:t xml:space="preserve">HEYH </w:t>
            </w:r>
            <w:r w:rsidR="0036056B" w:rsidRPr="0036056B">
              <w:rPr>
                <w:rFonts w:ascii="Arial" w:eastAsiaTheme="minorHAnsi" w:hAnsi="Arial" w:cs="Arial"/>
                <w:sz w:val="22"/>
                <w:szCs w:val="22"/>
                <w:lang w:eastAsia="en-US"/>
              </w:rPr>
              <w:t>has already provided some of this information and further assurance will be provided to and monitored by the HEY</w:t>
            </w:r>
            <w:r>
              <w:rPr>
                <w:rFonts w:ascii="Arial" w:eastAsiaTheme="minorHAnsi" w:hAnsi="Arial" w:cs="Arial"/>
                <w:sz w:val="22"/>
                <w:szCs w:val="22"/>
                <w:lang w:eastAsia="en-US"/>
              </w:rPr>
              <w:t>H</w:t>
            </w:r>
            <w:r w:rsidR="0036056B" w:rsidRPr="0036056B">
              <w:rPr>
                <w:rFonts w:ascii="Arial" w:eastAsiaTheme="minorHAnsi" w:hAnsi="Arial" w:cs="Arial"/>
                <w:sz w:val="22"/>
                <w:szCs w:val="22"/>
                <w:lang w:eastAsia="en-US"/>
              </w:rPr>
              <w:t xml:space="preserve"> Clinical Quality Forum. </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rPr>
                <w:rFonts w:ascii="Arial" w:eastAsiaTheme="minorHAnsi" w:hAnsi="Arial" w:cs="Arial"/>
                <w:b/>
                <w:bCs/>
                <w:sz w:val="22"/>
                <w:szCs w:val="22"/>
                <w:u w:val="single"/>
                <w:lang w:eastAsia="en-US"/>
              </w:rPr>
            </w:pPr>
            <w:r w:rsidRPr="0036056B">
              <w:rPr>
                <w:rFonts w:ascii="Arial" w:eastAsiaTheme="minorHAnsi" w:hAnsi="Arial" w:cs="Arial"/>
                <w:b/>
                <w:bCs/>
                <w:sz w:val="22"/>
                <w:szCs w:val="22"/>
                <w:u w:val="single"/>
                <w:lang w:eastAsia="en-US"/>
              </w:rPr>
              <w:t>Key Risks - EMAS</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Delays in clinical handover between EMAS and NL&amp;G (both sites)</w:t>
            </w:r>
            <w:r w:rsidR="001A6265">
              <w:rPr>
                <w:rFonts w:ascii="Arial" w:eastAsiaTheme="minorHAnsi" w:hAnsi="Arial" w:cs="Arial"/>
                <w:i/>
                <w:sz w:val="22"/>
                <w:szCs w:val="22"/>
                <w:lang w:eastAsia="en-US"/>
              </w:rPr>
              <w:t>, reported to the Board in December 2015.</w:t>
            </w:r>
          </w:p>
          <w:p w:rsidR="0036056B" w:rsidRPr="0036056B" w:rsidRDefault="0036056B"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Hospital handovers remain an issue, with a significant proportion of frontline operational hours lost through handover delays. Both pre and post handovers continue to increase.</w:t>
            </w:r>
          </w:p>
          <w:p w:rsidR="0036056B" w:rsidRPr="0036056B" w:rsidRDefault="0036056B" w:rsidP="0036056B">
            <w:pPr>
              <w:rPr>
                <w:rFonts w:ascii="Arial" w:eastAsiaTheme="minorHAnsi" w:hAnsi="Arial" w:cs="Arial"/>
                <w:sz w:val="22"/>
                <w:szCs w:val="22"/>
                <w:lang w:eastAsia="en-US"/>
              </w:rPr>
            </w:pPr>
          </w:p>
          <w:p w:rsidR="006032E1" w:rsidRDefault="0036056B" w:rsidP="006032E1">
            <w:pPr>
              <w:rPr>
                <w:rFonts w:ascii="Arial" w:eastAsiaTheme="minorHAnsi" w:hAnsi="Arial" w:cs="Arial"/>
                <w:sz w:val="22"/>
                <w:szCs w:val="22"/>
                <w:lang w:eastAsia="en-US"/>
              </w:rPr>
            </w:pPr>
            <w:r w:rsidRPr="0036056B">
              <w:rPr>
                <w:rFonts w:ascii="Arial" w:eastAsiaTheme="minorHAnsi" w:hAnsi="Arial" w:cs="Arial"/>
                <w:sz w:val="22"/>
                <w:szCs w:val="22"/>
                <w:lang w:eastAsia="en-US"/>
              </w:rPr>
              <w:t>In response to this, members of the NL&amp;G QCR invited the Trust to provide an update on action taken to improve th</w:t>
            </w:r>
            <w:r w:rsidR="006032E1">
              <w:rPr>
                <w:rFonts w:ascii="Arial" w:eastAsiaTheme="minorHAnsi" w:hAnsi="Arial" w:cs="Arial"/>
                <w:sz w:val="22"/>
                <w:szCs w:val="22"/>
                <w:lang w:eastAsia="en-US"/>
              </w:rPr>
              <w:t xml:space="preserve">is; </w:t>
            </w:r>
          </w:p>
          <w:p w:rsidR="006032E1" w:rsidRDefault="006032E1" w:rsidP="006032E1">
            <w:pPr>
              <w:rPr>
                <w:rFonts w:ascii="Arial" w:eastAsiaTheme="minorHAnsi" w:hAnsi="Arial" w:cs="Arial"/>
                <w:sz w:val="22"/>
                <w:szCs w:val="22"/>
                <w:lang w:eastAsia="en-US"/>
              </w:rPr>
            </w:pPr>
            <w:r>
              <w:rPr>
                <w:rFonts w:ascii="Arial" w:eastAsiaTheme="minorHAnsi" w:hAnsi="Arial" w:cs="Arial"/>
                <w:sz w:val="22"/>
                <w:szCs w:val="22"/>
                <w:lang w:eastAsia="en-US"/>
              </w:rPr>
              <w:t xml:space="preserve">NLG reported that they were not </w:t>
            </w:r>
            <w:r w:rsidRPr="0036056B">
              <w:rPr>
                <w:rFonts w:ascii="Arial" w:eastAsiaTheme="minorHAnsi" w:hAnsi="Arial" w:cs="Arial"/>
                <w:sz w:val="22"/>
                <w:szCs w:val="22"/>
                <w:lang w:eastAsia="en-US"/>
              </w:rPr>
              <w:t>forewarned of the needs of the patients arriving in A&amp;E, and as such the Trust is put under further pressure</w:t>
            </w:r>
            <w:r>
              <w:rPr>
                <w:rFonts w:ascii="Arial" w:eastAsiaTheme="minorHAnsi" w:hAnsi="Arial" w:cs="Arial"/>
                <w:sz w:val="22"/>
                <w:szCs w:val="22"/>
                <w:lang w:eastAsia="en-US"/>
              </w:rPr>
              <w:t xml:space="preserve">. In light of this, the Trust will ensure </w:t>
            </w:r>
            <w:r w:rsidRPr="0036056B">
              <w:rPr>
                <w:rFonts w:ascii="Arial" w:eastAsiaTheme="minorHAnsi" w:hAnsi="Arial" w:cs="Arial"/>
                <w:sz w:val="22"/>
                <w:szCs w:val="22"/>
                <w:lang w:eastAsia="en-US"/>
              </w:rPr>
              <w:t xml:space="preserve">the provision of a nurse on every shift to oversee the patient’s handover (for major injury) and to reduce the patient’s wait on arrival at the Trust. </w:t>
            </w:r>
          </w:p>
          <w:p w:rsidR="006032E1" w:rsidRDefault="006032E1" w:rsidP="006032E1">
            <w:pPr>
              <w:rPr>
                <w:rFonts w:ascii="Arial" w:eastAsiaTheme="minorHAnsi" w:hAnsi="Arial" w:cs="Arial"/>
                <w:sz w:val="22"/>
                <w:szCs w:val="22"/>
                <w:lang w:eastAsia="en-US"/>
              </w:rPr>
            </w:pPr>
            <w:proofErr w:type="gramStart"/>
            <w:r>
              <w:rPr>
                <w:rFonts w:ascii="Arial" w:eastAsiaTheme="minorHAnsi" w:hAnsi="Arial" w:cs="Arial"/>
                <w:sz w:val="22"/>
                <w:szCs w:val="22"/>
                <w:lang w:eastAsia="en-US"/>
              </w:rPr>
              <w:t>implementing</w:t>
            </w:r>
            <w:proofErr w:type="gramEnd"/>
            <w:r>
              <w:rPr>
                <w:rFonts w:ascii="Arial" w:eastAsiaTheme="minorHAnsi" w:hAnsi="Arial" w:cs="Arial"/>
                <w:sz w:val="22"/>
                <w:szCs w:val="22"/>
                <w:lang w:eastAsia="en-US"/>
              </w:rPr>
              <w:t xml:space="preserve"> l</w:t>
            </w:r>
            <w:r w:rsidRPr="0036056B">
              <w:rPr>
                <w:rFonts w:ascii="Arial" w:eastAsiaTheme="minorHAnsi" w:hAnsi="Arial" w:cs="Arial"/>
                <w:sz w:val="22"/>
                <w:szCs w:val="22"/>
                <w:lang w:eastAsia="en-US"/>
              </w:rPr>
              <w:t xml:space="preserve">ive handover updates in the Trusts Operations Centre. </w:t>
            </w:r>
          </w:p>
          <w:p w:rsidR="006032E1" w:rsidRDefault="006032E1" w:rsidP="006032E1">
            <w:pPr>
              <w:rPr>
                <w:rFonts w:ascii="Arial" w:eastAsiaTheme="minorHAnsi" w:hAnsi="Arial" w:cs="Arial"/>
                <w:sz w:val="22"/>
                <w:szCs w:val="22"/>
                <w:lang w:eastAsia="en-US"/>
              </w:rPr>
            </w:pPr>
            <w:proofErr w:type="gramStart"/>
            <w:r w:rsidRPr="0036056B">
              <w:rPr>
                <w:rFonts w:ascii="Arial" w:eastAsiaTheme="minorHAnsi" w:hAnsi="Arial" w:cs="Arial"/>
                <w:sz w:val="22"/>
                <w:szCs w:val="22"/>
                <w:lang w:eastAsia="en-US"/>
              </w:rPr>
              <w:t>the</w:t>
            </w:r>
            <w:proofErr w:type="gramEnd"/>
            <w:r w:rsidRPr="0036056B">
              <w:rPr>
                <w:rFonts w:ascii="Arial" w:eastAsiaTheme="minorHAnsi" w:hAnsi="Arial" w:cs="Arial"/>
                <w:sz w:val="22"/>
                <w:szCs w:val="22"/>
                <w:lang w:eastAsia="en-US"/>
              </w:rPr>
              <w:t xml:space="preserve"> new EMAS arrival screens will resolve any resolve disputes re clinical handover times as the screens will digitally record arrival times. The new arrival screens will be linked to the Symphony system and will provide details of the patient’s journey.</w:t>
            </w:r>
          </w:p>
          <w:p w:rsidR="006032E1" w:rsidRDefault="006032E1" w:rsidP="006032E1">
            <w:pPr>
              <w:rPr>
                <w:rFonts w:ascii="Arial" w:eastAsiaTheme="minorHAnsi" w:hAnsi="Arial" w:cs="Arial"/>
                <w:sz w:val="22"/>
                <w:szCs w:val="22"/>
                <w:lang w:eastAsia="en-US"/>
              </w:rPr>
            </w:pPr>
          </w:p>
          <w:p w:rsidR="006032E1" w:rsidRPr="0036056B" w:rsidRDefault="006032E1" w:rsidP="006032E1">
            <w:pPr>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These initiatives will improve the </w:t>
            </w:r>
            <w:r w:rsidR="009D1949">
              <w:rPr>
                <w:rFonts w:ascii="Arial" w:eastAsiaTheme="minorHAnsi" w:hAnsi="Arial" w:cs="Arial"/>
                <w:sz w:val="22"/>
                <w:szCs w:val="22"/>
                <w:lang w:eastAsia="en-US"/>
              </w:rPr>
              <w:t xml:space="preserve">timeliness of the </w:t>
            </w:r>
            <w:r w:rsidRPr="0036056B">
              <w:rPr>
                <w:rFonts w:ascii="Arial" w:eastAsiaTheme="minorHAnsi" w:hAnsi="Arial" w:cs="Arial"/>
                <w:sz w:val="22"/>
                <w:szCs w:val="22"/>
                <w:lang w:eastAsia="en-US"/>
              </w:rPr>
              <w:t xml:space="preserve">patient handover process, </w:t>
            </w:r>
            <w:r w:rsidR="009D1949">
              <w:rPr>
                <w:rFonts w:ascii="Arial" w:eastAsiaTheme="minorHAnsi" w:hAnsi="Arial" w:cs="Arial"/>
                <w:sz w:val="22"/>
                <w:szCs w:val="22"/>
                <w:lang w:eastAsia="en-US"/>
              </w:rPr>
              <w:t xml:space="preserve">and </w:t>
            </w:r>
            <w:r w:rsidRPr="0036056B">
              <w:rPr>
                <w:rFonts w:ascii="Arial" w:eastAsiaTheme="minorHAnsi" w:hAnsi="Arial" w:cs="Arial"/>
                <w:sz w:val="22"/>
                <w:szCs w:val="22"/>
                <w:lang w:eastAsia="en-US"/>
              </w:rPr>
              <w:t>also improve the patients’ experience.</w:t>
            </w:r>
          </w:p>
          <w:p w:rsidR="0036056B" w:rsidRPr="0036056B" w:rsidRDefault="0036056B" w:rsidP="0036056B">
            <w:pPr>
              <w:rPr>
                <w:rFonts w:ascii="Calibri" w:eastAsiaTheme="minorHAnsi" w:hAnsi="Calibri" w:cs="Calibri"/>
                <w:sz w:val="22"/>
                <w:szCs w:val="22"/>
                <w:lang w:eastAsia="en-US"/>
              </w:rPr>
            </w:pPr>
          </w:p>
          <w:p w:rsidR="0036056B" w:rsidRPr="0036056B" w:rsidRDefault="0036056B" w:rsidP="0036056B">
            <w:pPr>
              <w:rPr>
                <w:rFonts w:ascii="Arial" w:eastAsiaTheme="minorHAnsi" w:hAnsi="Arial" w:cs="Arial"/>
                <w:i/>
                <w:sz w:val="22"/>
                <w:szCs w:val="22"/>
                <w:lang w:eastAsia="en-US"/>
              </w:rPr>
            </w:pPr>
            <w:r w:rsidRPr="0036056B">
              <w:rPr>
                <w:rFonts w:ascii="Arial" w:eastAsiaTheme="minorHAnsi" w:hAnsi="Arial" w:cs="Arial"/>
                <w:i/>
                <w:sz w:val="22"/>
                <w:szCs w:val="22"/>
                <w:lang w:eastAsia="en-US"/>
              </w:rPr>
              <w:t>Performance (across Lincolnshire)</w:t>
            </w:r>
          </w:p>
          <w:p w:rsidR="009D1949" w:rsidRDefault="0036056B"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 xml:space="preserve">Performance for all three standards </w:t>
            </w:r>
            <w:r w:rsidR="009D1949">
              <w:rPr>
                <w:rFonts w:ascii="Arial" w:eastAsiaTheme="minorHAnsi" w:hAnsi="Arial" w:cs="Arial"/>
                <w:sz w:val="22"/>
                <w:szCs w:val="22"/>
                <w:lang w:eastAsia="en-US"/>
              </w:rPr>
              <w:t xml:space="preserve">– A19, </w:t>
            </w:r>
            <w:r w:rsidR="009D1949" w:rsidRPr="0036056B">
              <w:rPr>
                <w:rFonts w:ascii="Arial" w:eastAsiaTheme="minorHAnsi" w:hAnsi="Arial" w:cs="Arial"/>
                <w:sz w:val="22"/>
                <w:szCs w:val="22"/>
                <w:lang w:eastAsia="en-US"/>
              </w:rPr>
              <w:t>Red 1 and Red 2 performance</w:t>
            </w:r>
            <w:proofErr w:type="gramStart"/>
            <w:r w:rsidR="009D1949">
              <w:rPr>
                <w:rFonts w:ascii="Arial" w:eastAsiaTheme="minorHAnsi" w:hAnsi="Arial" w:cs="Arial"/>
                <w:sz w:val="22"/>
                <w:szCs w:val="22"/>
                <w:lang w:eastAsia="en-US"/>
              </w:rPr>
              <w:t xml:space="preserve">, </w:t>
            </w:r>
            <w:r w:rsidR="009D1949" w:rsidRPr="0036056B">
              <w:rPr>
                <w:rFonts w:ascii="Arial" w:eastAsiaTheme="minorHAnsi" w:hAnsi="Arial" w:cs="Arial"/>
                <w:sz w:val="22"/>
                <w:szCs w:val="22"/>
                <w:lang w:eastAsia="en-US"/>
              </w:rPr>
              <w:t xml:space="preserve"> </w:t>
            </w:r>
            <w:r w:rsidRPr="0036056B">
              <w:rPr>
                <w:rFonts w:ascii="Arial" w:eastAsiaTheme="minorHAnsi" w:hAnsi="Arial" w:cs="Arial"/>
                <w:sz w:val="22"/>
                <w:szCs w:val="22"/>
                <w:lang w:eastAsia="en-US"/>
              </w:rPr>
              <w:t>continues</w:t>
            </w:r>
            <w:proofErr w:type="gramEnd"/>
            <w:r w:rsidRPr="0036056B">
              <w:rPr>
                <w:rFonts w:ascii="Arial" w:eastAsiaTheme="minorHAnsi" w:hAnsi="Arial" w:cs="Arial"/>
                <w:sz w:val="22"/>
                <w:szCs w:val="22"/>
                <w:lang w:eastAsia="en-US"/>
              </w:rPr>
              <w:t xml:space="preserve"> to f</w:t>
            </w:r>
            <w:r w:rsidR="009D1949">
              <w:rPr>
                <w:rFonts w:ascii="Arial" w:eastAsiaTheme="minorHAnsi" w:hAnsi="Arial" w:cs="Arial"/>
                <w:sz w:val="22"/>
                <w:szCs w:val="22"/>
                <w:lang w:eastAsia="en-US"/>
              </w:rPr>
              <w:t xml:space="preserve">all below the national standard. </w:t>
            </w:r>
            <w:r w:rsidRPr="0036056B">
              <w:rPr>
                <w:rFonts w:ascii="Arial" w:eastAsiaTheme="minorHAnsi" w:hAnsi="Arial" w:cs="Arial"/>
                <w:sz w:val="22"/>
                <w:szCs w:val="22"/>
                <w:lang w:eastAsia="en-US"/>
              </w:rPr>
              <w:t>The trajectory within it showed a combined Red trajectory of 72.7% for November, but actual performance was 57.3%.</w:t>
            </w:r>
            <w:r w:rsidR="009D1949" w:rsidRPr="0036056B">
              <w:rPr>
                <w:rFonts w:ascii="Arial" w:eastAsiaTheme="minorHAnsi" w:hAnsi="Arial" w:cs="Arial"/>
                <w:sz w:val="22"/>
                <w:szCs w:val="22"/>
                <w:lang w:eastAsia="en-US"/>
              </w:rPr>
              <w:t xml:space="preserve"> </w:t>
            </w:r>
          </w:p>
          <w:p w:rsidR="0036056B" w:rsidRPr="0036056B" w:rsidRDefault="009D1949" w:rsidP="0036056B">
            <w:pPr>
              <w:rPr>
                <w:rFonts w:ascii="Arial" w:eastAsiaTheme="minorHAnsi" w:hAnsi="Arial" w:cs="Arial"/>
                <w:sz w:val="22"/>
                <w:szCs w:val="22"/>
                <w:lang w:eastAsia="en-US"/>
              </w:rPr>
            </w:pPr>
            <w:r w:rsidRPr="0036056B">
              <w:rPr>
                <w:rFonts w:ascii="Arial" w:eastAsiaTheme="minorHAnsi" w:hAnsi="Arial" w:cs="Arial"/>
                <w:sz w:val="22"/>
                <w:szCs w:val="22"/>
                <w:lang w:eastAsia="en-US"/>
              </w:rPr>
              <w:t>In response to this declining</w:t>
            </w:r>
            <w:r>
              <w:rPr>
                <w:rFonts w:ascii="Arial" w:eastAsiaTheme="minorHAnsi" w:hAnsi="Arial" w:cs="Arial"/>
                <w:sz w:val="22"/>
                <w:szCs w:val="22"/>
                <w:lang w:eastAsia="en-US"/>
              </w:rPr>
              <w:t xml:space="preserve"> performance, Commissioners have asked for</w:t>
            </w:r>
            <w:r w:rsidRPr="0036056B">
              <w:rPr>
                <w:rFonts w:ascii="Arial" w:eastAsiaTheme="minorHAnsi" w:hAnsi="Arial" w:cs="Arial"/>
                <w:sz w:val="22"/>
                <w:szCs w:val="22"/>
                <w:lang w:eastAsia="en-US"/>
              </w:rPr>
              <w:t xml:space="preserve"> a Remedial Action Plan (RA</w:t>
            </w:r>
            <w:r>
              <w:rPr>
                <w:rFonts w:ascii="Arial" w:eastAsiaTheme="minorHAnsi" w:hAnsi="Arial" w:cs="Arial"/>
                <w:sz w:val="22"/>
                <w:szCs w:val="22"/>
                <w:lang w:eastAsia="en-US"/>
              </w:rPr>
              <w:t xml:space="preserve">P) to </w:t>
            </w:r>
            <w:r w:rsidR="0036056B" w:rsidRPr="0036056B">
              <w:rPr>
                <w:rFonts w:ascii="Arial" w:eastAsiaTheme="minorHAnsi" w:hAnsi="Arial" w:cs="Arial"/>
                <w:sz w:val="22"/>
                <w:szCs w:val="22"/>
                <w:lang w:eastAsia="en-US"/>
              </w:rPr>
              <w:t xml:space="preserve">focus on five or six key actions </w:t>
            </w:r>
            <w:r>
              <w:rPr>
                <w:rFonts w:ascii="Arial" w:eastAsiaTheme="minorHAnsi" w:hAnsi="Arial" w:cs="Arial"/>
                <w:sz w:val="22"/>
                <w:szCs w:val="22"/>
                <w:lang w:eastAsia="en-US"/>
              </w:rPr>
              <w:t>(“silver bullets”)</w:t>
            </w:r>
            <w:r w:rsidRPr="0036056B">
              <w:rPr>
                <w:rFonts w:ascii="Arial" w:eastAsiaTheme="minorHAnsi" w:hAnsi="Arial" w:cs="Arial"/>
                <w:sz w:val="22"/>
                <w:szCs w:val="22"/>
                <w:lang w:eastAsia="en-US"/>
              </w:rPr>
              <w:t xml:space="preserve">, </w:t>
            </w:r>
            <w:r w:rsidR="0036056B" w:rsidRPr="0036056B">
              <w:rPr>
                <w:rFonts w:ascii="Arial" w:eastAsiaTheme="minorHAnsi" w:hAnsi="Arial" w:cs="Arial"/>
                <w:sz w:val="22"/>
                <w:szCs w:val="22"/>
                <w:lang w:eastAsia="en-US"/>
              </w:rPr>
              <w:t>that will have the greatest impact on de</w:t>
            </w:r>
            <w:r>
              <w:rPr>
                <w:rFonts w:ascii="Arial" w:eastAsiaTheme="minorHAnsi" w:hAnsi="Arial" w:cs="Arial"/>
                <w:sz w:val="22"/>
                <w:szCs w:val="22"/>
                <w:lang w:eastAsia="en-US"/>
              </w:rPr>
              <w:t xml:space="preserve">livering improved performance, </w:t>
            </w:r>
            <w:r w:rsidR="0036056B" w:rsidRPr="0036056B">
              <w:rPr>
                <w:rFonts w:ascii="Arial" w:eastAsiaTheme="minorHAnsi" w:hAnsi="Arial" w:cs="Arial"/>
                <w:sz w:val="22"/>
                <w:szCs w:val="22"/>
                <w:lang w:eastAsia="en-US"/>
              </w:rPr>
              <w:t xml:space="preserve">and will contain key deliverables, identified impact, clear milestones, clear owners, and will be monitored both through the </w:t>
            </w:r>
            <w:r>
              <w:rPr>
                <w:rFonts w:ascii="Arial" w:eastAsiaTheme="minorHAnsi" w:hAnsi="Arial" w:cs="Arial"/>
                <w:sz w:val="22"/>
                <w:szCs w:val="22"/>
                <w:lang w:eastAsia="en-US"/>
              </w:rPr>
              <w:t xml:space="preserve">EMAS </w:t>
            </w:r>
            <w:r w:rsidR="0036056B" w:rsidRPr="0036056B">
              <w:rPr>
                <w:rFonts w:ascii="Arial" w:eastAsiaTheme="minorHAnsi" w:hAnsi="Arial" w:cs="Arial"/>
                <w:sz w:val="22"/>
                <w:szCs w:val="22"/>
                <w:lang w:eastAsia="en-US"/>
              </w:rPr>
              <w:t xml:space="preserve">Partnership Board and through the monthly county level </w:t>
            </w:r>
            <w:r>
              <w:rPr>
                <w:rFonts w:ascii="Arial" w:eastAsiaTheme="minorHAnsi" w:hAnsi="Arial" w:cs="Arial"/>
                <w:sz w:val="22"/>
                <w:szCs w:val="22"/>
                <w:lang w:eastAsia="en-US"/>
              </w:rPr>
              <w:t>contract meetings</w:t>
            </w:r>
            <w:r w:rsidR="0036056B" w:rsidRPr="0036056B">
              <w:rPr>
                <w:rFonts w:ascii="Arial" w:eastAsiaTheme="minorHAnsi" w:hAnsi="Arial" w:cs="Arial"/>
                <w:sz w:val="22"/>
                <w:szCs w:val="22"/>
                <w:lang w:eastAsia="en-US"/>
              </w:rPr>
              <w:t>.</w:t>
            </w:r>
          </w:p>
          <w:p w:rsidR="001B2AE1" w:rsidRPr="0095098F" w:rsidRDefault="001B2AE1" w:rsidP="001B2AE1">
            <w:pPr>
              <w:pStyle w:val="Default"/>
              <w:jc w:val="both"/>
              <w:rPr>
                <w:b/>
                <w:color w:val="FF0000"/>
                <w:sz w:val="22"/>
                <w:szCs w:val="22"/>
                <w:u w:val="single"/>
              </w:rPr>
            </w:pPr>
          </w:p>
          <w:p w:rsidR="0036056B" w:rsidRDefault="0036056B" w:rsidP="001B2AE1">
            <w:pPr>
              <w:pStyle w:val="Default"/>
              <w:jc w:val="both"/>
              <w:rPr>
                <w:b/>
                <w:color w:val="FF0000"/>
                <w:sz w:val="22"/>
                <w:szCs w:val="22"/>
                <w:u w:val="single"/>
              </w:rPr>
            </w:pPr>
          </w:p>
          <w:p w:rsidR="00ED43BD" w:rsidRPr="0095098F" w:rsidRDefault="00ED43BD" w:rsidP="00ED43BD">
            <w:pPr>
              <w:jc w:val="both"/>
              <w:rPr>
                <w:rFonts w:ascii="Arial" w:hAnsi="Arial" w:cs="Arial"/>
                <w:b/>
                <w:sz w:val="22"/>
                <w:szCs w:val="22"/>
                <w:highlight w:val="yellow"/>
              </w:rPr>
            </w:pPr>
            <w:r w:rsidRPr="0083280F">
              <w:rPr>
                <w:rFonts w:ascii="Arial" w:hAnsi="Arial" w:cs="Arial"/>
                <w:b/>
                <w:sz w:val="22"/>
                <w:szCs w:val="22"/>
              </w:rPr>
              <w:t>3. Patient and Client Experience</w:t>
            </w:r>
          </w:p>
          <w:p w:rsidR="00ED43BD" w:rsidRPr="0095098F" w:rsidRDefault="00ED43BD" w:rsidP="00ED43BD">
            <w:pPr>
              <w:jc w:val="both"/>
              <w:rPr>
                <w:rFonts w:ascii="Arial" w:hAnsi="Arial" w:cs="Arial"/>
                <w:b/>
                <w:sz w:val="22"/>
                <w:szCs w:val="22"/>
                <w:highlight w:val="yellow"/>
              </w:rPr>
            </w:pPr>
          </w:p>
          <w:p w:rsidR="002D7D82" w:rsidRPr="00261E16" w:rsidRDefault="00ED43BD" w:rsidP="002D7D82">
            <w:pPr>
              <w:spacing w:after="200" w:line="276" w:lineRule="auto"/>
              <w:jc w:val="both"/>
              <w:rPr>
                <w:rFonts w:ascii="Arial" w:eastAsiaTheme="minorHAnsi" w:hAnsi="Arial" w:cs="Arial"/>
                <w:b/>
                <w:sz w:val="22"/>
                <w:szCs w:val="22"/>
                <w:lang w:eastAsia="en-US"/>
              </w:rPr>
            </w:pPr>
            <w:r w:rsidRPr="00261E16">
              <w:rPr>
                <w:rFonts w:ascii="Arial" w:eastAsiaTheme="minorHAnsi" w:hAnsi="Arial" w:cs="Arial"/>
                <w:b/>
                <w:sz w:val="22"/>
                <w:szCs w:val="22"/>
                <w:lang w:eastAsia="en-US"/>
              </w:rPr>
              <w:t>Friends and Family Test (FFT)</w:t>
            </w:r>
            <w:r w:rsidR="002D7D82" w:rsidRPr="00261E16">
              <w:rPr>
                <w:rFonts w:ascii="Arial" w:eastAsiaTheme="minorHAnsi" w:hAnsi="Arial" w:cs="Arial"/>
                <w:b/>
                <w:sz w:val="22"/>
                <w:szCs w:val="22"/>
                <w:lang w:eastAsia="en-US"/>
              </w:rPr>
              <w:t xml:space="preserve">. </w:t>
            </w:r>
            <w:r w:rsidR="002D7D82" w:rsidRPr="00261E16">
              <w:rPr>
                <w:rFonts w:ascii="Arial" w:eastAsiaTheme="minorHAnsi" w:hAnsi="Arial" w:cs="Arial"/>
                <w:sz w:val="22"/>
                <w:szCs w:val="22"/>
                <w:lang w:eastAsia="en-US"/>
              </w:rPr>
              <w:t xml:space="preserve">The NHS Friends and Family Test (FFT) </w:t>
            </w:r>
            <w:proofErr w:type="gramStart"/>
            <w:r w:rsidR="002D7D82" w:rsidRPr="00261E16">
              <w:rPr>
                <w:rFonts w:ascii="Arial" w:eastAsiaTheme="minorHAnsi" w:hAnsi="Arial" w:cs="Arial"/>
                <w:sz w:val="22"/>
                <w:szCs w:val="22"/>
                <w:lang w:eastAsia="en-US"/>
              </w:rPr>
              <w:t>was</w:t>
            </w:r>
            <w:proofErr w:type="gramEnd"/>
            <w:r w:rsidR="002D7D82" w:rsidRPr="00261E16">
              <w:rPr>
                <w:rFonts w:ascii="Arial" w:eastAsiaTheme="minorHAnsi" w:hAnsi="Arial" w:cs="Arial"/>
                <w:sz w:val="22"/>
                <w:szCs w:val="22"/>
                <w:lang w:eastAsia="en-US"/>
              </w:rPr>
              <w:t xml:space="preserve"> created to help service providers and commissioners understand whether their patients are happy with the service provided, or where improvements are needed. It is a quick and anonymous way for patients to provide their views on the care or treatment they have received by answering one simple question:</w:t>
            </w:r>
          </w:p>
          <w:p w:rsidR="002D7D82" w:rsidRPr="00261E16" w:rsidRDefault="002D7D82" w:rsidP="002D7D82">
            <w:pPr>
              <w:spacing w:after="200" w:line="276" w:lineRule="auto"/>
              <w:jc w:val="both"/>
              <w:rPr>
                <w:rFonts w:ascii="Arial" w:eastAsiaTheme="minorHAnsi" w:hAnsi="Arial" w:cs="Arial"/>
                <w:i/>
                <w:sz w:val="22"/>
                <w:szCs w:val="22"/>
                <w:lang w:eastAsia="en-US"/>
              </w:rPr>
            </w:pPr>
            <w:r w:rsidRPr="00261E16">
              <w:rPr>
                <w:rFonts w:ascii="Arial" w:eastAsiaTheme="minorHAnsi" w:hAnsi="Arial" w:cs="Arial"/>
                <w:i/>
                <w:sz w:val="22"/>
                <w:szCs w:val="22"/>
                <w:lang w:eastAsia="en-US"/>
              </w:rPr>
              <w:t>“How likely are you to recommend our service to your friends and family if they needed similar care or treatment?”</w:t>
            </w:r>
          </w:p>
          <w:p w:rsidR="002D7D82" w:rsidRPr="00261E16" w:rsidRDefault="002D7D82" w:rsidP="0058164C">
            <w:pPr>
              <w:spacing w:after="200" w:line="276" w:lineRule="auto"/>
              <w:jc w:val="both"/>
              <w:rPr>
                <w:rFonts w:ascii="Arial" w:eastAsiaTheme="minorHAnsi" w:hAnsi="Arial" w:cs="Arial"/>
                <w:b/>
                <w:sz w:val="22"/>
                <w:szCs w:val="22"/>
                <w:lang w:eastAsia="en-US"/>
              </w:rPr>
            </w:pPr>
            <w:r w:rsidRPr="00261E16">
              <w:rPr>
                <w:rFonts w:ascii="Arial" w:eastAsiaTheme="minorHAnsi" w:hAnsi="Arial" w:cs="Arial"/>
                <w:sz w:val="22"/>
                <w:szCs w:val="22"/>
                <w:lang w:eastAsia="en-US"/>
              </w:rPr>
              <w:t>See below results from FFT</w:t>
            </w:r>
            <w:r w:rsidR="00261E16" w:rsidRPr="00261E16">
              <w:rPr>
                <w:rFonts w:ascii="Arial" w:eastAsiaTheme="minorHAnsi" w:hAnsi="Arial" w:cs="Arial"/>
                <w:sz w:val="22"/>
                <w:szCs w:val="22"/>
                <w:lang w:eastAsia="en-US"/>
              </w:rPr>
              <w:t>;</w:t>
            </w:r>
          </w:p>
          <w:p w:rsidR="002D7D82" w:rsidRPr="00261E16" w:rsidRDefault="002D7D82" w:rsidP="002D7D82">
            <w:pPr>
              <w:rPr>
                <w:rFonts w:ascii="Arial" w:eastAsia="Verdana" w:hAnsi="Arial" w:cs="Arial"/>
                <w:b/>
                <w:i/>
                <w:color w:val="000000"/>
                <w:sz w:val="22"/>
                <w:szCs w:val="22"/>
              </w:rPr>
            </w:pPr>
            <w:r w:rsidRPr="00261E16">
              <w:rPr>
                <w:rFonts w:ascii="Arial" w:eastAsia="Verdana" w:hAnsi="Arial" w:cs="Arial"/>
                <w:b/>
                <w:i/>
                <w:color w:val="000000"/>
                <w:sz w:val="22"/>
                <w:szCs w:val="22"/>
              </w:rPr>
              <w:t>‘% Who would recommend service’</w:t>
            </w:r>
          </w:p>
          <w:p w:rsidR="002D7D82" w:rsidRPr="00261E16" w:rsidRDefault="002D7D82" w:rsidP="002D7D82">
            <w:pPr>
              <w:rPr>
                <w:rFonts w:ascii="Arial" w:eastAsia="Verdana" w:hAnsi="Arial" w:cs="Arial"/>
                <w:color w:val="000000"/>
                <w:sz w:val="22"/>
                <w:szCs w:val="22"/>
              </w:rPr>
            </w:pPr>
            <w:r w:rsidRPr="00261E16">
              <w:rPr>
                <w:rFonts w:ascii="Arial" w:eastAsia="Verdana" w:hAnsi="Arial" w:cs="Arial"/>
                <w:color w:val="000000"/>
                <w:sz w:val="22"/>
                <w:szCs w:val="22"/>
              </w:rPr>
              <w:t xml:space="preserve">There are a number of new Friends and Family Test measures which are now reported on including; Ambulance, Outpatient, Community and Mental Health.  </w:t>
            </w:r>
          </w:p>
          <w:p w:rsidR="002D7D82" w:rsidRPr="00261E16" w:rsidRDefault="002D7D82" w:rsidP="002D7D82">
            <w:pPr>
              <w:rPr>
                <w:rFonts w:ascii="Arial" w:eastAsia="Verdana" w:hAnsi="Arial" w:cs="Arial"/>
                <w:color w:val="000000"/>
                <w:sz w:val="22"/>
                <w:szCs w:val="22"/>
              </w:rPr>
            </w:pPr>
          </w:p>
          <w:p w:rsidR="002D7D82" w:rsidRPr="00261E16" w:rsidRDefault="002D7D82" w:rsidP="002D7D82">
            <w:pPr>
              <w:rPr>
                <w:rFonts w:ascii="Arial" w:eastAsia="Verdana" w:hAnsi="Arial" w:cs="Arial"/>
                <w:color w:val="000000"/>
                <w:sz w:val="22"/>
                <w:szCs w:val="22"/>
              </w:rPr>
            </w:pPr>
            <w:r w:rsidRPr="00261E16">
              <w:rPr>
                <w:rFonts w:ascii="Arial" w:eastAsia="Verdana" w:hAnsi="Arial" w:cs="Arial"/>
                <w:color w:val="000000"/>
                <w:sz w:val="22"/>
                <w:szCs w:val="22"/>
              </w:rPr>
              <w:t xml:space="preserve">The year to date performance shows we </w:t>
            </w:r>
            <w:r w:rsidR="00261E16" w:rsidRPr="00261E16">
              <w:rPr>
                <w:rFonts w:ascii="Arial" w:eastAsia="Verdana" w:hAnsi="Arial" w:cs="Arial"/>
                <w:color w:val="000000"/>
                <w:sz w:val="22"/>
                <w:szCs w:val="22"/>
              </w:rPr>
              <w:t xml:space="preserve">continue to be </w:t>
            </w:r>
            <w:r w:rsidRPr="00261E16">
              <w:rPr>
                <w:rFonts w:ascii="Arial" w:eastAsia="Verdana" w:hAnsi="Arial" w:cs="Arial"/>
                <w:color w:val="000000"/>
                <w:sz w:val="22"/>
                <w:szCs w:val="22"/>
              </w:rPr>
              <w:t>below target for A&amp;E, Outpatient, Maternity and Staff who would recommend service</w:t>
            </w:r>
            <w:r w:rsidR="00261E16" w:rsidRPr="00261E16">
              <w:rPr>
                <w:rFonts w:ascii="Arial" w:eastAsia="Verdana" w:hAnsi="Arial" w:cs="Arial"/>
                <w:color w:val="000000"/>
                <w:sz w:val="22"/>
                <w:szCs w:val="22"/>
              </w:rPr>
              <w:t>,</w:t>
            </w:r>
            <w:r w:rsidRPr="00261E16">
              <w:rPr>
                <w:rFonts w:ascii="Arial" w:eastAsia="Verdana" w:hAnsi="Arial" w:cs="Arial"/>
                <w:color w:val="000000"/>
                <w:sz w:val="22"/>
                <w:szCs w:val="22"/>
              </w:rPr>
              <w:t xml:space="preserve"> but above target for Ambulance, Inpatient, Community and Mental Health</w:t>
            </w:r>
            <w:r w:rsidR="00261E16" w:rsidRPr="00261E16">
              <w:rPr>
                <w:rFonts w:ascii="Arial" w:eastAsia="Verdana" w:hAnsi="Arial" w:cs="Arial"/>
                <w:color w:val="000000"/>
                <w:sz w:val="22"/>
                <w:szCs w:val="22"/>
              </w:rPr>
              <w:t>,</w:t>
            </w:r>
            <w:r w:rsidRPr="00261E16">
              <w:rPr>
                <w:rFonts w:ascii="Arial" w:eastAsia="Verdana" w:hAnsi="Arial" w:cs="Arial"/>
                <w:color w:val="000000"/>
                <w:sz w:val="22"/>
                <w:szCs w:val="22"/>
              </w:rPr>
              <w:t xml:space="preserve"> when </w:t>
            </w:r>
            <w:r w:rsidR="00261E16" w:rsidRPr="00261E16">
              <w:rPr>
                <w:rFonts w:ascii="Arial" w:eastAsia="Verdana" w:hAnsi="Arial" w:cs="Arial"/>
                <w:color w:val="000000"/>
                <w:sz w:val="22"/>
                <w:szCs w:val="22"/>
              </w:rPr>
              <w:t xml:space="preserve">comparing ourselves to </w:t>
            </w:r>
            <w:r w:rsidRPr="00261E16">
              <w:rPr>
                <w:rFonts w:ascii="Arial" w:eastAsia="Verdana" w:hAnsi="Arial" w:cs="Arial"/>
                <w:color w:val="000000"/>
                <w:sz w:val="22"/>
                <w:szCs w:val="22"/>
              </w:rPr>
              <w:t>how others are performing nationally.</w:t>
            </w:r>
          </w:p>
          <w:p w:rsidR="002D7D82" w:rsidRPr="00261E16" w:rsidRDefault="002D7D82" w:rsidP="0058164C">
            <w:pPr>
              <w:spacing w:after="200" w:line="276" w:lineRule="auto"/>
              <w:jc w:val="both"/>
              <w:rPr>
                <w:rFonts w:ascii="Arial" w:eastAsiaTheme="minorHAnsi" w:hAnsi="Arial" w:cs="Arial"/>
                <w:b/>
                <w:sz w:val="22"/>
                <w:szCs w:val="22"/>
                <w:lang w:eastAsia="en-US"/>
              </w:rPr>
            </w:pPr>
          </w:p>
          <w:p w:rsidR="002D7D82" w:rsidRPr="00261E16" w:rsidRDefault="002D7D82" w:rsidP="002D7D82">
            <w:pPr>
              <w:rPr>
                <w:rFonts w:ascii="Arial" w:eastAsia="Verdana" w:hAnsi="Arial" w:cs="Arial"/>
                <w:b/>
                <w:i/>
                <w:color w:val="000000"/>
                <w:sz w:val="22"/>
                <w:szCs w:val="22"/>
              </w:rPr>
            </w:pPr>
            <w:r w:rsidRPr="00261E16">
              <w:rPr>
                <w:rFonts w:ascii="Arial" w:eastAsia="Verdana" w:hAnsi="Arial" w:cs="Arial"/>
                <w:b/>
                <w:i/>
                <w:color w:val="000000"/>
                <w:sz w:val="22"/>
                <w:szCs w:val="22"/>
              </w:rPr>
              <w:t>‘Response rates’</w:t>
            </w:r>
          </w:p>
          <w:p w:rsidR="002D7D82" w:rsidRPr="00261E16" w:rsidRDefault="002D7D82" w:rsidP="0058164C">
            <w:pPr>
              <w:spacing w:after="200" w:line="276" w:lineRule="auto"/>
              <w:jc w:val="both"/>
              <w:rPr>
                <w:rFonts w:ascii="Arial" w:eastAsiaTheme="minorHAnsi" w:hAnsi="Arial" w:cs="Arial"/>
                <w:b/>
                <w:sz w:val="22"/>
                <w:szCs w:val="22"/>
                <w:lang w:eastAsia="en-US"/>
              </w:rPr>
            </w:pPr>
            <w:r w:rsidRPr="00261E16">
              <w:rPr>
                <w:rFonts w:ascii="Arial" w:eastAsia="Verdana" w:hAnsi="Arial" w:cs="Arial"/>
                <w:color w:val="000000"/>
                <w:sz w:val="22"/>
                <w:szCs w:val="22"/>
              </w:rPr>
              <w:t>In respect of response rate currently</w:t>
            </w:r>
            <w:r w:rsidR="00261E16" w:rsidRPr="00261E16">
              <w:rPr>
                <w:rFonts w:ascii="Arial" w:eastAsia="Verdana" w:hAnsi="Arial" w:cs="Arial"/>
                <w:color w:val="000000"/>
                <w:sz w:val="22"/>
                <w:szCs w:val="22"/>
              </w:rPr>
              <w:t>,</w:t>
            </w:r>
            <w:r w:rsidRPr="00261E16">
              <w:rPr>
                <w:rFonts w:ascii="Arial" w:eastAsia="Verdana" w:hAnsi="Arial" w:cs="Arial"/>
                <w:color w:val="000000"/>
                <w:sz w:val="22"/>
                <w:szCs w:val="22"/>
              </w:rPr>
              <w:t xml:space="preserve"> year to date</w:t>
            </w:r>
            <w:r w:rsidR="00261E16" w:rsidRPr="00261E16">
              <w:rPr>
                <w:rFonts w:ascii="Arial" w:eastAsia="Verdana" w:hAnsi="Arial" w:cs="Arial"/>
                <w:color w:val="000000"/>
                <w:sz w:val="22"/>
                <w:szCs w:val="22"/>
              </w:rPr>
              <w:t>,</w:t>
            </w:r>
            <w:r w:rsidRPr="00261E16">
              <w:rPr>
                <w:rFonts w:ascii="Arial" w:eastAsia="Verdana" w:hAnsi="Arial" w:cs="Arial"/>
                <w:color w:val="000000"/>
                <w:sz w:val="22"/>
                <w:szCs w:val="22"/>
              </w:rPr>
              <w:t xml:space="preserve"> we are below target for A&amp;E, Inpatient, Outpatient, Community and Maternity (Birth)</w:t>
            </w:r>
            <w:r w:rsidR="00261E16" w:rsidRPr="00261E16">
              <w:rPr>
                <w:rFonts w:ascii="Arial" w:eastAsia="Verdana" w:hAnsi="Arial" w:cs="Arial"/>
                <w:color w:val="000000"/>
                <w:sz w:val="22"/>
                <w:szCs w:val="22"/>
              </w:rPr>
              <w:t xml:space="preserve">, again when comparing ourselves with </w:t>
            </w:r>
            <w:r w:rsidRPr="00261E16">
              <w:rPr>
                <w:rFonts w:ascii="Arial" w:eastAsia="Verdana" w:hAnsi="Arial" w:cs="Arial"/>
                <w:color w:val="000000"/>
                <w:sz w:val="22"/>
                <w:szCs w:val="22"/>
              </w:rPr>
              <w:t>how others are performing nationally.</w:t>
            </w:r>
          </w:p>
          <w:p w:rsidR="008B1BAB" w:rsidRPr="00261E16" w:rsidRDefault="008B1BAB" w:rsidP="008B1BAB">
            <w:pPr>
              <w:spacing w:after="200" w:line="276" w:lineRule="auto"/>
              <w:jc w:val="both"/>
              <w:rPr>
                <w:rFonts w:ascii="Arial" w:eastAsiaTheme="minorHAnsi" w:hAnsi="Arial" w:cs="Arial"/>
                <w:sz w:val="22"/>
                <w:szCs w:val="22"/>
                <w:lang w:eastAsia="en-US"/>
              </w:rPr>
            </w:pPr>
            <w:r w:rsidRPr="00261E16">
              <w:rPr>
                <w:rFonts w:ascii="Arial" w:eastAsiaTheme="minorHAnsi" w:hAnsi="Arial" w:cs="Arial"/>
                <w:sz w:val="22"/>
                <w:szCs w:val="22"/>
                <w:lang w:eastAsia="en-US"/>
              </w:rPr>
              <w:t xml:space="preserve">Commissioners have used two approaches with NLG and with HEYH to monitor FFT issues; firstly, via the Trusts CQUIN scheme and secondly, via the Trusts contract management process. </w:t>
            </w:r>
            <w:r w:rsidR="00261E16" w:rsidRPr="00261E16">
              <w:rPr>
                <w:rFonts w:ascii="Arial" w:eastAsiaTheme="minorHAnsi" w:hAnsi="Arial" w:cs="Arial"/>
                <w:sz w:val="22"/>
                <w:szCs w:val="22"/>
                <w:lang w:eastAsia="en-US"/>
              </w:rPr>
              <w:t xml:space="preserve"> </w:t>
            </w:r>
            <w:r w:rsidRPr="00261E16">
              <w:rPr>
                <w:rFonts w:ascii="Arial" w:eastAsiaTheme="minorHAnsi" w:hAnsi="Arial" w:cs="Arial"/>
                <w:sz w:val="22"/>
                <w:szCs w:val="22"/>
                <w:lang w:eastAsia="en-US"/>
              </w:rPr>
              <w:t xml:space="preserve">However the uptake of FFT in both NLG and HEYH, and across all provider departments, does not meet the benchmark set by the national average of 27.6%.  In addition, we currently have limited information to understand what difference or what impact FFT makes in terms of quality of services and care within provider organisations. </w:t>
            </w:r>
          </w:p>
          <w:p w:rsidR="00776D38" w:rsidRPr="00261E16" w:rsidRDefault="008B1BAB" w:rsidP="00830CC4">
            <w:pPr>
              <w:spacing w:after="200" w:line="276" w:lineRule="auto"/>
              <w:jc w:val="both"/>
              <w:rPr>
                <w:rFonts w:ascii="Arial" w:eastAsiaTheme="minorHAnsi" w:hAnsi="Arial" w:cs="Arial"/>
                <w:sz w:val="22"/>
                <w:szCs w:val="22"/>
                <w:highlight w:val="yellow"/>
                <w:lang w:eastAsia="en-US"/>
              </w:rPr>
            </w:pPr>
            <w:r w:rsidRPr="00261E16">
              <w:rPr>
                <w:rFonts w:ascii="Arial" w:eastAsiaTheme="minorHAnsi" w:hAnsi="Arial" w:cs="Arial"/>
                <w:sz w:val="22"/>
                <w:szCs w:val="22"/>
                <w:lang w:eastAsia="en-US"/>
              </w:rPr>
              <w:t xml:space="preserve">As a CCG we have other additional methods of seeking patient experience and feedback which provide alternative sources of information </w:t>
            </w:r>
            <w:r w:rsidR="00261E16" w:rsidRPr="00261E16">
              <w:rPr>
                <w:rFonts w:ascii="Arial" w:eastAsiaTheme="minorHAnsi" w:hAnsi="Arial" w:cs="Arial"/>
                <w:sz w:val="22"/>
                <w:szCs w:val="22"/>
                <w:lang w:eastAsia="en-US"/>
              </w:rPr>
              <w:t>and it is our intention to start to draw together all feedback to provide a more holistic picture of patient experience. This approach</w:t>
            </w:r>
            <w:r w:rsidR="00236749">
              <w:rPr>
                <w:rFonts w:ascii="Arial" w:eastAsiaTheme="minorHAnsi" w:hAnsi="Arial" w:cs="Arial"/>
                <w:sz w:val="22"/>
                <w:szCs w:val="22"/>
                <w:lang w:eastAsia="en-US"/>
              </w:rPr>
              <w:t xml:space="preserve"> should start within the next </w:t>
            </w:r>
            <w:r w:rsidR="00261E16" w:rsidRPr="00261E16">
              <w:rPr>
                <w:rFonts w:ascii="Arial" w:eastAsiaTheme="minorHAnsi" w:hAnsi="Arial" w:cs="Arial"/>
                <w:sz w:val="22"/>
                <w:szCs w:val="22"/>
                <w:lang w:eastAsia="en-US"/>
              </w:rPr>
              <w:t xml:space="preserve">3 months, once we have staff into current vacant posts within the Quality Team. </w:t>
            </w:r>
          </w:p>
        </w:tc>
      </w:tr>
      <w:tr w:rsidR="000F5290" w:rsidRPr="007B57A3" w:rsidTr="002124A8">
        <w:trPr>
          <w:trHeight w:val="57"/>
        </w:trPr>
        <w:tc>
          <w:tcPr>
            <w:tcW w:w="9180" w:type="dxa"/>
            <w:gridSpan w:val="2"/>
            <w:shd w:val="clear" w:color="auto" w:fill="auto"/>
          </w:tcPr>
          <w:p w:rsidR="000F5290" w:rsidRPr="007B57A3" w:rsidRDefault="000F5290" w:rsidP="00DA5437">
            <w:pPr>
              <w:spacing w:line="276" w:lineRule="auto"/>
              <w:jc w:val="both"/>
              <w:rPr>
                <w:rFonts w:ascii="Arial" w:hAnsi="Arial" w:cs="Arial"/>
                <w:bCs/>
                <w:sz w:val="22"/>
                <w:szCs w:val="22"/>
              </w:rPr>
            </w:pPr>
          </w:p>
        </w:tc>
      </w:tr>
    </w:tbl>
    <w:p w:rsidR="00A03A97" w:rsidRPr="002B4829"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2B4829" w:rsidTr="00DD7564">
        <w:trPr>
          <w:trHeight w:val="787"/>
        </w:trPr>
        <w:tc>
          <w:tcPr>
            <w:tcW w:w="9889" w:type="dxa"/>
            <w:gridSpan w:val="3"/>
            <w:shd w:val="clear" w:color="auto" w:fill="auto"/>
          </w:tcPr>
          <w:p w:rsidR="006A2E19" w:rsidRPr="002B4829" w:rsidRDefault="006A2E19" w:rsidP="00DA5437">
            <w:pPr>
              <w:spacing w:line="276" w:lineRule="auto"/>
              <w:jc w:val="both"/>
              <w:rPr>
                <w:rFonts w:ascii="Arial" w:hAnsi="Arial" w:cs="Arial"/>
                <w:b/>
                <w:bCs/>
                <w:sz w:val="22"/>
                <w:szCs w:val="22"/>
              </w:rPr>
            </w:pPr>
          </w:p>
          <w:p w:rsidR="006A2E19" w:rsidRPr="002B4829" w:rsidRDefault="006A2E19" w:rsidP="00DA5437">
            <w:pPr>
              <w:spacing w:line="276" w:lineRule="auto"/>
              <w:jc w:val="both"/>
              <w:rPr>
                <w:rFonts w:ascii="Arial" w:hAnsi="Arial" w:cs="Arial"/>
                <w:b/>
                <w:bCs/>
                <w:sz w:val="22"/>
                <w:szCs w:val="22"/>
              </w:rPr>
            </w:pPr>
            <w:r w:rsidRPr="002B4829">
              <w:rPr>
                <w:rFonts w:ascii="Arial" w:hAnsi="Arial" w:cs="Arial"/>
                <w:b/>
                <w:bCs/>
                <w:sz w:val="22"/>
                <w:szCs w:val="22"/>
              </w:rPr>
              <w:t xml:space="preserve">RECOMMENDATIONS (R) AND ACTIONS (A) FOR AGREEMENT </w:t>
            </w:r>
          </w:p>
          <w:p w:rsidR="00AF1211" w:rsidRPr="002B4829" w:rsidRDefault="00AF1211" w:rsidP="00DA5437">
            <w:pPr>
              <w:spacing w:line="276" w:lineRule="auto"/>
              <w:jc w:val="both"/>
              <w:rPr>
                <w:rFonts w:ascii="Arial" w:hAnsi="Arial" w:cs="Arial"/>
                <w:b/>
                <w:bCs/>
                <w:sz w:val="22"/>
                <w:szCs w:val="22"/>
              </w:rPr>
            </w:pPr>
          </w:p>
        </w:tc>
      </w:tr>
      <w:tr w:rsidR="00DD689C" w:rsidRPr="002B4829" w:rsidTr="00DD7564">
        <w:trPr>
          <w:trHeight w:val="370"/>
        </w:trPr>
        <w:tc>
          <w:tcPr>
            <w:tcW w:w="658" w:type="dxa"/>
            <w:shd w:val="clear" w:color="auto" w:fill="auto"/>
          </w:tcPr>
          <w:p w:rsidR="00DD689C" w:rsidRPr="002B4829" w:rsidRDefault="00DD689C" w:rsidP="00DA5437">
            <w:pPr>
              <w:spacing w:line="276" w:lineRule="auto"/>
              <w:jc w:val="both"/>
              <w:rPr>
                <w:rFonts w:ascii="Arial" w:hAnsi="Arial" w:cs="Arial"/>
                <w:bCs/>
                <w:sz w:val="22"/>
                <w:szCs w:val="22"/>
              </w:rPr>
            </w:pPr>
          </w:p>
        </w:tc>
        <w:tc>
          <w:tcPr>
            <w:tcW w:w="6820" w:type="dxa"/>
            <w:shd w:val="clear" w:color="auto" w:fill="auto"/>
          </w:tcPr>
          <w:p w:rsidR="00DD689C" w:rsidRDefault="00EA2B4C" w:rsidP="00A44E34">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w:t>
            </w:r>
            <w:r w:rsidR="00A44E34">
              <w:rPr>
                <w:rFonts w:ascii="Arial" w:hAnsi="Arial" w:cs="Arial"/>
                <w:bCs/>
                <w:sz w:val="22"/>
                <w:szCs w:val="22"/>
              </w:rPr>
              <w:t>.</w:t>
            </w:r>
          </w:p>
          <w:p w:rsidR="00A44E34" w:rsidRPr="002B4829" w:rsidRDefault="00A44E34" w:rsidP="00A44E34">
            <w:pPr>
              <w:spacing w:line="276" w:lineRule="auto"/>
              <w:jc w:val="both"/>
              <w:rPr>
                <w:rFonts w:ascii="Arial" w:hAnsi="Arial" w:cs="Arial"/>
                <w:bCs/>
                <w:sz w:val="22"/>
                <w:szCs w:val="22"/>
              </w:rPr>
            </w:pPr>
          </w:p>
        </w:tc>
        <w:tc>
          <w:tcPr>
            <w:tcW w:w="2411" w:type="dxa"/>
            <w:shd w:val="clear" w:color="auto" w:fill="auto"/>
          </w:tcPr>
          <w:p w:rsidR="00DD689C" w:rsidRPr="002B4829"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2B4829" w:rsidTr="00434960">
        <w:trPr>
          <w:trHeight w:val="822"/>
          <w:tblHeader/>
        </w:trPr>
        <w:tc>
          <w:tcPr>
            <w:tcW w:w="720"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2B4829"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Yes/No</w:t>
            </w:r>
            <w:r w:rsidRPr="002B4829">
              <w:rPr>
                <w:rFonts w:ascii="Arial" w:hAnsi="Arial" w:cs="Arial"/>
                <w:b/>
                <w:sz w:val="22"/>
                <w:szCs w:val="22"/>
              </w:rPr>
              <w:br/>
            </w:r>
          </w:p>
        </w:tc>
        <w:tc>
          <w:tcPr>
            <w:tcW w:w="3118" w:type="dxa"/>
            <w:shd w:val="clear" w:color="auto" w:fill="C0C0C0"/>
            <w:vAlign w:val="center"/>
          </w:tcPr>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Comments</w:t>
            </w: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document take account of and meet the requirements of the following:</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proofErr w:type="spellStart"/>
            <w:r w:rsidRPr="002B4829">
              <w:rPr>
                <w:rFonts w:ascii="Arial" w:hAnsi="Arial" w:cs="Arial"/>
                <w:sz w:val="22"/>
                <w:szCs w:val="22"/>
              </w:rPr>
              <w:t>i</w:t>
            </w:r>
            <w:proofErr w:type="spellEnd"/>
            <w:r w:rsidRPr="002B4829">
              <w:rPr>
                <w:rFonts w:ascii="Arial" w:hAnsi="Arial" w:cs="Arial"/>
                <w:sz w:val="22"/>
                <w:szCs w:val="22"/>
              </w:rPr>
              <w:t>)</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Mental Capacity Act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CCG  Equality Impact Assessment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Human Rights Act 1998</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Health and Safety at Work Act 1974</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Freedom of Information Act 2000 / Data Protection Act 1998</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report have regard of the principles and values of the NHS Constitution?</w:t>
            </w:r>
          </w:p>
          <w:p w:rsidR="00434960" w:rsidRPr="002B4829" w:rsidRDefault="00E207C3" w:rsidP="00434960">
            <w:pPr>
              <w:spacing w:before="80" w:after="80"/>
              <w:rPr>
                <w:rFonts w:ascii="Arial" w:hAnsi="Arial" w:cs="Arial"/>
                <w:sz w:val="22"/>
                <w:szCs w:val="22"/>
              </w:rPr>
            </w:pPr>
            <w:hyperlink r:id="rId10" w:history="1">
              <w:r w:rsidR="00434960" w:rsidRPr="002B4829">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4E" w:rsidRDefault="004C7D4E">
      <w:r>
        <w:separator/>
      </w:r>
    </w:p>
  </w:endnote>
  <w:endnote w:type="continuationSeparator" w:id="0">
    <w:p w:rsidR="004C7D4E" w:rsidRDefault="004C7D4E">
      <w:r>
        <w:continuationSeparator/>
      </w:r>
    </w:p>
  </w:endnote>
  <w:endnote w:type="continuationNotice" w:id="1">
    <w:p w:rsidR="004C7D4E" w:rsidRDefault="004C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83280F" w:rsidRDefault="0083280F">
        <w:pPr>
          <w:pStyle w:val="Footer"/>
          <w:jc w:val="right"/>
        </w:pPr>
        <w:r>
          <w:fldChar w:fldCharType="begin"/>
        </w:r>
        <w:r>
          <w:instrText xml:space="preserve"> PAGE   \* MERGEFORMAT </w:instrText>
        </w:r>
        <w:r>
          <w:fldChar w:fldCharType="separate"/>
        </w:r>
        <w:r w:rsidR="00E207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4E" w:rsidRDefault="004C7D4E">
      <w:r>
        <w:separator/>
      </w:r>
    </w:p>
  </w:footnote>
  <w:footnote w:type="continuationSeparator" w:id="0">
    <w:p w:rsidR="004C7D4E" w:rsidRDefault="004C7D4E">
      <w:r>
        <w:continuationSeparator/>
      </w:r>
    </w:p>
  </w:footnote>
  <w:footnote w:type="continuationNotice" w:id="1">
    <w:p w:rsidR="004C7D4E" w:rsidRDefault="004C7D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E5F67"/>
    <w:multiLevelType w:val="hybridMultilevel"/>
    <w:tmpl w:val="77AC5D4C"/>
    <w:lvl w:ilvl="0" w:tplc="560A4FA2">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91AEF"/>
    <w:multiLevelType w:val="hybridMultilevel"/>
    <w:tmpl w:val="056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9C464E4"/>
    <w:multiLevelType w:val="hybridMultilevel"/>
    <w:tmpl w:val="79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A1852"/>
    <w:multiLevelType w:val="hybridMultilevel"/>
    <w:tmpl w:val="94D675B2"/>
    <w:lvl w:ilvl="0" w:tplc="D57C80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D1347D"/>
    <w:multiLevelType w:val="hybridMultilevel"/>
    <w:tmpl w:val="3288E8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EF2064"/>
    <w:multiLevelType w:val="hybridMultilevel"/>
    <w:tmpl w:val="C226E2C6"/>
    <w:lvl w:ilvl="0" w:tplc="A90CE0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6">
    <w:nsid w:val="20BA3EAF"/>
    <w:multiLevelType w:val="hybridMultilevel"/>
    <w:tmpl w:val="26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D367B"/>
    <w:multiLevelType w:val="hybridMultilevel"/>
    <w:tmpl w:val="BC4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3B00EA"/>
    <w:multiLevelType w:val="hybridMultilevel"/>
    <w:tmpl w:val="FB9C1AA2"/>
    <w:lvl w:ilvl="0" w:tplc="4AD05E46">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EE1BB3"/>
    <w:multiLevelType w:val="hybridMultilevel"/>
    <w:tmpl w:val="CC3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F15D06"/>
    <w:multiLevelType w:val="hybridMultilevel"/>
    <w:tmpl w:val="DB8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A72CB8"/>
    <w:multiLevelType w:val="hybridMultilevel"/>
    <w:tmpl w:val="845665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D56BF1"/>
    <w:multiLevelType w:val="hybridMultilevel"/>
    <w:tmpl w:val="9A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1E628C"/>
    <w:multiLevelType w:val="multilevel"/>
    <w:tmpl w:val="A19A2A52"/>
    <w:lvl w:ilvl="0">
      <w:start w:val="1"/>
      <w:numFmt w:val="decimal"/>
      <w:lvlText w:val="%1."/>
      <w:lvlJc w:val="left"/>
      <w:pPr>
        <w:ind w:left="6456" w:hanging="360"/>
      </w:pPr>
    </w:lvl>
    <w:lvl w:ilvl="1">
      <w:start w:val="1"/>
      <w:numFmt w:val="decimal"/>
      <w:lvlText w:val="%2."/>
      <w:lvlJc w:val="left"/>
      <w:pPr>
        <w:ind w:left="999" w:hanging="432"/>
      </w:p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B95157A"/>
    <w:multiLevelType w:val="hybridMultilevel"/>
    <w:tmpl w:val="18C0FBE6"/>
    <w:lvl w:ilvl="0" w:tplc="9D880C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0C2492"/>
    <w:multiLevelType w:val="hybridMultilevel"/>
    <w:tmpl w:val="06C2A234"/>
    <w:lvl w:ilvl="0" w:tplc="3DF2DF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3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9">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E147BCE"/>
    <w:multiLevelType w:val="hybridMultilevel"/>
    <w:tmpl w:val="C43A7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1A74D9"/>
    <w:multiLevelType w:val="hybridMultilevel"/>
    <w:tmpl w:val="F0B2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2741F18"/>
    <w:multiLevelType w:val="hybridMultilevel"/>
    <w:tmpl w:val="1C5C56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
  </w:num>
  <w:num w:numId="3">
    <w:abstractNumId w:val="0"/>
  </w:num>
  <w:num w:numId="4">
    <w:abstractNumId w:val="47"/>
  </w:num>
  <w:num w:numId="5">
    <w:abstractNumId w:val="36"/>
  </w:num>
  <w:num w:numId="6">
    <w:abstractNumId w:val="43"/>
  </w:num>
  <w:num w:numId="7">
    <w:abstractNumId w:val="5"/>
  </w:num>
  <w:num w:numId="8">
    <w:abstractNumId w:val="35"/>
  </w:num>
  <w:num w:numId="9">
    <w:abstractNumId w:val="38"/>
  </w:num>
  <w:num w:numId="10">
    <w:abstractNumId w:val="8"/>
  </w:num>
  <w:num w:numId="11">
    <w:abstractNumId w:val="18"/>
  </w:num>
  <w:num w:numId="12">
    <w:abstractNumId w:val="41"/>
  </w:num>
  <w:num w:numId="13">
    <w:abstractNumId w:val="31"/>
  </w:num>
  <w:num w:numId="14">
    <w:abstractNumId w:val="3"/>
  </w:num>
  <w:num w:numId="15">
    <w:abstractNumId w:val="33"/>
  </w:num>
  <w:num w:numId="16">
    <w:abstractNumId w:val="19"/>
  </w:num>
  <w:num w:numId="17">
    <w:abstractNumId w:val="37"/>
  </w:num>
  <w:num w:numId="18">
    <w:abstractNumId w:val="32"/>
  </w:num>
  <w:num w:numId="19">
    <w:abstractNumId w:val="44"/>
  </w:num>
  <w:num w:numId="20">
    <w:abstractNumId w:val="15"/>
  </w:num>
  <w:num w:numId="21">
    <w:abstractNumId w:val="14"/>
  </w:num>
  <w:num w:numId="22">
    <w:abstractNumId w:val="26"/>
  </w:num>
  <w:num w:numId="23">
    <w:abstractNumId w:val="7"/>
  </w:num>
  <w:num w:numId="24">
    <w:abstractNumId w:val="13"/>
  </w:num>
  <w:num w:numId="25">
    <w:abstractNumId w:val="22"/>
  </w:num>
  <w:num w:numId="26">
    <w:abstractNumId w:val="34"/>
  </w:num>
  <w:num w:numId="27">
    <w:abstractNumId w:val="21"/>
  </w:num>
  <w:num w:numId="28">
    <w:abstractNumId w:val="45"/>
  </w:num>
  <w:num w:numId="29">
    <w:abstractNumId w:val="9"/>
  </w:num>
  <w:num w:numId="30">
    <w:abstractNumId w:val="39"/>
  </w:num>
  <w:num w:numId="31">
    <w:abstractNumId w:val="10"/>
  </w:num>
  <w:num w:numId="32">
    <w:abstractNumId w:val="25"/>
  </w:num>
  <w:num w:numId="33">
    <w:abstractNumId w:val="12"/>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6"/>
  </w:num>
  <w:num w:numId="37">
    <w:abstractNumId w:val="24"/>
  </w:num>
  <w:num w:numId="38">
    <w:abstractNumId w:val="20"/>
  </w:num>
  <w:num w:numId="39">
    <w:abstractNumId w:val="29"/>
  </w:num>
  <w:num w:numId="40">
    <w:abstractNumId w:val="1"/>
  </w:num>
  <w:num w:numId="41">
    <w:abstractNumId w:val="11"/>
  </w:num>
  <w:num w:numId="42">
    <w:abstractNumId w:val="48"/>
  </w:num>
  <w:num w:numId="43">
    <w:abstractNumId w:val="27"/>
  </w:num>
  <w:num w:numId="44">
    <w:abstractNumId w:val="16"/>
  </w:num>
  <w:num w:numId="45">
    <w:abstractNumId w:val="30"/>
  </w:num>
  <w:num w:numId="46">
    <w:abstractNumId w:val="2"/>
  </w:num>
  <w:num w:numId="47">
    <w:abstractNumId w:val="17"/>
  </w:num>
  <w:num w:numId="48">
    <w:abstractNumId w:val="42"/>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4C8"/>
    <w:rsid w:val="00002EFA"/>
    <w:rsid w:val="00005597"/>
    <w:rsid w:val="000070CC"/>
    <w:rsid w:val="000115E6"/>
    <w:rsid w:val="000131BE"/>
    <w:rsid w:val="00015F2C"/>
    <w:rsid w:val="000165FE"/>
    <w:rsid w:val="00017A40"/>
    <w:rsid w:val="00017A77"/>
    <w:rsid w:val="00020184"/>
    <w:rsid w:val="0003526D"/>
    <w:rsid w:val="00037302"/>
    <w:rsid w:val="00040145"/>
    <w:rsid w:val="00050A68"/>
    <w:rsid w:val="0005217F"/>
    <w:rsid w:val="00053013"/>
    <w:rsid w:val="000553ED"/>
    <w:rsid w:val="00060BE3"/>
    <w:rsid w:val="00062ABA"/>
    <w:rsid w:val="0006383A"/>
    <w:rsid w:val="00067D66"/>
    <w:rsid w:val="000804F5"/>
    <w:rsid w:val="00086901"/>
    <w:rsid w:val="00091E11"/>
    <w:rsid w:val="000920DD"/>
    <w:rsid w:val="00095E6B"/>
    <w:rsid w:val="00095FED"/>
    <w:rsid w:val="00097CD3"/>
    <w:rsid w:val="000B1D82"/>
    <w:rsid w:val="000B1EEB"/>
    <w:rsid w:val="000B4521"/>
    <w:rsid w:val="000B71BF"/>
    <w:rsid w:val="000C440F"/>
    <w:rsid w:val="000C53A0"/>
    <w:rsid w:val="000E4269"/>
    <w:rsid w:val="000F5290"/>
    <w:rsid w:val="00101E52"/>
    <w:rsid w:val="00105599"/>
    <w:rsid w:val="00105BD8"/>
    <w:rsid w:val="00112B21"/>
    <w:rsid w:val="001154A6"/>
    <w:rsid w:val="00120909"/>
    <w:rsid w:val="001209C1"/>
    <w:rsid w:val="00124B07"/>
    <w:rsid w:val="00132B3D"/>
    <w:rsid w:val="00136A3D"/>
    <w:rsid w:val="00136C3A"/>
    <w:rsid w:val="00146F56"/>
    <w:rsid w:val="0015293E"/>
    <w:rsid w:val="001555E0"/>
    <w:rsid w:val="00157684"/>
    <w:rsid w:val="00157D2B"/>
    <w:rsid w:val="00160342"/>
    <w:rsid w:val="00171A6A"/>
    <w:rsid w:val="00176D4A"/>
    <w:rsid w:val="00180D44"/>
    <w:rsid w:val="00180DA6"/>
    <w:rsid w:val="00185707"/>
    <w:rsid w:val="00187F17"/>
    <w:rsid w:val="00190670"/>
    <w:rsid w:val="00193741"/>
    <w:rsid w:val="00197B68"/>
    <w:rsid w:val="001A4E90"/>
    <w:rsid w:val="001A6265"/>
    <w:rsid w:val="001B2AE1"/>
    <w:rsid w:val="001B3A86"/>
    <w:rsid w:val="001B6258"/>
    <w:rsid w:val="001C0128"/>
    <w:rsid w:val="001D06EA"/>
    <w:rsid w:val="001D6104"/>
    <w:rsid w:val="001D78A2"/>
    <w:rsid w:val="001E1853"/>
    <w:rsid w:val="001E773A"/>
    <w:rsid w:val="001F0095"/>
    <w:rsid w:val="001F21BE"/>
    <w:rsid w:val="001F59F0"/>
    <w:rsid w:val="001F6597"/>
    <w:rsid w:val="00200CED"/>
    <w:rsid w:val="0020798A"/>
    <w:rsid w:val="002124A8"/>
    <w:rsid w:val="00213BC1"/>
    <w:rsid w:val="002141E5"/>
    <w:rsid w:val="00216C8C"/>
    <w:rsid w:val="0022661B"/>
    <w:rsid w:val="0022758E"/>
    <w:rsid w:val="00231A40"/>
    <w:rsid w:val="00231D43"/>
    <w:rsid w:val="00235F12"/>
    <w:rsid w:val="00236749"/>
    <w:rsid w:val="00236888"/>
    <w:rsid w:val="00237E7A"/>
    <w:rsid w:val="00246031"/>
    <w:rsid w:val="00246D3A"/>
    <w:rsid w:val="002510A1"/>
    <w:rsid w:val="0025514C"/>
    <w:rsid w:val="00256406"/>
    <w:rsid w:val="00261AB5"/>
    <w:rsid w:val="00261E16"/>
    <w:rsid w:val="002626F4"/>
    <w:rsid w:val="0026660D"/>
    <w:rsid w:val="00266CB0"/>
    <w:rsid w:val="00266FF1"/>
    <w:rsid w:val="002700D2"/>
    <w:rsid w:val="00285B93"/>
    <w:rsid w:val="00285C31"/>
    <w:rsid w:val="00286998"/>
    <w:rsid w:val="00286A2F"/>
    <w:rsid w:val="00292B28"/>
    <w:rsid w:val="00294FCD"/>
    <w:rsid w:val="002A2A33"/>
    <w:rsid w:val="002A3C39"/>
    <w:rsid w:val="002A651D"/>
    <w:rsid w:val="002B4829"/>
    <w:rsid w:val="002B63BC"/>
    <w:rsid w:val="002C17C1"/>
    <w:rsid w:val="002C5522"/>
    <w:rsid w:val="002D417E"/>
    <w:rsid w:val="002D7D82"/>
    <w:rsid w:val="002E26B9"/>
    <w:rsid w:val="002E7820"/>
    <w:rsid w:val="002F30C8"/>
    <w:rsid w:val="002F445D"/>
    <w:rsid w:val="002F47B6"/>
    <w:rsid w:val="002F5936"/>
    <w:rsid w:val="00301655"/>
    <w:rsid w:val="00301CDC"/>
    <w:rsid w:val="00303B76"/>
    <w:rsid w:val="00312796"/>
    <w:rsid w:val="003225BA"/>
    <w:rsid w:val="00326AB8"/>
    <w:rsid w:val="00333257"/>
    <w:rsid w:val="00337675"/>
    <w:rsid w:val="0034307E"/>
    <w:rsid w:val="00357080"/>
    <w:rsid w:val="0036056B"/>
    <w:rsid w:val="00361929"/>
    <w:rsid w:val="00363C1F"/>
    <w:rsid w:val="0036628F"/>
    <w:rsid w:val="00366F7D"/>
    <w:rsid w:val="00380FCF"/>
    <w:rsid w:val="003813D8"/>
    <w:rsid w:val="00384979"/>
    <w:rsid w:val="00394DE6"/>
    <w:rsid w:val="00394F30"/>
    <w:rsid w:val="003A0027"/>
    <w:rsid w:val="003A03CB"/>
    <w:rsid w:val="003A2C04"/>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27B4E"/>
    <w:rsid w:val="004337A4"/>
    <w:rsid w:val="00434363"/>
    <w:rsid w:val="00434960"/>
    <w:rsid w:val="0043664F"/>
    <w:rsid w:val="00441951"/>
    <w:rsid w:val="00441E7A"/>
    <w:rsid w:val="00446F94"/>
    <w:rsid w:val="00447394"/>
    <w:rsid w:val="00450490"/>
    <w:rsid w:val="00450F47"/>
    <w:rsid w:val="0045487B"/>
    <w:rsid w:val="00454EA5"/>
    <w:rsid w:val="00456662"/>
    <w:rsid w:val="0045701C"/>
    <w:rsid w:val="00457AAE"/>
    <w:rsid w:val="00460038"/>
    <w:rsid w:val="004623CA"/>
    <w:rsid w:val="00462810"/>
    <w:rsid w:val="00463727"/>
    <w:rsid w:val="00463C23"/>
    <w:rsid w:val="00464A6D"/>
    <w:rsid w:val="00466602"/>
    <w:rsid w:val="00470088"/>
    <w:rsid w:val="00470C33"/>
    <w:rsid w:val="004710E4"/>
    <w:rsid w:val="004756D3"/>
    <w:rsid w:val="004822A5"/>
    <w:rsid w:val="00484A74"/>
    <w:rsid w:val="00486F47"/>
    <w:rsid w:val="00490D15"/>
    <w:rsid w:val="0049707B"/>
    <w:rsid w:val="004A5EE0"/>
    <w:rsid w:val="004A69F6"/>
    <w:rsid w:val="004A75B1"/>
    <w:rsid w:val="004B29A9"/>
    <w:rsid w:val="004B4F56"/>
    <w:rsid w:val="004C0DE3"/>
    <w:rsid w:val="004C5FA2"/>
    <w:rsid w:val="004C677C"/>
    <w:rsid w:val="004C6F5C"/>
    <w:rsid w:val="004C7D4E"/>
    <w:rsid w:val="004D0321"/>
    <w:rsid w:val="004D7118"/>
    <w:rsid w:val="004E7A80"/>
    <w:rsid w:val="004F2E71"/>
    <w:rsid w:val="004F300F"/>
    <w:rsid w:val="004F3209"/>
    <w:rsid w:val="004F3EAA"/>
    <w:rsid w:val="004F64DF"/>
    <w:rsid w:val="005109BE"/>
    <w:rsid w:val="00517C3A"/>
    <w:rsid w:val="0052360E"/>
    <w:rsid w:val="00523798"/>
    <w:rsid w:val="00532C2C"/>
    <w:rsid w:val="00532D8C"/>
    <w:rsid w:val="00541F74"/>
    <w:rsid w:val="0055649F"/>
    <w:rsid w:val="00562641"/>
    <w:rsid w:val="00562E19"/>
    <w:rsid w:val="00564C95"/>
    <w:rsid w:val="00567797"/>
    <w:rsid w:val="0057544B"/>
    <w:rsid w:val="0057654D"/>
    <w:rsid w:val="0058164C"/>
    <w:rsid w:val="005847E8"/>
    <w:rsid w:val="00585083"/>
    <w:rsid w:val="0058666A"/>
    <w:rsid w:val="00587A7C"/>
    <w:rsid w:val="00587B25"/>
    <w:rsid w:val="00591E40"/>
    <w:rsid w:val="00593311"/>
    <w:rsid w:val="005973A0"/>
    <w:rsid w:val="005A36F7"/>
    <w:rsid w:val="005A507A"/>
    <w:rsid w:val="005A625B"/>
    <w:rsid w:val="005C497F"/>
    <w:rsid w:val="005E01FA"/>
    <w:rsid w:val="005E2E6B"/>
    <w:rsid w:val="005F0C84"/>
    <w:rsid w:val="005F11AA"/>
    <w:rsid w:val="005F195A"/>
    <w:rsid w:val="0060216B"/>
    <w:rsid w:val="006032E1"/>
    <w:rsid w:val="00604967"/>
    <w:rsid w:val="00607C7F"/>
    <w:rsid w:val="006203A2"/>
    <w:rsid w:val="006227EF"/>
    <w:rsid w:val="00625124"/>
    <w:rsid w:val="00633741"/>
    <w:rsid w:val="006431B3"/>
    <w:rsid w:val="00645866"/>
    <w:rsid w:val="006468ED"/>
    <w:rsid w:val="006558BC"/>
    <w:rsid w:val="006569A3"/>
    <w:rsid w:val="00657CC2"/>
    <w:rsid w:val="00664815"/>
    <w:rsid w:val="006657C5"/>
    <w:rsid w:val="00666DDD"/>
    <w:rsid w:val="0067295A"/>
    <w:rsid w:val="00675C73"/>
    <w:rsid w:val="0068471B"/>
    <w:rsid w:val="0068496F"/>
    <w:rsid w:val="00686660"/>
    <w:rsid w:val="0069645B"/>
    <w:rsid w:val="0069733F"/>
    <w:rsid w:val="006A2E19"/>
    <w:rsid w:val="006A788A"/>
    <w:rsid w:val="006A7D61"/>
    <w:rsid w:val="006B301F"/>
    <w:rsid w:val="006B7C64"/>
    <w:rsid w:val="006C03B7"/>
    <w:rsid w:val="006C1DEF"/>
    <w:rsid w:val="006C2A88"/>
    <w:rsid w:val="006C5536"/>
    <w:rsid w:val="006C7617"/>
    <w:rsid w:val="006D2FBF"/>
    <w:rsid w:val="006D535E"/>
    <w:rsid w:val="006E2F1F"/>
    <w:rsid w:val="006E77B2"/>
    <w:rsid w:val="006F1162"/>
    <w:rsid w:val="006F2D41"/>
    <w:rsid w:val="006F45C7"/>
    <w:rsid w:val="006F5C8A"/>
    <w:rsid w:val="006F7B59"/>
    <w:rsid w:val="0070365F"/>
    <w:rsid w:val="0070417A"/>
    <w:rsid w:val="00704AA3"/>
    <w:rsid w:val="00710714"/>
    <w:rsid w:val="0071408A"/>
    <w:rsid w:val="00716CAF"/>
    <w:rsid w:val="00722DAB"/>
    <w:rsid w:val="00730C39"/>
    <w:rsid w:val="007315E3"/>
    <w:rsid w:val="0073457C"/>
    <w:rsid w:val="007351D1"/>
    <w:rsid w:val="00736E79"/>
    <w:rsid w:val="00740BB8"/>
    <w:rsid w:val="00752F56"/>
    <w:rsid w:val="00752FD6"/>
    <w:rsid w:val="007542CB"/>
    <w:rsid w:val="007559C0"/>
    <w:rsid w:val="00762B55"/>
    <w:rsid w:val="00765D56"/>
    <w:rsid w:val="007673BA"/>
    <w:rsid w:val="0077428E"/>
    <w:rsid w:val="00775657"/>
    <w:rsid w:val="00775E08"/>
    <w:rsid w:val="00776A1C"/>
    <w:rsid w:val="00776D38"/>
    <w:rsid w:val="00777C4C"/>
    <w:rsid w:val="007818CA"/>
    <w:rsid w:val="007927F8"/>
    <w:rsid w:val="007943EA"/>
    <w:rsid w:val="007A1CE6"/>
    <w:rsid w:val="007A356A"/>
    <w:rsid w:val="007A7384"/>
    <w:rsid w:val="007B20A8"/>
    <w:rsid w:val="007B2FB2"/>
    <w:rsid w:val="007B57A3"/>
    <w:rsid w:val="007C1372"/>
    <w:rsid w:val="007C7176"/>
    <w:rsid w:val="007C7315"/>
    <w:rsid w:val="007D3224"/>
    <w:rsid w:val="007D373C"/>
    <w:rsid w:val="007D4325"/>
    <w:rsid w:val="007D696B"/>
    <w:rsid w:val="007E2B49"/>
    <w:rsid w:val="007E34FA"/>
    <w:rsid w:val="007E5418"/>
    <w:rsid w:val="007E6A63"/>
    <w:rsid w:val="007E6D0A"/>
    <w:rsid w:val="007F26DD"/>
    <w:rsid w:val="007F3D4C"/>
    <w:rsid w:val="007F5413"/>
    <w:rsid w:val="00801DD4"/>
    <w:rsid w:val="008024D1"/>
    <w:rsid w:val="008032FA"/>
    <w:rsid w:val="00803AA5"/>
    <w:rsid w:val="00812DE5"/>
    <w:rsid w:val="00815FA9"/>
    <w:rsid w:val="008254CA"/>
    <w:rsid w:val="00826DB8"/>
    <w:rsid w:val="00830CC4"/>
    <w:rsid w:val="00831338"/>
    <w:rsid w:val="0083280F"/>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1BAB"/>
    <w:rsid w:val="008B3714"/>
    <w:rsid w:val="008C70FB"/>
    <w:rsid w:val="008D12EA"/>
    <w:rsid w:val="008D6A39"/>
    <w:rsid w:val="008E206C"/>
    <w:rsid w:val="008F140F"/>
    <w:rsid w:val="008F200B"/>
    <w:rsid w:val="008F2672"/>
    <w:rsid w:val="008F677B"/>
    <w:rsid w:val="00902940"/>
    <w:rsid w:val="00905151"/>
    <w:rsid w:val="00907378"/>
    <w:rsid w:val="009112DF"/>
    <w:rsid w:val="00911859"/>
    <w:rsid w:val="009119AD"/>
    <w:rsid w:val="0091688E"/>
    <w:rsid w:val="00920543"/>
    <w:rsid w:val="00923556"/>
    <w:rsid w:val="009269E7"/>
    <w:rsid w:val="009306C6"/>
    <w:rsid w:val="00936BC2"/>
    <w:rsid w:val="00936C71"/>
    <w:rsid w:val="009377E9"/>
    <w:rsid w:val="0094097A"/>
    <w:rsid w:val="009415CF"/>
    <w:rsid w:val="00944FDA"/>
    <w:rsid w:val="00946B7B"/>
    <w:rsid w:val="0095098F"/>
    <w:rsid w:val="00960460"/>
    <w:rsid w:val="00961032"/>
    <w:rsid w:val="009615DA"/>
    <w:rsid w:val="009646FA"/>
    <w:rsid w:val="00964C38"/>
    <w:rsid w:val="00973430"/>
    <w:rsid w:val="00975B74"/>
    <w:rsid w:val="009846C1"/>
    <w:rsid w:val="00995D16"/>
    <w:rsid w:val="009A0C1E"/>
    <w:rsid w:val="009B25F1"/>
    <w:rsid w:val="009B32B5"/>
    <w:rsid w:val="009B3884"/>
    <w:rsid w:val="009C1493"/>
    <w:rsid w:val="009C33D4"/>
    <w:rsid w:val="009C4945"/>
    <w:rsid w:val="009C6E24"/>
    <w:rsid w:val="009D14DD"/>
    <w:rsid w:val="009D1949"/>
    <w:rsid w:val="009D4815"/>
    <w:rsid w:val="009E0D79"/>
    <w:rsid w:val="009E7323"/>
    <w:rsid w:val="009F1269"/>
    <w:rsid w:val="00A00AB3"/>
    <w:rsid w:val="00A01B48"/>
    <w:rsid w:val="00A03A97"/>
    <w:rsid w:val="00A07691"/>
    <w:rsid w:val="00A07A07"/>
    <w:rsid w:val="00A07D22"/>
    <w:rsid w:val="00A1183A"/>
    <w:rsid w:val="00A14275"/>
    <w:rsid w:val="00A17708"/>
    <w:rsid w:val="00A20848"/>
    <w:rsid w:val="00A23803"/>
    <w:rsid w:val="00A2612F"/>
    <w:rsid w:val="00A31B98"/>
    <w:rsid w:val="00A33560"/>
    <w:rsid w:val="00A33B01"/>
    <w:rsid w:val="00A35F42"/>
    <w:rsid w:val="00A40291"/>
    <w:rsid w:val="00A44E34"/>
    <w:rsid w:val="00A45F00"/>
    <w:rsid w:val="00A531CD"/>
    <w:rsid w:val="00A54156"/>
    <w:rsid w:val="00A646B0"/>
    <w:rsid w:val="00A66F25"/>
    <w:rsid w:val="00A70583"/>
    <w:rsid w:val="00A74848"/>
    <w:rsid w:val="00A773EC"/>
    <w:rsid w:val="00A77DA9"/>
    <w:rsid w:val="00A82F1E"/>
    <w:rsid w:val="00A839E9"/>
    <w:rsid w:val="00A83BD9"/>
    <w:rsid w:val="00A860CA"/>
    <w:rsid w:val="00A862EF"/>
    <w:rsid w:val="00A873BF"/>
    <w:rsid w:val="00A87ACE"/>
    <w:rsid w:val="00A9668F"/>
    <w:rsid w:val="00A96FB0"/>
    <w:rsid w:val="00AB262D"/>
    <w:rsid w:val="00AB2796"/>
    <w:rsid w:val="00AC13A0"/>
    <w:rsid w:val="00AC47AF"/>
    <w:rsid w:val="00AC54D3"/>
    <w:rsid w:val="00AC5C4C"/>
    <w:rsid w:val="00AC7BB2"/>
    <w:rsid w:val="00AD4952"/>
    <w:rsid w:val="00AD4F09"/>
    <w:rsid w:val="00AD5328"/>
    <w:rsid w:val="00AD584A"/>
    <w:rsid w:val="00AD706A"/>
    <w:rsid w:val="00AD7635"/>
    <w:rsid w:val="00AE454E"/>
    <w:rsid w:val="00AE485A"/>
    <w:rsid w:val="00AF05A0"/>
    <w:rsid w:val="00AF1211"/>
    <w:rsid w:val="00AF3749"/>
    <w:rsid w:val="00AF3A61"/>
    <w:rsid w:val="00AF47E2"/>
    <w:rsid w:val="00AF5DDB"/>
    <w:rsid w:val="00B02EF5"/>
    <w:rsid w:val="00B170EF"/>
    <w:rsid w:val="00B26FC2"/>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D6929"/>
    <w:rsid w:val="00BE020D"/>
    <w:rsid w:val="00BE2812"/>
    <w:rsid w:val="00BE6E0D"/>
    <w:rsid w:val="00BE7009"/>
    <w:rsid w:val="00BF300A"/>
    <w:rsid w:val="00BF4C1F"/>
    <w:rsid w:val="00BF64D8"/>
    <w:rsid w:val="00C053D3"/>
    <w:rsid w:val="00C0569D"/>
    <w:rsid w:val="00C07D8B"/>
    <w:rsid w:val="00C11E56"/>
    <w:rsid w:val="00C12393"/>
    <w:rsid w:val="00C13505"/>
    <w:rsid w:val="00C20949"/>
    <w:rsid w:val="00C3745F"/>
    <w:rsid w:val="00C43E07"/>
    <w:rsid w:val="00C523B4"/>
    <w:rsid w:val="00C52D50"/>
    <w:rsid w:val="00C628C9"/>
    <w:rsid w:val="00C703B6"/>
    <w:rsid w:val="00C72CB3"/>
    <w:rsid w:val="00C74EC1"/>
    <w:rsid w:val="00C7588E"/>
    <w:rsid w:val="00C77873"/>
    <w:rsid w:val="00C85824"/>
    <w:rsid w:val="00C86CC4"/>
    <w:rsid w:val="00C965C4"/>
    <w:rsid w:val="00CA3315"/>
    <w:rsid w:val="00CA64C1"/>
    <w:rsid w:val="00CA6EC9"/>
    <w:rsid w:val="00CB1B56"/>
    <w:rsid w:val="00CB4EE8"/>
    <w:rsid w:val="00CC6E1E"/>
    <w:rsid w:val="00CD079D"/>
    <w:rsid w:val="00CD2622"/>
    <w:rsid w:val="00CD319C"/>
    <w:rsid w:val="00CD4F1D"/>
    <w:rsid w:val="00CD54A8"/>
    <w:rsid w:val="00CE07E5"/>
    <w:rsid w:val="00CE160D"/>
    <w:rsid w:val="00CF242E"/>
    <w:rsid w:val="00CF258F"/>
    <w:rsid w:val="00CF5F75"/>
    <w:rsid w:val="00D00EFA"/>
    <w:rsid w:val="00D1598D"/>
    <w:rsid w:val="00D25017"/>
    <w:rsid w:val="00D25A2E"/>
    <w:rsid w:val="00D271AC"/>
    <w:rsid w:val="00D305B9"/>
    <w:rsid w:val="00D3494B"/>
    <w:rsid w:val="00D35D4A"/>
    <w:rsid w:val="00D41C63"/>
    <w:rsid w:val="00D450C3"/>
    <w:rsid w:val="00D4597C"/>
    <w:rsid w:val="00D52206"/>
    <w:rsid w:val="00D6242A"/>
    <w:rsid w:val="00D655CC"/>
    <w:rsid w:val="00D6660C"/>
    <w:rsid w:val="00D67619"/>
    <w:rsid w:val="00D76A89"/>
    <w:rsid w:val="00D803BA"/>
    <w:rsid w:val="00D91037"/>
    <w:rsid w:val="00D921A3"/>
    <w:rsid w:val="00DA272A"/>
    <w:rsid w:val="00DA5437"/>
    <w:rsid w:val="00DA584B"/>
    <w:rsid w:val="00DA6818"/>
    <w:rsid w:val="00DA7509"/>
    <w:rsid w:val="00DA75DE"/>
    <w:rsid w:val="00DC2203"/>
    <w:rsid w:val="00DC3218"/>
    <w:rsid w:val="00DC46DB"/>
    <w:rsid w:val="00DC5A71"/>
    <w:rsid w:val="00DD1E33"/>
    <w:rsid w:val="00DD27F1"/>
    <w:rsid w:val="00DD3E42"/>
    <w:rsid w:val="00DD689C"/>
    <w:rsid w:val="00DD7564"/>
    <w:rsid w:val="00DE6E0E"/>
    <w:rsid w:val="00DF00F8"/>
    <w:rsid w:val="00DF2F49"/>
    <w:rsid w:val="00DF3185"/>
    <w:rsid w:val="00DF3E42"/>
    <w:rsid w:val="00DF47C7"/>
    <w:rsid w:val="00E056CB"/>
    <w:rsid w:val="00E15C04"/>
    <w:rsid w:val="00E207C3"/>
    <w:rsid w:val="00E24870"/>
    <w:rsid w:val="00E2557D"/>
    <w:rsid w:val="00E320A8"/>
    <w:rsid w:val="00E43FD9"/>
    <w:rsid w:val="00E4499A"/>
    <w:rsid w:val="00E46EFA"/>
    <w:rsid w:val="00E47C0B"/>
    <w:rsid w:val="00E50ED4"/>
    <w:rsid w:val="00E5159C"/>
    <w:rsid w:val="00E538AF"/>
    <w:rsid w:val="00E550FE"/>
    <w:rsid w:val="00E55E7F"/>
    <w:rsid w:val="00E56F95"/>
    <w:rsid w:val="00E617F9"/>
    <w:rsid w:val="00E62B1C"/>
    <w:rsid w:val="00E62F21"/>
    <w:rsid w:val="00E67668"/>
    <w:rsid w:val="00E7471C"/>
    <w:rsid w:val="00E75A46"/>
    <w:rsid w:val="00E857C3"/>
    <w:rsid w:val="00E86728"/>
    <w:rsid w:val="00E921F2"/>
    <w:rsid w:val="00E92F81"/>
    <w:rsid w:val="00E94BFF"/>
    <w:rsid w:val="00E9685C"/>
    <w:rsid w:val="00EA1089"/>
    <w:rsid w:val="00EA285F"/>
    <w:rsid w:val="00EA2B4C"/>
    <w:rsid w:val="00EA2CFC"/>
    <w:rsid w:val="00EB6E0A"/>
    <w:rsid w:val="00EB7857"/>
    <w:rsid w:val="00EC03DC"/>
    <w:rsid w:val="00ED0665"/>
    <w:rsid w:val="00ED2BBB"/>
    <w:rsid w:val="00ED43BD"/>
    <w:rsid w:val="00ED44C9"/>
    <w:rsid w:val="00ED5835"/>
    <w:rsid w:val="00ED6017"/>
    <w:rsid w:val="00EF1A15"/>
    <w:rsid w:val="00EF303F"/>
    <w:rsid w:val="00EF3C43"/>
    <w:rsid w:val="00EF524B"/>
    <w:rsid w:val="00EF676B"/>
    <w:rsid w:val="00F008CD"/>
    <w:rsid w:val="00F03783"/>
    <w:rsid w:val="00F05335"/>
    <w:rsid w:val="00F06421"/>
    <w:rsid w:val="00F12864"/>
    <w:rsid w:val="00F12DB0"/>
    <w:rsid w:val="00F16D06"/>
    <w:rsid w:val="00F3113F"/>
    <w:rsid w:val="00F32730"/>
    <w:rsid w:val="00F3308A"/>
    <w:rsid w:val="00F333A5"/>
    <w:rsid w:val="00F3716D"/>
    <w:rsid w:val="00F37D18"/>
    <w:rsid w:val="00F40B1F"/>
    <w:rsid w:val="00F45C7E"/>
    <w:rsid w:val="00F51B57"/>
    <w:rsid w:val="00F524C7"/>
    <w:rsid w:val="00F55731"/>
    <w:rsid w:val="00F55EFB"/>
    <w:rsid w:val="00F63B44"/>
    <w:rsid w:val="00F6631C"/>
    <w:rsid w:val="00F768A3"/>
    <w:rsid w:val="00F85E4D"/>
    <w:rsid w:val="00F85FD3"/>
    <w:rsid w:val="00F906E5"/>
    <w:rsid w:val="00F9086D"/>
    <w:rsid w:val="00F9292B"/>
    <w:rsid w:val="00FA3BC7"/>
    <w:rsid w:val="00FB10F2"/>
    <w:rsid w:val="00FB3252"/>
    <w:rsid w:val="00FB47ED"/>
    <w:rsid w:val="00FB4DB6"/>
    <w:rsid w:val="00FB548E"/>
    <w:rsid w:val="00FB54B5"/>
    <w:rsid w:val="00FB69A8"/>
    <w:rsid w:val="00FB7D2A"/>
    <w:rsid w:val="00FC2818"/>
    <w:rsid w:val="00FC3546"/>
    <w:rsid w:val="00FC4B83"/>
    <w:rsid w:val="00FC6262"/>
    <w:rsid w:val="00FD0CF4"/>
    <w:rsid w:val="00FD11B5"/>
    <w:rsid w:val="00FD13B3"/>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95907028">
      <w:bodyDiv w:val="1"/>
      <w:marLeft w:val="0"/>
      <w:marRight w:val="0"/>
      <w:marTop w:val="0"/>
      <w:marBottom w:val="0"/>
      <w:divBdr>
        <w:top w:val="none" w:sz="0" w:space="0" w:color="auto"/>
        <w:left w:val="none" w:sz="0" w:space="0" w:color="auto"/>
        <w:bottom w:val="none" w:sz="0" w:space="0" w:color="auto"/>
        <w:right w:val="none" w:sz="0" w:space="0" w:color="auto"/>
      </w:divBdr>
    </w:div>
    <w:div w:id="115295897">
      <w:bodyDiv w:val="1"/>
      <w:marLeft w:val="0"/>
      <w:marRight w:val="0"/>
      <w:marTop w:val="0"/>
      <w:marBottom w:val="0"/>
      <w:divBdr>
        <w:top w:val="none" w:sz="0" w:space="0" w:color="auto"/>
        <w:left w:val="none" w:sz="0" w:space="0" w:color="auto"/>
        <w:bottom w:val="none" w:sz="0" w:space="0" w:color="auto"/>
        <w:right w:val="none" w:sz="0" w:space="0" w:color="auto"/>
      </w:divBdr>
    </w:div>
    <w:div w:id="355695000">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222543">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8927361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09636545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179732195">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479636">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8741773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849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F5AC-9CBC-44F9-BA78-38075CB5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19101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2016-01-14T08:43:00Z</dcterms:created>
  <dcterms:modified xsi:type="dcterms:W3CDTF">2016-01-14T08:43:00Z</dcterms:modified>
</cp:coreProperties>
</file>