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bookmarkStart w:id="0" w:name="_GoBack"/>
      <w:bookmarkEnd w:id="0"/>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D78" w:rsidRPr="00DD7564" w:rsidRDefault="00036D78" w:rsidP="00DD689C">
                            <w:pPr>
                              <w:rPr>
                                <w:rFonts w:ascii="Arial" w:hAnsi="Arial" w:cs="Arial"/>
                                <w:sz w:val="32"/>
                                <w:szCs w:val="32"/>
                              </w:rPr>
                            </w:pPr>
                            <w:r>
                              <w:rPr>
                                <w:rFonts w:ascii="Arial" w:hAnsi="Arial" w:cs="Arial"/>
                                <w:sz w:val="32"/>
                                <w:szCs w:val="32"/>
                              </w:rPr>
                              <w:t xml:space="preserve">Attachment </w:t>
                            </w:r>
                            <w:r w:rsidR="00F37257">
                              <w:rPr>
                                <w:rFonts w:ascii="Arial" w:hAnsi="Arial" w:cs="Arial"/>
                                <w:sz w:val="32"/>
                                <w:szCs w:val="32"/>
                              </w:rPr>
                              <w:t>11</w:t>
                            </w:r>
                          </w:p>
                          <w:p w:rsidR="00036D78" w:rsidRDefault="00036D78"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036D78" w:rsidRPr="00DD7564" w:rsidRDefault="00036D78" w:rsidP="00DD689C">
                      <w:pPr>
                        <w:rPr>
                          <w:rFonts w:ascii="Arial" w:hAnsi="Arial" w:cs="Arial"/>
                          <w:sz w:val="32"/>
                          <w:szCs w:val="32"/>
                        </w:rPr>
                      </w:pPr>
                      <w:r>
                        <w:rPr>
                          <w:rFonts w:ascii="Arial" w:hAnsi="Arial" w:cs="Arial"/>
                          <w:sz w:val="32"/>
                          <w:szCs w:val="32"/>
                        </w:rPr>
                        <w:t xml:space="preserve">Attachment </w:t>
                      </w:r>
                      <w:r w:rsidR="00F37257">
                        <w:rPr>
                          <w:rFonts w:ascii="Arial" w:hAnsi="Arial" w:cs="Arial"/>
                          <w:sz w:val="32"/>
                          <w:szCs w:val="32"/>
                        </w:rPr>
                        <w:t>11</w:t>
                      </w:r>
                    </w:p>
                    <w:p w:rsidR="00036D78" w:rsidRDefault="00036D78"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FA07CA" w:rsidP="009306C6">
            <w:pPr>
              <w:rPr>
                <w:rFonts w:ascii="Arial" w:hAnsi="Arial" w:cs="Arial"/>
                <w:bCs/>
                <w:sz w:val="22"/>
                <w:szCs w:val="22"/>
              </w:rPr>
            </w:pPr>
            <w:r>
              <w:rPr>
                <w:rFonts w:ascii="Arial" w:hAnsi="Arial" w:cs="Arial"/>
                <w:bCs/>
                <w:sz w:val="22"/>
                <w:szCs w:val="22"/>
              </w:rPr>
              <w:t>Laura Whitton</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EF471E" w:rsidP="0027797B">
            <w:pPr>
              <w:rPr>
                <w:rFonts w:ascii="Arial" w:hAnsi="Arial" w:cs="Arial"/>
                <w:bCs/>
                <w:sz w:val="22"/>
                <w:szCs w:val="22"/>
              </w:rPr>
            </w:pPr>
            <w:r>
              <w:rPr>
                <w:rFonts w:ascii="Arial" w:hAnsi="Arial" w:cs="Arial"/>
                <w:bCs/>
                <w:sz w:val="22"/>
                <w:szCs w:val="22"/>
              </w:rPr>
              <w:t>14</w:t>
            </w:r>
            <w:r w:rsidRPr="00EF471E">
              <w:rPr>
                <w:rFonts w:ascii="Arial" w:hAnsi="Arial" w:cs="Arial"/>
                <w:bCs/>
                <w:sz w:val="22"/>
                <w:szCs w:val="22"/>
                <w:vertAlign w:val="superscript"/>
              </w:rPr>
              <w:t>th</w:t>
            </w:r>
            <w:r>
              <w:rPr>
                <w:rFonts w:ascii="Arial" w:hAnsi="Arial" w:cs="Arial"/>
                <w:bCs/>
                <w:sz w:val="22"/>
                <w:szCs w:val="22"/>
              </w:rPr>
              <w:t xml:space="preserve"> January 2016</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3D495F" w:rsidP="009306C6">
            <w:pPr>
              <w:rPr>
                <w:rFonts w:ascii="Arial" w:hAnsi="Arial" w:cs="Arial"/>
                <w:bCs/>
                <w:sz w:val="22"/>
                <w:szCs w:val="22"/>
              </w:rPr>
            </w:pPr>
            <w:r>
              <w:rPr>
                <w:rFonts w:ascii="Arial" w:hAnsi="Arial" w:cs="Arial"/>
                <w:bCs/>
                <w:sz w:val="22"/>
                <w:szCs w:val="22"/>
              </w:rPr>
              <w:t>NEL CCG Finance report</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1" w:name="Check4"/>
        <w:tc>
          <w:tcPr>
            <w:tcW w:w="8003" w:type="dxa"/>
            <w:shd w:val="clear" w:color="auto" w:fill="auto"/>
          </w:tcPr>
          <w:p w:rsidR="00DD689C" w:rsidRPr="00752FD6" w:rsidRDefault="003D495F"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Pr="00752FD6">
              <w:rPr>
                <w:rFonts w:ascii="Arial" w:hAnsi="Arial" w:cs="Arial"/>
                <w:sz w:val="22"/>
                <w:szCs w:val="22"/>
              </w:rPr>
              <w:t xml:space="preserve"> </w:t>
            </w:r>
            <w:r w:rsidR="00DD689C" w:rsidRPr="00752FD6">
              <w:rPr>
                <w:rFonts w:ascii="Arial" w:hAnsi="Arial" w:cs="Arial"/>
                <w:sz w:val="22"/>
                <w:szCs w:val="22"/>
              </w:rPr>
              <w:t>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81727E" w:rsidRDefault="003D495F" w:rsidP="0081727E">
            <w:pPr>
              <w:rPr>
                <w:rFonts w:ascii="Arial" w:hAnsi="Arial" w:cs="Arial"/>
                <w:bCs/>
                <w:sz w:val="22"/>
                <w:szCs w:val="22"/>
              </w:rPr>
            </w:pPr>
            <w:r w:rsidRPr="00586960">
              <w:rPr>
                <w:rFonts w:ascii="Arial" w:hAnsi="Arial" w:cs="Arial"/>
                <w:bCs/>
                <w:sz w:val="22"/>
                <w:szCs w:val="22"/>
              </w:rPr>
              <w:t>To provide</w:t>
            </w:r>
            <w:r w:rsidR="0081727E">
              <w:rPr>
                <w:rFonts w:ascii="Arial" w:hAnsi="Arial" w:cs="Arial"/>
                <w:bCs/>
                <w:sz w:val="22"/>
                <w:szCs w:val="22"/>
              </w:rPr>
              <w:t xml:space="preserve"> an update on:-</w:t>
            </w:r>
          </w:p>
          <w:p w:rsidR="0081727E" w:rsidRDefault="003D495F" w:rsidP="0081727E">
            <w:pPr>
              <w:pStyle w:val="ListParagraph"/>
              <w:numPr>
                <w:ilvl w:val="0"/>
                <w:numId w:val="38"/>
              </w:numPr>
              <w:rPr>
                <w:rFonts w:ascii="Arial" w:hAnsi="Arial" w:cs="Arial"/>
                <w:bCs/>
                <w:sz w:val="22"/>
                <w:szCs w:val="22"/>
              </w:rPr>
            </w:pPr>
            <w:r w:rsidRPr="0081727E">
              <w:rPr>
                <w:rFonts w:ascii="Arial" w:hAnsi="Arial" w:cs="Arial"/>
                <w:bCs/>
                <w:sz w:val="22"/>
                <w:szCs w:val="22"/>
              </w:rPr>
              <w:t xml:space="preserve">the </w:t>
            </w:r>
            <w:r w:rsidR="00E572A3" w:rsidRPr="0081727E">
              <w:rPr>
                <w:rFonts w:ascii="Arial" w:hAnsi="Arial" w:cs="Arial"/>
                <w:bCs/>
                <w:sz w:val="22"/>
                <w:szCs w:val="22"/>
              </w:rPr>
              <w:t>CCG</w:t>
            </w:r>
            <w:r w:rsidR="002668B8" w:rsidRPr="0081727E">
              <w:rPr>
                <w:rFonts w:ascii="Arial" w:hAnsi="Arial" w:cs="Arial"/>
                <w:bCs/>
                <w:sz w:val="22"/>
                <w:szCs w:val="22"/>
              </w:rPr>
              <w:t xml:space="preserve"> </w:t>
            </w:r>
            <w:r w:rsidR="00237FA2" w:rsidRPr="0081727E">
              <w:rPr>
                <w:rFonts w:ascii="Arial" w:hAnsi="Arial" w:cs="Arial"/>
                <w:bCs/>
                <w:sz w:val="22"/>
                <w:szCs w:val="22"/>
              </w:rPr>
              <w:t xml:space="preserve">and </w:t>
            </w:r>
            <w:r w:rsidR="0081727E" w:rsidRPr="0081727E">
              <w:rPr>
                <w:rFonts w:ascii="Arial" w:hAnsi="Arial" w:cs="Arial"/>
                <w:bCs/>
                <w:sz w:val="22"/>
                <w:szCs w:val="22"/>
              </w:rPr>
              <w:t>the</w:t>
            </w:r>
            <w:r w:rsidR="0081727E">
              <w:rPr>
                <w:rFonts w:ascii="Arial" w:hAnsi="Arial" w:cs="Arial"/>
                <w:bCs/>
                <w:sz w:val="22"/>
                <w:szCs w:val="22"/>
              </w:rPr>
              <w:t xml:space="preserve"> </w:t>
            </w:r>
            <w:r w:rsidR="00237FA2" w:rsidRPr="0081727E">
              <w:rPr>
                <w:rFonts w:ascii="Arial" w:hAnsi="Arial" w:cs="Arial"/>
                <w:bCs/>
                <w:sz w:val="22"/>
                <w:szCs w:val="22"/>
              </w:rPr>
              <w:t xml:space="preserve">Northern Lincolnshire Community </w:t>
            </w:r>
            <w:r w:rsidRPr="0081727E">
              <w:rPr>
                <w:rFonts w:ascii="Arial" w:hAnsi="Arial" w:cs="Arial"/>
                <w:bCs/>
                <w:sz w:val="22"/>
                <w:szCs w:val="22"/>
              </w:rPr>
              <w:t>financial position</w:t>
            </w:r>
            <w:r w:rsidR="0081727E" w:rsidRPr="0081727E">
              <w:rPr>
                <w:rFonts w:ascii="Arial" w:hAnsi="Arial" w:cs="Arial"/>
                <w:bCs/>
                <w:sz w:val="22"/>
                <w:szCs w:val="22"/>
              </w:rPr>
              <w:t xml:space="preserve"> as at </w:t>
            </w:r>
            <w:r w:rsidR="00A41EE7">
              <w:rPr>
                <w:rFonts w:ascii="Arial" w:hAnsi="Arial" w:cs="Arial"/>
                <w:bCs/>
                <w:sz w:val="22"/>
                <w:szCs w:val="22"/>
              </w:rPr>
              <w:t>Novem</w:t>
            </w:r>
            <w:r w:rsidR="0081727E" w:rsidRPr="0081727E">
              <w:rPr>
                <w:rFonts w:ascii="Arial" w:hAnsi="Arial" w:cs="Arial"/>
                <w:bCs/>
                <w:sz w:val="22"/>
                <w:szCs w:val="22"/>
              </w:rPr>
              <w:t>ber 2015</w:t>
            </w:r>
            <w:r w:rsidRPr="0081727E">
              <w:rPr>
                <w:rFonts w:ascii="Arial" w:hAnsi="Arial" w:cs="Arial"/>
                <w:bCs/>
                <w:sz w:val="22"/>
                <w:szCs w:val="22"/>
              </w:rPr>
              <w:t xml:space="preserve"> </w:t>
            </w:r>
          </w:p>
          <w:p w:rsidR="002668B8" w:rsidRPr="0081727E" w:rsidRDefault="003D495F" w:rsidP="0081727E">
            <w:pPr>
              <w:pStyle w:val="ListParagraph"/>
              <w:numPr>
                <w:ilvl w:val="0"/>
                <w:numId w:val="38"/>
              </w:numPr>
              <w:rPr>
                <w:rFonts w:ascii="Arial" w:hAnsi="Arial" w:cs="Arial"/>
                <w:bCs/>
                <w:sz w:val="22"/>
                <w:szCs w:val="22"/>
              </w:rPr>
            </w:pPr>
            <w:proofErr w:type="gramStart"/>
            <w:r w:rsidRPr="0081727E">
              <w:rPr>
                <w:rFonts w:ascii="Arial" w:hAnsi="Arial" w:cs="Arial"/>
                <w:bCs/>
                <w:sz w:val="22"/>
                <w:szCs w:val="22"/>
              </w:rPr>
              <w:t>the</w:t>
            </w:r>
            <w:proofErr w:type="gramEnd"/>
            <w:r w:rsidRPr="0081727E">
              <w:rPr>
                <w:rFonts w:ascii="Arial" w:hAnsi="Arial" w:cs="Arial"/>
                <w:bCs/>
                <w:sz w:val="22"/>
                <w:szCs w:val="22"/>
              </w:rPr>
              <w:t xml:space="preserve"> financial risks that </w:t>
            </w:r>
            <w:r w:rsidR="002668B8" w:rsidRPr="0081727E">
              <w:rPr>
                <w:rFonts w:ascii="Arial" w:hAnsi="Arial" w:cs="Arial"/>
                <w:bCs/>
                <w:sz w:val="22"/>
                <w:szCs w:val="22"/>
              </w:rPr>
              <w:t xml:space="preserve">the CCG </w:t>
            </w:r>
            <w:r w:rsidRPr="0081727E">
              <w:rPr>
                <w:rFonts w:ascii="Arial" w:hAnsi="Arial" w:cs="Arial"/>
                <w:bCs/>
                <w:sz w:val="22"/>
                <w:szCs w:val="22"/>
              </w:rPr>
              <w:t>need</w:t>
            </w:r>
            <w:r w:rsidR="002668B8" w:rsidRPr="0081727E">
              <w:rPr>
                <w:rFonts w:ascii="Arial" w:hAnsi="Arial" w:cs="Arial"/>
                <w:bCs/>
                <w:sz w:val="22"/>
                <w:szCs w:val="22"/>
              </w:rPr>
              <w:t>s</w:t>
            </w:r>
            <w:r w:rsidRPr="0081727E">
              <w:rPr>
                <w:rFonts w:ascii="Arial" w:hAnsi="Arial" w:cs="Arial"/>
                <w:bCs/>
                <w:sz w:val="22"/>
                <w:szCs w:val="22"/>
              </w:rPr>
              <w:t xml:space="preserve"> to </w:t>
            </w:r>
            <w:r w:rsidR="002668B8" w:rsidRPr="0081727E">
              <w:rPr>
                <w:rFonts w:ascii="Arial" w:hAnsi="Arial" w:cs="Arial"/>
                <w:bCs/>
                <w:sz w:val="22"/>
                <w:szCs w:val="22"/>
              </w:rPr>
              <w:t>manage</w:t>
            </w:r>
            <w:r w:rsidRPr="0081727E">
              <w:rPr>
                <w:rFonts w:ascii="Arial" w:hAnsi="Arial" w:cs="Arial"/>
                <w:bCs/>
                <w:sz w:val="22"/>
                <w:szCs w:val="22"/>
              </w:rPr>
              <w:t xml:space="preserve"> during the remainder of the year.</w:t>
            </w:r>
            <w:r w:rsidR="002668B8" w:rsidRPr="0081727E">
              <w:rPr>
                <w:rFonts w:ascii="Arial" w:hAnsi="Arial" w:cs="Arial"/>
                <w:bCs/>
                <w:sz w:val="22"/>
                <w:szCs w:val="22"/>
              </w:rPr>
              <w:t xml:space="preserve"> </w:t>
            </w:r>
          </w:p>
          <w:p w:rsidR="00E97E50" w:rsidRPr="00752FD6" w:rsidRDefault="00E97E50" w:rsidP="00FA07CA">
            <w:pPr>
              <w:pStyle w:val="ListParagraph"/>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000E56" w:rsidRDefault="006A74AF" w:rsidP="00000E56">
            <w:pPr>
              <w:rPr>
                <w:rFonts w:ascii="Arial" w:hAnsi="Arial" w:cs="Arial"/>
                <w:bCs/>
                <w:sz w:val="22"/>
                <w:szCs w:val="22"/>
              </w:rPr>
            </w:pPr>
            <w:r w:rsidRPr="00752FD6">
              <w:rPr>
                <w:rFonts w:ascii="Arial" w:hAnsi="Arial" w:cs="Arial"/>
                <w:b/>
                <w:bCs/>
                <w:sz w:val="22"/>
                <w:szCs w:val="22"/>
              </w:rPr>
              <w:t>STRATEGY</w:t>
            </w:r>
            <w:r>
              <w:rPr>
                <w:rFonts w:ascii="Arial" w:hAnsi="Arial" w:cs="Arial"/>
                <w:b/>
                <w:bCs/>
                <w:sz w:val="22"/>
                <w:szCs w:val="22"/>
              </w:rPr>
              <w:t>:</w:t>
            </w:r>
            <w:r w:rsidR="00000E56">
              <w:rPr>
                <w:rFonts w:ascii="Arial" w:hAnsi="Arial" w:cs="Arial"/>
                <w:b/>
                <w:bCs/>
                <w:sz w:val="22"/>
                <w:szCs w:val="22"/>
              </w:rPr>
              <w:t xml:space="preserve"> </w:t>
            </w:r>
            <w:r w:rsidR="00000E56" w:rsidRPr="00253FB6">
              <w:rPr>
                <w:rFonts w:ascii="Arial" w:hAnsi="Arial" w:cs="Arial"/>
                <w:bCs/>
                <w:sz w:val="22"/>
                <w:szCs w:val="22"/>
              </w:rPr>
              <w:t>To support the achievement of a sustainable care system</w:t>
            </w:r>
            <w:r w:rsidR="00000E56" w:rsidRPr="00DC508D">
              <w:rPr>
                <w:rFonts w:ascii="Arial" w:hAnsi="Arial" w:cs="Arial"/>
                <w:bCs/>
                <w:sz w:val="22"/>
                <w:szCs w:val="22"/>
              </w:rPr>
              <w:t xml:space="preserve"> </w:t>
            </w:r>
            <w:r w:rsidR="00000E56">
              <w:rPr>
                <w:rFonts w:ascii="Arial" w:hAnsi="Arial" w:cs="Arial"/>
                <w:bCs/>
                <w:sz w:val="22"/>
                <w:szCs w:val="22"/>
              </w:rPr>
              <w:t xml:space="preserve"> </w:t>
            </w:r>
          </w:p>
          <w:p w:rsidR="006A74AF" w:rsidRPr="006A74AF" w:rsidRDefault="006A74AF" w:rsidP="009306C6">
            <w:pPr>
              <w:rPr>
                <w:rFonts w:ascii="Arial" w:hAnsi="Arial" w:cs="Arial"/>
                <w:b/>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10031"/>
      </w:tblGrid>
      <w:tr w:rsidR="006A74AF" w:rsidRPr="00752FD6" w:rsidTr="00E906BF">
        <w:tc>
          <w:tcPr>
            <w:tcW w:w="10031" w:type="dxa"/>
            <w:shd w:val="clear" w:color="auto" w:fill="auto"/>
          </w:tcPr>
          <w:p w:rsidR="006A74AF" w:rsidRPr="00752FD6" w:rsidRDefault="006A74AF" w:rsidP="009306C6">
            <w:pPr>
              <w:rPr>
                <w:rFonts w:ascii="Arial" w:hAnsi="Arial" w:cs="Arial"/>
                <w:b/>
                <w:bCs/>
                <w:sz w:val="22"/>
                <w:szCs w:val="22"/>
              </w:rPr>
            </w:pPr>
          </w:p>
          <w:p w:rsidR="00E97E50" w:rsidRDefault="006A74AF" w:rsidP="00B03479">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r w:rsidR="00B03479">
              <w:rPr>
                <w:rFonts w:ascii="Arial" w:hAnsi="Arial" w:cs="Arial"/>
                <w:b/>
                <w:bCs/>
                <w:sz w:val="22"/>
                <w:szCs w:val="22"/>
              </w:rPr>
              <w:t xml:space="preserve"> </w:t>
            </w:r>
          </w:p>
          <w:p w:rsidR="00E97E50" w:rsidRDefault="00E97E50" w:rsidP="00B03479">
            <w:pPr>
              <w:rPr>
                <w:rFonts w:ascii="Arial" w:hAnsi="Arial" w:cs="Arial"/>
                <w:b/>
                <w:bCs/>
                <w:sz w:val="22"/>
                <w:szCs w:val="22"/>
              </w:rPr>
            </w:pPr>
          </w:p>
          <w:p w:rsidR="00E572A3" w:rsidRPr="00E572A3" w:rsidRDefault="00E572A3" w:rsidP="00B03479">
            <w:pPr>
              <w:rPr>
                <w:rFonts w:ascii="Arial" w:hAnsi="Arial" w:cs="Arial"/>
                <w:b/>
                <w:bCs/>
                <w:sz w:val="22"/>
                <w:szCs w:val="22"/>
                <w:u w:val="single"/>
              </w:rPr>
            </w:pPr>
            <w:r w:rsidRPr="00E572A3">
              <w:rPr>
                <w:rFonts w:ascii="Arial" w:hAnsi="Arial" w:cs="Arial"/>
                <w:b/>
                <w:bCs/>
                <w:sz w:val="22"/>
                <w:szCs w:val="22"/>
                <w:u w:val="single"/>
              </w:rPr>
              <w:t>CCG Financial Position</w:t>
            </w:r>
            <w:r w:rsidR="00E97E50">
              <w:rPr>
                <w:rFonts w:ascii="Arial" w:hAnsi="Arial" w:cs="Arial"/>
                <w:b/>
                <w:bCs/>
                <w:sz w:val="22"/>
                <w:szCs w:val="22"/>
                <w:u w:val="single"/>
              </w:rPr>
              <w:t xml:space="preserve">  </w:t>
            </w:r>
          </w:p>
        </w:tc>
      </w:tr>
      <w:tr w:rsidR="00DD689C" w:rsidRPr="00752FD6" w:rsidTr="00E906BF">
        <w:trPr>
          <w:trHeight w:val="174"/>
        </w:trPr>
        <w:tc>
          <w:tcPr>
            <w:tcW w:w="10031" w:type="dxa"/>
            <w:shd w:val="clear" w:color="auto" w:fill="auto"/>
          </w:tcPr>
          <w:p w:rsidR="00585083" w:rsidRDefault="00585083" w:rsidP="00585083">
            <w:pPr>
              <w:jc w:val="both"/>
              <w:rPr>
                <w:rFonts w:ascii="Arial" w:hAnsi="Arial" w:cs="Arial"/>
                <w:bCs/>
                <w:sz w:val="22"/>
                <w:szCs w:val="22"/>
              </w:rPr>
            </w:pPr>
          </w:p>
          <w:tbl>
            <w:tblPr>
              <w:tblW w:w="10667" w:type="dxa"/>
              <w:tblLayout w:type="fixed"/>
              <w:tblLook w:val="04A0" w:firstRow="1" w:lastRow="0" w:firstColumn="1" w:lastColumn="0" w:noHBand="0" w:noVBand="1"/>
            </w:tblPr>
            <w:tblGrid>
              <w:gridCol w:w="887"/>
              <w:gridCol w:w="661"/>
              <w:gridCol w:w="3830"/>
              <w:gridCol w:w="1695"/>
              <w:gridCol w:w="1244"/>
              <w:gridCol w:w="1399"/>
              <w:gridCol w:w="951"/>
            </w:tblGrid>
            <w:tr w:rsidR="005F537B" w:rsidTr="00000E56">
              <w:trPr>
                <w:gridAfter w:val="1"/>
                <w:wAfter w:w="946" w:type="dxa"/>
                <w:trHeight w:val="452"/>
              </w:trPr>
              <w:tc>
                <w:tcPr>
                  <w:tcW w:w="887" w:type="dxa"/>
                  <w:tcBorders>
                    <w:top w:val="single" w:sz="4" w:space="0" w:color="auto"/>
                    <w:left w:val="single" w:sz="4" w:space="0" w:color="auto"/>
                    <w:bottom w:val="single" w:sz="4" w:space="0" w:color="auto"/>
                    <w:right w:val="nil"/>
                  </w:tcBorders>
                  <w:shd w:val="clear" w:color="auto" w:fill="auto"/>
                  <w:noWrap/>
                  <w:vAlign w:val="bottom"/>
                  <w:hideMark/>
                </w:tcPr>
                <w:p w:rsidR="005F537B" w:rsidRPr="003D495F" w:rsidRDefault="005F537B">
                  <w:pPr>
                    <w:rPr>
                      <w:rFonts w:ascii="Arial" w:hAnsi="Arial" w:cs="Arial"/>
                      <w:color w:val="000000"/>
                      <w:sz w:val="20"/>
                      <w:szCs w:val="22"/>
                    </w:rPr>
                  </w:pPr>
                  <w:r w:rsidRPr="003D495F">
                    <w:rPr>
                      <w:rFonts w:ascii="Arial" w:hAnsi="Arial" w:cs="Arial"/>
                      <w:color w:val="000000"/>
                      <w:sz w:val="20"/>
                      <w:szCs w:val="22"/>
                    </w:rPr>
                    <w:t> </w:t>
                  </w:r>
                </w:p>
              </w:tc>
              <w:tc>
                <w:tcPr>
                  <w:tcW w:w="661" w:type="dxa"/>
                  <w:tcBorders>
                    <w:top w:val="single" w:sz="4" w:space="0" w:color="auto"/>
                    <w:left w:val="nil"/>
                    <w:bottom w:val="single" w:sz="4" w:space="0" w:color="auto"/>
                    <w:right w:val="nil"/>
                  </w:tcBorders>
                  <w:shd w:val="clear" w:color="auto" w:fill="auto"/>
                  <w:noWrap/>
                  <w:vAlign w:val="bottom"/>
                  <w:hideMark/>
                </w:tcPr>
                <w:p w:rsidR="005F537B" w:rsidRPr="00E572A3" w:rsidRDefault="005F537B">
                  <w:pPr>
                    <w:rPr>
                      <w:rFonts w:ascii="Arial" w:hAnsi="Arial" w:cs="Arial"/>
                      <w:color w:val="000000"/>
                      <w:sz w:val="22"/>
                      <w:szCs w:val="22"/>
                    </w:rPr>
                  </w:pPr>
                  <w:r w:rsidRPr="00E572A3">
                    <w:rPr>
                      <w:rFonts w:ascii="Arial" w:hAnsi="Arial" w:cs="Arial"/>
                      <w:color w:val="000000"/>
                      <w:sz w:val="22"/>
                      <w:szCs w:val="22"/>
                    </w:rPr>
                    <w:t> </w:t>
                  </w:r>
                </w:p>
              </w:tc>
              <w:tc>
                <w:tcPr>
                  <w:tcW w:w="3830" w:type="dxa"/>
                  <w:tcBorders>
                    <w:top w:val="single" w:sz="4" w:space="0" w:color="auto"/>
                    <w:left w:val="nil"/>
                    <w:bottom w:val="single" w:sz="4" w:space="0" w:color="auto"/>
                    <w:right w:val="single" w:sz="4" w:space="0" w:color="auto"/>
                  </w:tcBorders>
                  <w:shd w:val="clear" w:color="auto" w:fill="auto"/>
                  <w:noWrap/>
                  <w:vAlign w:val="bottom"/>
                  <w:hideMark/>
                </w:tcPr>
                <w:p w:rsidR="005F537B" w:rsidRPr="00E572A3" w:rsidRDefault="005F537B">
                  <w:pPr>
                    <w:rPr>
                      <w:rFonts w:ascii="Arial" w:hAnsi="Arial" w:cs="Arial"/>
                      <w:color w:val="000000"/>
                      <w:sz w:val="22"/>
                      <w:szCs w:val="22"/>
                    </w:rPr>
                  </w:pPr>
                  <w:r w:rsidRPr="00E572A3">
                    <w:rPr>
                      <w:rFonts w:ascii="Arial" w:hAnsi="Arial" w:cs="Arial"/>
                      <w:color w:val="000000"/>
                      <w:sz w:val="22"/>
                      <w:szCs w:val="22"/>
                    </w:rPr>
                    <w:t> </w:t>
                  </w: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Classification</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Year to date</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Forecast</w:t>
                  </w:r>
                </w:p>
              </w:tc>
            </w:tr>
            <w:tr w:rsidR="005F537B" w:rsidTr="00000E56">
              <w:trPr>
                <w:gridAfter w:val="1"/>
                <w:wAfter w:w="946" w:type="dxa"/>
                <w:trHeight w:val="452"/>
              </w:trPr>
              <w:tc>
                <w:tcPr>
                  <w:tcW w:w="5378" w:type="dxa"/>
                  <w:gridSpan w:val="3"/>
                  <w:tcBorders>
                    <w:top w:val="nil"/>
                    <w:left w:val="single" w:sz="4" w:space="0" w:color="auto"/>
                    <w:bottom w:val="nil"/>
                    <w:right w:val="single" w:sz="4" w:space="0" w:color="000000"/>
                  </w:tcBorders>
                  <w:shd w:val="clear" w:color="auto" w:fill="auto"/>
                  <w:vAlign w:val="center"/>
                  <w:hideMark/>
                </w:tcPr>
                <w:p w:rsidR="005F537B" w:rsidRDefault="005F537B" w:rsidP="00237FA2">
                  <w:pPr>
                    <w:rPr>
                      <w:rFonts w:ascii="Arial" w:hAnsi="Arial" w:cs="Arial"/>
                      <w:color w:val="000000"/>
                      <w:sz w:val="22"/>
                      <w:szCs w:val="22"/>
                    </w:rPr>
                  </w:pPr>
                  <w:r w:rsidRPr="00E572A3">
                    <w:rPr>
                      <w:rFonts w:ascii="Arial" w:hAnsi="Arial" w:cs="Arial"/>
                      <w:color w:val="000000"/>
                      <w:sz w:val="22"/>
                      <w:szCs w:val="22"/>
                    </w:rPr>
                    <w:t>Revenue administration resource use does not exceed the amount specified in Directions (planned surplus = £4.53m)</w:t>
                  </w:r>
                  <w:r w:rsidR="00237FA2">
                    <w:rPr>
                      <w:rFonts w:ascii="Arial" w:hAnsi="Arial" w:cs="Arial"/>
                      <w:color w:val="000000"/>
                      <w:sz w:val="22"/>
                      <w:szCs w:val="22"/>
                    </w:rPr>
                    <w:t xml:space="preserve"> </w:t>
                  </w:r>
                </w:p>
                <w:p w:rsidR="00237FA2" w:rsidRPr="00E572A3" w:rsidRDefault="00237FA2" w:rsidP="00237FA2">
                  <w:pPr>
                    <w:rPr>
                      <w:rFonts w:ascii="Arial" w:hAnsi="Arial" w:cs="Arial"/>
                      <w:color w:val="000000"/>
                      <w:sz w:val="22"/>
                      <w:szCs w:val="22"/>
                    </w:rPr>
                  </w:pPr>
                </w:p>
              </w:tc>
              <w:tc>
                <w:tcPr>
                  <w:tcW w:w="1695" w:type="dxa"/>
                  <w:tcBorders>
                    <w:top w:val="nil"/>
                    <w:left w:val="nil"/>
                    <w:bottom w:val="nil"/>
                    <w:right w:val="single" w:sz="4" w:space="0" w:color="auto"/>
                  </w:tcBorders>
                  <w:shd w:val="clear" w:color="auto" w:fill="auto"/>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Statutory</w:t>
                  </w:r>
                </w:p>
              </w:tc>
              <w:tc>
                <w:tcPr>
                  <w:tcW w:w="1244" w:type="dxa"/>
                  <w:tcBorders>
                    <w:top w:val="nil"/>
                    <w:left w:val="nil"/>
                    <w:bottom w:val="nil"/>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Green</w:t>
                  </w:r>
                </w:p>
              </w:tc>
              <w:tc>
                <w:tcPr>
                  <w:tcW w:w="1399" w:type="dxa"/>
                  <w:tcBorders>
                    <w:top w:val="nil"/>
                    <w:left w:val="nil"/>
                    <w:bottom w:val="nil"/>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Green</w:t>
                  </w:r>
                </w:p>
              </w:tc>
            </w:tr>
            <w:tr w:rsidR="005F537B" w:rsidTr="00000E56">
              <w:trPr>
                <w:gridAfter w:val="1"/>
                <w:wAfter w:w="946" w:type="dxa"/>
                <w:trHeight w:val="452"/>
              </w:trPr>
              <w:tc>
                <w:tcPr>
                  <w:tcW w:w="5378" w:type="dxa"/>
                  <w:gridSpan w:val="3"/>
                  <w:tcBorders>
                    <w:top w:val="nil"/>
                    <w:left w:val="single" w:sz="4" w:space="0" w:color="auto"/>
                    <w:bottom w:val="nil"/>
                    <w:right w:val="single" w:sz="4" w:space="0" w:color="000000"/>
                  </w:tcBorders>
                  <w:shd w:val="clear" w:color="auto" w:fill="auto"/>
                  <w:vAlign w:val="center"/>
                  <w:hideMark/>
                </w:tcPr>
                <w:p w:rsidR="005F537B" w:rsidRPr="00E572A3" w:rsidRDefault="005F537B">
                  <w:pPr>
                    <w:rPr>
                      <w:rFonts w:ascii="Arial" w:hAnsi="Arial" w:cs="Arial"/>
                      <w:color w:val="000000"/>
                      <w:sz w:val="22"/>
                      <w:szCs w:val="22"/>
                    </w:rPr>
                  </w:pPr>
                  <w:r w:rsidRPr="00E572A3">
                    <w:rPr>
                      <w:rFonts w:ascii="Arial" w:hAnsi="Arial" w:cs="Arial"/>
                      <w:color w:val="000000"/>
                      <w:sz w:val="22"/>
                      <w:szCs w:val="22"/>
                    </w:rPr>
                    <w:t>Capital resource use does not exceed the amount specified in Directions</w:t>
                  </w:r>
                </w:p>
              </w:tc>
              <w:tc>
                <w:tcPr>
                  <w:tcW w:w="1695" w:type="dxa"/>
                  <w:tcBorders>
                    <w:top w:val="nil"/>
                    <w:left w:val="nil"/>
                    <w:bottom w:val="nil"/>
                    <w:right w:val="single" w:sz="4" w:space="0" w:color="auto"/>
                  </w:tcBorders>
                  <w:shd w:val="clear" w:color="auto" w:fill="auto"/>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Statutory</w:t>
                  </w:r>
                </w:p>
              </w:tc>
              <w:tc>
                <w:tcPr>
                  <w:tcW w:w="1244" w:type="dxa"/>
                  <w:tcBorders>
                    <w:top w:val="nil"/>
                    <w:left w:val="nil"/>
                    <w:bottom w:val="nil"/>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Green</w:t>
                  </w:r>
                </w:p>
              </w:tc>
              <w:tc>
                <w:tcPr>
                  <w:tcW w:w="1399" w:type="dxa"/>
                  <w:tcBorders>
                    <w:top w:val="nil"/>
                    <w:left w:val="nil"/>
                    <w:bottom w:val="nil"/>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Green</w:t>
                  </w:r>
                </w:p>
              </w:tc>
            </w:tr>
            <w:tr w:rsidR="005F537B" w:rsidTr="00000E56">
              <w:trPr>
                <w:gridAfter w:val="1"/>
                <w:wAfter w:w="946" w:type="dxa"/>
                <w:trHeight w:val="452"/>
              </w:trPr>
              <w:tc>
                <w:tcPr>
                  <w:tcW w:w="5378" w:type="dxa"/>
                  <w:gridSpan w:val="3"/>
                  <w:tcBorders>
                    <w:top w:val="nil"/>
                    <w:left w:val="single" w:sz="4" w:space="0" w:color="auto"/>
                    <w:bottom w:val="nil"/>
                    <w:right w:val="single" w:sz="4" w:space="0" w:color="000000"/>
                  </w:tcBorders>
                  <w:shd w:val="clear" w:color="auto" w:fill="auto"/>
                  <w:vAlign w:val="center"/>
                  <w:hideMark/>
                </w:tcPr>
                <w:p w:rsidR="005F537B" w:rsidRPr="00E572A3" w:rsidRDefault="005F537B" w:rsidP="005F537B">
                  <w:pPr>
                    <w:rPr>
                      <w:rFonts w:ascii="Arial" w:hAnsi="Arial" w:cs="Arial"/>
                      <w:color w:val="000000"/>
                      <w:sz w:val="22"/>
                      <w:szCs w:val="22"/>
                    </w:rPr>
                  </w:pPr>
                  <w:r w:rsidRPr="00E572A3">
                    <w:rPr>
                      <w:rFonts w:ascii="Arial" w:hAnsi="Arial" w:cs="Arial"/>
                      <w:color w:val="000000"/>
                      <w:sz w:val="22"/>
                      <w:szCs w:val="22"/>
                    </w:rPr>
                    <w:t xml:space="preserve">Manage cash within </w:t>
                  </w:r>
                  <w:r>
                    <w:rPr>
                      <w:rFonts w:ascii="Arial" w:hAnsi="Arial" w:cs="Arial"/>
                      <w:color w:val="000000"/>
                      <w:sz w:val="22"/>
                      <w:szCs w:val="22"/>
                    </w:rPr>
                    <w:t>1.25</w:t>
                  </w:r>
                  <w:r w:rsidRPr="00E572A3">
                    <w:rPr>
                      <w:rFonts w:ascii="Arial" w:hAnsi="Arial" w:cs="Arial"/>
                      <w:color w:val="000000"/>
                      <w:sz w:val="22"/>
                      <w:szCs w:val="22"/>
                    </w:rPr>
                    <w:t>% of monthly drawdown</w:t>
                  </w:r>
                </w:p>
              </w:tc>
              <w:tc>
                <w:tcPr>
                  <w:tcW w:w="1695" w:type="dxa"/>
                  <w:tcBorders>
                    <w:top w:val="nil"/>
                    <w:left w:val="nil"/>
                    <w:bottom w:val="nil"/>
                    <w:right w:val="single" w:sz="4" w:space="0" w:color="auto"/>
                  </w:tcBorders>
                  <w:shd w:val="clear" w:color="auto" w:fill="auto"/>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Operational</w:t>
                  </w:r>
                </w:p>
              </w:tc>
              <w:tc>
                <w:tcPr>
                  <w:tcW w:w="1244" w:type="dxa"/>
                  <w:tcBorders>
                    <w:top w:val="nil"/>
                    <w:left w:val="single" w:sz="4" w:space="0" w:color="auto"/>
                    <w:bottom w:val="nil"/>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Green</w:t>
                  </w:r>
                </w:p>
              </w:tc>
              <w:tc>
                <w:tcPr>
                  <w:tcW w:w="1399" w:type="dxa"/>
                  <w:tcBorders>
                    <w:top w:val="nil"/>
                    <w:left w:val="nil"/>
                    <w:bottom w:val="nil"/>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Green</w:t>
                  </w:r>
                </w:p>
              </w:tc>
            </w:tr>
            <w:tr w:rsidR="005F537B" w:rsidTr="00000E56">
              <w:trPr>
                <w:gridAfter w:val="1"/>
                <w:wAfter w:w="946" w:type="dxa"/>
                <w:trHeight w:val="452"/>
              </w:trPr>
              <w:tc>
                <w:tcPr>
                  <w:tcW w:w="5378" w:type="dxa"/>
                  <w:gridSpan w:val="3"/>
                  <w:tcBorders>
                    <w:top w:val="nil"/>
                    <w:left w:val="single" w:sz="4" w:space="0" w:color="auto"/>
                    <w:bottom w:val="nil"/>
                    <w:right w:val="single" w:sz="4" w:space="0" w:color="000000"/>
                  </w:tcBorders>
                  <w:shd w:val="clear" w:color="auto" w:fill="auto"/>
                  <w:vAlign w:val="center"/>
                  <w:hideMark/>
                </w:tcPr>
                <w:p w:rsidR="005F537B" w:rsidRPr="00E572A3" w:rsidRDefault="005F537B">
                  <w:pPr>
                    <w:rPr>
                      <w:rFonts w:ascii="Arial" w:hAnsi="Arial" w:cs="Arial"/>
                      <w:color w:val="000000"/>
                      <w:sz w:val="22"/>
                      <w:szCs w:val="22"/>
                    </w:rPr>
                  </w:pPr>
                  <w:r w:rsidRPr="00E572A3">
                    <w:rPr>
                      <w:rFonts w:ascii="Arial" w:hAnsi="Arial" w:cs="Arial"/>
                      <w:color w:val="000000"/>
                      <w:sz w:val="22"/>
                      <w:szCs w:val="22"/>
                    </w:rPr>
                    <w:t>Adult Social Care (ASC) Partnership agreement</w:t>
                  </w:r>
                </w:p>
              </w:tc>
              <w:tc>
                <w:tcPr>
                  <w:tcW w:w="1695" w:type="dxa"/>
                  <w:tcBorders>
                    <w:top w:val="nil"/>
                    <w:left w:val="nil"/>
                    <w:bottom w:val="nil"/>
                    <w:right w:val="single" w:sz="4" w:space="0" w:color="auto"/>
                  </w:tcBorders>
                  <w:shd w:val="clear" w:color="auto" w:fill="auto"/>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Operational</w:t>
                  </w:r>
                </w:p>
              </w:tc>
              <w:tc>
                <w:tcPr>
                  <w:tcW w:w="1244" w:type="dxa"/>
                  <w:tcBorders>
                    <w:top w:val="nil"/>
                    <w:left w:val="single" w:sz="4" w:space="0" w:color="auto"/>
                    <w:bottom w:val="nil"/>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Green</w:t>
                  </w:r>
                </w:p>
              </w:tc>
              <w:tc>
                <w:tcPr>
                  <w:tcW w:w="1399" w:type="dxa"/>
                  <w:tcBorders>
                    <w:top w:val="nil"/>
                    <w:left w:val="nil"/>
                    <w:bottom w:val="nil"/>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Green</w:t>
                  </w:r>
                </w:p>
              </w:tc>
            </w:tr>
            <w:tr w:rsidR="005F537B" w:rsidTr="00000E56">
              <w:trPr>
                <w:gridAfter w:val="1"/>
                <w:wAfter w:w="946" w:type="dxa"/>
                <w:trHeight w:val="452"/>
              </w:trPr>
              <w:tc>
                <w:tcPr>
                  <w:tcW w:w="5378" w:type="dxa"/>
                  <w:gridSpan w:val="3"/>
                  <w:tcBorders>
                    <w:top w:val="nil"/>
                    <w:left w:val="single" w:sz="4" w:space="0" w:color="auto"/>
                    <w:bottom w:val="single" w:sz="4" w:space="0" w:color="auto"/>
                    <w:right w:val="single" w:sz="4" w:space="0" w:color="000000"/>
                  </w:tcBorders>
                  <w:shd w:val="clear" w:color="auto" w:fill="auto"/>
                  <w:vAlign w:val="center"/>
                  <w:hideMark/>
                </w:tcPr>
                <w:p w:rsidR="005F537B" w:rsidRPr="00E572A3" w:rsidRDefault="005F537B">
                  <w:pPr>
                    <w:rPr>
                      <w:rFonts w:ascii="Arial" w:hAnsi="Arial" w:cs="Arial"/>
                      <w:color w:val="000000"/>
                      <w:sz w:val="22"/>
                      <w:szCs w:val="22"/>
                    </w:rPr>
                  </w:pPr>
                  <w:r w:rsidRPr="00E572A3">
                    <w:rPr>
                      <w:rFonts w:ascii="Arial" w:hAnsi="Arial" w:cs="Arial"/>
                      <w:color w:val="000000"/>
                      <w:sz w:val="22"/>
                      <w:szCs w:val="22"/>
                    </w:rPr>
                    <w:t>BPPC – number/value paid within 30 days</w:t>
                  </w:r>
                </w:p>
              </w:tc>
              <w:tc>
                <w:tcPr>
                  <w:tcW w:w="1695" w:type="dxa"/>
                  <w:tcBorders>
                    <w:top w:val="nil"/>
                    <w:left w:val="nil"/>
                    <w:bottom w:val="single" w:sz="4" w:space="0" w:color="auto"/>
                    <w:right w:val="single" w:sz="4" w:space="0" w:color="auto"/>
                  </w:tcBorders>
                  <w:shd w:val="clear" w:color="auto" w:fill="auto"/>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Operational</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Amber</w:t>
                  </w:r>
                </w:p>
              </w:tc>
              <w:tc>
                <w:tcPr>
                  <w:tcW w:w="1399" w:type="dxa"/>
                  <w:tcBorders>
                    <w:top w:val="nil"/>
                    <w:left w:val="nil"/>
                    <w:bottom w:val="single" w:sz="4" w:space="0" w:color="auto"/>
                    <w:right w:val="single" w:sz="4" w:space="0" w:color="auto"/>
                  </w:tcBorders>
                  <w:shd w:val="clear" w:color="auto" w:fill="auto"/>
                  <w:noWrap/>
                  <w:vAlign w:val="center"/>
                  <w:hideMark/>
                </w:tcPr>
                <w:p w:rsidR="005F537B" w:rsidRPr="00E572A3" w:rsidRDefault="005F537B">
                  <w:pPr>
                    <w:jc w:val="center"/>
                    <w:rPr>
                      <w:rFonts w:ascii="Arial" w:hAnsi="Arial" w:cs="Arial"/>
                      <w:color w:val="000000"/>
                      <w:sz w:val="22"/>
                      <w:szCs w:val="22"/>
                    </w:rPr>
                  </w:pPr>
                  <w:r w:rsidRPr="00E572A3">
                    <w:rPr>
                      <w:rFonts w:ascii="Arial" w:hAnsi="Arial" w:cs="Arial"/>
                      <w:color w:val="000000"/>
                      <w:sz w:val="22"/>
                      <w:szCs w:val="22"/>
                    </w:rPr>
                    <w:t>Green</w:t>
                  </w:r>
                </w:p>
              </w:tc>
            </w:tr>
            <w:tr w:rsidR="001C7C56" w:rsidTr="00000E56">
              <w:tblPrEx>
                <w:tblBorders>
                  <w:top w:val="nil"/>
                  <w:left w:val="nil"/>
                  <w:bottom w:val="nil"/>
                  <w:right w:val="nil"/>
                </w:tblBorders>
                <w:tblLook w:val="0000" w:firstRow="0" w:lastRow="0" w:firstColumn="0" w:lastColumn="0" w:noHBand="0" w:noVBand="0"/>
              </w:tblPrEx>
              <w:trPr>
                <w:trHeight w:val="559"/>
              </w:trPr>
              <w:tc>
                <w:tcPr>
                  <w:tcW w:w="10667" w:type="dxa"/>
                  <w:gridSpan w:val="7"/>
                </w:tcPr>
                <w:tbl>
                  <w:tblPr>
                    <w:tblW w:w="10011" w:type="dxa"/>
                    <w:tblInd w:w="29" w:type="dxa"/>
                    <w:tblBorders>
                      <w:top w:val="nil"/>
                      <w:left w:val="nil"/>
                      <w:bottom w:val="nil"/>
                      <w:right w:val="nil"/>
                    </w:tblBorders>
                    <w:tblLayout w:type="fixed"/>
                    <w:tblLook w:val="0000" w:firstRow="0" w:lastRow="0" w:firstColumn="0" w:lastColumn="0" w:noHBand="0" w:noVBand="0"/>
                  </w:tblPr>
                  <w:tblGrid>
                    <w:gridCol w:w="9815"/>
                    <w:gridCol w:w="196"/>
                  </w:tblGrid>
                  <w:tr w:rsidR="001C7C56" w:rsidRPr="00B23DF1" w:rsidTr="00EF471E">
                    <w:trPr>
                      <w:trHeight w:val="206"/>
                    </w:trPr>
                    <w:tc>
                      <w:tcPr>
                        <w:tcW w:w="10011" w:type="dxa"/>
                        <w:gridSpan w:val="2"/>
                      </w:tcPr>
                      <w:p w:rsidR="00286CEB" w:rsidRDefault="00286CEB" w:rsidP="00B03479">
                        <w:pPr>
                          <w:pStyle w:val="Default"/>
                          <w:ind w:left="210" w:hanging="284"/>
                          <w:rPr>
                            <w:sz w:val="22"/>
                          </w:rPr>
                        </w:pPr>
                      </w:p>
                      <w:p w:rsidR="00993A57" w:rsidRDefault="001C7C56" w:rsidP="00CF44B2">
                        <w:pPr>
                          <w:pStyle w:val="Default"/>
                          <w:ind w:left="-79"/>
                          <w:jc w:val="both"/>
                          <w:rPr>
                            <w:sz w:val="22"/>
                          </w:rPr>
                        </w:pPr>
                        <w:r w:rsidRPr="00B03479">
                          <w:rPr>
                            <w:sz w:val="22"/>
                          </w:rPr>
                          <w:t xml:space="preserve">As at </w:t>
                        </w:r>
                        <w:r w:rsidR="00EF471E">
                          <w:rPr>
                            <w:sz w:val="22"/>
                          </w:rPr>
                          <w:t>Nov</w:t>
                        </w:r>
                        <w:r w:rsidR="0027797B">
                          <w:rPr>
                            <w:sz w:val="22"/>
                          </w:rPr>
                          <w:t>ember</w:t>
                        </w:r>
                        <w:r w:rsidRPr="00B03479">
                          <w:rPr>
                            <w:sz w:val="22"/>
                          </w:rPr>
                          <w:t xml:space="preserve"> </w:t>
                        </w:r>
                        <w:r w:rsidR="0027797B">
                          <w:rPr>
                            <w:sz w:val="22"/>
                          </w:rPr>
                          <w:t>20</w:t>
                        </w:r>
                        <w:r w:rsidRPr="00B03479">
                          <w:rPr>
                            <w:sz w:val="22"/>
                          </w:rPr>
                          <w:t xml:space="preserve">15 the CCG is </w:t>
                        </w:r>
                        <w:r w:rsidR="00E97E50">
                          <w:rPr>
                            <w:sz w:val="22"/>
                          </w:rPr>
                          <w:t xml:space="preserve">still </w:t>
                        </w:r>
                        <w:r w:rsidRPr="00B03479">
                          <w:rPr>
                            <w:sz w:val="22"/>
                          </w:rPr>
                          <w:t xml:space="preserve">on track to achieve its planned surplus of £4.53m (Health </w:t>
                        </w:r>
                      </w:p>
                      <w:p w:rsidR="001C7C56" w:rsidRDefault="001C7C56" w:rsidP="00CF44B2">
                        <w:pPr>
                          <w:pStyle w:val="Default"/>
                          <w:ind w:left="-79"/>
                          <w:jc w:val="both"/>
                          <w:rPr>
                            <w:sz w:val="22"/>
                          </w:rPr>
                        </w:pPr>
                        <w:r w:rsidRPr="00B03479">
                          <w:rPr>
                            <w:sz w:val="22"/>
                          </w:rPr>
                          <w:t xml:space="preserve">£4.53m + ASC £nil (break-even)), </w:t>
                        </w:r>
                        <w:r w:rsidR="0045565C">
                          <w:rPr>
                            <w:sz w:val="22"/>
                          </w:rPr>
                          <w:t xml:space="preserve">the </w:t>
                        </w:r>
                        <w:r w:rsidR="00E97E50">
                          <w:rPr>
                            <w:sz w:val="22"/>
                          </w:rPr>
                          <w:t xml:space="preserve">key points to </w:t>
                        </w:r>
                        <w:r w:rsidR="0045565C">
                          <w:rPr>
                            <w:sz w:val="22"/>
                          </w:rPr>
                          <w:t>draw the Boards attention to</w:t>
                        </w:r>
                        <w:r w:rsidR="00E97E50">
                          <w:rPr>
                            <w:sz w:val="22"/>
                          </w:rPr>
                          <w:t xml:space="preserve"> are</w:t>
                        </w:r>
                        <w:r w:rsidRPr="00E97E50">
                          <w:rPr>
                            <w:sz w:val="22"/>
                          </w:rPr>
                          <w:t>:-</w:t>
                        </w:r>
                      </w:p>
                      <w:p w:rsidR="00CF44B2" w:rsidRDefault="00CF44B2" w:rsidP="00237FA2">
                        <w:pPr>
                          <w:pStyle w:val="Default"/>
                          <w:ind w:left="-79"/>
                          <w:rPr>
                            <w:sz w:val="22"/>
                          </w:rPr>
                        </w:pPr>
                      </w:p>
                      <w:p w:rsidR="00CF44B2" w:rsidRDefault="00CF44B2" w:rsidP="00237FA2">
                        <w:pPr>
                          <w:pStyle w:val="Default"/>
                          <w:ind w:left="-79"/>
                          <w:rPr>
                            <w:sz w:val="22"/>
                          </w:rPr>
                        </w:pPr>
                      </w:p>
                      <w:p w:rsidR="00FB14E3" w:rsidRPr="00B03479" w:rsidRDefault="00FB14E3" w:rsidP="00B03479">
                        <w:pPr>
                          <w:pStyle w:val="Default"/>
                          <w:ind w:left="210" w:hanging="284"/>
                          <w:rPr>
                            <w:sz w:val="22"/>
                          </w:rPr>
                        </w:pPr>
                      </w:p>
                    </w:tc>
                  </w:tr>
                  <w:tr w:rsidR="001C7C56" w:rsidRPr="00B03479" w:rsidTr="00EF471E">
                    <w:trPr>
                      <w:gridAfter w:val="1"/>
                      <w:wAfter w:w="196" w:type="dxa"/>
                      <w:trHeight w:val="441"/>
                    </w:trPr>
                    <w:tc>
                      <w:tcPr>
                        <w:tcW w:w="9815" w:type="dxa"/>
                      </w:tcPr>
                      <w:p w:rsidR="00E97E50" w:rsidRPr="00E97E50" w:rsidRDefault="00E97E50" w:rsidP="00CF44B2">
                        <w:pPr>
                          <w:pStyle w:val="Default"/>
                          <w:numPr>
                            <w:ilvl w:val="0"/>
                            <w:numId w:val="27"/>
                          </w:numPr>
                          <w:ind w:left="205" w:hanging="284"/>
                          <w:jc w:val="both"/>
                          <w:rPr>
                            <w:sz w:val="22"/>
                          </w:rPr>
                        </w:pPr>
                        <w:r>
                          <w:rPr>
                            <w:sz w:val="22"/>
                          </w:rPr>
                          <w:lastRenderedPageBreak/>
                          <w:t xml:space="preserve">NLAG; </w:t>
                        </w:r>
                        <w:r w:rsidR="00EF471E" w:rsidRPr="00EF471E">
                          <w:rPr>
                            <w:sz w:val="22"/>
                          </w:rPr>
                          <w:t>The  forecast outurn remains at the maximum amount payable under the terms of their contract, due to the higher than planned non-elective and A&amp;E activity that has been seen in the year to date</w:t>
                        </w:r>
                      </w:p>
                      <w:p w:rsidR="00E97E50" w:rsidRDefault="00E97E50" w:rsidP="00E97E50">
                        <w:pPr>
                          <w:pStyle w:val="Default"/>
                          <w:ind w:left="205"/>
                          <w:jc w:val="both"/>
                          <w:rPr>
                            <w:sz w:val="22"/>
                          </w:rPr>
                        </w:pPr>
                      </w:p>
                      <w:p w:rsidR="00EF471E" w:rsidRPr="00EF471E" w:rsidRDefault="00EF471E" w:rsidP="00EF471E">
                        <w:pPr>
                          <w:pStyle w:val="Default"/>
                          <w:numPr>
                            <w:ilvl w:val="0"/>
                            <w:numId w:val="27"/>
                          </w:numPr>
                          <w:ind w:left="176" w:hanging="284"/>
                          <w:jc w:val="both"/>
                          <w:rPr>
                            <w:sz w:val="22"/>
                          </w:rPr>
                        </w:pPr>
                        <w:r w:rsidRPr="00EF471E">
                          <w:rPr>
                            <w:sz w:val="22"/>
                          </w:rPr>
                          <w:t xml:space="preserve">Continuing Health Care (CHC); The forecast spend has reduced by £356k since September, this improvement is due to:- </w:t>
                        </w:r>
                      </w:p>
                      <w:p w:rsidR="00EF471E" w:rsidRPr="00EF471E" w:rsidRDefault="00EF471E" w:rsidP="00CF44B2">
                        <w:pPr>
                          <w:pStyle w:val="Default"/>
                          <w:ind w:left="884" w:hanging="283"/>
                          <w:jc w:val="both"/>
                          <w:rPr>
                            <w:sz w:val="22"/>
                          </w:rPr>
                        </w:pPr>
                        <w:r w:rsidRPr="00EF471E">
                          <w:rPr>
                            <w:sz w:val="22"/>
                          </w:rPr>
                          <w:t>a) a reduction in the numbers of clients using the services including Fast Track (End of Life),</w:t>
                        </w:r>
                      </w:p>
                      <w:p w:rsidR="00EF471E" w:rsidRPr="00EF471E" w:rsidRDefault="00CF44B2" w:rsidP="00CF44B2">
                        <w:pPr>
                          <w:pStyle w:val="Default"/>
                          <w:ind w:left="884" w:hanging="283"/>
                          <w:jc w:val="both"/>
                          <w:rPr>
                            <w:sz w:val="22"/>
                          </w:rPr>
                        </w:pPr>
                        <w:r>
                          <w:rPr>
                            <w:sz w:val="22"/>
                          </w:rPr>
                          <w:t xml:space="preserve">b) </w:t>
                        </w:r>
                        <w:r w:rsidR="00EF471E" w:rsidRPr="00EF471E">
                          <w:rPr>
                            <w:sz w:val="22"/>
                          </w:rPr>
                          <w:t>the M</w:t>
                        </w:r>
                        <w:r w:rsidR="00D8506F">
                          <w:rPr>
                            <w:sz w:val="22"/>
                          </w:rPr>
                          <w:t xml:space="preserve">inistry of </w:t>
                        </w:r>
                        <w:r w:rsidR="00EF471E" w:rsidRPr="00EF471E">
                          <w:rPr>
                            <w:sz w:val="22"/>
                          </w:rPr>
                          <w:t>D</w:t>
                        </w:r>
                        <w:r w:rsidR="00D8506F">
                          <w:rPr>
                            <w:sz w:val="22"/>
                          </w:rPr>
                          <w:t>efence</w:t>
                        </w:r>
                        <w:r w:rsidR="00EF471E" w:rsidRPr="00EF471E">
                          <w:rPr>
                            <w:sz w:val="22"/>
                          </w:rPr>
                          <w:t xml:space="preserve"> agreeing to fund a £60k charge for a client in Goole </w:t>
                        </w:r>
                        <w:proofErr w:type="spellStart"/>
                        <w:r w:rsidR="00EF471E" w:rsidRPr="00EF471E">
                          <w:rPr>
                            <w:sz w:val="22"/>
                          </w:rPr>
                          <w:t>Neuro</w:t>
                        </w:r>
                        <w:proofErr w:type="spellEnd"/>
                        <w:r w:rsidR="00EF471E" w:rsidRPr="00EF471E">
                          <w:rPr>
                            <w:sz w:val="22"/>
                          </w:rPr>
                          <w:t xml:space="preserve"> Rehab, and</w:t>
                        </w:r>
                      </w:p>
                      <w:p w:rsidR="0027797B" w:rsidRDefault="00EF471E" w:rsidP="00CF44B2">
                        <w:pPr>
                          <w:pStyle w:val="Default"/>
                          <w:ind w:left="884" w:hanging="283"/>
                          <w:jc w:val="both"/>
                          <w:rPr>
                            <w:sz w:val="22"/>
                          </w:rPr>
                        </w:pPr>
                        <w:r w:rsidRPr="00EF471E">
                          <w:rPr>
                            <w:sz w:val="22"/>
                          </w:rPr>
                          <w:t xml:space="preserve">c) </w:t>
                        </w:r>
                        <w:proofErr w:type="gramStart"/>
                        <w:r w:rsidRPr="00EF471E">
                          <w:rPr>
                            <w:sz w:val="22"/>
                          </w:rPr>
                          <w:t>a</w:t>
                        </w:r>
                        <w:proofErr w:type="gramEnd"/>
                        <w:r w:rsidRPr="00EF471E">
                          <w:rPr>
                            <w:sz w:val="22"/>
                          </w:rPr>
                          <w:t xml:space="preserve"> reduction in the percentage of assessed clients found to be eligible.</w:t>
                        </w:r>
                      </w:p>
                      <w:p w:rsidR="00EF471E" w:rsidRPr="00B03479" w:rsidRDefault="00EF471E" w:rsidP="00EF471E">
                        <w:pPr>
                          <w:pStyle w:val="Default"/>
                          <w:ind w:left="176" w:firstLine="425"/>
                          <w:rPr>
                            <w:sz w:val="22"/>
                          </w:rPr>
                        </w:pPr>
                      </w:p>
                    </w:tc>
                  </w:tr>
                  <w:tr w:rsidR="001C7C56" w:rsidRPr="00B03479" w:rsidTr="00EF471E">
                    <w:trPr>
                      <w:gridAfter w:val="1"/>
                      <w:wAfter w:w="196" w:type="dxa"/>
                      <w:trHeight w:val="324"/>
                    </w:trPr>
                    <w:tc>
                      <w:tcPr>
                        <w:tcW w:w="9815" w:type="dxa"/>
                      </w:tcPr>
                      <w:p w:rsidR="001C7C56" w:rsidRPr="00B03479" w:rsidRDefault="00CF44B2" w:rsidP="009E4D7B">
                        <w:pPr>
                          <w:pStyle w:val="Default"/>
                          <w:numPr>
                            <w:ilvl w:val="0"/>
                            <w:numId w:val="26"/>
                          </w:numPr>
                          <w:ind w:left="176" w:hanging="284"/>
                          <w:jc w:val="both"/>
                          <w:rPr>
                            <w:sz w:val="22"/>
                          </w:rPr>
                        </w:pPr>
                        <w:r>
                          <w:rPr>
                            <w:sz w:val="22"/>
                          </w:rPr>
                          <w:t xml:space="preserve">Prescribing; </w:t>
                        </w:r>
                        <w:proofErr w:type="gramStart"/>
                        <w:r w:rsidR="009E4D7B">
                          <w:rPr>
                            <w:sz w:val="22"/>
                          </w:rPr>
                          <w:t>T</w:t>
                        </w:r>
                        <w:r w:rsidR="00E17B09" w:rsidRPr="00EF471E">
                          <w:rPr>
                            <w:sz w:val="22"/>
                          </w:rPr>
                          <w:t>he</w:t>
                        </w:r>
                        <w:proofErr w:type="gramEnd"/>
                        <w:r w:rsidR="00EF471E" w:rsidRPr="00EF471E">
                          <w:rPr>
                            <w:sz w:val="22"/>
                          </w:rPr>
                          <w:t xml:space="preserve"> forecast overspend has not changed significantly since September, with the areas of higher than anticipated spend continuing to be Anticoagulants and Protamine &amp; Drugs Used In Diabetes.</w:t>
                        </w:r>
                      </w:p>
                    </w:tc>
                  </w:tr>
                  <w:tr w:rsidR="001C7C56" w:rsidRPr="00B03479" w:rsidTr="00EF471E">
                    <w:trPr>
                      <w:gridAfter w:val="1"/>
                      <w:wAfter w:w="196" w:type="dxa"/>
                      <w:trHeight w:val="324"/>
                    </w:trPr>
                    <w:tc>
                      <w:tcPr>
                        <w:tcW w:w="9815" w:type="dxa"/>
                      </w:tcPr>
                      <w:p w:rsidR="000D5495" w:rsidRPr="0058241F" w:rsidRDefault="000D5495" w:rsidP="000D5495">
                        <w:pPr>
                          <w:pStyle w:val="Default"/>
                          <w:ind w:left="210"/>
                          <w:rPr>
                            <w:sz w:val="22"/>
                          </w:rPr>
                        </w:pPr>
                      </w:p>
                      <w:p w:rsidR="0027797B" w:rsidRDefault="00EF471E" w:rsidP="00670E69">
                        <w:pPr>
                          <w:pStyle w:val="Default"/>
                          <w:numPr>
                            <w:ilvl w:val="0"/>
                            <w:numId w:val="26"/>
                          </w:numPr>
                          <w:ind w:left="176" w:hanging="284"/>
                          <w:jc w:val="both"/>
                          <w:rPr>
                            <w:sz w:val="22"/>
                          </w:rPr>
                        </w:pPr>
                        <w:r w:rsidRPr="00EF471E">
                          <w:rPr>
                            <w:sz w:val="22"/>
                          </w:rPr>
                          <w:t xml:space="preserve">Adult Social Care (ASC); </w:t>
                        </w:r>
                        <w:proofErr w:type="gramStart"/>
                        <w:r w:rsidR="009E4D7B">
                          <w:rPr>
                            <w:sz w:val="22"/>
                          </w:rPr>
                          <w:t>T</w:t>
                        </w:r>
                        <w:r w:rsidRPr="00EF471E">
                          <w:rPr>
                            <w:sz w:val="22"/>
                          </w:rPr>
                          <w:t>he</w:t>
                        </w:r>
                        <w:proofErr w:type="gramEnd"/>
                        <w:r w:rsidRPr="00EF471E">
                          <w:rPr>
                            <w:sz w:val="22"/>
                          </w:rPr>
                          <w:t xml:space="preserve"> mitigating management actions that are required to manage the current forecast residual risk have decreased to £182k. This is due in part to an improved income forecast.</w:t>
                        </w:r>
                      </w:p>
                      <w:p w:rsidR="00EF471E" w:rsidRDefault="00EF471E" w:rsidP="00EF471E">
                        <w:pPr>
                          <w:pStyle w:val="Default"/>
                          <w:ind w:left="176"/>
                          <w:rPr>
                            <w:sz w:val="22"/>
                          </w:rPr>
                        </w:pPr>
                      </w:p>
                      <w:p w:rsidR="00BC6AEF" w:rsidRPr="00B03479" w:rsidRDefault="001C7C56" w:rsidP="0027797B">
                        <w:pPr>
                          <w:pStyle w:val="Default"/>
                          <w:numPr>
                            <w:ilvl w:val="0"/>
                            <w:numId w:val="26"/>
                          </w:numPr>
                          <w:ind w:left="205" w:hanging="284"/>
                          <w:jc w:val="both"/>
                          <w:rPr>
                            <w:sz w:val="22"/>
                          </w:rPr>
                        </w:pPr>
                        <w:r w:rsidRPr="000D5495">
                          <w:rPr>
                            <w:sz w:val="22"/>
                          </w:rPr>
                          <w:t>Contingency funding / Ea</w:t>
                        </w:r>
                        <w:r w:rsidR="00064548">
                          <w:rPr>
                            <w:sz w:val="22"/>
                          </w:rPr>
                          <w:t>rmarked Reserves</w:t>
                        </w:r>
                        <w:r w:rsidRPr="000D5495">
                          <w:rPr>
                            <w:sz w:val="22"/>
                          </w:rPr>
                          <w:t xml:space="preserve">; </w:t>
                        </w:r>
                        <w:r w:rsidR="00EF471E">
                          <w:rPr>
                            <w:sz w:val="22"/>
                          </w:rPr>
                          <w:t>the CCG has £1.3</w:t>
                        </w:r>
                        <w:r w:rsidR="0027797B" w:rsidRPr="0027797B">
                          <w:rPr>
                            <w:sz w:val="22"/>
                          </w:rPr>
                          <w:t xml:space="preserve">m available to mitigate the impact of any Health or Adult Social Care risks that materialise in </w:t>
                        </w:r>
                        <w:r w:rsidR="00670E69">
                          <w:rPr>
                            <w:sz w:val="22"/>
                          </w:rPr>
                          <w:t>the remainder of financial year. Our current assessment of the total potential risk value is £1.2m.</w:t>
                        </w:r>
                        <w:r w:rsidR="0027797B" w:rsidRPr="0027797B">
                          <w:rPr>
                            <w:sz w:val="22"/>
                          </w:rPr>
                          <w:t xml:space="preserve">  Table </w:t>
                        </w:r>
                        <w:r w:rsidR="00FA54BB">
                          <w:rPr>
                            <w:sz w:val="22"/>
                          </w:rPr>
                          <w:t>4</w:t>
                        </w:r>
                        <w:r w:rsidR="0027797B" w:rsidRPr="0027797B">
                          <w:rPr>
                            <w:sz w:val="22"/>
                          </w:rPr>
                          <w:t xml:space="preserve"> provides further details of the risks that need to be </w:t>
                        </w:r>
                        <w:r w:rsidR="00D711E1" w:rsidRPr="0027797B">
                          <w:rPr>
                            <w:sz w:val="22"/>
                          </w:rPr>
                          <w:t>managed.</w:t>
                        </w:r>
                      </w:p>
                      <w:p w:rsidR="001C7C56" w:rsidRPr="00B03479" w:rsidRDefault="001C7C56" w:rsidP="00A30237">
                        <w:pPr>
                          <w:pStyle w:val="Default"/>
                          <w:ind w:left="210"/>
                          <w:rPr>
                            <w:sz w:val="22"/>
                          </w:rPr>
                        </w:pPr>
                      </w:p>
                    </w:tc>
                  </w:tr>
                </w:tbl>
                <w:p w:rsidR="001C7C56" w:rsidRDefault="001C7C56">
                  <w:pPr>
                    <w:pStyle w:val="Default"/>
                    <w:rPr>
                      <w:sz w:val="19"/>
                      <w:szCs w:val="19"/>
                    </w:rPr>
                  </w:pPr>
                </w:p>
              </w:tc>
            </w:tr>
          </w:tbl>
          <w:p w:rsidR="00A30237" w:rsidRDefault="00064548" w:rsidP="009E4D7B">
            <w:pPr>
              <w:pStyle w:val="Default"/>
              <w:numPr>
                <w:ilvl w:val="0"/>
                <w:numId w:val="26"/>
              </w:numPr>
              <w:ind w:left="426" w:hanging="284"/>
              <w:jc w:val="both"/>
              <w:rPr>
                <w:sz w:val="22"/>
              </w:rPr>
            </w:pPr>
            <w:r>
              <w:rPr>
                <w:sz w:val="22"/>
              </w:rPr>
              <w:lastRenderedPageBreak/>
              <w:t>Better Payment Practice;</w:t>
            </w:r>
            <w:r w:rsidR="00A30237" w:rsidRPr="0058241F">
              <w:rPr>
                <w:sz w:val="22"/>
              </w:rPr>
              <w:t xml:space="preserve"> </w:t>
            </w:r>
            <w:proofErr w:type="gramStart"/>
            <w:r w:rsidR="00D8506F" w:rsidRPr="00D8506F">
              <w:rPr>
                <w:sz w:val="22"/>
              </w:rPr>
              <w:t>As</w:t>
            </w:r>
            <w:proofErr w:type="gramEnd"/>
            <w:r w:rsidR="00D8506F" w:rsidRPr="00D8506F">
              <w:rPr>
                <w:sz w:val="22"/>
              </w:rPr>
              <w:t xml:space="preserve"> at November, the CCG is below the target of 95% of invoices paid within 30 days, only reaching 93% of number of invoices paid. This is however an improvement on the 92% reported in September. There has been an on-going improvement in the timeliness of invoices paid via NELC. If this improved performance continues for the remainder of the year we will meet the target by the end of the year.</w:t>
            </w:r>
            <w:r w:rsidR="00A30237" w:rsidRPr="0058241F">
              <w:rPr>
                <w:sz w:val="22"/>
              </w:rPr>
              <w:t xml:space="preserve"> </w:t>
            </w:r>
            <w:r w:rsidR="00A30237">
              <w:rPr>
                <w:sz w:val="22"/>
              </w:rPr>
              <w:t>(See Table 2)</w:t>
            </w:r>
          </w:p>
          <w:p w:rsidR="000B1FFC" w:rsidRDefault="000B1FFC" w:rsidP="00064548">
            <w:pPr>
              <w:pStyle w:val="Default"/>
              <w:ind w:left="142"/>
              <w:jc w:val="both"/>
              <w:rPr>
                <w:sz w:val="22"/>
              </w:rPr>
            </w:pPr>
          </w:p>
          <w:p w:rsidR="00064548" w:rsidRPr="00036D78" w:rsidRDefault="00064548" w:rsidP="000B1FFC">
            <w:pPr>
              <w:pStyle w:val="Default"/>
              <w:jc w:val="both"/>
              <w:rPr>
                <w:b/>
                <w:sz w:val="22"/>
                <w:u w:val="single"/>
              </w:rPr>
            </w:pPr>
            <w:r w:rsidRPr="00036D78">
              <w:rPr>
                <w:b/>
                <w:sz w:val="22"/>
                <w:u w:val="single"/>
              </w:rPr>
              <w:t>Community Finance Position</w:t>
            </w:r>
          </w:p>
          <w:p w:rsidR="00064548" w:rsidRPr="009E4D7B" w:rsidRDefault="00064548" w:rsidP="00064548">
            <w:pPr>
              <w:pStyle w:val="Default"/>
              <w:ind w:left="142"/>
              <w:jc w:val="both"/>
              <w:rPr>
                <w:b/>
                <w:sz w:val="22"/>
                <w:highlight w:val="yellow"/>
              </w:rPr>
            </w:pPr>
          </w:p>
          <w:tbl>
            <w:tblPr>
              <w:tblStyle w:val="TableGrid"/>
              <w:tblW w:w="0" w:type="auto"/>
              <w:tblInd w:w="142" w:type="dxa"/>
              <w:tblLayout w:type="fixed"/>
              <w:tblLook w:val="04A0" w:firstRow="1" w:lastRow="0" w:firstColumn="1" w:lastColumn="0" w:noHBand="0" w:noVBand="1"/>
            </w:tblPr>
            <w:tblGrid>
              <w:gridCol w:w="5949"/>
              <w:gridCol w:w="1063"/>
              <w:gridCol w:w="1063"/>
              <w:gridCol w:w="1377"/>
            </w:tblGrid>
            <w:tr w:rsidR="00C43615" w:rsidRPr="00036D78" w:rsidTr="00C31289">
              <w:trPr>
                <w:trHeight w:val="252"/>
              </w:trPr>
              <w:tc>
                <w:tcPr>
                  <w:tcW w:w="5949" w:type="dxa"/>
                  <w:tcBorders>
                    <w:bottom w:val="nil"/>
                  </w:tcBorders>
                  <w:vAlign w:val="center"/>
                </w:tcPr>
                <w:p w:rsidR="00C43615" w:rsidRPr="00036D78" w:rsidRDefault="00C43615" w:rsidP="00C43615">
                  <w:pPr>
                    <w:pStyle w:val="Default"/>
                    <w:rPr>
                      <w:sz w:val="22"/>
                    </w:rPr>
                  </w:pPr>
                  <w:r w:rsidRPr="00036D78">
                    <w:rPr>
                      <w:sz w:val="22"/>
                    </w:rPr>
                    <w:t>Community Total</w:t>
                  </w:r>
                  <w:r w:rsidR="00C31289" w:rsidRPr="00036D78">
                    <w:rPr>
                      <w:sz w:val="22"/>
                    </w:rPr>
                    <w:t xml:space="preserve"> </w:t>
                  </w:r>
                  <w:r w:rsidR="004B79F5" w:rsidRPr="00036D78">
                    <w:rPr>
                      <w:sz w:val="22"/>
                    </w:rPr>
                    <w:t>–</w:t>
                  </w:r>
                  <w:r w:rsidR="00C31289" w:rsidRPr="00036D78">
                    <w:rPr>
                      <w:sz w:val="22"/>
                    </w:rPr>
                    <w:t xml:space="preserve"> Forecast</w:t>
                  </w:r>
                  <w:r w:rsidR="004B79F5" w:rsidRPr="00036D78">
                    <w:rPr>
                      <w:sz w:val="22"/>
                    </w:rPr>
                    <w:t xml:space="preserve"> Deficit</w:t>
                  </w:r>
                </w:p>
              </w:tc>
              <w:tc>
                <w:tcPr>
                  <w:tcW w:w="1063" w:type="dxa"/>
                  <w:tcBorders>
                    <w:bottom w:val="nil"/>
                  </w:tcBorders>
                </w:tcPr>
                <w:p w:rsidR="00C43615" w:rsidRPr="00036D78" w:rsidRDefault="00C31289" w:rsidP="00036D78">
                  <w:pPr>
                    <w:pStyle w:val="Default"/>
                    <w:jc w:val="center"/>
                    <w:rPr>
                      <w:sz w:val="22"/>
                    </w:rPr>
                  </w:pPr>
                  <w:r w:rsidRPr="00036D78">
                    <w:rPr>
                      <w:sz w:val="22"/>
                    </w:rPr>
                    <w:t>M</w:t>
                  </w:r>
                  <w:r w:rsidR="00036D78">
                    <w:rPr>
                      <w:sz w:val="22"/>
                    </w:rPr>
                    <w:t>6</w:t>
                  </w:r>
                </w:p>
              </w:tc>
              <w:tc>
                <w:tcPr>
                  <w:tcW w:w="1063" w:type="dxa"/>
                  <w:tcBorders>
                    <w:bottom w:val="nil"/>
                  </w:tcBorders>
                </w:tcPr>
                <w:p w:rsidR="00C43615" w:rsidRPr="00036D78" w:rsidRDefault="00C31289" w:rsidP="00A41EE7">
                  <w:pPr>
                    <w:pStyle w:val="Default"/>
                    <w:jc w:val="center"/>
                    <w:rPr>
                      <w:sz w:val="22"/>
                    </w:rPr>
                  </w:pPr>
                  <w:r w:rsidRPr="00036D78">
                    <w:rPr>
                      <w:sz w:val="22"/>
                    </w:rPr>
                    <w:t>M</w:t>
                  </w:r>
                  <w:r w:rsidR="00A41EE7">
                    <w:rPr>
                      <w:sz w:val="22"/>
                    </w:rPr>
                    <w:t>8</w:t>
                  </w:r>
                  <w:r w:rsidR="00C43615" w:rsidRPr="00036D78">
                    <w:rPr>
                      <w:sz w:val="22"/>
                    </w:rPr>
                    <w:t xml:space="preserve"> </w:t>
                  </w:r>
                </w:p>
              </w:tc>
              <w:tc>
                <w:tcPr>
                  <w:tcW w:w="1377" w:type="dxa"/>
                  <w:tcBorders>
                    <w:bottom w:val="nil"/>
                  </w:tcBorders>
                </w:tcPr>
                <w:p w:rsidR="00C43615" w:rsidRPr="00036D78" w:rsidRDefault="00C31289" w:rsidP="00C43615">
                  <w:pPr>
                    <w:pStyle w:val="Default"/>
                    <w:jc w:val="center"/>
                    <w:rPr>
                      <w:sz w:val="22"/>
                    </w:rPr>
                  </w:pPr>
                  <w:r w:rsidRPr="00036D78">
                    <w:rPr>
                      <w:sz w:val="22"/>
                    </w:rPr>
                    <w:t>Movement</w:t>
                  </w:r>
                </w:p>
              </w:tc>
            </w:tr>
            <w:tr w:rsidR="00C43615" w:rsidRPr="00036D78" w:rsidTr="00C31289">
              <w:trPr>
                <w:trHeight w:val="264"/>
              </w:trPr>
              <w:tc>
                <w:tcPr>
                  <w:tcW w:w="5949" w:type="dxa"/>
                  <w:tcBorders>
                    <w:top w:val="nil"/>
                  </w:tcBorders>
                </w:tcPr>
                <w:p w:rsidR="00C43615" w:rsidRPr="00036D78" w:rsidRDefault="00C43615" w:rsidP="00064548">
                  <w:pPr>
                    <w:pStyle w:val="Default"/>
                    <w:jc w:val="both"/>
                    <w:rPr>
                      <w:sz w:val="22"/>
                    </w:rPr>
                  </w:pPr>
                </w:p>
              </w:tc>
              <w:tc>
                <w:tcPr>
                  <w:tcW w:w="1063" w:type="dxa"/>
                  <w:tcBorders>
                    <w:top w:val="nil"/>
                  </w:tcBorders>
                </w:tcPr>
                <w:p w:rsidR="00C43615" w:rsidRPr="00036D78" w:rsidRDefault="00C43615" w:rsidP="00C43615">
                  <w:pPr>
                    <w:pStyle w:val="Default"/>
                    <w:jc w:val="center"/>
                    <w:rPr>
                      <w:sz w:val="22"/>
                    </w:rPr>
                  </w:pPr>
                  <w:r w:rsidRPr="00036D78">
                    <w:rPr>
                      <w:sz w:val="22"/>
                    </w:rPr>
                    <w:t>£m</w:t>
                  </w:r>
                </w:p>
              </w:tc>
              <w:tc>
                <w:tcPr>
                  <w:tcW w:w="1063" w:type="dxa"/>
                  <w:tcBorders>
                    <w:top w:val="nil"/>
                  </w:tcBorders>
                </w:tcPr>
                <w:p w:rsidR="00C43615" w:rsidRPr="00036D78" w:rsidRDefault="00C43615" w:rsidP="00C43615">
                  <w:pPr>
                    <w:pStyle w:val="Default"/>
                    <w:jc w:val="center"/>
                    <w:rPr>
                      <w:sz w:val="22"/>
                    </w:rPr>
                  </w:pPr>
                  <w:r w:rsidRPr="00036D78">
                    <w:rPr>
                      <w:sz w:val="22"/>
                    </w:rPr>
                    <w:t>£m</w:t>
                  </w:r>
                </w:p>
              </w:tc>
              <w:tc>
                <w:tcPr>
                  <w:tcW w:w="1377" w:type="dxa"/>
                  <w:tcBorders>
                    <w:top w:val="nil"/>
                  </w:tcBorders>
                </w:tcPr>
                <w:p w:rsidR="00C43615" w:rsidRPr="00036D78" w:rsidRDefault="00C43615" w:rsidP="00C43615">
                  <w:pPr>
                    <w:pStyle w:val="Default"/>
                    <w:jc w:val="center"/>
                    <w:rPr>
                      <w:sz w:val="22"/>
                    </w:rPr>
                  </w:pPr>
                  <w:r w:rsidRPr="00036D78">
                    <w:rPr>
                      <w:sz w:val="22"/>
                    </w:rPr>
                    <w:t>£m</w:t>
                  </w:r>
                </w:p>
              </w:tc>
            </w:tr>
            <w:tr w:rsidR="00C43615" w:rsidRPr="009E4D7B" w:rsidTr="00C31289">
              <w:trPr>
                <w:trHeight w:val="264"/>
              </w:trPr>
              <w:tc>
                <w:tcPr>
                  <w:tcW w:w="5949" w:type="dxa"/>
                </w:tcPr>
                <w:p w:rsidR="00C43615" w:rsidRPr="00036D78" w:rsidRDefault="00C43615" w:rsidP="00064548">
                  <w:pPr>
                    <w:pStyle w:val="Default"/>
                    <w:jc w:val="both"/>
                    <w:rPr>
                      <w:sz w:val="22"/>
                    </w:rPr>
                  </w:pPr>
                  <w:r w:rsidRPr="00036D78">
                    <w:rPr>
                      <w:sz w:val="22"/>
                    </w:rPr>
                    <w:t>NEL CCG, NL CCG, NLAG, Navigo, Care Plus Group</w:t>
                  </w:r>
                </w:p>
              </w:tc>
              <w:tc>
                <w:tcPr>
                  <w:tcW w:w="1063" w:type="dxa"/>
                </w:tcPr>
                <w:p w:rsidR="00C43615" w:rsidRPr="00036D78" w:rsidRDefault="00C43615" w:rsidP="00036D78">
                  <w:pPr>
                    <w:pStyle w:val="Default"/>
                    <w:jc w:val="center"/>
                    <w:rPr>
                      <w:sz w:val="22"/>
                    </w:rPr>
                  </w:pPr>
                  <w:r w:rsidRPr="00036D78">
                    <w:rPr>
                      <w:sz w:val="22"/>
                    </w:rPr>
                    <w:t>(</w:t>
                  </w:r>
                  <w:r w:rsidR="00036D78">
                    <w:rPr>
                      <w:sz w:val="22"/>
                    </w:rPr>
                    <w:t>18.9</w:t>
                  </w:r>
                  <w:r w:rsidRPr="00036D78">
                    <w:rPr>
                      <w:sz w:val="22"/>
                    </w:rPr>
                    <w:t>)</w:t>
                  </w:r>
                </w:p>
              </w:tc>
              <w:tc>
                <w:tcPr>
                  <w:tcW w:w="1063" w:type="dxa"/>
                </w:tcPr>
                <w:p w:rsidR="00C43615" w:rsidRPr="00036D78" w:rsidRDefault="00AF5174" w:rsidP="00C31289">
                  <w:pPr>
                    <w:pStyle w:val="Default"/>
                    <w:jc w:val="center"/>
                    <w:rPr>
                      <w:sz w:val="22"/>
                    </w:rPr>
                  </w:pPr>
                  <w:r>
                    <w:rPr>
                      <w:sz w:val="22"/>
                    </w:rPr>
                    <w:t>(19.0)</w:t>
                  </w:r>
                </w:p>
              </w:tc>
              <w:tc>
                <w:tcPr>
                  <w:tcW w:w="1377" w:type="dxa"/>
                </w:tcPr>
                <w:p w:rsidR="00C43615" w:rsidRPr="00036D78" w:rsidRDefault="00AF5174" w:rsidP="00C43615">
                  <w:pPr>
                    <w:pStyle w:val="Default"/>
                    <w:jc w:val="center"/>
                    <w:rPr>
                      <w:sz w:val="22"/>
                    </w:rPr>
                  </w:pPr>
                  <w:r>
                    <w:rPr>
                      <w:sz w:val="22"/>
                    </w:rPr>
                    <w:t>0.1</w:t>
                  </w:r>
                </w:p>
              </w:tc>
            </w:tr>
          </w:tbl>
          <w:p w:rsidR="00064548" w:rsidRPr="009E4D7B" w:rsidRDefault="00064548" w:rsidP="00064548">
            <w:pPr>
              <w:pStyle w:val="Default"/>
              <w:ind w:left="142"/>
              <w:jc w:val="both"/>
              <w:rPr>
                <w:b/>
                <w:sz w:val="22"/>
                <w:highlight w:val="yellow"/>
              </w:rPr>
            </w:pPr>
          </w:p>
          <w:p w:rsidR="00993A57" w:rsidRPr="00752FD6" w:rsidRDefault="00993A57" w:rsidP="00AF5174">
            <w:pPr>
              <w:pStyle w:val="Default"/>
              <w:ind w:left="142"/>
              <w:jc w:val="both"/>
              <w:rPr>
                <w:bCs/>
                <w:sz w:val="22"/>
                <w:szCs w:val="22"/>
              </w:rPr>
            </w:pPr>
          </w:p>
        </w:tc>
      </w:tr>
    </w:tbl>
    <w:p w:rsidR="00A03A97" w:rsidRPr="009D14DD" w:rsidRDefault="00A03A97" w:rsidP="00DD689C">
      <w:pPr>
        <w:rPr>
          <w:rFonts w:ascii="Arial" w:hAnsi="Arial" w:cs="Arial"/>
          <w:b/>
          <w:sz w:val="22"/>
          <w:szCs w:val="22"/>
        </w:rPr>
      </w:pPr>
    </w:p>
    <w:tbl>
      <w:tblPr>
        <w:tblW w:w="1007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51"/>
        <w:gridCol w:w="9828"/>
      </w:tblGrid>
      <w:tr w:rsidR="006A2E19" w:rsidRPr="00752FD6" w:rsidTr="007B005F">
        <w:trPr>
          <w:trHeight w:val="610"/>
        </w:trPr>
        <w:tc>
          <w:tcPr>
            <w:tcW w:w="10079"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6A74AF" w:rsidRPr="00752FD6" w:rsidTr="007B005F">
        <w:trPr>
          <w:trHeight w:val="398"/>
        </w:trPr>
        <w:tc>
          <w:tcPr>
            <w:tcW w:w="251"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828" w:type="dxa"/>
            <w:shd w:val="clear" w:color="auto" w:fill="auto"/>
          </w:tcPr>
          <w:p w:rsidR="006A74AF" w:rsidRDefault="00D25F0F" w:rsidP="009306C6">
            <w:pPr>
              <w:rPr>
                <w:rFonts w:ascii="Arial" w:hAnsi="Arial" w:cs="Arial"/>
                <w:bCs/>
                <w:sz w:val="22"/>
                <w:szCs w:val="22"/>
              </w:rPr>
            </w:pPr>
            <w:r w:rsidRPr="000A0A42">
              <w:rPr>
                <w:rFonts w:ascii="Arial" w:hAnsi="Arial" w:cs="Arial"/>
                <w:bCs/>
                <w:sz w:val="22"/>
                <w:szCs w:val="22"/>
              </w:rPr>
              <w:t>The Partnership Board is asked to note :-</w:t>
            </w:r>
          </w:p>
          <w:p w:rsidR="00AF5174" w:rsidRPr="000A0A42" w:rsidRDefault="00AF5174" w:rsidP="009306C6">
            <w:pPr>
              <w:rPr>
                <w:rFonts w:ascii="Arial" w:hAnsi="Arial" w:cs="Arial"/>
                <w:bCs/>
                <w:sz w:val="22"/>
                <w:szCs w:val="22"/>
              </w:rPr>
            </w:pPr>
          </w:p>
          <w:p w:rsidR="00D25F0F" w:rsidRPr="000A0A42" w:rsidRDefault="00D25F0F" w:rsidP="00064548">
            <w:pPr>
              <w:pStyle w:val="ListParagraph"/>
              <w:numPr>
                <w:ilvl w:val="0"/>
                <w:numId w:val="31"/>
              </w:numPr>
              <w:ind w:left="743"/>
              <w:rPr>
                <w:rFonts w:ascii="Arial" w:hAnsi="Arial" w:cs="Arial"/>
                <w:bCs/>
                <w:sz w:val="22"/>
                <w:szCs w:val="22"/>
              </w:rPr>
            </w:pPr>
            <w:r w:rsidRPr="000A0A42">
              <w:rPr>
                <w:rFonts w:ascii="Arial" w:hAnsi="Arial" w:cs="Arial"/>
                <w:bCs/>
                <w:sz w:val="22"/>
                <w:szCs w:val="22"/>
              </w:rPr>
              <w:t xml:space="preserve">The financial position </w:t>
            </w:r>
            <w:r w:rsidR="00C956FA" w:rsidRPr="000A0A42">
              <w:rPr>
                <w:rFonts w:ascii="Arial" w:hAnsi="Arial" w:cs="Arial"/>
                <w:bCs/>
                <w:sz w:val="22"/>
                <w:szCs w:val="22"/>
              </w:rPr>
              <w:t>of</w:t>
            </w:r>
            <w:r w:rsidRPr="000A0A42">
              <w:rPr>
                <w:rFonts w:ascii="Arial" w:hAnsi="Arial" w:cs="Arial"/>
                <w:bCs/>
                <w:sz w:val="22"/>
                <w:szCs w:val="22"/>
              </w:rPr>
              <w:t xml:space="preserve"> </w:t>
            </w:r>
            <w:r w:rsidR="00064548" w:rsidRPr="000A0A42">
              <w:rPr>
                <w:rFonts w:ascii="Arial" w:hAnsi="Arial" w:cs="Arial"/>
                <w:bCs/>
                <w:sz w:val="22"/>
                <w:szCs w:val="22"/>
              </w:rPr>
              <w:t xml:space="preserve">both </w:t>
            </w:r>
            <w:r w:rsidRPr="000A0A42">
              <w:rPr>
                <w:rFonts w:ascii="Arial" w:hAnsi="Arial" w:cs="Arial"/>
                <w:bCs/>
                <w:sz w:val="22"/>
                <w:szCs w:val="22"/>
              </w:rPr>
              <w:t>the CCG</w:t>
            </w:r>
            <w:r w:rsidR="00064548" w:rsidRPr="000A0A42">
              <w:rPr>
                <w:rFonts w:ascii="Arial" w:hAnsi="Arial" w:cs="Arial"/>
                <w:bCs/>
                <w:sz w:val="22"/>
                <w:szCs w:val="22"/>
              </w:rPr>
              <w:t xml:space="preserve"> and the Northern Lincolnshire Community</w:t>
            </w:r>
            <w:r w:rsidRPr="000A0A42">
              <w:rPr>
                <w:rFonts w:ascii="Arial" w:hAnsi="Arial" w:cs="Arial"/>
                <w:bCs/>
                <w:sz w:val="22"/>
                <w:szCs w:val="22"/>
              </w:rPr>
              <w:t xml:space="preserve"> as a</w:t>
            </w:r>
            <w:r w:rsidR="001C7C56" w:rsidRPr="000A0A42">
              <w:rPr>
                <w:rFonts w:ascii="Arial" w:hAnsi="Arial" w:cs="Arial"/>
                <w:bCs/>
                <w:sz w:val="22"/>
                <w:szCs w:val="22"/>
              </w:rPr>
              <w:t>t</w:t>
            </w:r>
            <w:r w:rsidRPr="000A0A42">
              <w:rPr>
                <w:rFonts w:ascii="Arial" w:hAnsi="Arial" w:cs="Arial"/>
                <w:bCs/>
                <w:sz w:val="22"/>
                <w:szCs w:val="22"/>
              </w:rPr>
              <w:t xml:space="preserve"> </w:t>
            </w:r>
            <w:r w:rsidR="00D8506F" w:rsidRPr="000A0A42">
              <w:rPr>
                <w:rFonts w:ascii="Arial" w:hAnsi="Arial" w:cs="Arial"/>
                <w:bCs/>
                <w:sz w:val="22"/>
                <w:szCs w:val="22"/>
              </w:rPr>
              <w:t>Nov</w:t>
            </w:r>
            <w:r w:rsidR="00AD3B1A" w:rsidRPr="000A0A42">
              <w:rPr>
                <w:rFonts w:ascii="Arial" w:hAnsi="Arial" w:cs="Arial"/>
                <w:bCs/>
                <w:sz w:val="22"/>
                <w:szCs w:val="22"/>
              </w:rPr>
              <w:t>ember</w:t>
            </w:r>
            <w:r w:rsidRPr="000A0A42">
              <w:rPr>
                <w:rFonts w:ascii="Arial" w:hAnsi="Arial" w:cs="Arial"/>
                <w:bCs/>
                <w:sz w:val="22"/>
                <w:szCs w:val="22"/>
              </w:rPr>
              <w:t xml:space="preserve"> </w:t>
            </w:r>
            <w:r w:rsidR="00AD3B1A" w:rsidRPr="000A0A42">
              <w:rPr>
                <w:rFonts w:ascii="Arial" w:hAnsi="Arial" w:cs="Arial"/>
                <w:bCs/>
                <w:sz w:val="22"/>
                <w:szCs w:val="22"/>
              </w:rPr>
              <w:t>20</w:t>
            </w:r>
            <w:r w:rsidRPr="000A0A42">
              <w:rPr>
                <w:rFonts w:ascii="Arial" w:hAnsi="Arial" w:cs="Arial"/>
                <w:bCs/>
                <w:sz w:val="22"/>
                <w:szCs w:val="22"/>
              </w:rPr>
              <w:t>15.</w:t>
            </w:r>
          </w:p>
          <w:p w:rsidR="007B005F" w:rsidRPr="00064548" w:rsidRDefault="00D25F0F" w:rsidP="00AF5174">
            <w:pPr>
              <w:pStyle w:val="ListParagraph"/>
              <w:numPr>
                <w:ilvl w:val="0"/>
                <w:numId w:val="31"/>
              </w:numPr>
              <w:ind w:left="743"/>
              <w:rPr>
                <w:rFonts w:ascii="Arial" w:hAnsi="Arial" w:cs="Arial"/>
                <w:bCs/>
                <w:sz w:val="22"/>
                <w:szCs w:val="22"/>
              </w:rPr>
            </w:pPr>
            <w:r w:rsidRPr="000A0A42">
              <w:rPr>
                <w:rFonts w:ascii="Arial" w:hAnsi="Arial" w:cs="Arial"/>
                <w:bCs/>
                <w:sz w:val="22"/>
                <w:szCs w:val="22"/>
              </w:rPr>
              <w:t>Risks that need to be managed in the remainder of the year</w:t>
            </w:r>
            <w:r w:rsidR="00F276B7" w:rsidRPr="000A0A42">
              <w:rPr>
                <w:rFonts w:ascii="Arial" w:hAnsi="Arial" w:cs="Arial"/>
                <w:bCs/>
                <w:sz w:val="22"/>
                <w:szCs w:val="22"/>
              </w:rPr>
              <w:t>.</w:t>
            </w:r>
            <w:r w:rsidR="00AF5174">
              <w:rPr>
                <w:rFonts w:ascii="Arial" w:hAnsi="Arial" w:cs="Arial"/>
                <w:bCs/>
                <w:sz w:val="22"/>
                <w:szCs w:val="22"/>
              </w:rPr>
              <w:t xml:space="preserve"> </w:t>
            </w:r>
          </w:p>
        </w:tc>
      </w:tr>
      <w:tr w:rsidR="000D5495" w:rsidRPr="00752FD6" w:rsidTr="00AD3B1A">
        <w:trPr>
          <w:trHeight w:val="80"/>
        </w:trPr>
        <w:tc>
          <w:tcPr>
            <w:tcW w:w="251" w:type="dxa"/>
            <w:shd w:val="clear" w:color="auto" w:fill="auto"/>
          </w:tcPr>
          <w:p w:rsidR="000D5495" w:rsidRDefault="000D5495" w:rsidP="009306C6">
            <w:pPr>
              <w:rPr>
                <w:rFonts w:ascii="Arial" w:hAnsi="Arial" w:cs="Arial"/>
                <w:bCs/>
                <w:sz w:val="22"/>
                <w:szCs w:val="22"/>
              </w:rPr>
            </w:pPr>
          </w:p>
        </w:tc>
        <w:tc>
          <w:tcPr>
            <w:tcW w:w="9828" w:type="dxa"/>
            <w:shd w:val="clear" w:color="auto" w:fill="auto"/>
          </w:tcPr>
          <w:p w:rsidR="000D5495" w:rsidRDefault="000D5495" w:rsidP="009306C6">
            <w:pPr>
              <w:rPr>
                <w:rFonts w:ascii="Arial" w:hAnsi="Arial" w:cs="Arial"/>
                <w:bCs/>
                <w:sz w:val="22"/>
                <w:szCs w:val="22"/>
              </w:rPr>
            </w:pPr>
          </w:p>
        </w:tc>
      </w:tr>
    </w:tbl>
    <w:p w:rsidR="00DC3218" w:rsidRDefault="00DC3218" w:rsidP="00D7033C">
      <w:pPr>
        <w:rPr>
          <w:rFonts w:ascii="Arial" w:hAnsi="Arial" w:cs="Arial"/>
          <w:b/>
          <w:bCs/>
          <w:sz w:val="22"/>
          <w:szCs w:val="22"/>
        </w:rPr>
      </w:pPr>
    </w:p>
    <w:p w:rsidR="004D5377" w:rsidRDefault="004D5377" w:rsidP="00D7033C">
      <w:pPr>
        <w:rPr>
          <w:rFonts w:ascii="Arial" w:hAnsi="Arial" w:cs="Arial"/>
          <w:b/>
          <w:bCs/>
          <w:sz w:val="22"/>
          <w:szCs w:val="22"/>
        </w:rPr>
      </w:pPr>
    </w:p>
    <w:p w:rsidR="00993A57" w:rsidRDefault="00993A57" w:rsidP="00D7033C">
      <w:pPr>
        <w:rPr>
          <w:rFonts w:ascii="Arial" w:hAnsi="Arial" w:cs="Arial"/>
          <w:b/>
          <w:bCs/>
          <w:sz w:val="22"/>
          <w:szCs w:val="22"/>
        </w:rPr>
      </w:pPr>
    </w:p>
    <w:tbl>
      <w:tblPr>
        <w:tblpPr w:leftFromText="180" w:rightFromText="180" w:vertAnchor="text" w:horzAnchor="margin" w:tblpX="-34" w:tblpY="-540"/>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092"/>
      </w:tblGrid>
      <w:tr w:rsidR="00993A57" w:rsidRPr="00752FD6" w:rsidTr="00EF471E">
        <w:trPr>
          <w:trHeight w:val="822"/>
          <w:tblHeader/>
        </w:trPr>
        <w:tc>
          <w:tcPr>
            <w:tcW w:w="568" w:type="dxa"/>
            <w:shd w:val="clear" w:color="auto" w:fill="C0C0C0"/>
            <w:vAlign w:val="center"/>
          </w:tcPr>
          <w:p w:rsidR="00993A57" w:rsidRPr="00752FD6" w:rsidRDefault="00993A57" w:rsidP="00EF471E">
            <w:pPr>
              <w:spacing w:before="80" w:after="80"/>
              <w:jc w:val="center"/>
              <w:rPr>
                <w:rFonts w:ascii="Arial" w:hAnsi="Arial" w:cs="Arial"/>
                <w:b/>
                <w:sz w:val="22"/>
                <w:szCs w:val="22"/>
              </w:rPr>
            </w:pPr>
          </w:p>
        </w:tc>
        <w:tc>
          <w:tcPr>
            <w:tcW w:w="6520" w:type="dxa"/>
            <w:shd w:val="clear" w:color="auto" w:fill="C0C0C0"/>
            <w:vAlign w:val="center"/>
          </w:tcPr>
          <w:p w:rsidR="00993A57" w:rsidRPr="00752FD6" w:rsidRDefault="00993A57" w:rsidP="00EF471E">
            <w:pPr>
              <w:spacing w:before="80" w:after="80"/>
              <w:rPr>
                <w:rFonts w:ascii="Arial" w:hAnsi="Arial" w:cs="Arial"/>
                <w:b/>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C0C0C0"/>
            <w:vAlign w:val="center"/>
          </w:tcPr>
          <w:p w:rsidR="00993A57" w:rsidRPr="00752FD6" w:rsidRDefault="00993A57" w:rsidP="00EF471E">
            <w:pPr>
              <w:spacing w:before="80" w:after="80"/>
              <w:jc w:val="center"/>
              <w:rPr>
                <w:rFonts w:ascii="Arial" w:hAnsi="Arial" w:cs="Arial"/>
                <w:b/>
                <w:sz w:val="22"/>
                <w:szCs w:val="22"/>
              </w:rPr>
            </w:pPr>
          </w:p>
          <w:p w:rsidR="00993A57" w:rsidRDefault="00993A57" w:rsidP="00EF471E">
            <w:pPr>
              <w:spacing w:before="80" w:after="80"/>
              <w:jc w:val="center"/>
              <w:rPr>
                <w:rFonts w:ascii="Arial" w:hAnsi="Arial" w:cs="Arial"/>
                <w:b/>
                <w:sz w:val="22"/>
                <w:szCs w:val="22"/>
              </w:rPr>
            </w:pPr>
            <w:r w:rsidRPr="00752FD6">
              <w:rPr>
                <w:rFonts w:ascii="Arial" w:hAnsi="Arial" w:cs="Arial"/>
                <w:b/>
                <w:sz w:val="22"/>
                <w:szCs w:val="22"/>
              </w:rPr>
              <w:t>Yes/</w:t>
            </w:r>
          </w:p>
          <w:p w:rsidR="00993A57" w:rsidRPr="00752FD6" w:rsidRDefault="00993A57" w:rsidP="00EF471E">
            <w:pPr>
              <w:spacing w:before="80" w:after="80"/>
              <w:jc w:val="center"/>
              <w:rPr>
                <w:rFonts w:ascii="Arial" w:hAnsi="Arial" w:cs="Arial"/>
                <w:b/>
                <w:sz w:val="22"/>
                <w:szCs w:val="22"/>
              </w:rPr>
            </w:pPr>
            <w:r w:rsidRPr="00752FD6">
              <w:rPr>
                <w:rFonts w:ascii="Arial" w:hAnsi="Arial" w:cs="Arial"/>
                <w:b/>
                <w:sz w:val="22"/>
                <w:szCs w:val="22"/>
              </w:rPr>
              <w:t>No</w:t>
            </w:r>
          </w:p>
        </w:tc>
        <w:tc>
          <w:tcPr>
            <w:tcW w:w="2092" w:type="dxa"/>
            <w:shd w:val="clear" w:color="auto" w:fill="C0C0C0"/>
            <w:vAlign w:val="center"/>
          </w:tcPr>
          <w:p w:rsidR="00993A57" w:rsidRPr="00752FD6" w:rsidRDefault="00993A57" w:rsidP="00EF471E">
            <w:pPr>
              <w:spacing w:before="80" w:after="80"/>
              <w:jc w:val="center"/>
              <w:rPr>
                <w:rFonts w:ascii="Arial" w:hAnsi="Arial" w:cs="Arial"/>
                <w:b/>
                <w:sz w:val="22"/>
                <w:szCs w:val="22"/>
              </w:rPr>
            </w:pPr>
            <w:r w:rsidRPr="00752FD6">
              <w:rPr>
                <w:rFonts w:ascii="Arial" w:hAnsi="Arial" w:cs="Arial"/>
                <w:b/>
                <w:sz w:val="22"/>
                <w:szCs w:val="22"/>
              </w:rPr>
              <w:t>Comments</w:t>
            </w:r>
          </w:p>
        </w:tc>
      </w:tr>
      <w:tr w:rsidR="00993A57" w:rsidRPr="00752FD6" w:rsidTr="00EF471E">
        <w:tc>
          <w:tcPr>
            <w:tcW w:w="568" w:type="dxa"/>
            <w:shd w:val="clear" w:color="auto" w:fill="auto"/>
          </w:tcPr>
          <w:p w:rsidR="00993A57" w:rsidRPr="00752FD6" w:rsidRDefault="00993A57" w:rsidP="00EF471E">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993A57" w:rsidRPr="00752FD6" w:rsidRDefault="00993A57" w:rsidP="00EF471E">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993A57" w:rsidRPr="00752FD6" w:rsidRDefault="00993A57" w:rsidP="00EF471E">
            <w:pPr>
              <w:spacing w:before="80" w:after="80"/>
              <w:jc w:val="center"/>
              <w:rPr>
                <w:rFonts w:ascii="Arial" w:hAnsi="Arial" w:cs="Arial"/>
                <w:sz w:val="22"/>
                <w:szCs w:val="22"/>
              </w:rPr>
            </w:pPr>
            <w:r>
              <w:rPr>
                <w:rFonts w:ascii="Arial" w:hAnsi="Arial" w:cs="Arial"/>
                <w:sz w:val="22"/>
                <w:szCs w:val="22"/>
              </w:rPr>
              <w:t>Yes</w:t>
            </w:r>
          </w:p>
        </w:tc>
        <w:tc>
          <w:tcPr>
            <w:tcW w:w="2092" w:type="dxa"/>
            <w:shd w:val="clear" w:color="auto" w:fill="auto"/>
          </w:tcPr>
          <w:p w:rsidR="00993A57" w:rsidRPr="00752FD6" w:rsidRDefault="00993A57" w:rsidP="00EF471E">
            <w:pPr>
              <w:spacing w:before="80" w:after="80"/>
              <w:rPr>
                <w:rFonts w:ascii="Arial" w:hAnsi="Arial" w:cs="Arial"/>
                <w:sz w:val="22"/>
                <w:szCs w:val="22"/>
              </w:rPr>
            </w:pPr>
          </w:p>
        </w:tc>
      </w:tr>
      <w:tr w:rsidR="00993A57" w:rsidRPr="00752FD6" w:rsidTr="00EF471E">
        <w:tc>
          <w:tcPr>
            <w:tcW w:w="568" w:type="dxa"/>
            <w:shd w:val="clear" w:color="auto" w:fill="auto"/>
          </w:tcPr>
          <w:p w:rsidR="00993A57" w:rsidRPr="00752FD6" w:rsidRDefault="00993A57" w:rsidP="00EF471E">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993A57" w:rsidRPr="00752FD6" w:rsidRDefault="00993A57" w:rsidP="00EF471E">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993A57" w:rsidRPr="00752FD6" w:rsidRDefault="00993A57" w:rsidP="00EF471E">
            <w:pPr>
              <w:spacing w:before="80" w:after="80"/>
              <w:jc w:val="center"/>
              <w:rPr>
                <w:rFonts w:ascii="Arial" w:hAnsi="Arial" w:cs="Arial"/>
                <w:sz w:val="22"/>
                <w:szCs w:val="22"/>
              </w:rPr>
            </w:pPr>
            <w:r>
              <w:rPr>
                <w:rFonts w:ascii="Arial" w:hAnsi="Arial" w:cs="Arial"/>
                <w:sz w:val="22"/>
                <w:szCs w:val="22"/>
              </w:rPr>
              <w:t>Yes</w:t>
            </w:r>
          </w:p>
        </w:tc>
        <w:tc>
          <w:tcPr>
            <w:tcW w:w="2092" w:type="dxa"/>
            <w:shd w:val="clear" w:color="auto" w:fill="auto"/>
          </w:tcPr>
          <w:p w:rsidR="00993A57" w:rsidRPr="00752FD6" w:rsidRDefault="00993A57" w:rsidP="00EF471E">
            <w:pPr>
              <w:spacing w:before="80" w:after="80"/>
              <w:rPr>
                <w:rFonts w:ascii="Arial" w:hAnsi="Arial" w:cs="Arial"/>
                <w:sz w:val="22"/>
                <w:szCs w:val="22"/>
              </w:rPr>
            </w:pPr>
          </w:p>
        </w:tc>
      </w:tr>
      <w:tr w:rsidR="00993A57" w:rsidRPr="00752FD6" w:rsidTr="00EF471E">
        <w:tc>
          <w:tcPr>
            <w:tcW w:w="568" w:type="dxa"/>
            <w:shd w:val="clear" w:color="auto" w:fill="auto"/>
          </w:tcPr>
          <w:p w:rsidR="00993A57" w:rsidRPr="00752FD6" w:rsidRDefault="00993A57" w:rsidP="00EF471E">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993A57" w:rsidRPr="00752FD6" w:rsidRDefault="00993A57" w:rsidP="00EF471E">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993A57" w:rsidRPr="00752FD6" w:rsidRDefault="00993A57" w:rsidP="00EF471E">
            <w:pPr>
              <w:spacing w:before="80" w:after="80"/>
              <w:jc w:val="center"/>
              <w:rPr>
                <w:rFonts w:ascii="Arial" w:hAnsi="Arial" w:cs="Arial"/>
                <w:sz w:val="22"/>
                <w:szCs w:val="22"/>
              </w:rPr>
            </w:pPr>
            <w:r>
              <w:rPr>
                <w:rFonts w:ascii="Arial" w:hAnsi="Arial" w:cs="Arial"/>
                <w:sz w:val="22"/>
                <w:szCs w:val="22"/>
              </w:rPr>
              <w:t>Yes</w:t>
            </w:r>
          </w:p>
        </w:tc>
        <w:tc>
          <w:tcPr>
            <w:tcW w:w="2092" w:type="dxa"/>
            <w:shd w:val="clear" w:color="auto" w:fill="auto"/>
          </w:tcPr>
          <w:p w:rsidR="00993A57" w:rsidRPr="00752FD6" w:rsidRDefault="00993A57" w:rsidP="00EF471E">
            <w:pPr>
              <w:spacing w:before="80" w:after="80"/>
              <w:rPr>
                <w:rFonts w:ascii="Arial" w:hAnsi="Arial" w:cs="Arial"/>
                <w:sz w:val="22"/>
                <w:szCs w:val="22"/>
              </w:rPr>
            </w:pPr>
          </w:p>
        </w:tc>
      </w:tr>
      <w:tr w:rsidR="00993A57" w:rsidRPr="00752FD6" w:rsidTr="00EF471E">
        <w:tc>
          <w:tcPr>
            <w:tcW w:w="568" w:type="dxa"/>
            <w:shd w:val="clear" w:color="auto" w:fill="auto"/>
          </w:tcPr>
          <w:p w:rsidR="00993A57" w:rsidRPr="00752FD6" w:rsidRDefault="00993A57" w:rsidP="00EF471E">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993A57" w:rsidRPr="00752FD6" w:rsidRDefault="00993A57" w:rsidP="00EF471E">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993A57" w:rsidRPr="00752FD6" w:rsidRDefault="00993A57" w:rsidP="00EF471E">
            <w:pPr>
              <w:spacing w:before="80" w:after="80"/>
              <w:jc w:val="center"/>
              <w:rPr>
                <w:rFonts w:ascii="Arial" w:hAnsi="Arial" w:cs="Arial"/>
                <w:sz w:val="22"/>
                <w:szCs w:val="22"/>
              </w:rPr>
            </w:pPr>
            <w:r>
              <w:rPr>
                <w:rFonts w:ascii="Arial" w:hAnsi="Arial" w:cs="Arial"/>
                <w:sz w:val="22"/>
                <w:szCs w:val="22"/>
              </w:rPr>
              <w:t>Yes</w:t>
            </w:r>
          </w:p>
        </w:tc>
        <w:tc>
          <w:tcPr>
            <w:tcW w:w="2092" w:type="dxa"/>
            <w:shd w:val="clear" w:color="auto" w:fill="auto"/>
          </w:tcPr>
          <w:p w:rsidR="00993A57" w:rsidRPr="00752FD6" w:rsidRDefault="00993A57" w:rsidP="00EF471E">
            <w:pPr>
              <w:spacing w:before="80" w:after="80"/>
              <w:rPr>
                <w:rFonts w:ascii="Arial" w:hAnsi="Arial" w:cs="Arial"/>
                <w:sz w:val="22"/>
                <w:szCs w:val="22"/>
              </w:rPr>
            </w:pPr>
          </w:p>
        </w:tc>
      </w:tr>
      <w:tr w:rsidR="00993A57" w:rsidRPr="00752FD6" w:rsidTr="00EF471E">
        <w:tc>
          <w:tcPr>
            <w:tcW w:w="568" w:type="dxa"/>
            <w:shd w:val="clear" w:color="auto" w:fill="auto"/>
          </w:tcPr>
          <w:p w:rsidR="00993A57" w:rsidRPr="00752FD6" w:rsidRDefault="00993A57" w:rsidP="00EF471E">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993A57" w:rsidRPr="00752FD6" w:rsidRDefault="00993A57" w:rsidP="00EF471E">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993A57" w:rsidRPr="00752FD6" w:rsidRDefault="00993A57" w:rsidP="00EF471E">
            <w:pPr>
              <w:spacing w:before="80" w:after="80"/>
              <w:jc w:val="center"/>
              <w:rPr>
                <w:rFonts w:ascii="Arial" w:hAnsi="Arial" w:cs="Arial"/>
                <w:sz w:val="22"/>
                <w:szCs w:val="22"/>
              </w:rPr>
            </w:pPr>
            <w:r>
              <w:rPr>
                <w:rFonts w:ascii="Arial" w:hAnsi="Arial" w:cs="Arial"/>
                <w:sz w:val="22"/>
                <w:szCs w:val="22"/>
              </w:rPr>
              <w:t>Yes</w:t>
            </w:r>
          </w:p>
        </w:tc>
        <w:tc>
          <w:tcPr>
            <w:tcW w:w="2092" w:type="dxa"/>
            <w:shd w:val="clear" w:color="auto" w:fill="auto"/>
          </w:tcPr>
          <w:p w:rsidR="00993A57" w:rsidRPr="00752FD6" w:rsidRDefault="00993A57" w:rsidP="00EF471E">
            <w:pPr>
              <w:spacing w:before="80" w:after="80"/>
              <w:rPr>
                <w:rFonts w:ascii="Arial" w:hAnsi="Arial" w:cs="Arial"/>
                <w:sz w:val="22"/>
                <w:szCs w:val="22"/>
              </w:rPr>
            </w:pPr>
          </w:p>
        </w:tc>
      </w:tr>
      <w:tr w:rsidR="00993A57" w:rsidRPr="00752FD6" w:rsidTr="00EF471E">
        <w:tc>
          <w:tcPr>
            <w:tcW w:w="568" w:type="dxa"/>
            <w:shd w:val="clear" w:color="auto" w:fill="auto"/>
          </w:tcPr>
          <w:p w:rsidR="00993A57" w:rsidRPr="00752FD6" w:rsidRDefault="00993A57" w:rsidP="00EF471E">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993A57" w:rsidRDefault="00993A57" w:rsidP="00EF471E">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993A57" w:rsidRPr="00752FD6" w:rsidRDefault="00F37257" w:rsidP="00EF471E">
            <w:pPr>
              <w:spacing w:before="80" w:after="80"/>
              <w:rPr>
                <w:rFonts w:ascii="Arial" w:hAnsi="Arial" w:cs="Arial"/>
                <w:sz w:val="22"/>
                <w:szCs w:val="22"/>
              </w:rPr>
            </w:pPr>
            <w:hyperlink r:id="rId9" w:history="1">
              <w:r w:rsidR="00993A57"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993A57" w:rsidRPr="00752FD6" w:rsidRDefault="00993A57" w:rsidP="00EF471E">
            <w:pPr>
              <w:spacing w:before="80" w:after="80"/>
              <w:jc w:val="center"/>
              <w:rPr>
                <w:rFonts w:ascii="Arial" w:hAnsi="Arial" w:cs="Arial"/>
                <w:sz w:val="22"/>
                <w:szCs w:val="22"/>
              </w:rPr>
            </w:pPr>
            <w:r>
              <w:rPr>
                <w:rFonts w:ascii="Arial" w:hAnsi="Arial" w:cs="Arial"/>
                <w:sz w:val="22"/>
                <w:szCs w:val="22"/>
              </w:rPr>
              <w:t>Yes</w:t>
            </w:r>
          </w:p>
        </w:tc>
        <w:tc>
          <w:tcPr>
            <w:tcW w:w="2092" w:type="dxa"/>
            <w:shd w:val="clear" w:color="auto" w:fill="auto"/>
          </w:tcPr>
          <w:p w:rsidR="00993A57" w:rsidRPr="00752FD6" w:rsidRDefault="00993A57" w:rsidP="00EF471E">
            <w:pPr>
              <w:spacing w:before="80" w:after="80"/>
              <w:rPr>
                <w:rFonts w:ascii="Arial" w:hAnsi="Arial" w:cs="Arial"/>
                <w:sz w:val="22"/>
                <w:szCs w:val="22"/>
              </w:rPr>
            </w:pPr>
          </w:p>
        </w:tc>
      </w:tr>
    </w:tbl>
    <w:p w:rsidR="00993A57" w:rsidRDefault="00993A57" w:rsidP="00D7033C">
      <w:pPr>
        <w:rPr>
          <w:rFonts w:ascii="Arial" w:hAnsi="Arial" w:cs="Arial"/>
          <w:b/>
          <w:bCs/>
          <w:sz w:val="22"/>
          <w:szCs w:val="22"/>
        </w:rPr>
      </w:pPr>
    </w:p>
    <w:sectPr w:rsidR="00993A57" w:rsidSect="00993A57">
      <w:footerReference w:type="default" r:id="rId10"/>
      <w:pgSz w:w="11906" w:h="16838"/>
      <w:pgMar w:top="902" w:right="902" w:bottom="568"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78" w:rsidRDefault="00036D78">
      <w:r>
        <w:separator/>
      </w:r>
    </w:p>
  </w:endnote>
  <w:endnote w:type="continuationSeparator" w:id="0">
    <w:p w:rsidR="00036D78" w:rsidRDefault="0003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78" w:rsidRDefault="00036D78" w:rsidP="00DC3218">
    <w:pPr>
      <w:pStyle w:val="Footer"/>
      <w:jc w:val="right"/>
    </w:pPr>
    <w:r>
      <w:rPr>
        <w:noProof/>
      </w:rPr>
      <w:drawing>
        <wp:inline distT="0" distB="0" distL="0" distR="0" wp14:anchorId="4A4E7D60" wp14:editId="402C9EF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0ADB7ACC" wp14:editId="21028A66">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78" w:rsidRDefault="00036D78">
      <w:r>
        <w:separator/>
      </w:r>
    </w:p>
  </w:footnote>
  <w:footnote w:type="continuationSeparator" w:id="0">
    <w:p w:rsidR="00036D78" w:rsidRDefault="00036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0E3123"/>
    <w:multiLevelType w:val="hybridMultilevel"/>
    <w:tmpl w:val="6CBA82D0"/>
    <w:lvl w:ilvl="0" w:tplc="B7A842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802D7B"/>
    <w:multiLevelType w:val="hybridMultilevel"/>
    <w:tmpl w:val="FD22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0DCD2C32"/>
    <w:multiLevelType w:val="hybridMultilevel"/>
    <w:tmpl w:val="572EF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1066B1"/>
    <w:multiLevelType w:val="hybridMultilevel"/>
    <w:tmpl w:val="CBEA7B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16AD3194"/>
    <w:multiLevelType w:val="hybridMultilevel"/>
    <w:tmpl w:val="7C8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7563BC"/>
    <w:multiLevelType w:val="hybridMultilevel"/>
    <w:tmpl w:val="F68AC8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4">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8A62D4"/>
    <w:multiLevelType w:val="hybridMultilevel"/>
    <w:tmpl w:val="5F90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751F57"/>
    <w:multiLevelType w:val="hybridMultilevel"/>
    <w:tmpl w:val="23B8B834"/>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8">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9F1C9E"/>
    <w:multiLevelType w:val="hybridMultilevel"/>
    <w:tmpl w:val="1034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055B2"/>
    <w:multiLevelType w:val="hybridMultilevel"/>
    <w:tmpl w:val="CAE67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5">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F1B783C"/>
    <w:multiLevelType w:val="hybridMultilevel"/>
    <w:tmpl w:val="3BF48A1C"/>
    <w:lvl w:ilvl="0" w:tplc="71D4448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9C1FF7"/>
    <w:multiLevelType w:val="hybridMultilevel"/>
    <w:tmpl w:val="FEEA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FC6509"/>
    <w:multiLevelType w:val="hybridMultilevel"/>
    <w:tmpl w:val="CBC4A40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nsid w:val="63575B19"/>
    <w:multiLevelType w:val="hybridMultilevel"/>
    <w:tmpl w:val="123A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E0C61F9"/>
    <w:multiLevelType w:val="hybridMultilevel"/>
    <w:tmpl w:val="BA90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0"/>
  </w:num>
  <w:num w:numId="4">
    <w:abstractNumId w:val="36"/>
  </w:num>
  <w:num w:numId="5">
    <w:abstractNumId w:val="25"/>
  </w:num>
  <w:num w:numId="6">
    <w:abstractNumId w:val="31"/>
  </w:num>
  <w:num w:numId="7">
    <w:abstractNumId w:val="5"/>
  </w:num>
  <w:num w:numId="8">
    <w:abstractNumId w:val="24"/>
  </w:num>
  <w:num w:numId="9">
    <w:abstractNumId w:val="28"/>
  </w:num>
  <w:num w:numId="10">
    <w:abstractNumId w:val="7"/>
  </w:num>
  <w:num w:numId="11">
    <w:abstractNumId w:val="14"/>
  </w:num>
  <w:num w:numId="12">
    <w:abstractNumId w:val="30"/>
  </w:num>
  <w:num w:numId="13">
    <w:abstractNumId w:val="21"/>
  </w:num>
  <w:num w:numId="14">
    <w:abstractNumId w:val="2"/>
  </w:num>
  <w:num w:numId="15">
    <w:abstractNumId w:val="23"/>
  </w:num>
  <w:num w:numId="16">
    <w:abstractNumId w:val="15"/>
  </w:num>
  <w:num w:numId="17">
    <w:abstractNumId w:val="27"/>
  </w:num>
  <w:num w:numId="18">
    <w:abstractNumId w:val="22"/>
  </w:num>
  <w:num w:numId="19">
    <w:abstractNumId w:val="35"/>
  </w:num>
  <w:num w:numId="20">
    <w:abstractNumId w:val="13"/>
  </w:num>
  <w:num w:numId="21">
    <w:abstractNumId w:val="11"/>
  </w:num>
  <w:num w:numId="22">
    <w:abstractNumId w:val="18"/>
  </w:num>
  <w:num w:numId="23">
    <w:abstractNumId w:val="6"/>
  </w:num>
  <w:num w:numId="24">
    <w:abstractNumId w:val="1"/>
  </w:num>
  <w:num w:numId="25">
    <w:abstractNumId w:val="8"/>
  </w:num>
  <w:num w:numId="26">
    <w:abstractNumId w:val="32"/>
  </w:num>
  <w:num w:numId="27">
    <w:abstractNumId w:val="37"/>
  </w:num>
  <w:num w:numId="28">
    <w:abstractNumId w:val="20"/>
  </w:num>
  <w:num w:numId="29">
    <w:abstractNumId w:val="12"/>
  </w:num>
  <w:num w:numId="30">
    <w:abstractNumId w:val="10"/>
  </w:num>
  <w:num w:numId="31">
    <w:abstractNumId w:val="16"/>
  </w:num>
  <w:num w:numId="32">
    <w:abstractNumId w:val="33"/>
  </w:num>
  <w:num w:numId="33">
    <w:abstractNumId w:val="9"/>
  </w:num>
  <w:num w:numId="34">
    <w:abstractNumId w:val="34"/>
  </w:num>
  <w:num w:numId="35">
    <w:abstractNumId w:val="26"/>
  </w:num>
  <w:num w:numId="36">
    <w:abstractNumId w:val="17"/>
  </w:num>
  <w:num w:numId="37">
    <w:abstractNumId w:val="19"/>
  </w:num>
  <w:num w:numId="3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0E56"/>
    <w:rsid w:val="00002EFA"/>
    <w:rsid w:val="00005597"/>
    <w:rsid w:val="00005704"/>
    <w:rsid w:val="00015F2C"/>
    <w:rsid w:val="00017079"/>
    <w:rsid w:val="00017A77"/>
    <w:rsid w:val="00020184"/>
    <w:rsid w:val="0003526D"/>
    <w:rsid w:val="00036D78"/>
    <w:rsid w:val="00050A68"/>
    <w:rsid w:val="00051EA8"/>
    <w:rsid w:val="00053013"/>
    <w:rsid w:val="000553ED"/>
    <w:rsid w:val="00060BE3"/>
    <w:rsid w:val="00062ABA"/>
    <w:rsid w:val="00064548"/>
    <w:rsid w:val="00064E6B"/>
    <w:rsid w:val="00067D66"/>
    <w:rsid w:val="000804F5"/>
    <w:rsid w:val="00086901"/>
    <w:rsid w:val="00091E11"/>
    <w:rsid w:val="000920DD"/>
    <w:rsid w:val="00095E6B"/>
    <w:rsid w:val="000A0A42"/>
    <w:rsid w:val="000B1D82"/>
    <w:rsid w:val="000B1EEB"/>
    <w:rsid w:val="000B1FFC"/>
    <w:rsid w:val="000B4521"/>
    <w:rsid w:val="000B70D1"/>
    <w:rsid w:val="000C440F"/>
    <w:rsid w:val="000C4451"/>
    <w:rsid w:val="000D5495"/>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C7C56"/>
    <w:rsid w:val="001D6104"/>
    <w:rsid w:val="001D78A2"/>
    <w:rsid w:val="001E773A"/>
    <w:rsid w:val="001F21BE"/>
    <w:rsid w:val="001F59F0"/>
    <w:rsid w:val="001F6597"/>
    <w:rsid w:val="00200CED"/>
    <w:rsid w:val="00213BC1"/>
    <w:rsid w:val="002141E5"/>
    <w:rsid w:val="00216C8C"/>
    <w:rsid w:val="00231A40"/>
    <w:rsid w:val="00231D43"/>
    <w:rsid w:val="00235CF1"/>
    <w:rsid w:val="00237FA2"/>
    <w:rsid w:val="00246031"/>
    <w:rsid w:val="002461A2"/>
    <w:rsid w:val="00246D3A"/>
    <w:rsid w:val="0025514C"/>
    <w:rsid w:val="00256406"/>
    <w:rsid w:val="002567CB"/>
    <w:rsid w:val="00261AB5"/>
    <w:rsid w:val="002626F4"/>
    <w:rsid w:val="0026660D"/>
    <w:rsid w:val="002668B8"/>
    <w:rsid w:val="00266FF1"/>
    <w:rsid w:val="002700D2"/>
    <w:rsid w:val="0027797B"/>
    <w:rsid w:val="00285B93"/>
    <w:rsid w:val="00285C31"/>
    <w:rsid w:val="00286998"/>
    <w:rsid w:val="00286CEB"/>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4D11"/>
    <w:rsid w:val="003B626C"/>
    <w:rsid w:val="003C6569"/>
    <w:rsid w:val="003D2887"/>
    <w:rsid w:val="003D3E08"/>
    <w:rsid w:val="003D489F"/>
    <w:rsid w:val="003D495F"/>
    <w:rsid w:val="003E4361"/>
    <w:rsid w:val="003F6D7A"/>
    <w:rsid w:val="003F6DF9"/>
    <w:rsid w:val="00406064"/>
    <w:rsid w:val="00420D54"/>
    <w:rsid w:val="00423F06"/>
    <w:rsid w:val="004337A4"/>
    <w:rsid w:val="00434363"/>
    <w:rsid w:val="0043664F"/>
    <w:rsid w:val="00441E7A"/>
    <w:rsid w:val="00447394"/>
    <w:rsid w:val="00450490"/>
    <w:rsid w:val="00454EA5"/>
    <w:rsid w:val="0045565C"/>
    <w:rsid w:val="00456662"/>
    <w:rsid w:val="00457AAE"/>
    <w:rsid w:val="00460ABB"/>
    <w:rsid w:val="00462810"/>
    <w:rsid w:val="00464A6D"/>
    <w:rsid w:val="00466602"/>
    <w:rsid w:val="00470C33"/>
    <w:rsid w:val="004756D3"/>
    <w:rsid w:val="004822A5"/>
    <w:rsid w:val="00490D15"/>
    <w:rsid w:val="004A5EE0"/>
    <w:rsid w:val="004A75B1"/>
    <w:rsid w:val="004B29A9"/>
    <w:rsid w:val="004B4F56"/>
    <w:rsid w:val="004B79F5"/>
    <w:rsid w:val="004C5FA2"/>
    <w:rsid w:val="004C677C"/>
    <w:rsid w:val="004C6F5C"/>
    <w:rsid w:val="004D0321"/>
    <w:rsid w:val="004D5377"/>
    <w:rsid w:val="004D7118"/>
    <w:rsid w:val="004E7A80"/>
    <w:rsid w:val="004F2E71"/>
    <w:rsid w:val="004F3209"/>
    <w:rsid w:val="004F4DB7"/>
    <w:rsid w:val="004F64DF"/>
    <w:rsid w:val="005109BE"/>
    <w:rsid w:val="00512773"/>
    <w:rsid w:val="00517C3A"/>
    <w:rsid w:val="0052360E"/>
    <w:rsid w:val="00532C2C"/>
    <w:rsid w:val="00540287"/>
    <w:rsid w:val="00541F74"/>
    <w:rsid w:val="00562641"/>
    <w:rsid w:val="00562E19"/>
    <w:rsid w:val="00567797"/>
    <w:rsid w:val="0057544B"/>
    <w:rsid w:val="0057654D"/>
    <w:rsid w:val="0058241F"/>
    <w:rsid w:val="005847E8"/>
    <w:rsid w:val="00585083"/>
    <w:rsid w:val="00587A7C"/>
    <w:rsid w:val="00591E40"/>
    <w:rsid w:val="00593311"/>
    <w:rsid w:val="005973A0"/>
    <w:rsid w:val="005A36F7"/>
    <w:rsid w:val="005A625B"/>
    <w:rsid w:val="005D4EC5"/>
    <w:rsid w:val="005D70C4"/>
    <w:rsid w:val="005E01FA"/>
    <w:rsid w:val="005F0C84"/>
    <w:rsid w:val="005F11AA"/>
    <w:rsid w:val="005F195A"/>
    <w:rsid w:val="005F537B"/>
    <w:rsid w:val="0060216B"/>
    <w:rsid w:val="00604967"/>
    <w:rsid w:val="00607C7F"/>
    <w:rsid w:val="00615FF8"/>
    <w:rsid w:val="006203A2"/>
    <w:rsid w:val="00621667"/>
    <w:rsid w:val="00625124"/>
    <w:rsid w:val="006468ED"/>
    <w:rsid w:val="006569A3"/>
    <w:rsid w:val="00657CC2"/>
    <w:rsid w:val="00664815"/>
    <w:rsid w:val="00670E69"/>
    <w:rsid w:val="0067295A"/>
    <w:rsid w:val="00675C73"/>
    <w:rsid w:val="0068471B"/>
    <w:rsid w:val="0068496F"/>
    <w:rsid w:val="0069645B"/>
    <w:rsid w:val="0069733F"/>
    <w:rsid w:val="006A2E19"/>
    <w:rsid w:val="006A74AF"/>
    <w:rsid w:val="006A788A"/>
    <w:rsid w:val="006A7D61"/>
    <w:rsid w:val="006B7C64"/>
    <w:rsid w:val="006C03B7"/>
    <w:rsid w:val="006C1DEF"/>
    <w:rsid w:val="006C3EE0"/>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005F"/>
    <w:rsid w:val="007B20A8"/>
    <w:rsid w:val="007B2FB2"/>
    <w:rsid w:val="007C1372"/>
    <w:rsid w:val="007C7176"/>
    <w:rsid w:val="007D373C"/>
    <w:rsid w:val="007D696B"/>
    <w:rsid w:val="007E2B49"/>
    <w:rsid w:val="007E6A63"/>
    <w:rsid w:val="007F26DD"/>
    <w:rsid w:val="007F5413"/>
    <w:rsid w:val="00803AA5"/>
    <w:rsid w:val="00814B4A"/>
    <w:rsid w:val="0081727E"/>
    <w:rsid w:val="008254CA"/>
    <w:rsid w:val="00831338"/>
    <w:rsid w:val="00840F53"/>
    <w:rsid w:val="00841F6F"/>
    <w:rsid w:val="00844D29"/>
    <w:rsid w:val="00845E6F"/>
    <w:rsid w:val="00846C25"/>
    <w:rsid w:val="00852744"/>
    <w:rsid w:val="00852BCF"/>
    <w:rsid w:val="008602EC"/>
    <w:rsid w:val="00866065"/>
    <w:rsid w:val="00866EFA"/>
    <w:rsid w:val="00866FF8"/>
    <w:rsid w:val="00874140"/>
    <w:rsid w:val="00876BA5"/>
    <w:rsid w:val="00882C25"/>
    <w:rsid w:val="00891846"/>
    <w:rsid w:val="00891EDC"/>
    <w:rsid w:val="0089366A"/>
    <w:rsid w:val="008A57B4"/>
    <w:rsid w:val="008B7FAB"/>
    <w:rsid w:val="008C70FB"/>
    <w:rsid w:val="008D12EA"/>
    <w:rsid w:val="008D6A39"/>
    <w:rsid w:val="008E206C"/>
    <w:rsid w:val="008F140F"/>
    <w:rsid w:val="008F677B"/>
    <w:rsid w:val="00904B29"/>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3A57"/>
    <w:rsid w:val="00995D16"/>
    <w:rsid w:val="009A0C1E"/>
    <w:rsid w:val="009B25F1"/>
    <w:rsid w:val="009B32B5"/>
    <w:rsid w:val="009C33D4"/>
    <w:rsid w:val="009D14DD"/>
    <w:rsid w:val="009D4815"/>
    <w:rsid w:val="009E0D79"/>
    <w:rsid w:val="009E4D7B"/>
    <w:rsid w:val="009E7323"/>
    <w:rsid w:val="00A01B48"/>
    <w:rsid w:val="00A03A97"/>
    <w:rsid w:val="00A07A07"/>
    <w:rsid w:val="00A1183A"/>
    <w:rsid w:val="00A14275"/>
    <w:rsid w:val="00A17708"/>
    <w:rsid w:val="00A20848"/>
    <w:rsid w:val="00A30237"/>
    <w:rsid w:val="00A31B98"/>
    <w:rsid w:val="00A35F42"/>
    <w:rsid w:val="00A40291"/>
    <w:rsid w:val="00A41EE7"/>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3B1A"/>
    <w:rsid w:val="00AD4952"/>
    <w:rsid w:val="00AD4F09"/>
    <w:rsid w:val="00AD584A"/>
    <w:rsid w:val="00AD7635"/>
    <w:rsid w:val="00AE454E"/>
    <w:rsid w:val="00AE485A"/>
    <w:rsid w:val="00AF05A0"/>
    <w:rsid w:val="00AF3749"/>
    <w:rsid w:val="00AF3A61"/>
    <w:rsid w:val="00AF47E2"/>
    <w:rsid w:val="00AF5174"/>
    <w:rsid w:val="00AF5DDB"/>
    <w:rsid w:val="00B02EF5"/>
    <w:rsid w:val="00B03479"/>
    <w:rsid w:val="00B23DF1"/>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07E"/>
    <w:rsid w:val="00B93457"/>
    <w:rsid w:val="00B961A5"/>
    <w:rsid w:val="00B97B0B"/>
    <w:rsid w:val="00BA763E"/>
    <w:rsid w:val="00BB4739"/>
    <w:rsid w:val="00BB5C36"/>
    <w:rsid w:val="00BB7DF9"/>
    <w:rsid w:val="00BC24D2"/>
    <w:rsid w:val="00BC27AF"/>
    <w:rsid w:val="00BC4508"/>
    <w:rsid w:val="00BC5CEC"/>
    <w:rsid w:val="00BC6AEF"/>
    <w:rsid w:val="00BC6D92"/>
    <w:rsid w:val="00BE2812"/>
    <w:rsid w:val="00BE6E0D"/>
    <w:rsid w:val="00BE7009"/>
    <w:rsid w:val="00BF4C1F"/>
    <w:rsid w:val="00BF64D8"/>
    <w:rsid w:val="00C053D3"/>
    <w:rsid w:val="00C0569D"/>
    <w:rsid w:val="00C07D8B"/>
    <w:rsid w:val="00C20949"/>
    <w:rsid w:val="00C31289"/>
    <w:rsid w:val="00C43615"/>
    <w:rsid w:val="00C523B4"/>
    <w:rsid w:val="00C52D50"/>
    <w:rsid w:val="00C628C9"/>
    <w:rsid w:val="00C703B6"/>
    <w:rsid w:val="00C74EC1"/>
    <w:rsid w:val="00C7588E"/>
    <w:rsid w:val="00C85824"/>
    <w:rsid w:val="00C86C85"/>
    <w:rsid w:val="00C86CC4"/>
    <w:rsid w:val="00C956FA"/>
    <w:rsid w:val="00C965C4"/>
    <w:rsid w:val="00CA3315"/>
    <w:rsid w:val="00CA64C1"/>
    <w:rsid w:val="00CB4EE8"/>
    <w:rsid w:val="00CD079D"/>
    <w:rsid w:val="00CD319C"/>
    <w:rsid w:val="00CD4F1D"/>
    <w:rsid w:val="00CE07E5"/>
    <w:rsid w:val="00CE160D"/>
    <w:rsid w:val="00CF258F"/>
    <w:rsid w:val="00CF44B2"/>
    <w:rsid w:val="00CF5F75"/>
    <w:rsid w:val="00D00EFA"/>
    <w:rsid w:val="00D25017"/>
    <w:rsid w:val="00D25F0F"/>
    <w:rsid w:val="00D3494B"/>
    <w:rsid w:val="00D35D4A"/>
    <w:rsid w:val="00D41C63"/>
    <w:rsid w:val="00D450C3"/>
    <w:rsid w:val="00D4597C"/>
    <w:rsid w:val="00D52206"/>
    <w:rsid w:val="00D655CC"/>
    <w:rsid w:val="00D6660C"/>
    <w:rsid w:val="00D7033C"/>
    <w:rsid w:val="00D711E1"/>
    <w:rsid w:val="00D72F33"/>
    <w:rsid w:val="00D76A89"/>
    <w:rsid w:val="00D76FA8"/>
    <w:rsid w:val="00D803BA"/>
    <w:rsid w:val="00D8506F"/>
    <w:rsid w:val="00D91037"/>
    <w:rsid w:val="00D91F22"/>
    <w:rsid w:val="00D921A3"/>
    <w:rsid w:val="00DA584B"/>
    <w:rsid w:val="00DA6818"/>
    <w:rsid w:val="00DA75DE"/>
    <w:rsid w:val="00DC2203"/>
    <w:rsid w:val="00DC3218"/>
    <w:rsid w:val="00DC46DB"/>
    <w:rsid w:val="00DD1E33"/>
    <w:rsid w:val="00DD27F1"/>
    <w:rsid w:val="00DD3E42"/>
    <w:rsid w:val="00DD689C"/>
    <w:rsid w:val="00DD7564"/>
    <w:rsid w:val="00DE1CA9"/>
    <w:rsid w:val="00DE6E0E"/>
    <w:rsid w:val="00DF00F8"/>
    <w:rsid w:val="00DF3185"/>
    <w:rsid w:val="00DF3E42"/>
    <w:rsid w:val="00E17B09"/>
    <w:rsid w:val="00E24870"/>
    <w:rsid w:val="00E2557D"/>
    <w:rsid w:val="00E320A8"/>
    <w:rsid w:val="00E36F28"/>
    <w:rsid w:val="00E43FD9"/>
    <w:rsid w:val="00E46EFA"/>
    <w:rsid w:val="00E47C0B"/>
    <w:rsid w:val="00E5159C"/>
    <w:rsid w:val="00E538AF"/>
    <w:rsid w:val="00E53EB5"/>
    <w:rsid w:val="00E550FE"/>
    <w:rsid w:val="00E572A3"/>
    <w:rsid w:val="00E617F9"/>
    <w:rsid w:val="00E67668"/>
    <w:rsid w:val="00E7471C"/>
    <w:rsid w:val="00E75A46"/>
    <w:rsid w:val="00E857C3"/>
    <w:rsid w:val="00E906BF"/>
    <w:rsid w:val="00E921F2"/>
    <w:rsid w:val="00E94BFF"/>
    <w:rsid w:val="00E9685C"/>
    <w:rsid w:val="00E97E50"/>
    <w:rsid w:val="00EA1089"/>
    <w:rsid w:val="00EA285F"/>
    <w:rsid w:val="00EB6E0A"/>
    <w:rsid w:val="00EC03DC"/>
    <w:rsid w:val="00ED0665"/>
    <w:rsid w:val="00ED2BBB"/>
    <w:rsid w:val="00ED44C9"/>
    <w:rsid w:val="00ED6017"/>
    <w:rsid w:val="00EF1A15"/>
    <w:rsid w:val="00EF3C43"/>
    <w:rsid w:val="00EF471E"/>
    <w:rsid w:val="00EF524B"/>
    <w:rsid w:val="00F008CD"/>
    <w:rsid w:val="00F05335"/>
    <w:rsid w:val="00F12864"/>
    <w:rsid w:val="00F276B7"/>
    <w:rsid w:val="00F3113F"/>
    <w:rsid w:val="00F32730"/>
    <w:rsid w:val="00F3308A"/>
    <w:rsid w:val="00F3716D"/>
    <w:rsid w:val="00F37257"/>
    <w:rsid w:val="00F37D18"/>
    <w:rsid w:val="00F40B1F"/>
    <w:rsid w:val="00F45C7E"/>
    <w:rsid w:val="00F51B57"/>
    <w:rsid w:val="00F524C7"/>
    <w:rsid w:val="00F55731"/>
    <w:rsid w:val="00F55EFB"/>
    <w:rsid w:val="00F6631C"/>
    <w:rsid w:val="00F768A3"/>
    <w:rsid w:val="00F85FD3"/>
    <w:rsid w:val="00F906E5"/>
    <w:rsid w:val="00F9086D"/>
    <w:rsid w:val="00F9292B"/>
    <w:rsid w:val="00FA07CA"/>
    <w:rsid w:val="00FA3BC7"/>
    <w:rsid w:val="00FA54BB"/>
    <w:rsid w:val="00FB10F2"/>
    <w:rsid w:val="00FB14E3"/>
    <w:rsid w:val="00FB47ED"/>
    <w:rsid w:val="00FB4DB6"/>
    <w:rsid w:val="00FB69A8"/>
    <w:rsid w:val="00FB7D2A"/>
    <w:rsid w:val="00FC2818"/>
    <w:rsid w:val="00FC3546"/>
    <w:rsid w:val="00FC4E85"/>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3135">
      <w:bodyDiv w:val="1"/>
      <w:marLeft w:val="0"/>
      <w:marRight w:val="0"/>
      <w:marTop w:val="0"/>
      <w:marBottom w:val="0"/>
      <w:divBdr>
        <w:top w:val="none" w:sz="0" w:space="0" w:color="auto"/>
        <w:left w:val="none" w:sz="0" w:space="0" w:color="auto"/>
        <w:bottom w:val="none" w:sz="0" w:space="0" w:color="auto"/>
        <w:right w:val="none" w:sz="0" w:space="0" w:color="auto"/>
      </w:divBdr>
    </w:div>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144585650">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 w:id="19499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4055</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Helen Askham</cp:lastModifiedBy>
  <cp:revision>2</cp:revision>
  <cp:lastPrinted>2011-06-01T15:50:00Z</cp:lastPrinted>
  <dcterms:created xsi:type="dcterms:W3CDTF">2016-01-14T12:16:00Z</dcterms:created>
  <dcterms:modified xsi:type="dcterms:W3CDTF">2016-01-14T12:16:00Z</dcterms:modified>
</cp:coreProperties>
</file>