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69" w:rsidRDefault="00442F69" w:rsidP="00E644D5">
      <w:pPr>
        <w:ind w:right="-46"/>
      </w:pPr>
    </w:p>
    <w:p w:rsidR="00E644D5" w:rsidRDefault="001C1A80" w:rsidP="0073683C">
      <w:pPr>
        <w:jc w:val="right"/>
        <w:rPr>
          <w:rFonts w:cstheme="minorHAnsi"/>
          <w:b/>
          <w:sz w:val="24"/>
          <w:szCs w:val="24"/>
        </w:rPr>
      </w:pPr>
      <w:r>
        <w:rPr>
          <w:noProof/>
          <w:lang w:eastAsia="en-GB"/>
        </w:rPr>
        <w:tab/>
      </w:r>
      <w:r>
        <w:rPr>
          <w:noProof/>
          <w:lang w:eastAsia="en-GB"/>
        </w:rPr>
        <w:tab/>
      </w:r>
      <w:r>
        <w:rPr>
          <w:noProof/>
          <w:lang w:eastAsia="en-GB"/>
        </w:rPr>
        <w:tab/>
      </w:r>
      <w:r>
        <w:rPr>
          <w:noProof/>
          <w:lang w:eastAsia="en-GB"/>
        </w:rPr>
        <w:tab/>
      </w:r>
      <w:r>
        <w:rPr>
          <w:noProof/>
          <w:lang w:eastAsia="en-GB"/>
        </w:rPr>
        <w:tab/>
      </w:r>
      <w:r w:rsidR="00E644D5">
        <w:rPr>
          <w:noProof/>
          <w:lang w:eastAsia="en-GB"/>
        </w:rPr>
        <w:drawing>
          <wp:inline distT="0" distB="0" distL="0" distR="0">
            <wp:extent cx="20066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p>
    <w:p w:rsidR="00442F69" w:rsidRDefault="00442F69" w:rsidP="00442F69">
      <w:pPr>
        <w:rPr>
          <w:rFonts w:ascii="Arial" w:hAnsi="Arial" w:cs="Arial"/>
          <w:b/>
          <w:sz w:val="24"/>
          <w:szCs w:val="24"/>
          <w:u w:val="single"/>
        </w:rPr>
      </w:pPr>
    </w:p>
    <w:p w:rsidR="001A0796" w:rsidRDefault="001A0796" w:rsidP="001A0796">
      <w:pPr>
        <w:rPr>
          <w:rFonts w:cstheme="minorHAnsi"/>
          <w:b/>
        </w:rPr>
      </w:pPr>
      <w:r w:rsidRPr="00C4702D">
        <w:rPr>
          <w:rFonts w:cstheme="minorHAnsi"/>
          <w:b/>
        </w:rPr>
        <w:t xml:space="preserve">NORTH EAST LINCOLNSHIRE JOINT CO-COMMISSIONING COMMITTEE </w:t>
      </w:r>
    </w:p>
    <w:p w:rsidR="001A0796" w:rsidRPr="00C4702D" w:rsidRDefault="001A0796" w:rsidP="001A0796">
      <w:pPr>
        <w:rPr>
          <w:rFonts w:cstheme="minorHAnsi"/>
          <w:b/>
        </w:rPr>
      </w:pPr>
    </w:p>
    <w:p w:rsidR="001A0796" w:rsidRPr="00C4702D" w:rsidRDefault="001A0796" w:rsidP="001A0796">
      <w:pPr>
        <w:rPr>
          <w:rFonts w:cstheme="minorHAnsi"/>
          <w:b/>
        </w:rPr>
      </w:pPr>
      <w:r>
        <w:rPr>
          <w:rFonts w:cstheme="minorHAnsi"/>
          <w:b/>
        </w:rPr>
        <w:t>NOTES</w:t>
      </w:r>
      <w:r w:rsidRPr="00C4702D">
        <w:rPr>
          <w:rFonts w:cstheme="minorHAnsi"/>
          <w:b/>
        </w:rPr>
        <w:t xml:space="preserve"> OF THE MEETING HELD ON </w:t>
      </w:r>
      <w:r w:rsidR="00CB1F86">
        <w:rPr>
          <w:rFonts w:cstheme="minorHAnsi"/>
          <w:b/>
        </w:rPr>
        <w:t>1</w:t>
      </w:r>
      <w:r w:rsidR="00CB1F86" w:rsidRPr="00CB1F86">
        <w:rPr>
          <w:rFonts w:cstheme="minorHAnsi"/>
          <w:b/>
          <w:vertAlign w:val="superscript"/>
        </w:rPr>
        <w:t>ST</w:t>
      </w:r>
      <w:r w:rsidR="00CB1F86">
        <w:rPr>
          <w:rFonts w:cstheme="minorHAnsi"/>
          <w:b/>
        </w:rPr>
        <w:t xml:space="preserve"> SEPTEMBER</w:t>
      </w:r>
      <w:r>
        <w:rPr>
          <w:rFonts w:cstheme="minorHAnsi"/>
          <w:b/>
        </w:rPr>
        <w:t xml:space="preserve"> 2015</w:t>
      </w:r>
      <w:r w:rsidR="00CB1F86">
        <w:rPr>
          <w:rFonts w:cstheme="minorHAnsi"/>
          <w:b/>
        </w:rPr>
        <w:t xml:space="preserve"> AT 13</w:t>
      </w:r>
      <w:r w:rsidRPr="00C4702D">
        <w:rPr>
          <w:rFonts w:cstheme="minorHAnsi"/>
          <w:b/>
        </w:rPr>
        <w:t>.00</w:t>
      </w:r>
    </w:p>
    <w:p w:rsidR="001A0796" w:rsidRPr="00C4702D" w:rsidRDefault="001A0796" w:rsidP="001A0796">
      <w:pPr>
        <w:rPr>
          <w:rFonts w:cstheme="minorHAnsi"/>
          <w:b/>
        </w:rPr>
      </w:pPr>
      <w:r>
        <w:rPr>
          <w:rFonts w:cstheme="minorHAnsi"/>
          <w:b/>
        </w:rPr>
        <w:t>TRAINING ROOM</w:t>
      </w:r>
      <w:r w:rsidRPr="00C4702D">
        <w:rPr>
          <w:rFonts w:cstheme="minorHAnsi"/>
          <w:b/>
        </w:rPr>
        <w:t xml:space="preserve"> 1, CENTRE4, 17a WOOT</w:t>
      </w:r>
      <w:r>
        <w:rPr>
          <w:rFonts w:cstheme="minorHAnsi"/>
          <w:b/>
        </w:rPr>
        <w:t>T</w:t>
      </w:r>
      <w:r w:rsidRPr="00C4702D">
        <w:rPr>
          <w:rFonts w:cstheme="minorHAnsi"/>
          <w:b/>
        </w:rPr>
        <w:t>ON ROAD, GRIMSBY, DN33 1HE</w:t>
      </w:r>
    </w:p>
    <w:p w:rsidR="001A0796" w:rsidRPr="00C4702D" w:rsidRDefault="001A0796" w:rsidP="001A0796">
      <w:pPr>
        <w:rPr>
          <w:rFonts w:cstheme="minorHAnsi"/>
          <w:b/>
          <w:u w:val="single"/>
        </w:rPr>
      </w:pPr>
    </w:p>
    <w:p w:rsidR="001A0796" w:rsidRPr="00C4702D" w:rsidRDefault="001A0796" w:rsidP="001A0796">
      <w:pPr>
        <w:rPr>
          <w:rFonts w:cstheme="minorHAnsi"/>
          <w:b/>
          <w:u w:val="single"/>
        </w:rPr>
      </w:pPr>
    </w:p>
    <w:p w:rsidR="001A0796" w:rsidRDefault="001A0796" w:rsidP="001A0796">
      <w:pPr>
        <w:jc w:val="left"/>
        <w:rPr>
          <w:rFonts w:cstheme="minorHAnsi"/>
          <w:b/>
        </w:rPr>
      </w:pPr>
      <w:r w:rsidRPr="00C4702D">
        <w:rPr>
          <w:rFonts w:cstheme="minorHAnsi"/>
          <w:b/>
        </w:rPr>
        <w:t>PRESENT:</w:t>
      </w:r>
    </w:p>
    <w:p w:rsidR="001A0796" w:rsidRPr="00C4702D" w:rsidRDefault="001A0796" w:rsidP="001A0796">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5919"/>
      </w:tblGrid>
      <w:tr w:rsidR="001A0796" w:rsidRPr="00E922C3" w:rsidTr="0078567B">
        <w:tc>
          <w:tcPr>
            <w:tcW w:w="2922" w:type="dxa"/>
            <w:shd w:val="clear" w:color="auto" w:fill="auto"/>
          </w:tcPr>
          <w:p w:rsidR="001A0796" w:rsidRDefault="001A0796" w:rsidP="008C6AC8">
            <w:pPr>
              <w:jc w:val="left"/>
              <w:rPr>
                <w:rFonts w:cstheme="minorHAnsi"/>
              </w:rPr>
            </w:pPr>
            <w:r w:rsidRPr="0078567B">
              <w:rPr>
                <w:rFonts w:cstheme="minorHAnsi"/>
              </w:rPr>
              <w:t xml:space="preserve">Mark Webb </w:t>
            </w:r>
          </w:p>
          <w:p w:rsidR="00CB1F86" w:rsidRPr="0078567B" w:rsidRDefault="00CB1F86" w:rsidP="008C6AC8">
            <w:pPr>
              <w:jc w:val="left"/>
              <w:rPr>
                <w:rFonts w:cstheme="minorHAnsi"/>
              </w:rPr>
            </w:pPr>
            <w:r>
              <w:rPr>
                <w:rFonts w:cstheme="minorHAnsi"/>
              </w:rPr>
              <w:t>Cathy Kennedy</w:t>
            </w:r>
          </w:p>
        </w:tc>
        <w:tc>
          <w:tcPr>
            <w:tcW w:w="5919" w:type="dxa"/>
            <w:shd w:val="clear" w:color="auto" w:fill="auto"/>
          </w:tcPr>
          <w:p w:rsidR="001A0796" w:rsidRDefault="001A0796" w:rsidP="008C6AC8">
            <w:pPr>
              <w:jc w:val="left"/>
              <w:rPr>
                <w:rFonts w:cstheme="minorHAnsi"/>
              </w:rPr>
            </w:pPr>
            <w:r w:rsidRPr="00E922C3">
              <w:rPr>
                <w:rFonts w:cstheme="minorHAnsi"/>
              </w:rPr>
              <w:t>Chairman of NELCCG</w:t>
            </w:r>
          </w:p>
          <w:p w:rsidR="00CB1F86" w:rsidRPr="00E922C3" w:rsidRDefault="00CB1F86" w:rsidP="008C6AC8">
            <w:pPr>
              <w:jc w:val="left"/>
              <w:rPr>
                <w:rFonts w:cstheme="minorHAnsi"/>
              </w:rPr>
            </w:pPr>
            <w:r>
              <w:rPr>
                <w:rFonts w:cstheme="minorHAnsi"/>
              </w:rPr>
              <w:t>Deputy Chief Executive/CFO, NELCCG</w:t>
            </w:r>
          </w:p>
        </w:tc>
      </w:tr>
      <w:tr w:rsidR="001A0796" w:rsidRPr="00E922C3" w:rsidTr="0078567B">
        <w:tc>
          <w:tcPr>
            <w:tcW w:w="2922" w:type="dxa"/>
            <w:shd w:val="clear" w:color="auto" w:fill="auto"/>
          </w:tcPr>
          <w:p w:rsidR="001A0796" w:rsidRPr="0078567B" w:rsidRDefault="00DD7477" w:rsidP="008C6AC8">
            <w:pPr>
              <w:jc w:val="left"/>
              <w:rPr>
                <w:rFonts w:cstheme="minorHAnsi"/>
              </w:rPr>
            </w:pPr>
            <w:r w:rsidRPr="0078567B">
              <w:rPr>
                <w:rFonts w:cstheme="minorHAnsi"/>
              </w:rPr>
              <w:t xml:space="preserve">Cllr Jane </w:t>
            </w:r>
            <w:proofErr w:type="spellStart"/>
            <w:r w:rsidRPr="0078567B">
              <w:rPr>
                <w:rFonts w:cstheme="minorHAnsi"/>
              </w:rPr>
              <w:t>Hyldon</w:t>
            </w:r>
            <w:proofErr w:type="spellEnd"/>
            <w:r w:rsidRPr="0078567B">
              <w:rPr>
                <w:rFonts w:cstheme="minorHAnsi"/>
              </w:rPr>
              <w:t xml:space="preserve"> King</w:t>
            </w:r>
          </w:p>
        </w:tc>
        <w:tc>
          <w:tcPr>
            <w:tcW w:w="5919" w:type="dxa"/>
            <w:shd w:val="clear" w:color="auto" w:fill="auto"/>
          </w:tcPr>
          <w:p w:rsidR="001A0796" w:rsidRPr="00E922C3" w:rsidRDefault="009B1244" w:rsidP="008C6AC8">
            <w:pPr>
              <w:jc w:val="left"/>
              <w:rPr>
                <w:rFonts w:cstheme="minorHAnsi"/>
              </w:rPr>
            </w:pPr>
            <w:r>
              <w:rPr>
                <w:rFonts w:cstheme="minorHAnsi"/>
              </w:rPr>
              <w:t xml:space="preserve">Portfolio Holder for Health / </w:t>
            </w:r>
            <w:r w:rsidR="00DD7477">
              <w:rPr>
                <w:rFonts w:cstheme="minorHAnsi"/>
              </w:rPr>
              <w:t>Deputy Leader of the Council</w:t>
            </w:r>
          </w:p>
        </w:tc>
      </w:tr>
      <w:tr w:rsidR="001A0796" w:rsidRPr="00E922C3" w:rsidTr="0078567B">
        <w:tc>
          <w:tcPr>
            <w:tcW w:w="2922" w:type="dxa"/>
            <w:shd w:val="clear" w:color="auto" w:fill="auto"/>
          </w:tcPr>
          <w:p w:rsidR="001A0796" w:rsidRPr="0078567B" w:rsidRDefault="001A0796" w:rsidP="008C6AC8">
            <w:pPr>
              <w:jc w:val="left"/>
              <w:rPr>
                <w:rFonts w:cstheme="minorHAnsi"/>
              </w:rPr>
            </w:pPr>
            <w:r w:rsidRPr="0078567B">
              <w:rPr>
                <w:rFonts w:cstheme="minorHAnsi"/>
              </w:rPr>
              <w:t>Dr Thomas Maliyil</w:t>
            </w:r>
          </w:p>
        </w:tc>
        <w:tc>
          <w:tcPr>
            <w:tcW w:w="5919" w:type="dxa"/>
            <w:shd w:val="clear" w:color="auto" w:fill="auto"/>
          </w:tcPr>
          <w:p w:rsidR="001A0796" w:rsidRPr="00E922C3" w:rsidRDefault="001A0796" w:rsidP="008C6AC8">
            <w:pPr>
              <w:jc w:val="left"/>
              <w:rPr>
                <w:rFonts w:cstheme="minorHAnsi"/>
              </w:rPr>
            </w:pPr>
            <w:r w:rsidRPr="00E922C3">
              <w:rPr>
                <w:rFonts w:cstheme="minorHAnsi"/>
              </w:rPr>
              <w:t>GP lead for Primary Care, NELCCG</w:t>
            </w:r>
          </w:p>
        </w:tc>
      </w:tr>
      <w:tr w:rsidR="001A0796" w:rsidRPr="00E922C3" w:rsidTr="0078567B">
        <w:tc>
          <w:tcPr>
            <w:tcW w:w="2922" w:type="dxa"/>
            <w:shd w:val="clear" w:color="auto" w:fill="auto"/>
          </w:tcPr>
          <w:p w:rsidR="001A0796" w:rsidRPr="0078567B" w:rsidRDefault="001A0796" w:rsidP="008C6AC8">
            <w:pPr>
              <w:jc w:val="left"/>
              <w:rPr>
                <w:rFonts w:cstheme="minorHAnsi"/>
              </w:rPr>
            </w:pPr>
            <w:r w:rsidRPr="0078567B">
              <w:rPr>
                <w:rFonts w:cstheme="minorHAnsi"/>
              </w:rPr>
              <w:t>Geoff Day</w:t>
            </w:r>
          </w:p>
        </w:tc>
        <w:tc>
          <w:tcPr>
            <w:tcW w:w="5919" w:type="dxa"/>
            <w:shd w:val="clear" w:color="auto" w:fill="auto"/>
          </w:tcPr>
          <w:p w:rsidR="001A0796" w:rsidRPr="00E922C3" w:rsidRDefault="001A0796" w:rsidP="008C6AC8">
            <w:pPr>
              <w:jc w:val="both"/>
              <w:rPr>
                <w:rFonts w:cstheme="minorHAnsi"/>
              </w:rPr>
            </w:pPr>
            <w:r w:rsidRPr="00E922C3">
              <w:rPr>
                <w:rFonts w:cstheme="minorHAnsi"/>
                <w:lang w:eastAsia="en-GB"/>
              </w:rPr>
              <w:t>Head of Co-Commissioning Localities,</w:t>
            </w:r>
            <w:r w:rsidRPr="00E922C3">
              <w:rPr>
                <w:rFonts w:cstheme="minorHAnsi"/>
                <w:sz w:val="20"/>
                <w:szCs w:val="20"/>
                <w:lang w:eastAsia="en-GB"/>
              </w:rPr>
              <w:t xml:space="preserve"> </w:t>
            </w:r>
            <w:r w:rsidRPr="00E922C3">
              <w:rPr>
                <w:rFonts w:cstheme="minorHAnsi"/>
              </w:rPr>
              <w:t>NHS England</w:t>
            </w:r>
          </w:p>
        </w:tc>
      </w:tr>
      <w:tr w:rsidR="001A0796" w:rsidRPr="00E922C3" w:rsidTr="0078567B">
        <w:tc>
          <w:tcPr>
            <w:tcW w:w="2922" w:type="dxa"/>
            <w:shd w:val="clear" w:color="auto" w:fill="auto"/>
          </w:tcPr>
          <w:p w:rsidR="001A0796" w:rsidRPr="0078567B" w:rsidRDefault="001A0796" w:rsidP="008C6AC8">
            <w:pPr>
              <w:jc w:val="left"/>
              <w:rPr>
                <w:rFonts w:cstheme="minorHAnsi"/>
              </w:rPr>
            </w:pPr>
            <w:r w:rsidRPr="0078567B">
              <w:rPr>
                <w:rFonts w:cstheme="minorHAnsi"/>
              </w:rPr>
              <w:t>Zena Robertson</w:t>
            </w:r>
          </w:p>
        </w:tc>
        <w:tc>
          <w:tcPr>
            <w:tcW w:w="5919" w:type="dxa"/>
            <w:shd w:val="clear" w:color="auto" w:fill="auto"/>
          </w:tcPr>
          <w:p w:rsidR="001A0796" w:rsidRPr="00E922C3" w:rsidRDefault="001A0796" w:rsidP="008C6AC8">
            <w:pPr>
              <w:jc w:val="both"/>
              <w:rPr>
                <w:rFonts w:cstheme="minorHAnsi"/>
                <w:lang w:eastAsia="en-GB"/>
              </w:rPr>
            </w:pPr>
            <w:r w:rsidRPr="00E922C3">
              <w:rPr>
                <w:rFonts w:cstheme="minorHAnsi"/>
              </w:rPr>
              <w:t>Director of Nursing, NHS England</w:t>
            </w:r>
          </w:p>
        </w:tc>
      </w:tr>
      <w:tr w:rsidR="001A0796" w:rsidRPr="00E922C3" w:rsidTr="0078567B">
        <w:tc>
          <w:tcPr>
            <w:tcW w:w="2922" w:type="dxa"/>
            <w:shd w:val="clear" w:color="auto" w:fill="auto"/>
          </w:tcPr>
          <w:p w:rsidR="001A0796" w:rsidRPr="0078567B" w:rsidRDefault="00CB1F86" w:rsidP="008C6AC8">
            <w:pPr>
              <w:jc w:val="left"/>
              <w:rPr>
                <w:rFonts w:cstheme="minorHAnsi"/>
              </w:rPr>
            </w:pPr>
            <w:r>
              <w:rPr>
                <w:rFonts w:cstheme="minorHAnsi"/>
              </w:rPr>
              <w:t>Dr Derek Hopper</w:t>
            </w:r>
          </w:p>
        </w:tc>
        <w:tc>
          <w:tcPr>
            <w:tcW w:w="5919" w:type="dxa"/>
            <w:shd w:val="clear" w:color="auto" w:fill="auto"/>
          </w:tcPr>
          <w:p w:rsidR="001A0796" w:rsidRPr="00E922C3" w:rsidRDefault="00CB1F86" w:rsidP="00CB1F86">
            <w:pPr>
              <w:jc w:val="left"/>
              <w:rPr>
                <w:rFonts w:cstheme="minorHAnsi"/>
              </w:rPr>
            </w:pPr>
            <w:r w:rsidRPr="00E922C3">
              <w:rPr>
                <w:rFonts w:cstheme="minorHAnsi"/>
              </w:rPr>
              <w:t xml:space="preserve">GP Chair of </w:t>
            </w:r>
            <w:proofErr w:type="spellStart"/>
            <w:r w:rsidRPr="00E922C3">
              <w:rPr>
                <w:rFonts w:cstheme="minorHAnsi"/>
              </w:rPr>
              <w:t>CoM</w:t>
            </w:r>
            <w:proofErr w:type="spellEnd"/>
            <w:r w:rsidRPr="00E922C3">
              <w:rPr>
                <w:rFonts w:cstheme="minorHAnsi"/>
              </w:rPr>
              <w:t>, NELCCG</w:t>
            </w:r>
          </w:p>
        </w:tc>
      </w:tr>
      <w:tr w:rsidR="00DD7477" w:rsidRPr="00E922C3" w:rsidTr="0078567B">
        <w:tc>
          <w:tcPr>
            <w:tcW w:w="2922" w:type="dxa"/>
            <w:shd w:val="clear" w:color="auto" w:fill="auto"/>
          </w:tcPr>
          <w:p w:rsidR="00DD7477" w:rsidRPr="0078567B" w:rsidRDefault="00DD7477" w:rsidP="008C6AC8">
            <w:pPr>
              <w:jc w:val="left"/>
              <w:rPr>
                <w:rFonts w:cstheme="minorHAnsi"/>
              </w:rPr>
            </w:pPr>
            <w:r w:rsidRPr="0078567B">
              <w:rPr>
                <w:rFonts w:cstheme="minorHAnsi"/>
              </w:rPr>
              <w:t>Christine Wallis</w:t>
            </w:r>
          </w:p>
        </w:tc>
        <w:tc>
          <w:tcPr>
            <w:tcW w:w="5919" w:type="dxa"/>
            <w:shd w:val="clear" w:color="auto" w:fill="auto"/>
          </w:tcPr>
          <w:p w:rsidR="00DD7477" w:rsidRPr="00E922C3" w:rsidRDefault="00DD7477" w:rsidP="008C6AC8">
            <w:pPr>
              <w:jc w:val="both"/>
              <w:rPr>
                <w:rFonts w:cstheme="minorHAnsi"/>
              </w:rPr>
            </w:pPr>
            <w:r>
              <w:rPr>
                <w:rFonts w:cstheme="minorHAnsi"/>
              </w:rPr>
              <w:t>Primary Care Triangle Lay Member</w:t>
            </w:r>
          </w:p>
        </w:tc>
      </w:tr>
    </w:tbl>
    <w:p w:rsidR="001A0796" w:rsidRPr="00E922C3" w:rsidRDefault="001A0796" w:rsidP="001A0796">
      <w:pPr>
        <w:jc w:val="left"/>
        <w:rPr>
          <w:rFonts w:cstheme="minorHAnsi"/>
          <w:b/>
        </w:rPr>
      </w:pPr>
    </w:p>
    <w:p w:rsidR="001A0796" w:rsidRPr="00E922C3" w:rsidRDefault="001A0796" w:rsidP="001A0796">
      <w:pPr>
        <w:jc w:val="left"/>
        <w:rPr>
          <w:rFonts w:cstheme="minorHAnsi"/>
          <w:b/>
        </w:rPr>
      </w:pPr>
      <w:r w:rsidRPr="00E922C3">
        <w:rPr>
          <w:rFonts w:cstheme="minorHAnsi"/>
          <w:b/>
        </w:rPr>
        <w:t>IN ATTENDANCE:</w:t>
      </w:r>
    </w:p>
    <w:p w:rsidR="001A0796" w:rsidRPr="00E922C3" w:rsidRDefault="001A0796" w:rsidP="001A0796">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5895"/>
      </w:tblGrid>
      <w:tr w:rsidR="00E922C3" w:rsidRPr="00E922C3" w:rsidTr="00CB1F86">
        <w:tc>
          <w:tcPr>
            <w:tcW w:w="2946" w:type="dxa"/>
          </w:tcPr>
          <w:p w:rsidR="00E922C3" w:rsidRPr="0078567B" w:rsidRDefault="00E922C3" w:rsidP="008C6AC8">
            <w:pPr>
              <w:jc w:val="left"/>
              <w:rPr>
                <w:rFonts w:cstheme="minorHAnsi"/>
              </w:rPr>
            </w:pPr>
            <w:r w:rsidRPr="0078567B">
              <w:rPr>
                <w:rFonts w:cstheme="minorHAnsi"/>
              </w:rPr>
              <w:t>Julie Wilson</w:t>
            </w:r>
          </w:p>
        </w:tc>
        <w:tc>
          <w:tcPr>
            <w:tcW w:w="5895" w:type="dxa"/>
          </w:tcPr>
          <w:p w:rsidR="00E922C3" w:rsidRPr="00E922C3" w:rsidRDefault="00E922C3" w:rsidP="00E922C3">
            <w:pPr>
              <w:jc w:val="both"/>
              <w:rPr>
                <w:rFonts w:cstheme="minorHAnsi"/>
                <w:bCs/>
                <w:lang w:eastAsia="en-GB"/>
              </w:rPr>
            </w:pPr>
            <w:r w:rsidRPr="00E922C3">
              <w:rPr>
                <w:rFonts w:cstheme="minorHAnsi"/>
                <w:bCs/>
                <w:lang w:eastAsia="en-GB"/>
              </w:rPr>
              <w:t>Assistant Director Programme Delivery &amp; Primary Care</w:t>
            </w:r>
          </w:p>
        </w:tc>
      </w:tr>
      <w:tr w:rsidR="001A0796" w:rsidRPr="00E922C3" w:rsidTr="00CB1F86">
        <w:tc>
          <w:tcPr>
            <w:tcW w:w="2946" w:type="dxa"/>
          </w:tcPr>
          <w:p w:rsidR="001A0796" w:rsidRPr="0078567B" w:rsidRDefault="00CB1F86" w:rsidP="008C6AC8">
            <w:pPr>
              <w:jc w:val="left"/>
              <w:rPr>
                <w:rFonts w:cstheme="minorHAnsi"/>
              </w:rPr>
            </w:pPr>
            <w:r>
              <w:rPr>
                <w:rFonts w:cstheme="minorHAnsi"/>
              </w:rPr>
              <w:t>Helen Askham</w:t>
            </w:r>
            <w:r w:rsidR="001A0796" w:rsidRPr="0078567B">
              <w:rPr>
                <w:rFonts w:cstheme="minorHAnsi"/>
              </w:rPr>
              <w:t xml:space="preserve"> </w:t>
            </w:r>
          </w:p>
        </w:tc>
        <w:tc>
          <w:tcPr>
            <w:tcW w:w="5895" w:type="dxa"/>
          </w:tcPr>
          <w:p w:rsidR="001A0796" w:rsidRPr="00E922C3" w:rsidRDefault="001A0796" w:rsidP="008C6AC8">
            <w:pPr>
              <w:jc w:val="left"/>
              <w:rPr>
                <w:rFonts w:cstheme="minorHAnsi"/>
              </w:rPr>
            </w:pPr>
            <w:r w:rsidRPr="00E922C3">
              <w:rPr>
                <w:rFonts w:cstheme="minorHAnsi"/>
              </w:rPr>
              <w:t>PA to Executive Office, Note taker</w:t>
            </w:r>
          </w:p>
        </w:tc>
      </w:tr>
      <w:tr w:rsidR="001A0796" w:rsidRPr="00E922C3" w:rsidTr="00CB1F86">
        <w:tc>
          <w:tcPr>
            <w:tcW w:w="2946" w:type="dxa"/>
          </w:tcPr>
          <w:p w:rsidR="001A0796" w:rsidRPr="0078567B" w:rsidRDefault="001A0796" w:rsidP="008C6AC8">
            <w:pPr>
              <w:jc w:val="left"/>
              <w:rPr>
                <w:rFonts w:cstheme="minorHAnsi"/>
              </w:rPr>
            </w:pPr>
            <w:r w:rsidRPr="0078567B">
              <w:rPr>
                <w:rFonts w:cstheme="minorHAnsi"/>
              </w:rPr>
              <w:t>Debbee Walker</w:t>
            </w:r>
          </w:p>
        </w:tc>
        <w:tc>
          <w:tcPr>
            <w:tcW w:w="5895" w:type="dxa"/>
          </w:tcPr>
          <w:p w:rsidR="001A0796" w:rsidRPr="00E922C3" w:rsidRDefault="001A0796" w:rsidP="008C6AC8">
            <w:pPr>
              <w:jc w:val="left"/>
              <w:rPr>
                <w:rFonts w:cstheme="minorHAnsi"/>
              </w:rPr>
            </w:pPr>
            <w:r w:rsidRPr="00E922C3">
              <w:rPr>
                <w:rFonts w:cstheme="minorHAnsi"/>
              </w:rPr>
              <w:t>Service Lead, NEL CCG</w:t>
            </w:r>
          </w:p>
        </w:tc>
      </w:tr>
      <w:tr w:rsidR="001A0796" w:rsidRPr="00E922C3" w:rsidTr="00CB1F86">
        <w:tc>
          <w:tcPr>
            <w:tcW w:w="2946" w:type="dxa"/>
          </w:tcPr>
          <w:p w:rsidR="001A0796" w:rsidRPr="0078567B" w:rsidRDefault="001A0796" w:rsidP="008C6AC8">
            <w:pPr>
              <w:jc w:val="left"/>
              <w:rPr>
                <w:rFonts w:cstheme="minorHAnsi"/>
              </w:rPr>
            </w:pPr>
            <w:r w:rsidRPr="0078567B">
              <w:rPr>
                <w:rFonts w:cstheme="minorHAnsi"/>
              </w:rPr>
              <w:t xml:space="preserve">Paul </w:t>
            </w:r>
            <w:proofErr w:type="spellStart"/>
            <w:r w:rsidRPr="0078567B">
              <w:rPr>
                <w:rFonts w:cstheme="minorHAnsi"/>
              </w:rPr>
              <w:t>Glazebrook</w:t>
            </w:r>
            <w:proofErr w:type="spellEnd"/>
          </w:p>
        </w:tc>
        <w:tc>
          <w:tcPr>
            <w:tcW w:w="5895" w:type="dxa"/>
          </w:tcPr>
          <w:p w:rsidR="001A0796" w:rsidRPr="00E922C3" w:rsidRDefault="001A0796" w:rsidP="008C6AC8">
            <w:pPr>
              <w:jc w:val="both"/>
              <w:rPr>
                <w:rFonts w:cstheme="minorHAnsi"/>
                <w:lang w:eastAsia="en-GB"/>
              </w:rPr>
            </w:pPr>
            <w:r w:rsidRPr="00E922C3">
              <w:rPr>
                <w:rFonts w:cstheme="minorHAnsi"/>
                <w:lang w:eastAsia="en-GB"/>
              </w:rPr>
              <w:t>Health</w:t>
            </w:r>
            <w:r w:rsidR="0078567B">
              <w:rPr>
                <w:rFonts w:cstheme="minorHAnsi"/>
                <w:lang w:eastAsia="en-GB"/>
              </w:rPr>
              <w:t xml:space="preserve"> </w:t>
            </w:r>
            <w:r w:rsidRPr="00E922C3">
              <w:rPr>
                <w:rFonts w:cstheme="minorHAnsi"/>
                <w:lang w:eastAsia="en-GB"/>
              </w:rPr>
              <w:t>watch Representative</w:t>
            </w:r>
          </w:p>
        </w:tc>
      </w:tr>
      <w:tr w:rsidR="001A0796" w:rsidRPr="00E922C3" w:rsidTr="00CB1F86">
        <w:tc>
          <w:tcPr>
            <w:tcW w:w="2946" w:type="dxa"/>
          </w:tcPr>
          <w:p w:rsidR="001A0796" w:rsidRPr="0078567B" w:rsidRDefault="001A0796" w:rsidP="008C6AC8">
            <w:pPr>
              <w:jc w:val="left"/>
              <w:rPr>
                <w:rFonts w:cstheme="minorHAnsi"/>
              </w:rPr>
            </w:pPr>
            <w:r w:rsidRPr="0078567B">
              <w:rPr>
                <w:rFonts w:cstheme="minorHAnsi"/>
              </w:rPr>
              <w:t xml:space="preserve">Russell </w:t>
            </w:r>
            <w:proofErr w:type="spellStart"/>
            <w:r w:rsidRPr="0078567B">
              <w:rPr>
                <w:rFonts w:cstheme="minorHAnsi"/>
              </w:rPr>
              <w:t>Walshaw</w:t>
            </w:r>
            <w:proofErr w:type="spellEnd"/>
          </w:p>
        </w:tc>
        <w:tc>
          <w:tcPr>
            <w:tcW w:w="5895" w:type="dxa"/>
          </w:tcPr>
          <w:p w:rsidR="001A0796" w:rsidRPr="00E922C3" w:rsidRDefault="001A0796" w:rsidP="008C6AC8">
            <w:pPr>
              <w:jc w:val="both"/>
              <w:rPr>
                <w:rFonts w:cstheme="minorHAnsi"/>
                <w:lang w:eastAsia="en-GB"/>
              </w:rPr>
            </w:pPr>
            <w:r w:rsidRPr="00E922C3">
              <w:rPr>
                <w:rFonts w:cstheme="minorHAnsi"/>
                <w:lang w:eastAsia="en-GB"/>
              </w:rPr>
              <w:t>LMC Representative</w:t>
            </w:r>
          </w:p>
        </w:tc>
      </w:tr>
    </w:tbl>
    <w:p w:rsidR="001A0796" w:rsidRPr="00E922C3" w:rsidRDefault="001A0796" w:rsidP="001A0796">
      <w:pPr>
        <w:jc w:val="left"/>
        <w:rPr>
          <w:rFonts w:cstheme="minorHAnsi"/>
          <w:b/>
        </w:rPr>
      </w:pPr>
    </w:p>
    <w:p w:rsidR="001A0796" w:rsidRPr="00E922C3" w:rsidRDefault="001A0796" w:rsidP="001A0796">
      <w:pPr>
        <w:jc w:val="left"/>
        <w:rPr>
          <w:rFonts w:cstheme="minorHAnsi"/>
          <w:b/>
        </w:rPr>
      </w:pPr>
      <w:r w:rsidRPr="00E922C3">
        <w:rPr>
          <w:rFonts w:cstheme="minorHAnsi"/>
          <w:b/>
        </w:rPr>
        <w:t>APOLOGIES:</w:t>
      </w:r>
    </w:p>
    <w:p w:rsidR="001A0796" w:rsidRPr="00E922C3" w:rsidRDefault="001A0796" w:rsidP="001A0796">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5887"/>
      </w:tblGrid>
      <w:tr w:rsidR="001A0796" w:rsidRPr="00E922C3" w:rsidTr="0078567B">
        <w:tc>
          <w:tcPr>
            <w:tcW w:w="2954" w:type="dxa"/>
          </w:tcPr>
          <w:p w:rsidR="001A0796" w:rsidRPr="00E922C3" w:rsidRDefault="00CB1F86" w:rsidP="008C6AC8">
            <w:pPr>
              <w:jc w:val="left"/>
              <w:rPr>
                <w:rFonts w:cstheme="minorHAnsi"/>
              </w:rPr>
            </w:pPr>
            <w:r>
              <w:rPr>
                <w:rFonts w:cstheme="minorHAnsi"/>
              </w:rPr>
              <w:t xml:space="preserve">Steve </w:t>
            </w:r>
            <w:proofErr w:type="spellStart"/>
            <w:r>
              <w:rPr>
                <w:rFonts w:cstheme="minorHAnsi"/>
              </w:rPr>
              <w:t>Pintus</w:t>
            </w:r>
            <w:proofErr w:type="spellEnd"/>
          </w:p>
        </w:tc>
        <w:tc>
          <w:tcPr>
            <w:tcW w:w="5887" w:type="dxa"/>
          </w:tcPr>
          <w:p w:rsidR="001A0796" w:rsidRPr="00E922C3" w:rsidRDefault="00CB1F86" w:rsidP="008C6AC8">
            <w:pPr>
              <w:jc w:val="left"/>
              <w:rPr>
                <w:rFonts w:cstheme="minorHAnsi"/>
              </w:rPr>
            </w:pPr>
            <w:r>
              <w:rPr>
                <w:rFonts w:cstheme="minorHAnsi"/>
              </w:rPr>
              <w:t>Director of Public Health, NELC</w:t>
            </w:r>
          </w:p>
        </w:tc>
      </w:tr>
    </w:tbl>
    <w:p w:rsidR="00442F69" w:rsidRDefault="00442F69" w:rsidP="00442F69">
      <w:pPr>
        <w:rPr>
          <w:rFonts w:cstheme="minorHAnsi"/>
          <w:sz w:val="24"/>
          <w:szCs w:val="24"/>
          <w:u w:val="single"/>
        </w:rPr>
      </w:pPr>
    </w:p>
    <w:tbl>
      <w:tblPr>
        <w:tblStyle w:val="TableGrid"/>
        <w:tblW w:w="9923" w:type="dxa"/>
        <w:tblInd w:w="-459" w:type="dxa"/>
        <w:tblLayout w:type="fixed"/>
        <w:tblLook w:val="04A0" w:firstRow="1" w:lastRow="0" w:firstColumn="1" w:lastColumn="0" w:noHBand="0" w:noVBand="1"/>
      </w:tblPr>
      <w:tblGrid>
        <w:gridCol w:w="851"/>
        <w:gridCol w:w="7938"/>
        <w:gridCol w:w="1134"/>
      </w:tblGrid>
      <w:tr w:rsidR="001A0796" w:rsidRPr="00E644D5" w:rsidTr="00FA142C">
        <w:tc>
          <w:tcPr>
            <w:tcW w:w="851" w:type="dxa"/>
          </w:tcPr>
          <w:p w:rsidR="001A0796" w:rsidRPr="00E644D5" w:rsidRDefault="001A0796" w:rsidP="00B269D3">
            <w:pPr>
              <w:ind w:left="-553" w:firstLine="553"/>
              <w:jc w:val="left"/>
              <w:rPr>
                <w:rFonts w:cstheme="minorHAnsi"/>
                <w:b/>
                <w:sz w:val="24"/>
                <w:szCs w:val="24"/>
              </w:rPr>
            </w:pPr>
          </w:p>
        </w:tc>
        <w:tc>
          <w:tcPr>
            <w:tcW w:w="7938" w:type="dxa"/>
          </w:tcPr>
          <w:p w:rsidR="001A0796" w:rsidRPr="00E644D5" w:rsidRDefault="001A0796" w:rsidP="00B269D3">
            <w:pPr>
              <w:ind w:left="-553" w:firstLine="553"/>
              <w:jc w:val="left"/>
              <w:rPr>
                <w:rFonts w:cstheme="minorHAnsi"/>
                <w:b/>
                <w:sz w:val="24"/>
                <w:szCs w:val="24"/>
              </w:rPr>
            </w:pPr>
            <w:r w:rsidRPr="00E644D5">
              <w:rPr>
                <w:rFonts w:cstheme="minorHAnsi"/>
                <w:b/>
                <w:sz w:val="24"/>
                <w:szCs w:val="24"/>
              </w:rPr>
              <w:t>ITEM</w:t>
            </w:r>
          </w:p>
        </w:tc>
        <w:tc>
          <w:tcPr>
            <w:tcW w:w="1134" w:type="dxa"/>
          </w:tcPr>
          <w:p w:rsidR="001A0796" w:rsidRPr="00E644D5" w:rsidRDefault="001A0796" w:rsidP="00442F69">
            <w:pPr>
              <w:rPr>
                <w:rFonts w:cstheme="minorHAnsi"/>
                <w:b/>
                <w:sz w:val="24"/>
                <w:szCs w:val="24"/>
              </w:rPr>
            </w:pPr>
            <w:r>
              <w:rPr>
                <w:rFonts w:cstheme="minorHAnsi"/>
                <w:b/>
                <w:sz w:val="24"/>
                <w:szCs w:val="24"/>
              </w:rPr>
              <w:t>ACTIONS</w:t>
            </w:r>
          </w:p>
        </w:tc>
      </w:tr>
      <w:tr w:rsidR="001A0796" w:rsidRPr="00BF4207" w:rsidTr="00FA142C">
        <w:tc>
          <w:tcPr>
            <w:tcW w:w="851" w:type="dxa"/>
          </w:tcPr>
          <w:p w:rsidR="001A0796" w:rsidRPr="003505D2" w:rsidRDefault="001A0796" w:rsidP="0009506B">
            <w:pPr>
              <w:jc w:val="left"/>
              <w:rPr>
                <w:rFonts w:cstheme="minorHAnsi"/>
                <w:b/>
                <w:szCs w:val="24"/>
              </w:rPr>
            </w:pPr>
            <w:r>
              <w:rPr>
                <w:rFonts w:cstheme="minorHAnsi"/>
                <w:b/>
                <w:szCs w:val="24"/>
              </w:rPr>
              <w:t>1)</w:t>
            </w:r>
          </w:p>
        </w:tc>
        <w:tc>
          <w:tcPr>
            <w:tcW w:w="7938" w:type="dxa"/>
          </w:tcPr>
          <w:p w:rsidR="001A0796" w:rsidRDefault="001B41E5" w:rsidP="0009506B">
            <w:pPr>
              <w:jc w:val="left"/>
              <w:rPr>
                <w:rFonts w:cstheme="minorHAnsi"/>
                <w:b/>
                <w:szCs w:val="24"/>
              </w:rPr>
            </w:pPr>
            <w:r w:rsidRPr="003505D2">
              <w:rPr>
                <w:rFonts w:cstheme="minorHAnsi"/>
                <w:b/>
                <w:szCs w:val="24"/>
              </w:rPr>
              <w:t>APOLOGIES</w:t>
            </w:r>
          </w:p>
          <w:p w:rsidR="001A0796" w:rsidRDefault="001A0796" w:rsidP="0009506B">
            <w:pPr>
              <w:jc w:val="left"/>
              <w:rPr>
                <w:rFonts w:cstheme="minorHAnsi"/>
                <w:b/>
                <w:szCs w:val="24"/>
              </w:rPr>
            </w:pPr>
          </w:p>
          <w:p w:rsidR="001A0796" w:rsidRDefault="001B41E5" w:rsidP="001A0796">
            <w:pPr>
              <w:jc w:val="left"/>
              <w:rPr>
                <w:rFonts w:cstheme="minorHAnsi"/>
                <w:szCs w:val="24"/>
              </w:rPr>
            </w:pPr>
            <w:r>
              <w:rPr>
                <w:rFonts w:cstheme="minorHAnsi"/>
                <w:szCs w:val="24"/>
              </w:rPr>
              <w:t>Apologies were noted as a</w:t>
            </w:r>
            <w:r w:rsidR="001A0796">
              <w:rPr>
                <w:rFonts w:cstheme="minorHAnsi"/>
                <w:szCs w:val="24"/>
              </w:rPr>
              <w:t>bove</w:t>
            </w:r>
          </w:p>
          <w:p w:rsidR="001A0796" w:rsidRPr="00B95D1E" w:rsidRDefault="001A0796" w:rsidP="001A0796">
            <w:pPr>
              <w:jc w:val="left"/>
              <w:rPr>
                <w:rFonts w:cstheme="minorHAnsi"/>
                <w:szCs w:val="24"/>
              </w:rPr>
            </w:pPr>
          </w:p>
        </w:tc>
        <w:tc>
          <w:tcPr>
            <w:tcW w:w="1134" w:type="dxa"/>
          </w:tcPr>
          <w:p w:rsidR="001A0796" w:rsidRPr="00BF4207" w:rsidRDefault="001A0796" w:rsidP="00442F69">
            <w:pPr>
              <w:rPr>
                <w:rFonts w:cstheme="minorHAnsi"/>
                <w:szCs w:val="24"/>
              </w:rPr>
            </w:pPr>
          </w:p>
        </w:tc>
      </w:tr>
      <w:tr w:rsidR="001A0796" w:rsidRPr="00BF4207" w:rsidTr="00FA142C">
        <w:tc>
          <w:tcPr>
            <w:tcW w:w="851" w:type="dxa"/>
          </w:tcPr>
          <w:p w:rsidR="001A0796" w:rsidRPr="003505D2" w:rsidRDefault="001A0796" w:rsidP="009F5B50">
            <w:pPr>
              <w:jc w:val="left"/>
              <w:rPr>
                <w:rFonts w:cstheme="minorHAnsi"/>
                <w:b/>
                <w:szCs w:val="24"/>
              </w:rPr>
            </w:pPr>
            <w:r>
              <w:rPr>
                <w:rFonts w:cstheme="minorHAnsi"/>
                <w:b/>
                <w:szCs w:val="24"/>
              </w:rPr>
              <w:t>2)</w:t>
            </w:r>
          </w:p>
        </w:tc>
        <w:tc>
          <w:tcPr>
            <w:tcW w:w="7938" w:type="dxa"/>
          </w:tcPr>
          <w:p w:rsidR="001A0796" w:rsidRDefault="001B41E5" w:rsidP="0009506B">
            <w:pPr>
              <w:jc w:val="left"/>
              <w:rPr>
                <w:rFonts w:cstheme="minorHAnsi"/>
                <w:b/>
                <w:szCs w:val="24"/>
              </w:rPr>
            </w:pPr>
            <w:r>
              <w:rPr>
                <w:rFonts w:cstheme="minorHAnsi"/>
                <w:b/>
                <w:szCs w:val="24"/>
              </w:rPr>
              <w:t>MINUTES OF THE LAST MEETING &amp; ACTION SUMMARY SHEET</w:t>
            </w:r>
          </w:p>
          <w:p w:rsidR="001A0796" w:rsidRDefault="001A0796" w:rsidP="0009506B">
            <w:pPr>
              <w:jc w:val="left"/>
              <w:rPr>
                <w:rFonts w:cstheme="minorHAnsi"/>
                <w:b/>
                <w:szCs w:val="24"/>
              </w:rPr>
            </w:pPr>
          </w:p>
          <w:p w:rsidR="00DA0956" w:rsidRDefault="001B41E5" w:rsidP="001B41E5">
            <w:pPr>
              <w:jc w:val="both"/>
              <w:rPr>
                <w:rFonts w:cstheme="minorHAnsi"/>
                <w:szCs w:val="24"/>
              </w:rPr>
            </w:pPr>
            <w:r>
              <w:rPr>
                <w:rFonts w:cstheme="minorHAnsi"/>
                <w:szCs w:val="24"/>
              </w:rPr>
              <w:t xml:space="preserve">The Minutes </w:t>
            </w:r>
            <w:r w:rsidR="00AA2666">
              <w:rPr>
                <w:rFonts w:cstheme="minorHAnsi"/>
                <w:szCs w:val="24"/>
              </w:rPr>
              <w:t>of the Meeting held on 23</w:t>
            </w:r>
            <w:r w:rsidR="00AA2666" w:rsidRPr="00AA2666">
              <w:rPr>
                <w:rFonts w:cstheme="minorHAnsi"/>
                <w:szCs w:val="24"/>
                <w:vertAlign w:val="superscript"/>
              </w:rPr>
              <w:t>rd</w:t>
            </w:r>
            <w:r w:rsidR="00AA2666">
              <w:rPr>
                <w:rFonts w:cstheme="minorHAnsi"/>
                <w:szCs w:val="24"/>
              </w:rPr>
              <w:t xml:space="preserve"> </w:t>
            </w:r>
            <w:r w:rsidR="00C94885">
              <w:rPr>
                <w:rFonts w:cstheme="minorHAnsi"/>
                <w:szCs w:val="24"/>
              </w:rPr>
              <w:t>July</w:t>
            </w:r>
            <w:r w:rsidR="00AA2666">
              <w:rPr>
                <w:rFonts w:cstheme="minorHAnsi"/>
                <w:szCs w:val="24"/>
              </w:rPr>
              <w:t xml:space="preserve"> 2015 </w:t>
            </w:r>
            <w:r>
              <w:rPr>
                <w:rFonts w:cstheme="minorHAnsi"/>
                <w:szCs w:val="24"/>
              </w:rPr>
              <w:t>were agre</w:t>
            </w:r>
            <w:r w:rsidR="00AA2666">
              <w:rPr>
                <w:rFonts w:cstheme="minorHAnsi"/>
                <w:szCs w:val="24"/>
              </w:rPr>
              <w:t xml:space="preserve">ed as an accurate record and the </w:t>
            </w:r>
            <w:r>
              <w:rPr>
                <w:rFonts w:cstheme="minorHAnsi"/>
                <w:szCs w:val="24"/>
              </w:rPr>
              <w:t>updated action s</w:t>
            </w:r>
            <w:r w:rsidR="0078567B">
              <w:rPr>
                <w:rFonts w:cstheme="minorHAnsi"/>
                <w:szCs w:val="24"/>
              </w:rPr>
              <w:t xml:space="preserve">ummary </w:t>
            </w:r>
            <w:r>
              <w:rPr>
                <w:rFonts w:cstheme="minorHAnsi"/>
                <w:szCs w:val="24"/>
              </w:rPr>
              <w:t>s</w:t>
            </w:r>
            <w:r w:rsidR="0078567B">
              <w:rPr>
                <w:rFonts w:cstheme="minorHAnsi"/>
                <w:szCs w:val="24"/>
              </w:rPr>
              <w:t>heet was noted.</w:t>
            </w:r>
          </w:p>
          <w:p w:rsidR="00F840B1" w:rsidRDefault="00F840B1" w:rsidP="001B41E5">
            <w:pPr>
              <w:jc w:val="both"/>
              <w:rPr>
                <w:rFonts w:cstheme="minorHAnsi"/>
                <w:szCs w:val="24"/>
              </w:rPr>
            </w:pPr>
          </w:p>
          <w:p w:rsidR="00F840B1" w:rsidRDefault="00F840B1" w:rsidP="00F840B1">
            <w:pPr>
              <w:pStyle w:val="ListParagraph"/>
              <w:ind w:left="0"/>
              <w:jc w:val="left"/>
            </w:pPr>
            <w:r>
              <w:rPr>
                <w:rFonts w:cstheme="minorHAnsi"/>
                <w:szCs w:val="24"/>
              </w:rPr>
              <w:t xml:space="preserve">Geoff Day updated the Committee </w:t>
            </w:r>
            <w:r w:rsidR="00F605F0">
              <w:rPr>
                <w:rFonts w:cstheme="minorHAnsi"/>
                <w:szCs w:val="24"/>
              </w:rPr>
              <w:t>that the</w:t>
            </w:r>
            <w:r>
              <w:rPr>
                <w:rFonts w:cstheme="minorHAnsi"/>
                <w:szCs w:val="24"/>
              </w:rPr>
              <w:t xml:space="preserve"> </w:t>
            </w:r>
            <w:r w:rsidR="00F605F0">
              <w:t xml:space="preserve">Contract Variation for Dr Jethwa had </w:t>
            </w:r>
            <w:r>
              <w:t xml:space="preserve">now been signed off. </w:t>
            </w:r>
          </w:p>
          <w:p w:rsidR="00F605F0" w:rsidRDefault="00F605F0" w:rsidP="00F840B1">
            <w:pPr>
              <w:pStyle w:val="ListParagraph"/>
              <w:ind w:left="0"/>
              <w:jc w:val="left"/>
            </w:pPr>
          </w:p>
          <w:p w:rsidR="00F840B1" w:rsidRDefault="00F605F0" w:rsidP="00F840B1">
            <w:pPr>
              <w:pStyle w:val="ListParagraph"/>
              <w:ind w:left="0"/>
              <w:jc w:val="left"/>
            </w:pPr>
            <w:r>
              <w:t xml:space="preserve">The Committee </w:t>
            </w:r>
            <w:r w:rsidR="006D20D1">
              <w:t>were informed</w:t>
            </w:r>
            <w:r>
              <w:t xml:space="preserve"> that the </w:t>
            </w:r>
            <w:r w:rsidR="00F840B1">
              <w:t>contract with A</w:t>
            </w:r>
            <w:r>
              <w:t xml:space="preserve">shwood </w:t>
            </w:r>
            <w:r w:rsidR="00F840B1">
              <w:t>S</w:t>
            </w:r>
            <w:r>
              <w:t>urgery had</w:t>
            </w:r>
            <w:r w:rsidR="00F840B1">
              <w:t xml:space="preserve"> been </w:t>
            </w:r>
            <w:r w:rsidR="006D20D1">
              <w:t>terminated;</w:t>
            </w:r>
            <w:r w:rsidR="00F840B1">
              <w:t xml:space="preserve"> </w:t>
            </w:r>
            <w:r>
              <w:t>the previous meeting noted the CQC R</w:t>
            </w:r>
            <w:r w:rsidR="00F840B1">
              <w:t>eport</w:t>
            </w:r>
            <w:r>
              <w:t xml:space="preserve"> regarding the practice due to concerns regarding patient safety. </w:t>
            </w:r>
            <w:r w:rsidR="00F840B1">
              <w:t xml:space="preserve">Interim arrangements have been </w:t>
            </w:r>
            <w:r>
              <w:t>put in place for patients.</w:t>
            </w:r>
          </w:p>
          <w:p w:rsidR="00DA0956" w:rsidRPr="003505D2" w:rsidRDefault="00DA0956" w:rsidP="0009506B">
            <w:pPr>
              <w:jc w:val="left"/>
              <w:rPr>
                <w:rFonts w:cstheme="minorHAnsi"/>
                <w:b/>
                <w:szCs w:val="24"/>
              </w:rPr>
            </w:pPr>
            <w:bookmarkStart w:id="0" w:name="_GoBack"/>
            <w:bookmarkEnd w:id="0"/>
          </w:p>
        </w:tc>
        <w:tc>
          <w:tcPr>
            <w:tcW w:w="1134" w:type="dxa"/>
          </w:tcPr>
          <w:p w:rsidR="001A0796" w:rsidRDefault="001A0796" w:rsidP="00442F69">
            <w:pPr>
              <w:rPr>
                <w:rFonts w:cstheme="minorHAnsi"/>
                <w:szCs w:val="24"/>
              </w:rPr>
            </w:pPr>
          </w:p>
        </w:tc>
      </w:tr>
      <w:tr w:rsidR="001A0796" w:rsidRPr="00BF4207" w:rsidTr="00FA142C">
        <w:tc>
          <w:tcPr>
            <w:tcW w:w="851" w:type="dxa"/>
          </w:tcPr>
          <w:p w:rsidR="001A0796" w:rsidRPr="006711FC" w:rsidRDefault="001A0796" w:rsidP="009F5B50">
            <w:pPr>
              <w:jc w:val="left"/>
              <w:rPr>
                <w:rFonts w:cstheme="minorHAnsi"/>
                <w:b/>
              </w:rPr>
            </w:pPr>
            <w:r>
              <w:rPr>
                <w:rFonts w:cstheme="minorHAnsi"/>
                <w:b/>
              </w:rPr>
              <w:t>3)</w:t>
            </w:r>
          </w:p>
        </w:tc>
        <w:tc>
          <w:tcPr>
            <w:tcW w:w="7938" w:type="dxa"/>
          </w:tcPr>
          <w:p w:rsidR="001A0796" w:rsidRDefault="001B41E5" w:rsidP="003505D2">
            <w:pPr>
              <w:jc w:val="left"/>
              <w:rPr>
                <w:rFonts w:cstheme="minorHAnsi"/>
                <w:szCs w:val="24"/>
              </w:rPr>
            </w:pPr>
            <w:r w:rsidRPr="003505D2">
              <w:rPr>
                <w:rFonts w:cstheme="minorHAnsi"/>
                <w:b/>
                <w:szCs w:val="24"/>
              </w:rPr>
              <w:t>DECLARATION OF INTEREST</w:t>
            </w:r>
            <w:r>
              <w:rPr>
                <w:rFonts w:cstheme="minorHAnsi"/>
                <w:szCs w:val="24"/>
              </w:rPr>
              <w:t xml:space="preserve">  </w:t>
            </w:r>
          </w:p>
          <w:p w:rsidR="001A0796" w:rsidRDefault="001A0796" w:rsidP="005F3556">
            <w:pPr>
              <w:jc w:val="left"/>
              <w:rPr>
                <w:rFonts w:cstheme="minorHAnsi"/>
                <w:szCs w:val="24"/>
              </w:rPr>
            </w:pPr>
          </w:p>
          <w:p w:rsidR="00F605F0" w:rsidRDefault="00F605F0" w:rsidP="005F3556">
            <w:pPr>
              <w:jc w:val="left"/>
              <w:rPr>
                <w:rFonts w:cstheme="minorHAnsi"/>
                <w:szCs w:val="24"/>
              </w:rPr>
            </w:pPr>
            <w:r>
              <w:rPr>
                <w:rFonts w:cstheme="minorHAnsi"/>
                <w:szCs w:val="24"/>
              </w:rPr>
              <w:t xml:space="preserve">Dr Thomas Maliyil declared an interest </w:t>
            </w:r>
            <w:r w:rsidR="009B2448">
              <w:rPr>
                <w:rFonts w:cstheme="minorHAnsi"/>
                <w:szCs w:val="24"/>
              </w:rPr>
              <w:t>for agenda item 5 due to his role as</w:t>
            </w:r>
            <w:r>
              <w:rPr>
                <w:rFonts w:cstheme="minorHAnsi"/>
                <w:szCs w:val="24"/>
              </w:rPr>
              <w:t xml:space="preserve"> a GP at a practice in the area</w:t>
            </w:r>
            <w:r w:rsidR="00AE790B">
              <w:rPr>
                <w:rFonts w:cstheme="minorHAnsi"/>
                <w:szCs w:val="24"/>
              </w:rPr>
              <w:t xml:space="preserve">, and in item 6 due to his role in </w:t>
            </w:r>
            <w:r w:rsidR="00732334">
              <w:rPr>
                <w:rFonts w:cstheme="minorHAnsi"/>
                <w:szCs w:val="24"/>
              </w:rPr>
              <w:t>Core</w:t>
            </w:r>
            <w:r w:rsidR="00AE790B">
              <w:rPr>
                <w:rFonts w:cstheme="minorHAnsi"/>
                <w:szCs w:val="24"/>
              </w:rPr>
              <w:t xml:space="preserve"> Care Links</w:t>
            </w:r>
            <w:r>
              <w:rPr>
                <w:rFonts w:cstheme="minorHAnsi"/>
                <w:szCs w:val="24"/>
              </w:rPr>
              <w:t>.</w:t>
            </w:r>
          </w:p>
          <w:p w:rsidR="00F605F0" w:rsidRDefault="00F605F0" w:rsidP="005F3556">
            <w:pPr>
              <w:jc w:val="left"/>
              <w:rPr>
                <w:rFonts w:cstheme="minorHAnsi"/>
                <w:szCs w:val="24"/>
              </w:rPr>
            </w:pPr>
          </w:p>
          <w:p w:rsidR="00F605F0" w:rsidRDefault="00F605F0" w:rsidP="005F3556">
            <w:pPr>
              <w:jc w:val="left"/>
              <w:rPr>
                <w:rFonts w:cstheme="minorHAnsi"/>
                <w:szCs w:val="24"/>
              </w:rPr>
            </w:pPr>
            <w:r>
              <w:rPr>
                <w:rFonts w:cstheme="minorHAnsi"/>
                <w:szCs w:val="24"/>
              </w:rPr>
              <w:lastRenderedPageBreak/>
              <w:t>Dr Derek Hopper declared an interest for agenda</w:t>
            </w:r>
            <w:r w:rsidR="009B2448">
              <w:rPr>
                <w:rFonts w:cstheme="minorHAnsi"/>
                <w:szCs w:val="24"/>
              </w:rPr>
              <w:t xml:space="preserve"> item 5, due to his role as a GP</w:t>
            </w:r>
            <w:r w:rsidR="00AE790B">
              <w:rPr>
                <w:rFonts w:cstheme="minorHAnsi"/>
                <w:szCs w:val="24"/>
              </w:rPr>
              <w:t xml:space="preserve"> at a practice in the area</w:t>
            </w:r>
            <w:r w:rsidR="009B2448">
              <w:rPr>
                <w:rFonts w:cstheme="minorHAnsi"/>
                <w:szCs w:val="24"/>
              </w:rPr>
              <w:t>.</w:t>
            </w:r>
          </w:p>
          <w:p w:rsidR="001C5CB5" w:rsidRPr="005F3556" w:rsidRDefault="001C5CB5" w:rsidP="008E41F6">
            <w:pPr>
              <w:jc w:val="both"/>
              <w:rPr>
                <w:rFonts w:cstheme="minorHAnsi"/>
                <w:szCs w:val="24"/>
              </w:rPr>
            </w:pPr>
          </w:p>
        </w:tc>
        <w:tc>
          <w:tcPr>
            <w:tcW w:w="1134" w:type="dxa"/>
          </w:tcPr>
          <w:p w:rsidR="001A0796" w:rsidRPr="00BF4207" w:rsidRDefault="001A0796" w:rsidP="00442F69">
            <w:pPr>
              <w:rPr>
                <w:rFonts w:cstheme="minorHAnsi"/>
                <w:szCs w:val="24"/>
              </w:rPr>
            </w:pPr>
          </w:p>
        </w:tc>
      </w:tr>
      <w:tr w:rsidR="001A0796" w:rsidRPr="00BF4207" w:rsidTr="00FA142C">
        <w:tc>
          <w:tcPr>
            <w:tcW w:w="851" w:type="dxa"/>
          </w:tcPr>
          <w:p w:rsidR="001A0796" w:rsidRPr="00F71E9E" w:rsidRDefault="001A0796" w:rsidP="009F5B50">
            <w:pPr>
              <w:jc w:val="left"/>
              <w:rPr>
                <w:rFonts w:cstheme="minorHAnsi"/>
                <w:b/>
              </w:rPr>
            </w:pPr>
            <w:r>
              <w:rPr>
                <w:rFonts w:cstheme="minorHAnsi"/>
                <w:b/>
              </w:rPr>
              <w:lastRenderedPageBreak/>
              <w:t>4)</w:t>
            </w:r>
          </w:p>
        </w:tc>
        <w:tc>
          <w:tcPr>
            <w:tcW w:w="7938" w:type="dxa"/>
          </w:tcPr>
          <w:p w:rsidR="0078567B" w:rsidRPr="006520E0" w:rsidRDefault="00D86F8B" w:rsidP="0078567B">
            <w:pPr>
              <w:jc w:val="left"/>
              <w:rPr>
                <w:rFonts w:cstheme="minorHAnsi"/>
                <w:b/>
              </w:rPr>
            </w:pPr>
            <w:r w:rsidRPr="006520E0">
              <w:rPr>
                <w:rFonts w:cstheme="minorHAnsi"/>
                <w:b/>
              </w:rPr>
              <w:t>CONSIDERATION OF FULL DELEGATION OF GP PRIMARY CARE COMMISSIONING</w:t>
            </w:r>
          </w:p>
          <w:p w:rsidR="001C5CB5" w:rsidRDefault="001C5CB5" w:rsidP="002111D6">
            <w:pPr>
              <w:jc w:val="left"/>
              <w:rPr>
                <w:rFonts w:cstheme="minorHAnsi"/>
              </w:rPr>
            </w:pPr>
          </w:p>
          <w:p w:rsidR="006520E0" w:rsidRDefault="00F02696" w:rsidP="002111D6">
            <w:pPr>
              <w:spacing w:after="200" w:line="276" w:lineRule="auto"/>
              <w:jc w:val="left"/>
            </w:pPr>
            <w:r w:rsidRPr="006520E0">
              <w:t xml:space="preserve">A paper was presented to the Committee </w:t>
            </w:r>
            <w:r w:rsidR="006520E0" w:rsidRPr="006520E0">
              <w:t>to provide background information regarding the CCG’s decision to move to fully delegated commissioning of general practice services. The Committee</w:t>
            </w:r>
            <w:r w:rsidR="00AE790B">
              <w:t>s role was</w:t>
            </w:r>
            <w:r w:rsidR="006520E0" w:rsidRPr="006520E0">
              <w:t xml:space="preserve"> to discuss</w:t>
            </w:r>
            <w:r w:rsidR="00AE790B">
              <w:t xml:space="preserve"> the paper</w:t>
            </w:r>
            <w:r w:rsidR="006520E0" w:rsidRPr="006520E0">
              <w:t xml:space="preserve"> and make a recommendation to the Council of Members</w:t>
            </w:r>
            <w:r w:rsidR="00AE790B">
              <w:t xml:space="preserve"> and Partnership Board</w:t>
            </w:r>
            <w:r w:rsidR="006520E0" w:rsidRPr="006520E0">
              <w:t xml:space="preserve">. </w:t>
            </w:r>
          </w:p>
          <w:p w:rsidR="006520E0" w:rsidRDefault="006520E0" w:rsidP="002111D6">
            <w:pPr>
              <w:spacing w:after="200" w:line="276" w:lineRule="auto"/>
              <w:jc w:val="left"/>
            </w:pPr>
            <w:r>
              <w:t>The potential be</w:t>
            </w:r>
            <w:r w:rsidR="00C21CD7">
              <w:t xml:space="preserve">nefits and risks were outlined in the paper </w:t>
            </w:r>
            <w:r w:rsidR="00D55A88">
              <w:t>which</w:t>
            </w:r>
            <w:r w:rsidR="00C21CD7">
              <w:t xml:space="preserve"> the Committee discussed. The benefits </w:t>
            </w:r>
            <w:r w:rsidR="00D55A88">
              <w:t>being</w:t>
            </w:r>
            <w:r w:rsidR="00C21CD7">
              <w:t xml:space="preserve"> a flexibility to use resources as decided by the CCG, and greater internal decision making ability. </w:t>
            </w:r>
          </w:p>
          <w:p w:rsidR="00C21CD7" w:rsidRPr="006520E0" w:rsidRDefault="00C21CD7" w:rsidP="002111D6">
            <w:pPr>
              <w:spacing w:after="200" w:line="276" w:lineRule="auto"/>
              <w:jc w:val="left"/>
            </w:pPr>
            <w:r>
              <w:t xml:space="preserve">The potential risks discussed were a concern over unpredictability of areas that the CCG would be responsible for funding </w:t>
            </w:r>
            <w:r w:rsidR="006D20D1">
              <w:t>e.g.</w:t>
            </w:r>
            <w:r>
              <w:t xml:space="preserve"> Premises costs, legal costs. </w:t>
            </w:r>
            <w:r w:rsidR="00D55A88">
              <w:t xml:space="preserve">Staffing resources from the existing NHS England resource are unclear, and the impact of a significant shift of work will impact on both senior and less senior staff. </w:t>
            </w:r>
            <w:r w:rsidR="006D20D1">
              <w:t xml:space="preserve">The CCG recognise that although there will be more flexibility on funding, the CCG are still bound by operational policies on where funding is allocated by NHS England. </w:t>
            </w:r>
          </w:p>
          <w:p w:rsidR="006D62DC" w:rsidRPr="00F02696" w:rsidRDefault="006D62DC" w:rsidP="002111D6">
            <w:pPr>
              <w:pStyle w:val="ListParagraph"/>
              <w:ind w:left="0"/>
              <w:jc w:val="left"/>
            </w:pPr>
            <w:r w:rsidRPr="00F02696">
              <w:t>The NHS representative noted that there was no pressure</w:t>
            </w:r>
            <w:r w:rsidR="00F02696" w:rsidRPr="00F02696">
              <w:t xml:space="preserve"> to move to fully delegated</w:t>
            </w:r>
            <w:r w:rsidRPr="00F02696">
              <w:t xml:space="preserve">, </w:t>
            </w:r>
            <w:r w:rsidR="00D55A88">
              <w:t>and</w:t>
            </w:r>
            <w:r w:rsidRPr="00F02696">
              <w:t xml:space="preserve"> it is a </w:t>
            </w:r>
            <w:r w:rsidR="006D20D1" w:rsidRPr="00F02696">
              <w:t>journey</w:t>
            </w:r>
            <w:r w:rsidRPr="00F02696">
              <w:t xml:space="preserve"> </w:t>
            </w:r>
            <w:r w:rsidR="00F02696" w:rsidRPr="00F02696">
              <w:t xml:space="preserve">which the CCG </w:t>
            </w:r>
            <w:r w:rsidRPr="00F02696">
              <w:t xml:space="preserve">can </w:t>
            </w:r>
            <w:r w:rsidR="00D55A88">
              <w:t>take</w:t>
            </w:r>
            <w:r w:rsidRPr="00F02696">
              <w:t xml:space="preserve"> </w:t>
            </w:r>
            <w:r w:rsidR="00713F20">
              <w:t xml:space="preserve">place </w:t>
            </w:r>
            <w:r w:rsidRPr="00F02696">
              <w:t>at a later date.</w:t>
            </w:r>
            <w:r w:rsidR="006520E0">
              <w:t xml:space="preserve"> </w:t>
            </w:r>
            <w:r w:rsidR="00D55A88">
              <w:t xml:space="preserve">NHS England </w:t>
            </w:r>
            <w:r w:rsidR="00713F20">
              <w:t>could continue</w:t>
            </w:r>
            <w:r w:rsidR="00D55A88">
              <w:t xml:space="preserve"> to deal with </w:t>
            </w:r>
            <w:r w:rsidR="00AE790B">
              <w:t>contract</w:t>
            </w:r>
            <w:r w:rsidR="00D55A88">
              <w:t xml:space="preserve"> management until the CCG have the capacity to take</w:t>
            </w:r>
            <w:r w:rsidR="00AE790B">
              <w:t xml:space="preserve"> that on as well as</w:t>
            </w:r>
            <w:r w:rsidR="00D55A88">
              <w:t xml:space="preserve"> </w:t>
            </w:r>
            <w:r w:rsidR="00AE790B">
              <w:t>the current responsibilities delegated within co-commissioning arrangements</w:t>
            </w:r>
            <w:r w:rsidR="00D55A88">
              <w:t xml:space="preserve">. </w:t>
            </w:r>
          </w:p>
          <w:p w:rsidR="006D62DC" w:rsidRPr="00F02696" w:rsidRDefault="006D62DC" w:rsidP="002111D6">
            <w:pPr>
              <w:pStyle w:val="ListParagraph"/>
              <w:ind w:left="0"/>
              <w:jc w:val="left"/>
              <w:rPr>
                <w:b/>
              </w:rPr>
            </w:pPr>
          </w:p>
          <w:p w:rsidR="00F02696" w:rsidRDefault="006D62DC" w:rsidP="002111D6">
            <w:pPr>
              <w:pStyle w:val="ListParagraph"/>
              <w:ind w:left="0"/>
              <w:jc w:val="left"/>
            </w:pPr>
            <w:r w:rsidRPr="00F02696">
              <w:t xml:space="preserve">The Chair thanked </w:t>
            </w:r>
            <w:r w:rsidR="00AE790B">
              <w:t xml:space="preserve">Julie </w:t>
            </w:r>
            <w:r w:rsidRPr="00F02696">
              <w:t xml:space="preserve">for a </w:t>
            </w:r>
            <w:r w:rsidR="006D20D1" w:rsidRPr="00F02696">
              <w:t>well-produced</w:t>
            </w:r>
            <w:r w:rsidRPr="00F02696">
              <w:t xml:space="preserve"> paper, which carefully presented the benefits and </w:t>
            </w:r>
            <w:r w:rsidR="00F02696" w:rsidRPr="00F02696">
              <w:t>risks</w:t>
            </w:r>
            <w:r w:rsidRPr="00F02696">
              <w:t xml:space="preserve">. </w:t>
            </w:r>
            <w:r w:rsidR="00F02696" w:rsidRPr="00F02696">
              <w:t>The Chair thanked the Committee for an informed discussion.</w:t>
            </w:r>
          </w:p>
          <w:p w:rsidR="00C21CD7" w:rsidRDefault="00C21CD7" w:rsidP="002111D6">
            <w:pPr>
              <w:pStyle w:val="ListParagraph"/>
              <w:ind w:left="0"/>
              <w:jc w:val="left"/>
            </w:pPr>
          </w:p>
          <w:p w:rsidR="00D55A88" w:rsidRDefault="00C21CD7" w:rsidP="002111D6">
            <w:pPr>
              <w:pStyle w:val="ListParagraph"/>
              <w:ind w:left="0"/>
              <w:jc w:val="left"/>
              <w:rPr>
                <w:b/>
              </w:rPr>
            </w:pPr>
            <w:r>
              <w:t xml:space="preserve">The Chair summarised the </w:t>
            </w:r>
            <w:r w:rsidR="006D20D1">
              <w:t>discussions</w:t>
            </w:r>
            <w:r>
              <w:t xml:space="preserve"> as </w:t>
            </w:r>
            <w:r w:rsidR="00D55A88">
              <w:t xml:space="preserve">noting that this </w:t>
            </w:r>
            <w:r w:rsidR="00713F20">
              <w:t xml:space="preserve">option </w:t>
            </w:r>
            <w:r w:rsidR="00D55A88">
              <w:t xml:space="preserve">gives the </w:t>
            </w:r>
            <w:r w:rsidR="006D20D1">
              <w:t>CCG a</w:t>
            </w:r>
            <w:r w:rsidR="00D55A88">
              <w:t xml:space="preserve"> real opportunity, but not our last opportunity. </w:t>
            </w:r>
            <w:r w:rsidR="00D55A88" w:rsidRPr="00713F20">
              <w:t xml:space="preserve">The Committee recognised </w:t>
            </w:r>
            <w:r w:rsidR="00713F20" w:rsidRPr="00713F20">
              <w:t xml:space="preserve">that </w:t>
            </w:r>
            <w:r w:rsidR="006D62DC" w:rsidRPr="00713F20">
              <w:t xml:space="preserve">the CCG </w:t>
            </w:r>
            <w:r w:rsidR="00D55A88" w:rsidRPr="00713F20">
              <w:t xml:space="preserve">will need undertake this </w:t>
            </w:r>
            <w:r w:rsidR="00713F20" w:rsidRPr="00713F20">
              <w:t xml:space="preserve">move </w:t>
            </w:r>
            <w:r w:rsidR="00D55A88" w:rsidRPr="00713F20">
              <w:t>in the future</w:t>
            </w:r>
            <w:r w:rsidR="006D62DC" w:rsidRPr="00713F20">
              <w:t>, but</w:t>
            </w:r>
            <w:r w:rsidR="00AE790B">
              <w:t xml:space="preserve"> as there wa</w:t>
            </w:r>
            <w:r w:rsidR="006D62DC" w:rsidRPr="00713F20">
              <w:t xml:space="preserve">s no </w:t>
            </w:r>
            <w:r w:rsidR="00AE790B">
              <w:t xml:space="preserve">significant </w:t>
            </w:r>
            <w:r w:rsidR="006D62DC" w:rsidRPr="00713F20">
              <w:t xml:space="preserve">advantage </w:t>
            </w:r>
            <w:r w:rsidR="00AE790B">
              <w:t>- and some significant risks - in taking full delegation at 1 April 2016</w:t>
            </w:r>
            <w:r w:rsidR="00713F20" w:rsidRPr="00713F20">
              <w:t xml:space="preserve">, then </w:t>
            </w:r>
            <w:r w:rsidR="006D62DC" w:rsidRPr="00713F20">
              <w:t>the</w:t>
            </w:r>
            <w:r w:rsidR="00AE790B">
              <w:t xml:space="preserve"> view was that the CCG should </w:t>
            </w:r>
            <w:r w:rsidR="00713F20" w:rsidRPr="00713F20">
              <w:t>move</w:t>
            </w:r>
            <w:r w:rsidR="00713F20">
              <w:t xml:space="preserve"> to ful</w:t>
            </w:r>
            <w:r w:rsidR="006D20D1">
              <w:t>l</w:t>
            </w:r>
            <w:r w:rsidR="00713F20">
              <w:t>y delegated</w:t>
            </w:r>
            <w:r w:rsidR="00AE790B">
              <w:t xml:space="preserve"> at 1 April 2017.</w:t>
            </w:r>
            <w:r w:rsidR="006D62DC" w:rsidRPr="00F02696">
              <w:rPr>
                <w:b/>
              </w:rPr>
              <w:t xml:space="preserve"> </w:t>
            </w:r>
          </w:p>
          <w:p w:rsidR="00D55A88" w:rsidRDefault="00D55A88" w:rsidP="002111D6">
            <w:pPr>
              <w:pStyle w:val="ListParagraph"/>
              <w:ind w:left="0"/>
              <w:jc w:val="left"/>
              <w:rPr>
                <w:b/>
              </w:rPr>
            </w:pPr>
          </w:p>
          <w:p w:rsidR="006D62DC" w:rsidRDefault="006D62DC" w:rsidP="002111D6">
            <w:pPr>
              <w:pStyle w:val="ListParagraph"/>
              <w:ind w:left="0"/>
              <w:jc w:val="left"/>
            </w:pPr>
            <w:r w:rsidRPr="006D20D1">
              <w:t xml:space="preserve">The Chair </w:t>
            </w:r>
            <w:r w:rsidR="006D20D1">
              <w:t>asked for a development of an action plan</w:t>
            </w:r>
            <w:r w:rsidRPr="006D20D1">
              <w:t xml:space="preserve"> to </w:t>
            </w:r>
            <w:r w:rsidR="006D20D1">
              <w:t xml:space="preserve">ensure the CCG have systems </w:t>
            </w:r>
            <w:r w:rsidR="00AE790B">
              <w:t xml:space="preserve">and capacity </w:t>
            </w:r>
            <w:r w:rsidR="006D20D1">
              <w:t>in place for a move to fully delegated</w:t>
            </w:r>
            <w:r w:rsidRPr="006D20D1">
              <w:t xml:space="preserve"> </w:t>
            </w:r>
            <w:r w:rsidR="00AE790B">
              <w:t>at 1 April 2017</w:t>
            </w:r>
            <w:r w:rsidR="006D20D1">
              <w:t xml:space="preserve">, along with considerations regarding </w:t>
            </w:r>
            <w:r w:rsidR="00AE790B">
              <w:t xml:space="preserve">management of </w:t>
            </w:r>
            <w:r w:rsidR="006D20D1">
              <w:t>Conflicts of Interests for Practices in th</w:t>
            </w:r>
            <w:r w:rsidR="00AE790B">
              <w:t>os</w:t>
            </w:r>
            <w:r w:rsidR="006D20D1">
              <w:t>e future</w:t>
            </w:r>
            <w:r w:rsidR="00AE790B">
              <w:t xml:space="preserve"> arrangements</w:t>
            </w:r>
            <w:r w:rsidRPr="006D20D1">
              <w:t xml:space="preserve">. </w:t>
            </w:r>
          </w:p>
          <w:p w:rsidR="006D20D1" w:rsidRDefault="006D20D1" w:rsidP="002111D6">
            <w:pPr>
              <w:pStyle w:val="ListParagraph"/>
              <w:ind w:left="0"/>
              <w:jc w:val="left"/>
            </w:pPr>
          </w:p>
          <w:p w:rsidR="006D62DC" w:rsidRPr="006D20D1" w:rsidRDefault="00AE790B" w:rsidP="002111D6">
            <w:pPr>
              <w:pStyle w:val="ListParagraph"/>
              <w:ind w:left="0"/>
              <w:jc w:val="left"/>
              <w:rPr>
                <w:b/>
              </w:rPr>
            </w:pPr>
            <w:r>
              <w:rPr>
                <w:b/>
              </w:rPr>
              <w:t xml:space="preserve">The Committee recommended </w:t>
            </w:r>
            <w:r w:rsidR="006D20D1" w:rsidRPr="006D20D1">
              <w:rPr>
                <w:b/>
              </w:rPr>
              <w:t xml:space="preserve">that NEL CCG </w:t>
            </w:r>
            <w:r w:rsidR="006D20D1">
              <w:rPr>
                <w:b/>
              </w:rPr>
              <w:t>remain</w:t>
            </w:r>
            <w:r w:rsidR="006D20D1" w:rsidRPr="006D20D1">
              <w:rPr>
                <w:b/>
              </w:rPr>
              <w:t xml:space="preserve"> at Level 2, but that work is undertaken for preparatio</w:t>
            </w:r>
            <w:r>
              <w:rPr>
                <w:b/>
              </w:rPr>
              <w:t>n to a move to Level 3 at 1 April 2017</w:t>
            </w:r>
            <w:r w:rsidR="006D20D1" w:rsidRPr="006D20D1">
              <w:rPr>
                <w:b/>
              </w:rPr>
              <w:t>.</w:t>
            </w:r>
          </w:p>
          <w:p w:rsidR="002111D6" w:rsidRPr="005C6E06" w:rsidRDefault="002111D6" w:rsidP="002111D6">
            <w:pPr>
              <w:jc w:val="left"/>
              <w:rPr>
                <w:rFonts w:cstheme="minorHAnsi"/>
              </w:rPr>
            </w:pPr>
          </w:p>
        </w:tc>
        <w:tc>
          <w:tcPr>
            <w:tcW w:w="1134" w:type="dxa"/>
          </w:tcPr>
          <w:p w:rsidR="001A0796" w:rsidRDefault="001A0796"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AE790B" w:rsidRDefault="00AE790B" w:rsidP="00052544">
            <w:pPr>
              <w:rPr>
                <w:rFonts w:cstheme="minorHAnsi"/>
                <w:szCs w:val="24"/>
              </w:rPr>
            </w:pPr>
          </w:p>
          <w:p w:rsidR="006D20D1" w:rsidRDefault="006D20D1" w:rsidP="00052544">
            <w:pPr>
              <w:rPr>
                <w:rFonts w:cstheme="minorHAnsi"/>
                <w:szCs w:val="24"/>
              </w:rPr>
            </w:pPr>
          </w:p>
          <w:p w:rsidR="006D20D1" w:rsidRDefault="006D20D1" w:rsidP="00052544">
            <w:pPr>
              <w:rPr>
                <w:rFonts w:cstheme="minorHAnsi"/>
                <w:szCs w:val="24"/>
              </w:rPr>
            </w:pPr>
          </w:p>
          <w:p w:rsidR="006D20D1" w:rsidRPr="00BF4207" w:rsidRDefault="006D20D1" w:rsidP="00052544">
            <w:pPr>
              <w:rPr>
                <w:rFonts w:cstheme="minorHAnsi"/>
                <w:szCs w:val="24"/>
              </w:rPr>
            </w:pPr>
            <w:r>
              <w:rPr>
                <w:rFonts w:cstheme="minorHAnsi"/>
                <w:szCs w:val="24"/>
              </w:rPr>
              <w:t>JH</w:t>
            </w:r>
          </w:p>
        </w:tc>
      </w:tr>
      <w:tr w:rsidR="001A0796" w:rsidRPr="00BF4207" w:rsidTr="00FA142C">
        <w:trPr>
          <w:trHeight w:val="620"/>
        </w:trPr>
        <w:tc>
          <w:tcPr>
            <w:tcW w:w="851" w:type="dxa"/>
          </w:tcPr>
          <w:p w:rsidR="001A0796" w:rsidRDefault="001A0796" w:rsidP="009F5B50">
            <w:pPr>
              <w:jc w:val="left"/>
              <w:rPr>
                <w:rFonts w:cstheme="minorHAnsi"/>
                <w:b/>
              </w:rPr>
            </w:pPr>
            <w:r>
              <w:rPr>
                <w:rFonts w:cstheme="minorHAnsi"/>
                <w:b/>
              </w:rPr>
              <w:t>5)</w:t>
            </w:r>
          </w:p>
        </w:tc>
        <w:tc>
          <w:tcPr>
            <w:tcW w:w="7938" w:type="dxa"/>
          </w:tcPr>
          <w:p w:rsidR="00EC4278" w:rsidRDefault="00EC4278" w:rsidP="00DD355C">
            <w:pPr>
              <w:jc w:val="left"/>
              <w:rPr>
                <w:rFonts w:cstheme="minorHAnsi"/>
                <w:b/>
              </w:rPr>
            </w:pPr>
            <w:r>
              <w:rPr>
                <w:rFonts w:cstheme="minorHAnsi"/>
                <w:b/>
              </w:rPr>
              <w:t xml:space="preserve">REVIEW OF CCG ENHANCED SERVICES </w:t>
            </w:r>
          </w:p>
          <w:p w:rsidR="00EC4278" w:rsidRDefault="00EC4278" w:rsidP="00DD355C">
            <w:pPr>
              <w:jc w:val="left"/>
              <w:rPr>
                <w:rFonts w:cstheme="minorHAnsi"/>
                <w:b/>
              </w:rPr>
            </w:pPr>
          </w:p>
          <w:p w:rsidR="001A0796" w:rsidRPr="00F71E9E" w:rsidRDefault="008E41F6" w:rsidP="00DD355C">
            <w:pPr>
              <w:jc w:val="left"/>
              <w:rPr>
                <w:rFonts w:cstheme="minorHAnsi"/>
                <w:b/>
              </w:rPr>
            </w:pPr>
            <w:r>
              <w:rPr>
                <w:rFonts w:cstheme="minorHAnsi"/>
                <w:b/>
              </w:rPr>
              <w:t>FUTURE COMMISSIONING OF SERVICES TO ENSURE TAILORED CARE FOR VULNERABLE AND OLDER PEOPLE (OVER 75’S)</w:t>
            </w:r>
          </w:p>
          <w:p w:rsidR="001A0796" w:rsidRDefault="001A0796" w:rsidP="00DD355C">
            <w:pPr>
              <w:jc w:val="left"/>
              <w:rPr>
                <w:rFonts w:cstheme="minorHAnsi"/>
              </w:rPr>
            </w:pPr>
          </w:p>
          <w:p w:rsidR="00A572CE" w:rsidRDefault="00524317" w:rsidP="00DD355C">
            <w:pPr>
              <w:jc w:val="left"/>
              <w:rPr>
                <w:rFonts w:cstheme="minorHAnsi"/>
              </w:rPr>
            </w:pPr>
            <w:r>
              <w:rPr>
                <w:rFonts w:cstheme="minorHAnsi"/>
              </w:rPr>
              <w:t xml:space="preserve">A paper was presented to the committee regarding strategy, implementation, delivery outcomes and proposal for future funding of the ensuring tailored care for vulnerable and older people (over 75’s) commissioned services within Primary Care. </w:t>
            </w:r>
          </w:p>
          <w:p w:rsidR="009A36BD" w:rsidRDefault="009A36BD" w:rsidP="00DD355C">
            <w:pPr>
              <w:jc w:val="left"/>
              <w:rPr>
                <w:rFonts w:cstheme="minorHAnsi"/>
              </w:rPr>
            </w:pPr>
          </w:p>
          <w:p w:rsidR="00524317" w:rsidRDefault="00524317" w:rsidP="00DD355C">
            <w:pPr>
              <w:jc w:val="left"/>
              <w:rPr>
                <w:rFonts w:cstheme="minorHAnsi"/>
              </w:rPr>
            </w:pPr>
            <w:r>
              <w:rPr>
                <w:rFonts w:cstheme="minorHAnsi"/>
              </w:rPr>
              <w:t xml:space="preserve">The CCG took the decision to invest funding in General </w:t>
            </w:r>
            <w:r w:rsidR="006D20D1">
              <w:rPr>
                <w:rFonts w:cstheme="minorHAnsi"/>
              </w:rPr>
              <w:t>practice</w:t>
            </w:r>
            <w:r>
              <w:rPr>
                <w:rFonts w:cstheme="minorHAnsi"/>
              </w:rPr>
              <w:t xml:space="preserve"> by offering £5 per head of practice population for a fixed period of 12 months. The aim of the service being to transform the care of </w:t>
            </w:r>
            <w:r w:rsidR="006D20D1">
              <w:rPr>
                <w:rFonts w:cstheme="minorHAnsi"/>
              </w:rPr>
              <w:t>patients</w:t>
            </w:r>
            <w:r>
              <w:rPr>
                <w:rFonts w:cstheme="minorHAnsi"/>
              </w:rPr>
              <w:t xml:space="preserve"> aged 75 or older, to aid in remaining </w:t>
            </w:r>
            <w:r>
              <w:rPr>
                <w:rFonts w:cstheme="minorHAnsi"/>
              </w:rPr>
              <w:lastRenderedPageBreak/>
              <w:t xml:space="preserve">independent, feel supported, reduce avoidable admissions and attendances at A&amp;E. </w:t>
            </w:r>
          </w:p>
          <w:p w:rsidR="00C171D2" w:rsidRDefault="00C171D2" w:rsidP="00C171D2">
            <w:pPr>
              <w:pStyle w:val="ListParagraph"/>
              <w:ind w:left="0"/>
              <w:jc w:val="left"/>
            </w:pPr>
          </w:p>
          <w:p w:rsidR="009A36BD" w:rsidRDefault="009A36BD" w:rsidP="00C171D2">
            <w:pPr>
              <w:pStyle w:val="ListParagraph"/>
              <w:ind w:left="0"/>
              <w:jc w:val="left"/>
            </w:pPr>
            <w:r>
              <w:t xml:space="preserve">An audit has taken place of the outcomes achieved by the schemes in line with quality </w:t>
            </w:r>
            <w:r w:rsidR="00AE790B">
              <w:t xml:space="preserve">and delivery </w:t>
            </w:r>
            <w:r>
              <w:t xml:space="preserve">measures </w:t>
            </w:r>
            <w:r w:rsidR="006D20D1">
              <w:t>determined</w:t>
            </w:r>
            <w:r>
              <w:t xml:space="preserve"> for the initiative. Based on those outcomes, the </w:t>
            </w:r>
            <w:proofErr w:type="gramStart"/>
            <w:r>
              <w:t>papers includes</w:t>
            </w:r>
            <w:proofErr w:type="gramEnd"/>
            <w:r>
              <w:t xml:space="preserve"> recommendations to </w:t>
            </w:r>
            <w:r w:rsidR="00977D96">
              <w:t>realign</w:t>
            </w:r>
            <w:r>
              <w:t xml:space="preserve"> funding to other services which are detailed within the paper. </w:t>
            </w:r>
          </w:p>
          <w:p w:rsidR="009A36BD" w:rsidRDefault="009A36BD" w:rsidP="00C171D2">
            <w:pPr>
              <w:pStyle w:val="ListParagraph"/>
              <w:ind w:left="0"/>
              <w:jc w:val="left"/>
            </w:pPr>
          </w:p>
          <w:p w:rsidR="009A36BD" w:rsidRDefault="00EC4278" w:rsidP="009A36BD">
            <w:pPr>
              <w:pStyle w:val="ListParagraph"/>
              <w:ind w:left="0"/>
              <w:jc w:val="left"/>
              <w:rPr>
                <w:rFonts w:cstheme="minorHAnsi"/>
              </w:rPr>
            </w:pPr>
            <w:r>
              <w:t>Discussion</w:t>
            </w:r>
            <w:r w:rsidR="00977D96">
              <w:t>s</w:t>
            </w:r>
            <w:r>
              <w:t xml:space="preserve"> took place </w:t>
            </w:r>
            <w:r w:rsidR="009A36BD">
              <w:t>querying</w:t>
            </w:r>
            <w:r>
              <w:t xml:space="preserve"> if the </w:t>
            </w:r>
            <w:r w:rsidR="00C171D2">
              <w:t>practices had been given sufficient time to</w:t>
            </w:r>
            <w:r w:rsidR="00AE790B">
              <w:t xml:space="preserve"> deliver and</w:t>
            </w:r>
            <w:r w:rsidR="00C171D2">
              <w:t xml:space="preserve"> evaluate</w:t>
            </w:r>
            <w:r w:rsidR="009A36BD">
              <w:t xml:space="preserve"> the schemes</w:t>
            </w:r>
            <w:r>
              <w:t xml:space="preserve">. It was </w:t>
            </w:r>
            <w:r w:rsidR="00C171D2">
              <w:t>important</w:t>
            </w:r>
            <w:r>
              <w:t xml:space="preserve"> to note</w:t>
            </w:r>
            <w:r w:rsidR="00C171D2">
              <w:t xml:space="preserve"> that the contracts were sent out at the </w:t>
            </w:r>
            <w:r w:rsidR="00AE790B">
              <w:t>end of</w:t>
            </w:r>
            <w:r w:rsidR="00C171D2">
              <w:t xml:space="preserve"> last year, </w:t>
            </w:r>
            <w:r w:rsidR="009A36BD">
              <w:t xml:space="preserve">with </w:t>
            </w:r>
            <w:r w:rsidR="00C171D2">
              <w:t xml:space="preserve">very clear guidance on what had to be returned, reporting </w:t>
            </w:r>
            <w:r w:rsidR="009A36BD">
              <w:t>on measures to validate the scheme. As many practices did not report data, t</w:t>
            </w:r>
            <w:r w:rsidR="009A36BD">
              <w:rPr>
                <w:rFonts w:cstheme="minorHAnsi"/>
              </w:rPr>
              <w:t xml:space="preserve">he scheme has not </w:t>
            </w:r>
            <w:r w:rsidR="00CE3F97">
              <w:rPr>
                <w:rFonts w:cstheme="minorHAnsi"/>
              </w:rPr>
              <w:t xml:space="preserve">been able to demonstrate </w:t>
            </w:r>
            <w:proofErr w:type="spellStart"/>
            <w:r w:rsidR="009A36BD">
              <w:rPr>
                <w:rFonts w:cstheme="minorHAnsi"/>
              </w:rPr>
              <w:t>deliver</w:t>
            </w:r>
            <w:r w:rsidR="00CE3F97">
              <w:rPr>
                <w:rFonts w:cstheme="minorHAnsi"/>
              </w:rPr>
              <w:t>y</w:t>
            </w:r>
            <w:proofErr w:type="spellEnd"/>
            <w:r w:rsidR="009A36BD">
              <w:rPr>
                <w:rFonts w:cstheme="minorHAnsi"/>
              </w:rPr>
              <w:t xml:space="preserve"> the benefits expected, and the CCG do</w:t>
            </w:r>
            <w:r w:rsidR="00CE3F97">
              <w:rPr>
                <w:rFonts w:cstheme="minorHAnsi"/>
              </w:rPr>
              <w:t>es</w:t>
            </w:r>
            <w:r w:rsidR="009A36BD">
              <w:rPr>
                <w:rFonts w:cstheme="minorHAnsi"/>
              </w:rPr>
              <w:t xml:space="preserve"> not have the funding to continue the schemes without </w:t>
            </w:r>
            <w:r w:rsidR="00977D96">
              <w:rPr>
                <w:rFonts w:cstheme="minorHAnsi"/>
              </w:rPr>
              <w:t>confidence</w:t>
            </w:r>
            <w:r w:rsidR="009A36BD">
              <w:rPr>
                <w:rFonts w:cstheme="minorHAnsi"/>
              </w:rPr>
              <w:t xml:space="preserve"> that the schemes are reaching </w:t>
            </w:r>
            <w:proofErr w:type="gramStart"/>
            <w:r w:rsidR="009A36BD">
              <w:rPr>
                <w:rFonts w:cstheme="minorHAnsi"/>
              </w:rPr>
              <w:t>out  to</w:t>
            </w:r>
            <w:proofErr w:type="gramEnd"/>
            <w:r w:rsidR="009A36BD">
              <w:rPr>
                <w:rFonts w:cstheme="minorHAnsi"/>
              </w:rPr>
              <w:t xml:space="preserve"> vulnerable patients.</w:t>
            </w:r>
            <w:r w:rsidR="00977D96">
              <w:rPr>
                <w:rFonts w:cstheme="minorHAnsi"/>
              </w:rPr>
              <w:t xml:space="preserve"> </w:t>
            </w:r>
          </w:p>
          <w:p w:rsidR="009A36BD" w:rsidRDefault="009A36BD" w:rsidP="00C171D2">
            <w:pPr>
              <w:pStyle w:val="ListParagraph"/>
              <w:ind w:left="0"/>
              <w:jc w:val="left"/>
            </w:pPr>
          </w:p>
          <w:p w:rsidR="00EC4278" w:rsidRDefault="009A36BD" w:rsidP="00C171D2">
            <w:pPr>
              <w:pStyle w:val="ListParagraph"/>
              <w:ind w:left="0"/>
              <w:jc w:val="left"/>
            </w:pPr>
            <w:r>
              <w:t>Concerns were expressed regarding</w:t>
            </w:r>
            <w:r w:rsidR="00EC4278">
              <w:t xml:space="preserve"> the duplicating of projects in place </w:t>
            </w:r>
            <w:r>
              <w:t xml:space="preserve">which </w:t>
            </w:r>
            <w:r w:rsidR="00CE3F97">
              <w:t>may have</w:t>
            </w:r>
            <w:r>
              <w:t xml:space="preserve"> created c</w:t>
            </w:r>
            <w:r w:rsidR="00EC4278">
              <w:t xml:space="preserve">onfusion in the practices, in getting the </w:t>
            </w:r>
            <w:r>
              <w:t>scheme</w:t>
            </w:r>
            <w:r w:rsidR="00EC4278">
              <w:t xml:space="preserve"> off the ground</w:t>
            </w:r>
            <w:r w:rsidR="00CE3F97">
              <w:t xml:space="preserve"> but it was noted that clear </w:t>
            </w:r>
            <w:proofErr w:type="spellStart"/>
            <w:r w:rsidR="00CE3F97">
              <w:t>cpontracts</w:t>
            </w:r>
            <w:proofErr w:type="spellEnd"/>
            <w:r w:rsidR="00CE3F97">
              <w:t xml:space="preserve"> and requirements had been issued at the point in time that the projects had been approved</w:t>
            </w:r>
            <w:r w:rsidR="00EC4278">
              <w:t xml:space="preserve">. </w:t>
            </w:r>
          </w:p>
          <w:p w:rsidR="00EC4278" w:rsidRDefault="00EC4278" w:rsidP="00C171D2">
            <w:pPr>
              <w:pStyle w:val="ListParagraph"/>
              <w:ind w:left="0"/>
              <w:jc w:val="left"/>
            </w:pPr>
          </w:p>
          <w:p w:rsidR="00524317" w:rsidRPr="00977D96" w:rsidRDefault="009A36BD" w:rsidP="00977D96">
            <w:pPr>
              <w:pStyle w:val="ListParagraph"/>
              <w:ind w:left="0"/>
              <w:jc w:val="left"/>
            </w:pPr>
            <w:r>
              <w:rPr>
                <w:rFonts w:cstheme="minorHAnsi"/>
              </w:rPr>
              <w:t xml:space="preserve">The paper asked that the Committee agree to re-align funding to an alternative scheme, which consolidates a number of schemes currently running, in order to provide a </w:t>
            </w:r>
            <w:r w:rsidR="00977D96">
              <w:rPr>
                <w:rFonts w:cstheme="minorHAnsi"/>
              </w:rPr>
              <w:t xml:space="preserve">strategic, </w:t>
            </w:r>
            <w:r>
              <w:rPr>
                <w:rFonts w:cstheme="minorHAnsi"/>
              </w:rPr>
              <w:t xml:space="preserve">coherent </w:t>
            </w:r>
            <w:r w:rsidR="00977D96">
              <w:rPr>
                <w:rFonts w:cstheme="minorHAnsi"/>
              </w:rPr>
              <w:t>service</w:t>
            </w:r>
            <w:r>
              <w:rPr>
                <w:rFonts w:cstheme="minorHAnsi"/>
              </w:rPr>
              <w:t xml:space="preserve">. Practices will be advised to continue, and will be given a </w:t>
            </w:r>
            <w:r w:rsidR="00977D96">
              <w:rPr>
                <w:rFonts w:cstheme="minorHAnsi"/>
              </w:rPr>
              <w:t>suitable</w:t>
            </w:r>
            <w:r>
              <w:rPr>
                <w:rFonts w:cstheme="minorHAnsi"/>
              </w:rPr>
              <w:t xml:space="preserve"> notice period to cease this service. </w:t>
            </w:r>
          </w:p>
          <w:p w:rsidR="00524317" w:rsidRDefault="00524317" w:rsidP="00DD355C">
            <w:pPr>
              <w:jc w:val="left"/>
              <w:rPr>
                <w:rFonts w:cstheme="minorHAnsi"/>
              </w:rPr>
            </w:pPr>
          </w:p>
          <w:p w:rsidR="00977D96" w:rsidRPr="00977D96" w:rsidRDefault="00977D96" w:rsidP="00DD355C">
            <w:pPr>
              <w:jc w:val="left"/>
              <w:rPr>
                <w:rFonts w:cstheme="minorHAnsi"/>
                <w:b/>
              </w:rPr>
            </w:pPr>
            <w:r w:rsidRPr="00977D96">
              <w:rPr>
                <w:rFonts w:cstheme="minorHAnsi"/>
                <w:b/>
              </w:rPr>
              <w:t>The Committee agree to cease the funding of the specific Practice level services, and agree in principle to re-align funding to support to care and nursing home services, the specification for which will be on the agenda for the October Joint Co-</w:t>
            </w:r>
            <w:proofErr w:type="spellStart"/>
            <w:r w:rsidRPr="00977D96">
              <w:rPr>
                <w:rFonts w:cstheme="minorHAnsi"/>
                <w:b/>
              </w:rPr>
              <w:t>Commissioing</w:t>
            </w:r>
            <w:proofErr w:type="spellEnd"/>
            <w:r w:rsidRPr="00977D96">
              <w:rPr>
                <w:rFonts w:cstheme="minorHAnsi"/>
                <w:b/>
              </w:rPr>
              <w:t xml:space="preserve"> Committee.</w:t>
            </w:r>
          </w:p>
          <w:p w:rsidR="00E405A6" w:rsidRPr="00B95D1E" w:rsidRDefault="00E405A6" w:rsidP="00524317">
            <w:pPr>
              <w:jc w:val="both"/>
              <w:rPr>
                <w:rFonts w:cstheme="minorHAnsi"/>
              </w:rPr>
            </w:pPr>
          </w:p>
        </w:tc>
        <w:tc>
          <w:tcPr>
            <w:tcW w:w="1134" w:type="dxa"/>
          </w:tcPr>
          <w:p w:rsidR="001A0796" w:rsidRPr="00BF4207" w:rsidRDefault="001A0796" w:rsidP="00DD355C">
            <w:pPr>
              <w:rPr>
                <w:rFonts w:cstheme="minorHAnsi"/>
                <w:szCs w:val="24"/>
              </w:rPr>
            </w:pPr>
          </w:p>
        </w:tc>
      </w:tr>
      <w:tr w:rsidR="001A0796" w:rsidRPr="00BF4207" w:rsidTr="00FA142C">
        <w:tc>
          <w:tcPr>
            <w:tcW w:w="851" w:type="dxa"/>
          </w:tcPr>
          <w:p w:rsidR="001A0796" w:rsidRDefault="001A0796" w:rsidP="009F5B50">
            <w:pPr>
              <w:jc w:val="left"/>
              <w:rPr>
                <w:rFonts w:cstheme="minorHAnsi"/>
                <w:b/>
              </w:rPr>
            </w:pPr>
            <w:r>
              <w:rPr>
                <w:rFonts w:cstheme="minorHAnsi"/>
                <w:b/>
              </w:rPr>
              <w:lastRenderedPageBreak/>
              <w:t>6)</w:t>
            </w:r>
          </w:p>
        </w:tc>
        <w:tc>
          <w:tcPr>
            <w:tcW w:w="7938" w:type="dxa"/>
          </w:tcPr>
          <w:p w:rsidR="001A0796" w:rsidRDefault="00EC4278" w:rsidP="005C6E06">
            <w:pPr>
              <w:jc w:val="left"/>
              <w:rPr>
                <w:rFonts w:cstheme="minorHAnsi"/>
                <w:b/>
              </w:rPr>
            </w:pPr>
            <w:r>
              <w:rPr>
                <w:rFonts w:cstheme="minorHAnsi"/>
                <w:b/>
              </w:rPr>
              <w:t>AMENDMENT TO WALK-IN SERVICES AT QUAYSIDE PRACTICE</w:t>
            </w:r>
          </w:p>
          <w:p w:rsidR="00EC4278" w:rsidRDefault="00EC4278" w:rsidP="005C6E06">
            <w:pPr>
              <w:jc w:val="left"/>
              <w:rPr>
                <w:rFonts w:cstheme="minorHAnsi"/>
                <w:b/>
              </w:rPr>
            </w:pPr>
          </w:p>
          <w:p w:rsidR="00EC4278" w:rsidRDefault="005706D0" w:rsidP="005C6E06">
            <w:pPr>
              <w:jc w:val="left"/>
              <w:rPr>
                <w:rFonts w:cstheme="minorHAnsi"/>
              </w:rPr>
            </w:pPr>
            <w:r>
              <w:rPr>
                <w:rFonts w:cstheme="minorHAnsi"/>
              </w:rPr>
              <w:t xml:space="preserve">A </w:t>
            </w:r>
            <w:r w:rsidR="00D86F8B">
              <w:rPr>
                <w:rFonts w:cstheme="minorHAnsi"/>
              </w:rPr>
              <w:t xml:space="preserve">paper was prepared </w:t>
            </w:r>
            <w:r w:rsidR="00B35FF3">
              <w:rPr>
                <w:rFonts w:cstheme="minorHAnsi"/>
              </w:rPr>
              <w:t xml:space="preserve">to provide </w:t>
            </w:r>
            <w:r w:rsidR="00D86F8B">
              <w:rPr>
                <w:rFonts w:cstheme="minorHAnsi"/>
              </w:rPr>
              <w:t>the C</w:t>
            </w:r>
            <w:r w:rsidR="00B35FF3">
              <w:rPr>
                <w:rFonts w:cstheme="minorHAnsi"/>
              </w:rPr>
              <w:t>ommittee with</w:t>
            </w:r>
            <w:r>
              <w:rPr>
                <w:rFonts w:cstheme="minorHAnsi"/>
              </w:rPr>
              <w:t xml:space="preserve"> an update regarding contractual change</w:t>
            </w:r>
            <w:r w:rsidR="00D86F8B">
              <w:rPr>
                <w:rFonts w:cstheme="minorHAnsi"/>
              </w:rPr>
              <w:t>s</w:t>
            </w:r>
            <w:r>
              <w:rPr>
                <w:rFonts w:cstheme="minorHAnsi"/>
              </w:rPr>
              <w:t xml:space="preserve"> to the Quayside walk in service. </w:t>
            </w:r>
          </w:p>
          <w:p w:rsidR="005706D0" w:rsidRPr="00EC4278" w:rsidRDefault="005706D0" w:rsidP="005C6E06">
            <w:pPr>
              <w:jc w:val="left"/>
              <w:rPr>
                <w:rFonts w:cstheme="minorHAnsi"/>
              </w:rPr>
            </w:pPr>
          </w:p>
          <w:p w:rsidR="001A0796" w:rsidRDefault="005706D0" w:rsidP="00A572CE">
            <w:pPr>
              <w:jc w:val="left"/>
              <w:rPr>
                <w:rFonts w:cstheme="minorHAnsi"/>
              </w:rPr>
            </w:pPr>
            <w:r w:rsidRPr="005706D0">
              <w:rPr>
                <w:rFonts w:cstheme="minorHAnsi"/>
              </w:rPr>
              <w:t xml:space="preserve">The CCG are </w:t>
            </w:r>
            <w:r>
              <w:rPr>
                <w:rFonts w:cstheme="minorHAnsi"/>
              </w:rPr>
              <w:t xml:space="preserve">seeking to extend the current contractual </w:t>
            </w:r>
            <w:r w:rsidR="006D20D1">
              <w:rPr>
                <w:rFonts w:cstheme="minorHAnsi"/>
              </w:rPr>
              <w:t>arrangements</w:t>
            </w:r>
            <w:r>
              <w:rPr>
                <w:rFonts w:cstheme="minorHAnsi"/>
              </w:rPr>
              <w:t xml:space="preserve"> to 31</w:t>
            </w:r>
            <w:r w:rsidRPr="005706D0">
              <w:rPr>
                <w:rFonts w:cstheme="minorHAnsi"/>
                <w:vertAlign w:val="superscript"/>
              </w:rPr>
              <w:t>st</w:t>
            </w:r>
            <w:r>
              <w:rPr>
                <w:rFonts w:cstheme="minorHAnsi"/>
              </w:rPr>
              <w:t xml:space="preserve"> March 2016, subject to the provider being able to propose suitable amendments to the services and costs for that period. </w:t>
            </w:r>
          </w:p>
          <w:p w:rsidR="005706D0" w:rsidRDefault="005706D0" w:rsidP="00A572CE">
            <w:pPr>
              <w:jc w:val="left"/>
              <w:rPr>
                <w:rFonts w:cstheme="minorHAnsi"/>
              </w:rPr>
            </w:pPr>
          </w:p>
          <w:p w:rsidR="008557C0" w:rsidRDefault="0058597B" w:rsidP="00A572CE">
            <w:pPr>
              <w:jc w:val="left"/>
              <w:rPr>
                <w:rFonts w:cstheme="minorHAnsi"/>
              </w:rPr>
            </w:pPr>
            <w:r>
              <w:rPr>
                <w:rFonts w:cstheme="minorHAnsi"/>
              </w:rPr>
              <w:t xml:space="preserve">The </w:t>
            </w:r>
            <w:r w:rsidR="00D86F8B">
              <w:rPr>
                <w:rFonts w:cstheme="minorHAnsi"/>
              </w:rPr>
              <w:t xml:space="preserve">Committee </w:t>
            </w:r>
            <w:r w:rsidR="008557C0">
              <w:rPr>
                <w:rFonts w:cstheme="minorHAnsi"/>
              </w:rPr>
              <w:t>w</w:t>
            </w:r>
            <w:r w:rsidR="00D86F8B">
              <w:rPr>
                <w:rFonts w:cstheme="minorHAnsi"/>
              </w:rPr>
              <w:t xml:space="preserve">ere </w:t>
            </w:r>
            <w:r w:rsidR="00B35FF3">
              <w:rPr>
                <w:rFonts w:cstheme="minorHAnsi"/>
              </w:rPr>
              <w:t xml:space="preserve">updated </w:t>
            </w:r>
            <w:r w:rsidR="008557C0">
              <w:rPr>
                <w:rFonts w:cstheme="minorHAnsi"/>
              </w:rPr>
              <w:t xml:space="preserve">on discussions about NEL Docks </w:t>
            </w:r>
            <w:r w:rsidR="006D20D1">
              <w:rPr>
                <w:rFonts w:cstheme="minorHAnsi"/>
              </w:rPr>
              <w:t>Collaborative</w:t>
            </w:r>
            <w:r w:rsidR="00B35FF3">
              <w:rPr>
                <w:rFonts w:cstheme="minorHAnsi"/>
              </w:rPr>
              <w:t xml:space="preserve">; </w:t>
            </w:r>
            <w:r w:rsidR="008557C0">
              <w:rPr>
                <w:rFonts w:cstheme="minorHAnsi"/>
              </w:rPr>
              <w:t>othe</w:t>
            </w:r>
            <w:r w:rsidR="00B35FF3">
              <w:rPr>
                <w:rFonts w:cstheme="minorHAnsi"/>
              </w:rPr>
              <w:t>r 7 day pilots;</w:t>
            </w:r>
            <w:r w:rsidR="008557C0">
              <w:rPr>
                <w:rFonts w:cstheme="minorHAnsi"/>
              </w:rPr>
              <w:t xml:space="preserve"> the SPA</w:t>
            </w:r>
            <w:r w:rsidR="00B35FF3">
              <w:rPr>
                <w:rFonts w:cstheme="minorHAnsi"/>
              </w:rPr>
              <w:t>;</w:t>
            </w:r>
            <w:r w:rsidR="008557C0">
              <w:rPr>
                <w:rFonts w:cstheme="minorHAnsi"/>
              </w:rPr>
              <w:t xml:space="preserve"> and the on-going arrangements for urgent care to be agreed. As the current GP Out of Hours service is due to end 31</w:t>
            </w:r>
            <w:r w:rsidR="008557C0" w:rsidRPr="008557C0">
              <w:rPr>
                <w:rFonts w:cstheme="minorHAnsi"/>
                <w:vertAlign w:val="superscript"/>
              </w:rPr>
              <w:t>st</w:t>
            </w:r>
            <w:r w:rsidR="008557C0">
              <w:rPr>
                <w:rFonts w:cstheme="minorHAnsi"/>
              </w:rPr>
              <w:t xml:space="preserve"> March 2016, all of these elements of service need to be </w:t>
            </w:r>
            <w:r w:rsidR="006D20D1">
              <w:rPr>
                <w:rFonts w:cstheme="minorHAnsi"/>
              </w:rPr>
              <w:t>considered</w:t>
            </w:r>
            <w:r w:rsidR="008557C0">
              <w:rPr>
                <w:rFonts w:cstheme="minorHAnsi"/>
              </w:rPr>
              <w:t xml:space="preserve"> and reviewed at the same time. </w:t>
            </w:r>
          </w:p>
          <w:p w:rsidR="008557C0" w:rsidRDefault="008557C0" w:rsidP="00A572CE">
            <w:pPr>
              <w:jc w:val="left"/>
              <w:rPr>
                <w:rFonts w:cstheme="minorHAnsi"/>
              </w:rPr>
            </w:pPr>
          </w:p>
          <w:p w:rsidR="008557C0" w:rsidRDefault="002111D6" w:rsidP="00A572CE">
            <w:pPr>
              <w:jc w:val="left"/>
              <w:rPr>
                <w:rFonts w:cstheme="minorHAnsi"/>
              </w:rPr>
            </w:pPr>
            <w:r>
              <w:rPr>
                <w:rFonts w:cstheme="minorHAnsi"/>
              </w:rPr>
              <w:t xml:space="preserve">If it is not possible to agree suitable alternative </w:t>
            </w:r>
            <w:r w:rsidR="006D20D1">
              <w:rPr>
                <w:rFonts w:cstheme="minorHAnsi"/>
              </w:rPr>
              <w:t>arrangements</w:t>
            </w:r>
            <w:r>
              <w:rPr>
                <w:rFonts w:cstheme="minorHAnsi"/>
              </w:rPr>
              <w:t xml:space="preserve"> until March,</w:t>
            </w:r>
            <w:r w:rsidR="0058597B">
              <w:rPr>
                <w:rFonts w:cstheme="minorHAnsi"/>
              </w:rPr>
              <w:t xml:space="preserve"> the comm</w:t>
            </w:r>
            <w:r w:rsidR="005706D0">
              <w:rPr>
                <w:rFonts w:cstheme="minorHAnsi"/>
              </w:rPr>
              <w:t xml:space="preserve">ittee discussed </w:t>
            </w:r>
            <w:r w:rsidR="0058597B">
              <w:rPr>
                <w:rFonts w:cstheme="minorHAnsi"/>
              </w:rPr>
              <w:t xml:space="preserve">the </w:t>
            </w:r>
            <w:r w:rsidR="00B35FF3">
              <w:rPr>
                <w:rFonts w:cstheme="minorHAnsi"/>
              </w:rPr>
              <w:t xml:space="preserve">potential </w:t>
            </w:r>
            <w:r w:rsidR="0058597B">
              <w:rPr>
                <w:rFonts w:cstheme="minorHAnsi"/>
              </w:rPr>
              <w:t>risk</w:t>
            </w:r>
            <w:r w:rsidR="00B35FF3">
              <w:rPr>
                <w:rFonts w:cstheme="minorHAnsi"/>
              </w:rPr>
              <w:t>s</w:t>
            </w:r>
            <w:r w:rsidR="0058597B">
              <w:rPr>
                <w:rFonts w:cstheme="minorHAnsi"/>
              </w:rPr>
              <w:t xml:space="preserve"> to patients if these services were no longer available</w:t>
            </w:r>
            <w:r>
              <w:rPr>
                <w:rFonts w:cstheme="minorHAnsi"/>
              </w:rPr>
              <w:t>, and the potential knock on effect</w:t>
            </w:r>
            <w:r w:rsidR="008557C0">
              <w:rPr>
                <w:rFonts w:cstheme="minorHAnsi"/>
              </w:rPr>
              <w:t xml:space="preserve"> into </w:t>
            </w:r>
            <w:r w:rsidR="00B35FF3">
              <w:rPr>
                <w:rFonts w:cstheme="minorHAnsi"/>
              </w:rPr>
              <w:t>core</w:t>
            </w:r>
            <w:r w:rsidR="008557C0">
              <w:rPr>
                <w:rFonts w:cstheme="minorHAnsi"/>
              </w:rPr>
              <w:t xml:space="preserve"> hours practice delivery</w:t>
            </w:r>
            <w:r w:rsidR="0058597B">
              <w:rPr>
                <w:rFonts w:cstheme="minorHAnsi"/>
              </w:rPr>
              <w:t xml:space="preserve">. </w:t>
            </w:r>
          </w:p>
          <w:p w:rsidR="008557C0" w:rsidRDefault="008557C0" w:rsidP="00A572CE">
            <w:pPr>
              <w:jc w:val="left"/>
              <w:rPr>
                <w:rFonts w:cstheme="minorHAnsi"/>
              </w:rPr>
            </w:pPr>
          </w:p>
          <w:p w:rsidR="005706D0" w:rsidRDefault="0058597B" w:rsidP="00A572CE">
            <w:pPr>
              <w:jc w:val="left"/>
              <w:rPr>
                <w:rFonts w:cstheme="minorHAnsi"/>
              </w:rPr>
            </w:pPr>
            <w:r>
              <w:rPr>
                <w:rFonts w:cstheme="minorHAnsi"/>
              </w:rPr>
              <w:t xml:space="preserve">The Committee discussed that the practice had not developed </w:t>
            </w:r>
            <w:r w:rsidR="00CE3F97">
              <w:rPr>
                <w:rFonts w:cstheme="minorHAnsi"/>
              </w:rPr>
              <w:t xml:space="preserve">its patient list </w:t>
            </w:r>
            <w:r>
              <w:rPr>
                <w:rFonts w:cstheme="minorHAnsi"/>
              </w:rPr>
              <w:t>in the way it was encouraged to, although the Committee were reassured that there is no issue with the quality of the walk in service.</w:t>
            </w:r>
          </w:p>
          <w:p w:rsidR="0058597B" w:rsidRDefault="0058597B" w:rsidP="00A572CE">
            <w:pPr>
              <w:jc w:val="left"/>
              <w:rPr>
                <w:rFonts w:cstheme="minorHAnsi"/>
              </w:rPr>
            </w:pPr>
          </w:p>
          <w:p w:rsidR="005706D0" w:rsidRPr="00B35FF3" w:rsidRDefault="005706D0" w:rsidP="00A572CE">
            <w:pPr>
              <w:jc w:val="left"/>
              <w:rPr>
                <w:rFonts w:cstheme="minorHAnsi"/>
                <w:b/>
              </w:rPr>
            </w:pPr>
            <w:r w:rsidRPr="00B35FF3">
              <w:rPr>
                <w:rFonts w:cstheme="minorHAnsi"/>
                <w:b/>
              </w:rPr>
              <w:t xml:space="preserve">The Committee agreed to extend the contractual arrangements </w:t>
            </w:r>
            <w:r w:rsidR="00CE3F97">
              <w:rPr>
                <w:rFonts w:cstheme="minorHAnsi"/>
                <w:b/>
              </w:rPr>
              <w:t xml:space="preserve">subject to the required amendments to service and cost, </w:t>
            </w:r>
            <w:r w:rsidRPr="00B35FF3">
              <w:rPr>
                <w:rFonts w:cstheme="minorHAnsi"/>
                <w:b/>
              </w:rPr>
              <w:t xml:space="preserve">and </w:t>
            </w:r>
            <w:r w:rsidR="00CE3F97">
              <w:rPr>
                <w:rFonts w:cstheme="minorHAnsi"/>
                <w:b/>
              </w:rPr>
              <w:t>delegated authority to the CCG Chief Financial Officer to take</w:t>
            </w:r>
            <w:r w:rsidRPr="00B35FF3">
              <w:rPr>
                <w:rFonts w:cstheme="minorHAnsi"/>
                <w:b/>
              </w:rPr>
              <w:t xml:space="preserve"> the decision reg</w:t>
            </w:r>
            <w:r w:rsidR="00CE3F97">
              <w:rPr>
                <w:rFonts w:cstheme="minorHAnsi"/>
                <w:b/>
              </w:rPr>
              <w:t>arding the acceptability of th</w:t>
            </w:r>
            <w:r w:rsidRPr="00B35FF3">
              <w:rPr>
                <w:rFonts w:cstheme="minorHAnsi"/>
                <w:b/>
              </w:rPr>
              <w:t xml:space="preserve">e proposed amendments. </w:t>
            </w:r>
          </w:p>
          <w:p w:rsidR="00A75617" w:rsidRPr="00A75617" w:rsidRDefault="00A75617" w:rsidP="00EC4278">
            <w:pPr>
              <w:pStyle w:val="ListParagraph"/>
              <w:ind w:left="0"/>
              <w:jc w:val="left"/>
              <w:rPr>
                <w:rFonts w:cstheme="minorHAnsi"/>
                <w:b/>
              </w:rPr>
            </w:pPr>
          </w:p>
        </w:tc>
        <w:tc>
          <w:tcPr>
            <w:tcW w:w="1134" w:type="dxa"/>
          </w:tcPr>
          <w:p w:rsidR="001A0796" w:rsidRDefault="001A0796"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Pr="00FA142C" w:rsidRDefault="00FA142C" w:rsidP="0058597B">
            <w:pPr>
              <w:jc w:val="both"/>
              <w:rPr>
                <w:rFonts w:cstheme="minorHAnsi"/>
                <w:b/>
                <w:szCs w:val="24"/>
              </w:rPr>
            </w:pPr>
          </w:p>
        </w:tc>
      </w:tr>
      <w:tr w:rsidR="001A0796" w:rsidRPr="00BF4207" w:rsidTr="00FA142C">
        <w:tc>
          <w:tcPr>
            <w:tcW w:w="851" w:type="dxa"/>
          </w:tcPr>
          <w:p w:rsidR="001A0796" w:rsidRDefault="001A0796" w:rsidP="009F5B50">
            <w:pPr>
              <w:jc w:val="left"/>
              <w:rPr>
                <w:rFonts w:cstheme="minorHAnsi"/>
                <w:b/>
              </w:rPr>
            </w:pPr>
            <w:r>
              <w:rPr>
                <w:rFonts w:cstheme="minorHAnsi"/>
                <w:b/>
              </w:rPr>
              <w:lastRenderedPageBreak/>
              <w:t>7)</w:t>
            </w:r>
          </w:p>
        </w:tc>
        <w:tc>
          <w:tcPr>
            <w:tcW w:w="7938" w:type="dxa"/>
          </w:tcPr>
          <w:p w:rsidR="001A0796" w:rsidRDefault="00D86F8B" w:rsidP="00DD355C">
            <w:pPr>
              <w:jc w:val="left"/>
              <w:rPr>
                <w:rFonts w:cstheme="minorHAnsi"/>
                <w:b/>
              </w:rPr>
            </w:pPr>
            <w:r>
              <w:rPr>
                <w:rFonts w:cstheme="minorHAnsi"/>
                <w:b/>
              </w:rPr>
              <w:t xml:space="preserve">SUPPORTING SUSTAINABILITY OF GENERAL PRACTICE </w:t>
            </w:r>
          </w:p>
          <w:p w:rsidR="008E7DB9" w:rsidRDefault="008E7DB9" w:rsidP="0058597B">
            <w:pPr>
              <w:jc w:val="both"/>
              <w:rPr>
                <w:rFonts w:cstheme="minorHAnsi"/>
                <w:b/>
              </w:rPr>
            </w:pPr>
          </w:p>
          <w:p w:rsidR="00D86F8B" w:rsidRPr="00D86F8B" w:rsidRDefault="00D86F8B" w:rsidP="0058597B">
            <w:pPr>
              <w:jc w:val="both"/>
              <w:rPr>
                <w:rFonts w:cstheme="minorHAnsi"/>
              </w:rPr>
            </w:pPr>
            <w:r>
              <w:rPr>
                <w:rFonts w:cstheme="minorHAnsi"/>
              </w:rPr>
              <w:t xml:space="preserve">A DRAFT paper was presented to the Board. The Committee are asked to comment prior to a final version being agreed. </w:t>
            </w:r>
          </w:p>
        </w:tc>
        <w:tc>
          <w:tcPr>
            <w:tcW w:w="1134" w:type="dxa"/>
          </w:tcPr>
          <w:p w:rsidR="001A0796" w:rsidRDefault="001A0796" w:rsidP="00DD355C">
            <w:pPr>
              <w:rPr>
                <w:rFonts w:cstheme="minorHAnsi"/>
                <w:szCs w:val="24"/>
              </w:rPr>
            </w:pPr>
          </w:p>
          <w:p w:rsidR="00FA142C" w:rsidRDefault="00FA142C" w:rsidP="00D86F8B">
            <w:pPr>
              <w:jc w:val="both"/>
              <w:rPr>
                <w:rFonts w:cstheme="minorHAnsi"/>
                <w:szCs w:val="24"/>
              </w:rPr>
            </w:pPr>
          </w:p>
          <w:p w:rsidR="00FA142C" w:rsidRDefault="00FA142C" w:rsidP="00FA142C">
            <w:pPr>
              <w:jc w:val="both"/>
              <w:rPr>
                <w:rFonts w:cstheme="minorHAnsi"/>
                <w:szCs w:val="24"/>
              </w:rPr>
            </w:pPr>
          </w:p>
          <w:p w:rsidR="00FA142C" w:rsidRPr="00D86F8B" w:rsidRDefault="00D86F8B" w:rsidP="00FA142C">
            <w:pPr>
              <w:jc w:val="both"/>
              <w:rPr>
                <w:rFonts w:cstheme="minorHAnsi"/>
                <w:b/>
                <w:szCs w:val="24"/>
              </w:rPr>
            </w:pPr>
            <w:r w:rsidRPr="00D86F8B">
              <w:rPr>
                <w:rFonts w:cstheme="minorHAnsi"/>
                <w:b/>
                <w:szCs w:val="24"/>
              </w:rPr>
              <w:t>ALL</w:t>
            </w:r>
          </w:p>
          <w:p w:rsidR="00FA142C" w:rsidRDefault="00FA142C" w:rsidP="00FA142C">
            <w:pPr>
              <w:jc w:val="both"/>
              <w:rPr>
                <w:rFonts w:cstheme="minorHAnsi"/>
                <w:szCs w:val="24"/>
              </w:rPr>
            </w:pPr>
          </w:p>
        </w:tc>
      </w:tr>
      <w:tr w:rsidR="00E922C3" w:rsidRPr="00BF4207" w:rsidTr="00FA142C">
        <w:tc>
          <w:tcPr>
            <w:tcW w:w="851" w:type="dxa"/>
          </w:tcPr>
          <w:p w:rsidR="00E922C3" w:rsidRDefault="00CB1F86" w:rsidP="009F5B50">
            <w:pPr>
              <w:jc w:val="left"/>
              <w:rPr>
                <w:rFonts w:cstheme="minorHAnsi"/>
                <w:b/>
                <w:szCs w:val="24"/>
              </w:rPr>
            </w:pPr>
            <w:r>
              <w:rPr>
                <w:rFonts w:cstheme="minorHAnsi"/>
                <w:b/>
                <w:szCs w:val="24"/>
              </w:rPr>
              <w:t>8</w:t>
            </w:r>
            <w:r w:rsidR="00E922C3">
              <w:rPr>
                <w:rFonts w:cstheme="minorHAnsi"/>
                <w:b/>
                <w:szCs w:val="24"/>
              </w:rPr>
              <w:t>)</w:t>
            </w:r>
          </w:p>
        </w:tc>
        <w:tc>
          <w:tcPr>
            <w:tcW w:w="7938" w:type="dxa"/>
          </w:tcPr>
          <w:p w:rsidR="00E922C3" w:rsidRDefault="00E922C3" w:rsidP="001861EE">
            <w:pPr>
              <w:jc w:val="left"/>
              <w:rPr>
                <w:rFonts w:cstheme="minorHAnsi"/>
                <w:b/>
              </w:rPr>
            </w:pPr>
            <w:r>
              <w:rPr>
                <w:rFonts w:cstheme="minorHAnsi"/>
                <w:b/>
              </w:rPr>
              <w:t>Date &amp; Time of next meeting</w:t>
            </w:r>
          </w:p>
          <w:p w:rsidR="00E922C3" w:rsidRDefault="00E922C3" w:rsidP="001861EE">
            <w:pPr>
              <w:jc w:val="left"/>
              <w:rPr>
                <w:rFonts w:cstheme="minorHAnsi"/>
                <w:b/>
              </w:rPr>
            </w:pPr>
          </w:p>
          <w:p w:rsidR="00E922C3" w:rsidRDefault="00D86F8B" w:rsidP="001861EE">
            <w:pPr>
              <w:jc w:val="left"/>
              <w:rPr>
                <w:rFonts w:cstheme="minorHAnsi"/>
                <w:b/>
              </w:rPr>
            </w:pPr>
            <w:r>
              <w:rPr>
                <w:rFonts w:cstheme="minorHAnsi"/>
                <w:b/>
              </w:rPr>
              <w:t>29</w:t>
            </w:r>
            <w:r w:rsidRPr="00D86F8B">
              <w:rPr>
                <w:rFonts w:cstheme="minorHAnsi"/>
                <w:b/>
                <w:vertAlign w:val="superscript"/>
              </w:rPr>
              <w:t>th</w:t>
            </w:r>
            <w:r>
              <w:rPr>
                <w:rFonts w:cstheme="minorHAnsi"/>
                <w:b/>
              </w:rPr>
              <w:t xml:space="preserve"> October 2015 14.00 – 16.00, Training Room 1 Centre 4</w:t>
            </w:r>
          </w:p>
          <w:p w:rsidR="00D86F8B" w:rsidRDefault="00D86F8B" w:rsidP="001861EE">
            <w:pPr>
              <w:jc w:val="left"/>
              <w:rPr>
                <w:rFonts w:cstheme="minorHAnsi"/>
                <w:b/>
              </w:rPr>
            </w:pPr>
          </w:p>
          <w:p w:rsidR="00D86F8B" w:rsidRDefault="00D86F8B" w:rsidP="001861EE">
            <w:pPr>
              <w:jc w:val="left"/>
              <w:rPr>
                <w:rFonts w:cstheme="minorHAnsi"/>
                <w:b/>
              </w:rPr>
            </w:pPr>
            <w:r>
              <w:rPr>
                <w:rFonts w:cstheme="minorHAnsi"/>
                <w:b/>
              </w:rPr>
              <w:t>28</w:t>
            </w:r>
            <w:r w:rsidRPr="00D86F8B">
              <w:rPr>
                <w:rFonts w:cstheme="minorHAnsi"/>
                <w:b/>
                <w:vertAlign w:val="superscript"/>
              </w:rPr>
              <w:t>th</w:t>
            </w:r>
            <w:r>
              <w:rPr>
                <w:rFonts w:cstheme="minorHAnsi"/>
                <w:b/>
              </w:rPr>
              <w:t xml:space="preserve"> January 2016 14.00 – 16.00, Training Room 1 Centre 4</w:t>
            </w:r>
          </w:p>
        </w:tc>
        <w:tc>
          <w:tcPr>
            <w:tcW w:w="1134" w:type="dxa"/>
          </w:tcPr>
          <w:p w:rsidR="00E922C3" w:rsidRDefault="00E922C3" w:rsidP="001861EE">
            <w:pPr>
              <w:rPr>
                <w:rFonts w:cstheme="minorHAnsi"/>
                <w:szCs w:val="24"/>
              </w:rPr>
            </w:pPr>
          </w:p>
        </w:tc>
      </w:tr>
    </w:tbl>
    <w:p w:rsidR="00B114D7" w:rsidRDefault="00B114D7" w:rsidP="0009506B">
      <w:pPr>
        <w:jc w:val="both"/>
      </w:pPr>
    </w:p>
    <w:sectPr w:rsidR="00B114D7" w:rsidSect="003F5321">
      <w:footerReference w:type="default" r:id="rId10"/>
      <w:pgSz w:w="11906" w:h="16838"/>
      <w:pgMar w:top="567" w:right="1841" w:bottom="284" w:left="1440"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62" w:rsidRDefault="00333562" w:rsidP="0009506B">
      <w:r>
        <w:separator/>
      </w:r>
    </w:p>
  </w:endnote>
  <w:endnote w:type="continuationSeparator" w:id="0">
    <w:p w:rsidR="00333562" w:rsidRDefault="00333562" w:rsidP="0009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931160"/>
      <w:docPartObj>
        <w:docPartGallery w:val="Page Numbers (Bottom of Page)"/>
        <w:docPartUnique/>
      </w:docPartObj>
    </w:sdtPr>
    <w:sdtEndPr>
      <w:rPr>
        <w:noProof/>
      </w:rPr>
    </w:sdtEndPr>
    <w:sdtContent>
      <w:p w:rsidR="00CD069A" w:rsidRDefault="00CD069A">
        <w:pPr>
          <w:pStyle w:val="Footer"/>
        </w:pPr>
        <w:r>
          <w:fldChar w:fldCharType="begin"/>
        </w:r>
        <w:r>
          <w:instrText xml:space="preserve"> PAGE   \* MERGEFORMAT </w:instrText>
        </w:r>
        <w:r>
          <w:fldChar w:fldCharType="separate"/>
        </w:r>
        <w:r w:rsidR="00732334">
          <w:rPr>
            <w:noProof/>
          </w:rPr>
          <w:t>1</w:t>
        </w:r>
        <w:r>
          <w:rPr>
            <w:noProof/>
          </w:rPr>
          <w:fldChar w:fldCharType="end"/>
        </w:r>
      </w:p>
    </w:sdtContent>
  </w:sdt>
  <w:p w:rsidR="00CD069A" w:rsidRDefault="00CD0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62" w:rsidRDefault="00333562" w:rsidP="0009506B">
      <w:r>
        <w:separator/>
      </w:r>
    </w:p>
  </w:footnote>
  <w:footnote w:type="continuationSeparator" w:id="0">
    <w:p w:rsidR="00333562" w:rsidRDefault="00333562" w:rsidP="0009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860"/>
    <w:multiLevelType w:val="hybridMultilevel"/>
    <w:tmpl w:val="866C5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85E1F"/>
    <w:multiLevelType w:val="hybridMultilevel"/>
    <w:tmpl w:val="1F508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956F7"/>
    <w:multiLevelType w:val="hybridMultilevel"/>
    <w:tmpl w:val="D452F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DFF298A"/>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053F02"/>
    <w:multiLevelType w:val="hybridMultilevel"/>
    <w:tmpl w:val="F0CC6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5162EF"/>
    <w:multiLevelType w:val="hybridMultilevel"/>
    <w:tmpl w:val="879E3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0AE58C1"/>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9369A"/>
    <w:multiLevelType w:val="hybridMultilevel"/>
    <w:tmpl w:val="B5B8C86E"/>
    <w:lvl w:ilvl="0" w:tplc="80220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562BA3"/>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6A2CC6"/>
    <w:multiLevelType w:val="hybridMultilevel"/>
    <w:tmpl w:val="B914CB6A"/>
    <w:lvl w:ilvl="0" w:tplc="E1D0A65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020B69"/>
    <w:multiLevelType w:val="hybridMultilevel"/>
    <w:tmpl w:val="62CC9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046201"/>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8B5C0B"/>
    <w:multiLevelType w:val="hybridMultilevel"/>
    <w:tmpl w:val="D2685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11403B"/>
    <w:multiLevelType w:val="hybridMultilevel"/>
    <w:tmpl w:val="D2CE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224EF4"/>
    <w:multiLevelType w:val="hybridMultilevel"/>
    <w:tmpl w:val="28CCA388"/>
    <w:lvl w:ilvl="0" w:tplc="DB0E4D12">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nsid w:val="3773668E"/>
    <w:multiLevelType w:val="hybridMultilevel"/>
    <w:tmpl w:val="262CE284"/>
    <w:lvl w:ilvl="0" w:tplc="EE2A4A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BD6864"/>
    <w:multiLevelType w:val="hybridMultilevel"/>
    <w:tmpl w:val="233E7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94D0B6D"/>
    <w:multiLevelType w:val="hybridMultilevel"/>
    <w:tmpl w:val="155E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45574F"/>
    <w:multiLevelType w:val="hybridMultilevel"/>
    <w:tmpl w:val="87F65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175D44"/>
    <w:multiLevelType w:val="hybridMultilevel"/>
    <w:tmpl w:val="9C2C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F273BE"/>
    <w:multiLevelType w:val="hybridMultilevel"/>
    <w:tmpl w:val="6CCA0810"/>
    <w:lvl w:ilvl="0" w:tplc="7584D71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nsid w:val="49DD671F"/>
    <w:multiLevelType w:val="hybridMultilevel"/>
    <w:tmpl w:val="D3CCD5EC"/>
    <w:lvl w:ilvl="0" w:tplc="8E20DD3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ACB589F"/>
    <w:multiLevelType w:val="hybridMultilevel"/>
    <w:tmpl w:val="0438432E"/>
    <w:lvl w:ilvl="0" w:tplc="63FE686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361C47"/>
    <w:multiLevelType w:val="hybridMultilevel"/>
    <w:tmpl w:val="2D660A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E714D9"/>
    <w:multiLevelType w:val="hybridMultilevel"/>
    <w:tmpl w:val="03C61A4E"/>
    <w:lvl w:ilvl="0" w:tplc="C9E632D2">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nsid w:val="67FD1CD9"/>
    <w:multiLevelType w:val="hybridMultilevel"/>
    <w:tmpl w:val="CBA63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CA3FB5"/>
    <w:multiLevelType w:val="hybridMultilevel"/>
    <w:tmpl w:val="6A36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59C2C4A"/>
    <w:multiLevelType w:val="hybridMultilevel"/>
    <w:tmpl w:val="8F4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C76D4A"/>
    <w:multiLevelType w:val="hybridMultilevel"/>
    <w:tmpl w:val="FCC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6"/>
  </w:num>
  <w:num w:numId="4">
    <w:abstractNumId w:val="5"/>
  </w:num>
  <w:num w:numId="5">
    <w:abstractNumId w:val="26"/>
  </w:num>
  <w:num w:numId="6">
    <w:abstractNumId w:val="3"/>
  </w:num>
  <w:num w:numId="7">
    <w:abstractNumId w:val="6"/>
  </w:num>
  <w:num w:numId="8">
    <w:abstractNumId w:val="0"/>
  </w:num>
  <w:num w:numId="9">
    <w:abstractNumId w:val="28"/>
  </w:num>
  <w:num w:numId="10">
    <w:abstractNumId w:val="18"/>
  </w:num>
  <w:num w:numId="11">
    <w:abstractNumId w:val="14"/>
  </w:num>
  <w:num w:numId="12">
    <w:abstractNumId w:val="24"/>
  </w:num>
  <w:num w:numId="13">
    <w:abstractNumId w:val="12"/>
  </w:num>
  <w:num w:numId="14">
    <w:abstractNumId w:val="25"/>
  </w:num>
  <w:num w:numId="15">
    <w:abstractNumId w:val="7"/>
  </w:num>
  <w:num w:numId="16">
    <w:abstractNumId w:val="23"/>
  </w:num>
  <w:num w:numId="17">
    <w:abstractNumId w:val="4"/>
  </w:num>
  <w:num w:numId="18">
    <w:abstractNumId w:val="8"/>
  </w:num>
  <w:num w:numId="19">
    <w:abstractNumId w:val="11"/>
  </w:num>
  <w:num w:numId="20">
    <w:abstractNumId w:val="1"/>
  </w:num>
  <w:num w:numId="21">
    <w:abstractNumId w:val="9"/>
  </w:num>
  <w:num w:numId="22">
    <w:abstractNumId w:val="13"/>
  </w:num>
  <w:num w:numId="23">
    <w:abstractNumId w:val="22"/>
  </w:num>
  <w:num w:numId="24">
    <w:abstractNumId w:val="20"/>
  </w:num>
  <w:num w:numId="25">
    <w:abstractNumId w:val="17"/>
  </w:num>
  <w:num w:numId="26">
    <w:abstractNumId w:val="21"/>
  </w:num>
  <w:num w:numId="27">
    <w:abstractNumId w:val="27"/>
  </w:num>
  <w:num w:numId="28">
    <w:abstractNumId w:val="15"/>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69"/>
    <w:rsid w:val="00012F0D"/>
    <w:rsid w:val="00016F81"/>
    <w:rsid w:val="00034B1D"/>
    <w:rsid w:val="00052544"/>
    <w:rsid w:val="00083846"/>
    <w:rsid w:val="0009506B"/>
    <w:rsid w:val="00096BF5"/>
    <w:rsid w:val="000B3F94"/>
    <w:rsid w:val="000D22D3"/>
    <w:rsid w:val="000E3B0D"/>
    <w:rsid w:val="000F1861"/>
    <w:rsid w:val="00103539"/>
    <w:rsid w:val="001069A9"/>
    <w:rsid w:val="001124B9"/>
    <w:rsid w:val="00150571"/>
    <w:rsid w:val="001861EE"/>
    <w:rsid w:val="0019208F"/>
    <w:rsid w:val="001A0643"/>
    <w:rsid w:val="001A0796"/>
    <w:rsid w:val="001B34D5"/>
    <w:rsid w:val="001B41E5"/>
    <w:rsid w:val="001B582D"/>
    <w:rsid w:val="001C1A80"/>
    <w:rsid w:val="001C5CB5"/>
    <w:rsid w:val="001E7FF5"/>
    <w:rsid w:val="00207797"/>
    <w:rsid w:val="00210ED4"/>
    <w:rsid w:val="002111D6"/>
    <w:rsid w:val="002150BF"/>
    <w:rsid w:val="0024747B"/>
    <w:rsid w:val="00257BF2"/>
    <w:rsid w:val="00261E35"/>
    <w:rsid w:val="0027553C"/>
    <w:rsid w:val="00292927"/>
    <w:rsid w:val="002B5F81"/>
    <w:rsid w:val="002C367A"/>
    <w:rsid w:val="002F35B7"/>
    <w:rsid w:val="002F77FE"/>
    <w:rsid w:val="0031437F"/>
    <w:rsid w:val="00333562"/>
    <w:rsid w:val="00334013"/>
    <w:rsid w:val="003417C9"/>
    <w:rsid w:val="003443AA"/>
    <w:rsid w:val="003443EC"/>
    <w:rsid w:val="003505D2"/>
    <w:rsid w:val="0035115F"/>
    <w:rsid w:val="00376301"/>
    <w:rsid w:val="00377B4E"/>
    <w:rsid w:val="003865F1"/>
    <w:rsid w:val="003B0ABA"/>
    <w:rsid w:val="003B1A8E"/>
    <w:rsid w:val="003B5BF1"/>
    <w:rsid w:val="003C6699"/>
    <w:rsid w:val="003E0724"/>
    <w:rsid w:val="003F5321"/>
    <w:rsid w:val="004365C6"/>
    <w:rsid w:val="00442F69"/>
    <w:rsid w:val="004620E7"/>
    <w:rsid w:val="0046466F"/>
    <w:rsid w:val="00471C2C"/>
    <w:rsid w:val="004765E4"/>
    <w:rsid w:val="00491DB4"/>
    <w:rsid w:val="00492873"/>
    <w:rsid w:val="00493CFD"/>
    <w:rsid w:val="004C03B0"/>
    <w:rsid w:val="004E163C"/>
    <w:rsid w:val="005121F1"/>
    <w:rsid w:val="00512C9B"/>
    <w:rsid w:val="00524317"/>
    <w:rsid w:val="005527E3"/>
    <w:rsid w:val="005564A3"/>
    <w:rsid w:val="005706D0"/>
    <w:rsid w:val="0058597B"/>
    <w:rsid w:val="00586C3C"/>
    <w:rsid w:val="005C6E06"/>
    <w:rsid w:val="005D7564"/>
    <w:rsid w:val="005E591F"/>
    <w:rsid w:val="005E7F33"/>
    <w:rsid w:val="005F20D7"/>
    <w:rsid w:val="005F3556"/>
    <w:rsid w:val="00621B70"/>
    <w:rsid w:val="00642980"/>
    <w:rsid w:val="006520E0"/>
    <w:rsid w:val="006711FC"/>
    <w:rsid w:val="00671F4E"/>
    <w:rsid w:val="006C6C9D"/>
    <w:rsid w:val="006D20D1"/>
    <w:rsid w:val="006D62DC"/>
    <w:rsid w:val="006E11A6"/>
    <w:rsid w:val="006F2B70"/>
    <w:rsid w:val="00713F20"/>
    <w:rsid w:val="00723655"/>
    <w:rsid w:val="00732334"/>
    <w:rsid w:val="00735772"/>
    <w:rsid w:val="0073683C"/>
    <w:rsid w:val="00740DC6"/>
    <w:rsid w:val="00751FC9"/>
    <w:rsid w:val="0077074C"/>
    <w:rsid w:val="0078567B"/>
    <w:rsid w:val="00790E3E"/>
    <w:rsid w:val="00796AC3"/>
    <w:rsid w:val="007B6090"/>
    <w:rsid w:val="007E0094"/>
    <w:rsid w:val="00801C81"/>
    <w:rsid w:val="00844CF2"/>
    <w:rsid w:val="00845B54"/>
    <w:rsid w:val="00847153"/>
    <w:rsid w:val="008557C0"/>
    <w:rsid w:val="0087579E"/>
    <w:rsid w:val="008773FF"/>
    <w:rsid w:val="008C6AC8"/>
    <w:rsid w:val="008D1520"/>
    <w:rsid w:val="008E2FC2"/>
    <w:rsid w:val="008E41F6"/>
    <w:rsid w:val="008E7DB9"/>
    <w:rsid w:val="008F3401"/>
    <w:rsid w:val="0090523A"/>
    <w:rsid w:val="00926A43"/>
    <w:rsid w:val="009374B4"/>
    <w:rsid w:val="00953959"/>
    <w:rsid w:val="00977D96"/>
    <w:rsid w:val="00993636"/>
    <w:rsid w:val="00994B67"/>
    <w:rsid w:val="009A1F9F"/>
    <w:rsid w:val="009A36BD"/>
    <w:rsid w:val="009B1244"/>
    <w:rsid w:val="009B2448"/>
    <w:rsid w:val="009D3E6F"/>
    <w:rsid w:val="009D4347"/>
    <w:rsid w:val="009F5B50"/>
    <w:rsid w:val="00A01BD4"/>
    <w:rsid w:val="00A14760"/>
    <w:rsid w:val="00A2232B"/>
    <w:rsid w:val="00A511A5"/>
    <w:rsid w:val="00A572CE"/>
    <w:rsid w:val="00A75617"/>
    <w:rsid w:val="00AA2666"/>
    <w:rsid w:val="00AB21E5"/>
    <w:rsid w:val="00AE790B"/>
    <w:rsid w:val="00B114D7"/>
    <w:rsid w:val="00B1281C"/>
    <w:rsid w:val="00B269D3"/>
    <w:rsid w:val="00B35FF3"/>
    <w:rsid w:val="00B50D53"/>
    <w:rsid w:val="00B95D1E"/>
    <w:rsid w:val="00BE0AD4"/>
    <w:rsid w:val="00BF4207"/>
    <w:rsid w:val="00C0682C"/>
    <w:rsid w:val="00C171D2"/>
    <w:rsid w:val="00C21CD7"/>
    <w:rsid w:val="00C3411D"/>
    <w:rsid w:val="00C676A0"/>
    <w:rsid w:val="00C94885"/>
    <w:rsid w:val="00CA4B97"/>
    <w:rsid w:val="00CB1F86"/>
    <w:rsid w:val="00CD069A"/>
    <w:rsid w:val="00CD76D4"/>
    <w:rsid w:val="00CE3F97"/>
    <w:rsid w:val="00CE651D"/>
    <w:rsid w:val="00CE7FE5"/>
    <w:rsid w:val="00D2134A"/>
    <w:rsid w:val="00D340DE"/>
    <w:rsid w:val="00D4642F"/>
    <w:rsid w:val="00D53919"/>
    <w:rsid w:val="00D55A88"/>
    <w:rsid w:val="00D62A88"/>
    <w:rsid w:val="00D63008"/>
    <w:rsid w:val="00D652C3"/>
    <w:rsid w:val="00D72411"/>
    <w:rsid w:val="00D73F08"/>
    <w:rsid w:val="00D86F8B"/>
    <w:rsid w:val="00D96F50"/>
    <w:rsid w:val="00DA0956"/>
    <w:rsid w:val="00DC6FBF"/>
    <w:rsid w:val="00DD355C"/>
    <w:rsid w:val="00DD7477"/>
    <w:rsid w:val="00E032CA"/>
    <w:rsid w:val="00E11AFC"/>
    <w:rsid w:val="00E14FD8"/>
    <w:rsid w:val="00E15BE3"/>
    <w:rsid w:val="00E32487"/>
    <w:rsid w:val="00E34714"/>
    <w:rsid w:val="00E405A6"/>
    <w:rsid w:val="00E644D5"/>
    <w:rsid w:val="00E70C10"/>
    <w:rsid w:val="00E80816"/>
    <w:rsid w:val="00E8212F"/>
    <w:rsid w:val="00E922C3"/>
    <w:rsid w:val="00EA1CD0"/>
    <w:rsid w:val="00EB18A8"/>
    <w:rsid w:val="00EC4278"/>
    <w:rsid w:val="00ED1F43"/>
    <w:rsid w:val="00EF0C83"/>
    <w:rsid w:val="00EF30DB"/>
    <w:rsid w:val="00F02696"/>
    <w:rsid w:val="00F13197"/>
    <w:rsid w:val="00F27527"/>
    <w:rsid w:val="00F361B7"/>
    <w:rsid w:val="00F41477"/>
    <w:rsid w:val="00F43610"/>
    <w:rsid w:val="00F605F0"/>
    <w:rsid w:val="00F60AC3"/>
    <w:rsid w:val="00F71E9E"/>
    <w:rsid w:val="00F840B1"/>
    <w:rsid w:val="00FA142C"/>
    <w:rsid w:val="00FB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 w:type="character" w:styleId="Hyperlink">
    <w:name w:val="Hyperlink"/>
    <w:basedOn w:val="DefaultParagraphFont"/>
    <w:uiPriority w:val="99"/>
    <w:unhideWhenUsed/>
    <w:rsid w:val="00E82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 w:type="character" w:styleId="Hyperlink">
    <w:name w:val="Hyperlink"/>
    <w:basedOn w:val="DefaultParagraphFont"/>
    <w:uiPriority w:val="99"/>
    <w:unhideWhenUsed/>
    <w:rsid w:val="00E82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947">
      <w:bodyDiv w:val="1"/>
      <w:marLeft w:val="0"/>
      <w:marRight w:val="0"/>
      <w:marTop w:val="0"/>
      <w:marBottom w:val="0"/>
      <w:divBdr>
        <w:top w:val="none" w:sz="0" w:space="0" w:color="auto"/>
        <w:left w:val="none" w:sz="0" w:space="0" w:color="auto"/>
        <w:bottom w:val="none" w:sz="0" w:space="0" w:color="auto"/>
        <w:right w:val="none" w:sz="0" w:space="0" w:color="auto"/>
      </w:divBdr>
    </w:div>
    <w:div w:id="686442674">
      <w:bodyDiv w:val="1"/>
      <w:marLeft w:val="0"/>
      <w:marRight w:val="0"/>
      <w:marTop w:val="0"/>
      <w:marBottom w:val="0"/>
      <w:divBdr>
        <w:top w:val="none" w:sz="0" w:space="0" w:color="auto"/>
        <w:left w:val="none" w:sz="0" w:space="0" w:color="auto"/>
        <w:bottom w:val="none" w:sz="0" w:space="0" w:color="auto"/>
        <w:right w:val="none" w:sz="0" w:space="0" w:color="auto"/>
      </w:divBdr>
    </w:div>
    <w:div w:id="798111591">
      <w:bodyDiv w:val="1"/>
      <w:marLeft w:val="0"/>
      <w:marRight w:val="0"/>
      <w:marTop w:val="0"/>
      <w:marBottom w:val="0"/>
      <w:divBdr>
        <w:top w:val="none" w:sz="0" w:space="0" w:color="auto"/>
        <w:left w:val="none" w:sz="0" w:space="0" w:color="auto"/>
        <w:bottom w:val="none" w:sz="0" w:space="0" w:color="auto"/>
        <w:right w:val="none" w:sz="0" w:space="0" w:color="auto"/>
      </w:divBdr>
    </w:div>
    <w:div w:id="1032193182">
      <w:bodyDiv w:val="1"/>
      <w:marLeft w:val="0"/>
      <w:marRight w:val="0"/>
      <w:marTop w:val="0"/>
      <w:marBottom w:val="0"/>
      <w:divBdr>
        <w:top w:val="none" w:sz="0" w:space="0" w:color="auto"/>
        <w:left w:val="none" w:sz="0" w:space="0" w:color="auto"/>
        <w:bottom w:val="none" w:sz="0" w:space="0" w:color="auto"/>
        <w:right w:val="none" w:sz="0" w:space="0" w:color="auto"/>
      </w:divBdr>
    </w:div>
    <w:div w:id="1238132477">
      <w:bodyDiv w:val="1"/>
      <w:marLeft w:val="0"/>
      <w:marRight w:val="0"/>
      <w:marTop w:val="0"/>
      <w:marBottom w:val="0"/>
      <w:divBdr>
        <w:top w:val="none" w:sz="0" w:space="0" w:color="auto"/>
        <w:left w:val="none" w:sz="0" w:space="0" w:color="auto"/>
        <w:bottom w:val="none" w:sz="0" w:space="0" w:color="auto"/>
        <w:right w:val="none" w:sz="0" w:space="0" w:color="auto"/>
      </w:divBdr>
    </w:div>
    <w:div w:id="18164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983D-DB1D-4DD4-8FEC-B7EA9C19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Debbie</dc:creator>
  <cp:lastModifiedBy>Helen Askham</cp:lastModifiedBy>
  <cp:revision>3</cp:revision>
  <cp:lastPrinted>2015-07-14T11:53:00Z</cp:lastPrinted>
  <dcterms:created xsi:type="dcterms:W3CDTF">2015-09-23T08:49:00Z</dcterms:created>
  <dcterms:modified xsi:type="dcterms:W3CDTF">2015-10-16T09:56:00Z</dcterms:modified>
</cp:coreProperties>
</file>