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F52" w:rsidRDefault="00817C86" w:rsidP="00CA348E">
      <w:pPr>
        <w:ind w:left="5041"/>
        <w:jc w:val="right"/>
        <w:rPr>
          <w:noProof/>
          <w:lang w:eastAsia="en-GB"/>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-2540</wp:posOffset>
                </wp:positionH>
                <wp:positionV relativeFrom="paragraph">
                  <wp:posOffset>393065</wp:posOffset>
                </wp:positionV>
                <wp:extent cx="1958340" cy="297180"/>
                <wp:effectExtent l="6985" t="12065" r="6350" b="5080"/>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8340" cy="297180"/>
                        </a:xfrm>
                        <a:prstGeom prst="rect">
                          <a:avLst/>
                        </a:prstGeom>
                        <a:solidFill>
                          <a:srgbClr val="FFFFFF"/>
                        </a:solidFill>
                        <a:ln w="9525">
                          <a:solidFill>
                            <a:srgbClr val="000000"/>
                          </a:solidFill>
                          <a:miter lim="800000"/>
                          <a:headEnd/>
                          <a:tailEnd/>
                        </a:ln>
                      </wps:spPr>
                      <wps:txbx>
                        <w:txbxContent>
                          <w:p w:rsidR="00BD3CC0" w:rsidRPr="000D1B0D" w:rsidRDefault="00BD3CC0">
                            <w:pPr>
                              <w:rPr>
                                <w:rFonts w:ascii="Calibri" w:hAnsi="Calibri"/>
                                <w:b/>
                                <w:sz w:val="22"/>
                                <w:szCs w:val="22"/>
                              </w:rPr>
                            </w:pPr>
                            <w:r w:rsidRPr="000D1B0D">
                              <w:rPr>
                                <w:rFonts w:ascii="Calibri" w:hAnsi="Calibri"/>
                                <w:b/>
                                <w:sz w:val="22"/>
                                <w:szCs w:val="22"/>
                              </w:rPr>
                              <w:t>Agenda Item</w:t>
                            </w:r>
                            <w:r w:rsidR="00817C86">
                              <w:rPr>
                                <w:rFonts w:ascii="Calibri" w:hAnsi="Calibri"/>
                                <w:b/>
                                <w:sz w:val="22"/>
                                <w:szCs w:val="22"/>
                              </w:rPr>
                              <w:t xml:space="preserve"> 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2pt;margin-top:30.95pt;width:154.2pt;height:2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">
                <v:textbox>
                  <w:txbxContent>
                    <w:p w:rsidR="00BD3CC0" w:rsidRPr="000D1B0D" w:rsidRDefault="00BD3CC0">
                      <w:pPr>
                        <w:rPr>
                          <w:rFonts w:ascii="Calibri" w:hAnsi="Calibri"/>
                          <w:b/>
                          <w:sz w:val="22"/>
                          <w:szCs w:val="22"/>
                        </w:rPr>
                      </w:pPr>
                      <w:r w:rsidRPr="000D1B0D">
                        <w:rPr>
                          <w:rFonts w:ascii="Calibri" w:hAnsi="Calibri"/>
                          <w:b/>
                          <w:sz w:val="22"/>
                          <w:szCs w:val="22"/>
                        </w:rPr>
                        <w:t>Agenda Item</w:t>
                      </w:r>
                      <w:r w:rsidR="00817C86">
                        <w:rPr>
                          <w:rFonts w:ascii="Calibri" w:hAnsi="Calibri"/>
                          <w:b/>
                          <w:sz w:val="22"/>
                          <w:szCs w:val="22"/>
                        </w:rPr>
                        <w:t xml:space="preserve"> 08</w:t>
                      </w:r>
                    </w:p>
                  </w:txbxContent>
                </v:textbox>
              </v:rect>
            </w:pict>
          </mc:Fallback>
        </mc:AlternateContent>
      </w:r>
      <w:r w:rsidR="003D7845" w:rsidRPr="003D7845">
        <w:t xml:space="preserve"> </w:t>
      </w:r>
      <w:r>
        <w:rPr>
          <w:noProof/>
          <w:lang w:eastAsia="en-GB"/>
        </w:rPr>
        <w:drawing>
          <wp:inline distT="0" distB="0" distL="0" distR="0">
            <wp:extent cx="2011680" cy="5257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1680" cy="525780"/>
                    </a:xfrm>
                    <a:prstGeom prst="rect">
                      <a:avLst/>
                    </a:prstGeom>
                    <a:noFill/>
                    <a:ln>
                      <a:noFill/>
                    </a:ln>
                  </pic:spPr>
                </pic:pic>
              </a:graphicData>
            </a:graphic>
          </wp:inline>
        </w:drawing>
      </w:r>
      <w:r w:rsidR="00A977E0" w:rsidRPr="00A977E0">
        <w:rPr>
          <w:noProof/>
          <w:lang w:eastAsia="en-GB"/>
        </w:rPr>
        <w:t xml:space="preserve"> </w:t>
      </w:r>
    </w:p>
    <w:p w:rsidR="00136B75" w:rsidRDefault="00136B75" w:rsidP="00D3211A">
      <w:pPr>
        <w:pStyle w:val="Default"/>
        <w:jc w:val="both"/>
        <w:rPr>
          <w:rFonts w:ascii="Calibri" w:hAnsi="Calibri" w:cs="Calibri"/>
          <w:sz w:val="20"/>
          <w:szCs w:val="20"/>
        </w:rPr>
      </w:pPr>
    </w:p>
    <w:p w:rsidR="00136B75" w:rsidRDefault="00817C86" w:rsidP="00D3211A">
      <w:pPr>
        <w:pStyle w:val="Default"/>
        <w:jc w:val="both"/>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56192" behindDoc="0" locked="0" layoutInCell="1" allowOverlap="1">
                <wp:simplePos x="0" y="0"/>
                <wp:positionH relativeFrom="column">
                  <wp:posOffset>-2540</wp:posOffset>
                </wp:positionH>
                <wp:positionV relativeFrom="paragraph">
                  <wp:posOffset>148590</wp:posOffset>
                </wp:positionV>
                <wp:extent cx="6294120" cy="1371600"/>
                <wp:effectExtent l="26035" t="24765" r="23495" b="2286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4120" cy="1371600"/>
                        </a:xfrm>
                        <a:prstGeom prst="rect">
                          <a:avLst/>
                        </a:prstGeom>
                        <a:solidFill>
                          <a:srgbClr val="FFFFFF"/>
                        </a:solidFill>
                        <a:ln w="38100" cmpd="dbl">
                          <a:solidFill>
                            <a:srgbClr val="000000"/>
                          </a:solidFill>
                          <a:miter lim="800000"/>
                          <a:headEnd/>
                          <a:tailEnd/>
                        </a:ln>
                      </wps:spPr>
                      <wps:txbx>
                        <w:txbxContent>
                          <w:p w:rsidR="00BD3CC0" w:rsidRPr="004A45AE" w:rsidRDefault="00BD3CC0">
                            <w:pPr>
                              <w:rPr>
                                <w:rFonts w:asciiTheme="minorHAnsi" w:hAnsiTheme="minorHAnsi" w:cstheme="minorHAnsi"/>
                                <w:sz w:val="22"/>
                                <w:szCs w:val="22"/>
                              </w:rPr>
                            </w:pPr>
                            <w:r w:rsidRPr="004A45AE">
                              <w:rPr>
                                <w:rFonts w:asciiTheme="minorHAnsi" w:hAnsiTheme="minorHAnsi" w:cstheme="minorHAnsi"/>
                                <w:sz w:val="22"/>
                                <w:szCs w:val="22"/>
                              </w:rPr>
                              <w:t>Report to:</w:t>
                            </w:r>
                            <w:r w:rsidRPr="004A45AE">
                              <w:rPr>
                                <w:rFonts w:asciiTheme="minorHAnsi" w:hAnsiTheme="minorHAnsi" w:cstheme="minorHAnsi"/>
                                <w:bCs/>
                                <w:sz w:val="22"/>
                                <w:szCs w:val="22"/>
                              </w:rPr>
                              <w:t xml:space="preserve"> </w:t>
                            </w:r>
                            <w:r>
                              <w:rPr>
                                <w:rFonts w:asciiTheme="minorHAnsi" w:hAnsiTheme="minorHAnsi" w:cstheme="minorHAnsi"/>
                                <w:bCs/>
                                <w:sz w:val="22"/>
                                <w:szCs w:val="22"/>
                              </w:rPr>
                              <w:tab/>
                            </w:r>
                            <w:r>
                              <w:rPr>
                                <w:rFonts w:asciiTheme="minorHAnsi" w:hAnsiTheme="minorHAnsi" w:cstheme="minorHAnsi"/>
                                <w:bCs/>
                                <w:sz w:val="22"/>
                                <w:szCs w:val="22"/>
                              </w:rPr>
                              <w:tab/>
                            </w:r>
                            <w:r w:rsidRPr="004A45AE">
                              <w:rPr>
                                <w:rFonts w:asciiTheme="minorHAnsi" w:hAnsiTheme="minorHAnsi" w:cstheme="minorHAnsi"/>
                                <w:bCs/>
                                <w:sz w:val="22"/>
                                <w:szCs w:val="22"/>
                              </w:rPr>
                              <w:t>NEL CCG Partnership Board</w:t>
                            </w:r>
                          </w:p>
                          <w:p w:rsidR="00BD3CC0" w:rsidRPr="004A45AE" w:rsidRDefault="00BD3CC0">
                            <w:pPr>
                              <w:rPr>
                                <w:rFonts w:asciiTheme="minorHAnsi" w:hAnsiTheme="minorHAnsi" w:cstheme="minorHAnsi"/>
                                <w:sz w:val="22"/>
                                <w:szCs w:val="22"/>
                              </w:rPr>
                            </w:pPr>
                          </w:p>
                          <w:p w:rsidR="00BD3CC0" w:rsidRPr="004A45AE" w:rsidRDefault="00BD3CC0">
                            <w:pPr>
                              <w:rPr>
                                <w:rFonts w:asciiTheme="minorHAnsi" w:hAnsiTheme="minorHAnsi" w:cstheme="minorHAnsi"/>
                                <w:sz w:val="22"/>
                                <w:szCs w:val="22"/>
                              </w:rPr>
                            </w:pPr>
                            <w:r w:rsidRPr="004A45AE">
                              <w:rPr>
                                <w:rFonts w:asciiTheme="minorHAnsi" w:hAnsiTheme="minorHAnsi" w:cstheme="minorHAnsi"/>
                                <w:sz w:val="22"/>
                                <w:szCs w:val="22"/>
                              </w:rPr>
                              <w:t>Date of Meeting:</w:t>
                            </w:r>
                            <w:r>
                              <w:rPr>
                                <w:rFonts w:asciiTheme="minorHAnsi" w:hAnsiTheme="minorHAnsi" w:cstheme="minorHAnsi"/>
                                <w:sz w:val="22"/>
                                <w:szCs w:val="22"/>
                              </w:rPr>
                              <w:tab/>
                            </w:r>
                            <w:r w:rsidRPr="004A45AE">
                              <w:rPr>
                                <w:rFonts w:asciiTheme="minorHAnsi" w:hAnsiTheme="minorHAnsi" w:cstheme="minorHAnsi"/>
                                <w:bCs/>
                                <w:sz w:val="22"/>
                                <w:szCs w:val="22"/>
                              </w:rPr>
                              <w:t>14</w:t>
                            </w:r>
                            <w:r w:rsidRPr="004A45AE">
                              <w:rPr>
                                <w:rFonts w:asciiTheme="minorHAnsi" w:hAnsiTheme="minorHAnsi" w:cstheme="minorHAnsi"/>
                                <w:bCs/>
                                <w:sz w:val="22"/>
                                <w:szCs w:val="22"/>
                                <w:vertAlign w:val="superscript"/>
                              </w:rPr>
                              <w:t>th</w:t>
                            </w:r>
                            <w:r w:rsidRPr="004A45AE">
                              <w:rPr>
                                <w:rFonts w:asciiTheme="minorHAnsi" w:hAnsiTheme="minorHAnsi" w:cstheme="minorHAnsi"/>
                                <w:bCs/>
                                <w:sz w:val="22"/>
                                <w:szCs w:val="22"/>
                              </w:rPr>
                              <w:t xml:space="preserve"> July 2016</w:t>
                            </w:r>
                            <w:bookmarkStart w:id="0" w:name="_GoBack"/>
                            <w:bookmarkEnd w:id="0"/>
                          </w:p>
                          <w:p w:rsidR="00BD3CC0" w:rsidRPr="004A45AE" w:rsidRDefault="00BD3CC0">
                            <w:pPr>
                              <w:rPr>
                                <w:rFonts w:asciiTheme="minorHAnsi" w:hAnsiTheme="minorHAnsi" w:cstheme="minorHAnsi"/>
                                <w:sz w:val="22"/>
                                <w:szCs w:val="22"/>
                              </w:rPr>
                            </w:pPr>
                          </w:p>
                          <w:p w:rsidR="00BD3CC0" w:rsidRPr="004A45AE" w:rsidRDefault="00BD3CC0">
                            <w:pPr>
                              <w:rPr>
                                <w:rFonts w:asciiTheme="minorHAnsi" w:hAnsiTheme="minorHAnsi" w:cstheme="minorHAnsi"/>
                                <w:sz w:val="22"/>
                                <w:szCs w:val="22"/>
                              </w:rPr>
                            </w:pPr>
                            <w:r w:rsidRPr="004A45AE">
                              <w:rPr>
                                <w:rFonts w:asciiTheme="minorHAnsi" w:hAnsiTheme="minorHAnsi" w:cstheme="minorHAnsi"/>
                                <w:sz w:val="22"/>
                                <w:szCs w:val="22"/>
                              </w:rPr>
                              <w:t xml:space="preserve">Subject: </w:t>
                            </w:r>
                            <w:r>
                              <w:rPr>
                                <w:rFonts w:asciiTheme="minorHAnsi" w:hAnsiTheme="minorHAnsi" w:cstheme="minorHAnsi"/>
                                <w:sz w:val="22"/>
                                <w:szCs w:val="22"/>
                              </w:rPr>
                              <w:tab/>
                            </w:r>
                            <w:r>
                              <w:rPr>
                                <w:rFonts w:asciiTheme="minorHAnsi" w:hAnsiTheme="minorHAnsi" w:cstheme="minorHAnsi"/>
                                <w:sz w:val="22"/>
                                <w:szCs w:val="22"/>
                              </w:rPr>
                              <w:tab/>
                            </w:r>
                            <w:r w:rsidRPr="004A45AE">
                              <w:rPr>
                                <w:rFonts w:asciiTheme="minorHAnsi" w:hAnsiTheme="minorHAnsi" w:cstheme="minorHAnsi"/>
                                <w:bCs/>
                                <w:sz w:val="22"/>
                                <w:szCs w:val="22"/>
                              </w:rPr>
                              <w:t>NEL CCG Finance report</w:t>
                            </w:r>
                          </w:p>
                          <w:p w:rsidR="00BD3CC0" w:rsidRPr="004A45AE" w:rsidRDefault="00BD3CC0">
                            <w:pPr>
                              <w:rPr>
                                <w:rFonts w:asciiTheme="minorHAnsi" w:hAnsiTheme="minorHAnsi" w:cstheme="minorHAnsi"/>
                                <w:sz w:val="22"/>
                                <w:szCs w:val="22"/>
                              </w:rPr>
                            </w:pPr>
                          </w:p>
                          <w:p w:rsidR="00BD3CC0" w:rsidRPr="004A45AE" w:rsidRDefault="00BD3CC0">
                            <w:pPr>
                              <w:rPr>
                                <w:rFonts w:asciiTheme="minorHAnsi" w:hAnsiTheme="minorHAnsi" w:cstheme="minorHAnsi"/>
                                <w:b/>
                                <w:sz w:val="22"/>
                                <w:szCs w:val="22"/>
                              </w:rPr>
                            </w:pPr>
                            <w:r w:rsidRPr="004A45AE">
                              <w:rPr>
                                <w:rFonts w:asciiTheme="minorHAnsi" w:hAnsiTheme="minorHAnsi" w:cstheme="minorHAnsi"/>
                                <w:sz w:val="22"/>
                                <w:szCs w:val="22"/>
                              </w:rPr>
                              <w:t xml:space="preserve">Presented by: </w:t>
                            </w:r>
                            <w:r>
                              <w:rPr>
                                <w:rFonts w:asciiTheme="minorHAnsi" w:hAnsiTheme="minorHAnsi" w:cstheme="minorHAnsi"/>
                                <w:sz w:val="22"/>
                                <w:szCs w:val="22"/>
                              </w:rPr>
                              <w:tab/>
                            </w:r>
                            <w:r>
                              <w:rPr>
                                <w:rFonts w:asciiTheme="minorHAnsi" w:hAnsiTheme="minorHAnsi" w:cstheme="minorHAnsi"/>
                                <w:sz w:val="22"/>
                                <w:szCs w:val="22"/>
                              </w:rPr>
                              <w:tab/>
                            </w:r>
                            <w:r w:rsidRPr="004A45AE">
                              <w:rPr>
                                <w:rFonts w:asciiTheme="minorHAnsi" w:hAnsiTheme="minorHAnsi" w:cstheme="minorHAnsi"/>
                                <w:sz w:val="22"/>
                                <w:szCs w:val="22"/>
                              </w:rPr>
                              <w:t>Laura Whitton</w:t>
                            </w:r>
                          </w:p>
                          <w:p w:rsidR="00BD3CC0" w:rsidRPr="000D1B0D" w:rsidRDefault="00BD3CC0">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left:0;text-align:left;margin-left:-.2pt;margin-top:11.7pt;width:495.6pt;height:1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" strokeweight="3pt">
                <v:stroke linestyle="thinThin"/>
                <v:textbox>
                  <w:txbxContent>
                    <w:p w:rsidR="00BD3CC0" w:rsidRPr="004A45AE" w:rsidRDefault="00BD3CC0">
                      <w:pPr>
                        <w:rPr>
                          <w:rFonts w:asciiTheme="minorHAnsi" w:hAnsiTheme="minorHAnsi" w:cstheme="minorHAnsi"/>
                          <w:sz w:val="22"/>
                          <w:szCs w:val="22"/>
                        </w:rPr>
                      </w:pPr>
                      <w:r w:rsidRPr="004A45AE">
                        <w:rPr>
                          <w:rFonts w:asciiTheme="minorHAnsi" w:hAnsiTheme="minorHAnsi" w:cstheme="minorHAnsi"/>
                          <w:sz w:val="22"/>
                          <w:szCs w:val="22"/>
                        </w:rPr>
                        <w:t>Report to:</w:t>
                      </w:r>
                      <w:r w:rsidRPr="004A45AE">
                        <w:rPr>
                          <w:rFonts w:asciiTheme="minorHAnsi" w:hAnsiTheme="minorHAnsi" w:cstheme="minorHAnsi"/>
                          <w:bCs/>
                          <w:sz w:val="22"/>
                          <w:szCs w:val="22"/>
                        </w:rPr>
                        <w:t xml:space="preserve"> </w:t>
                      </w:r>
                      <w:r>
                        <w:rPr>
                          <w:rFonts w:asciiTheme="minorHAnsi" w:hAnsiTheme="minorHAnsi" w:cstheme="minorHAnsi"/>
                          <w:bCs/>
                          <w:sz w:val="22"/>
                          <w:szCs w:val="22"/>
                        </w:rPr>
                        <w:tab/>
                      </w:r>
                      <w:r>
                        <w:rPr>
                          <w:rFonts w:asciiTheme="minorHAnsi" w:hAnsiTheme="minorHAnsi" w:cstheme="minorHAnsi"/>
                          <w:bCs/>
                          <w:sz w:val="22"/>
                          <w:szCs w:val="22"/>
                        </w:rPr>
                        <w:tab/>
                      </w:r>
                      <w:r w:rsidRPr="004A45AE">
                        <w:rPr>
                          <w:rFonts w:asciiTheme="minorHAnsi" w:hAnsiTheme="minorHAnsi" w:cstheme="minorHAnsi"/>
                          <w:bCs/>
                          <w:sz w:val="22"/>
                          <w:szCs w:val="22"/>
                        </w:rPr>
                        <w:t>NEL CCG Partnership Board</w:t>
                      </w:r>
                    </w:p>
                    <w:p w:rsidR="00BD3CC0" w:rsidRPr="004A45AE" w:rsidRDefault="00BD3CC0">
                      <w:pPr>
                        <w:rPr>
                          <w:rFonts w:asciiTheme="minorHAnsi" w:hAnsiTheme="minorHAnsi" w:cstheme="minorHAnsi"/>
                          <w:sz w:val="22"/>
                          <w:szCs w:val="22"/>
                        </w:rPr>
                      </w:pPr>
                    </w:p>
                    <w:p w:rsidR="00BD3CC0" w:rsidRPr="004A45AE" w:rsidRDefault="00BD3CC0">
                      <w:pPr>
                        <w:rPr>
                          <w:rFonts w:asciiTheme="minorHAnsi" w:hAnsiTheme="minorHAnsi" w:cstheme="minorHAnsi"/>
                          <w:sz w:val="22"/>
                          <w:szCs w:val="22"/>
                        </w:rPr>
                      </w:pPr>
                      <w:r w:rsidRPr="004A45AE">
                        <w:rPr>
                          <w:rFonts w:asciiTheme="minorHAnsi" w:hAnsiTheme="minorHAnsi" w:cstheme="minorHAnsi"/>
                          <w:sz w:val="22"/>
                          <w:szCs w:val="22"/>
                        </w:rPr>
                        <w:t>Date of Meeting:</w:t>
                      </w:r>
                      <w:r>
                        <w:rPr>
                          <w:rFonts w:asciiTheme="minorHAnsi" w:hAnsiTheme="minorHAnsi" w:cstheme="minorHAnsi"/>
                          <w:sz w:val="22"/>
                          <w:szCs w:val="22"/>
                        </w:rPr>
                        <w:tab/>
                      </w:r>
                      <w:r w:rsidRPr="004A45AE">
                        <w:rPr>
                          <w:rFonts w:asciiTheme="minorHAnsi" w:hAnsiTheme="minorHAnsi" w:cstheme="minorHAnsi"/>
                          <w:bCs/>
                          <w:sz w:val="22"/>
                          <w:szCs w:val="22"/>
                        </w:rPr>
                        <w:t>14</w:t>
                      </w:r>
                      <w:r w:rsidRPr="004A45AE">
                        <w:rPr>
                          <w:rFonts w:asciiTheme="minorHAnsi" w:hAnsiTheme="minorHAnsi" w:cstheme="minorHAnsi"/>
                          <w:bCs/>
                          <w:sz w:val="22"/>
                          <w:szCs w:val="22"/>
                          <w:vertAlign w:val="superscript"/>
                        </w:rPr>
                        <w:t>th</w:t>
                      </w:r>
                      <w:r w:rsidRPr="004A45AE">
                        <w:rPr>
                          <w:rFonts w:asciiTheme="minorHAnsi" w:hAnsiTheme="minorHAnsi" w:cstheme="minorHAnsi"/>
                          <w:bCs/>
                          <w:sz w:val="22"/>
                          <w:szCs w:val="22"/>
                        </w:rPr>
                        <w:t xml:space="preserve"> July 2016</w:t>
                      </w:r>
                      <w:bookmarkStart w:id="1" w:name="_GoBack"/>
                      <w:bookmarkEnd w:id="1"/>
                    </w:p>
                    <w:p w:rsidR="00BD3CC0" w:rsidRPr="004A45AE" w:rsidRDefault="00BD3CC0">
                      <w:pPr>
                        <w:rPr>
                          <w:rFonts w:asciiTheme="minorHAnsi" w:hAnsiTheme="minorHAnsi" w:cstheme="minorHAnsi"/>
                          <w:sz w:val="22"/>
                          <w:szCs w:val="22"/>
                        </w:rPr>
                      </w:pPr>
                    </w:p>
                    <w:p w:rsidR="00BD3CC0" w:rsidRPr="004A45AE" w:rsidRDefault="00BD3CC0">
                      <w:pPr>
                        <w:rPr>
                          <w:rFonts w:asciiTheme="minorHAnsi" w:hAnsiTheme="minorHAnsi" w:cstheme="minorHAnsi"/>
                          <w:sz w:val="22"/>
                          <w:szCs w:val="22"/>
                        </w:rPr>
                      </w:pPr>
                      <w:r w:rsidRPr="004A45AE">
                        <w:rPr>
                          <w:rFonts w:asciiTheme="minorHAnsi" w:hAnsiTheme="minorHAnsi" w:cstheme="minorHAnsi"/>
                          <w:sz w:val="22"/>
                          <w:szCs w:val="22"/>
                        </w:rPr>
                        <w:t xml:space="preserve">Subject: </w:t>
                      </w:r>
                      <w:r>
                        <w:rPr>
                          <w:rFonts w:asciiTheme="minorHAnsi" w:hAnsiTheme="minorHAnsi" w:cstheme="minorHAnsi"/>
                          <w:sz w:val="22"/>
                          <w:szCs w:val="22"/>
                        </w:rPr>
                        <w:tab/>
                      </w:r>
                      <w:r>
                        <w:rPr>
                          <w:rFonts w:asciiTheme="minorHAnsi" w:hAnsiTheme="minorHAnsi" w:cstheme="minorHAnsi"/>
                          <w:sz w:val="22"/>
                          <w:szCs w:val="22"/>
                        </w:rPr>
                        <w:tab/>
                      </w:r>
                      <w:r w:rsidRPr="004A45AE">
                        <w:rPr>
                          <w:rFonts w:asciiTheme="minorHAnsi" w:hAnsiTheme="minorHAnsi" w:cstheme="minorHAnsi"/>
                          <w:bCs/>
                          <w:sz w:val="22"/>
                          <w:szCs w:val="22"/>
                        </w:rPr>
                        <w:t>NEL CCG Finance report</w:t>
                      </w:r>
                    </w:p>
                    <w:p w:rsidR="00BD3CC0" w:rsidRPr="004A45AE" w:rsidRDefault="00BD3CC0">
                      <w:pPr>
                        <w:rPr>
                          <w:rFonts w:asciiTheme="minorHAnsi" w:hAnsiTheme="minorHAnsi" w:cstheme="minorHAnsi"/>
                          <w:sz w:val="22"/>
                          <w:szCs w:val="22"/>
                        </w:rPr>
                      </w:pPr>
                    </w:p>
                    <w:p w:rsidR="00BD3CC0" w:rsidRPr="004A45AE" w:rsidRDefault="00BD3CC0">
                      <w:pPr>
                        <w:rPr>
                          <w:rFonts w:asciiTheme="minorHAnsi" w:hAnsiTheme="minorHAnsi" w:cstheme="minorHAnsi"/>
                          <w:b/>
                          <w:sz w:val="22"/>
                          <w:szCs w:val="22"/>
                        </w:rPr>
                      </w:pPr>
                      <w:r w:rsidRPr="004A45AE">
                        <w:rPr>
                          <w:rFonts w:asciiTheme="minorHAnsi" w:hAnsiTheme="minorHAnsi" w:cstheme="minorHAnsi"/>
                          <w:sz w:val="22"/>
                          <w:szCs w:val="22"/>
                        </w:rPr>
                        <w:t xml:space="preserve">Presented by: </w:t>
                      </w:r>
                      <w:r>
                        <w:rPr>
                          <w:rFonts w:asciiTheme="minorHAnsi" w:hAnsiTheme="minorHAnsi" w:cstheme="minorHAnsi"/>
                          <w:sz w:val="22"/>
                          <w:szCs w:val="22"/>
                        </w:rPr>
                        <w:tab/>
                      </w:r>
                      <w:r>
                        <w:rPr>
                          <w:rFonts w:asciiTheme="minorHAnsi" w:hAnsiTheme="minorHAnsi" w:cstheme="minorHAnsi"/>
                          <w:sz w:val="22"/>
                          <w:szCs w:val="22"/>
                        </w:rPr>
                        <w:tab/>
                      </w:r>
                      <w:r w:rsidRPr="004A45AE">
                        <w:rPr>
                          <w:rFonts w:asciiTheme="minorHAnsi" w:hAnsiTheme="minorHAnsi" w:cstheme="minorHAnsi"/>
                          <w:sz w:val="22"/>
                          <w:szCs w:val="22"/>
                        </w:rPr>
                        <w:t>Laura Whitton</w:t>
                      </w:r>
                    </w:p>
                    <w:p w:rsidR="00BD3CC0" w:rsidRPr="000D1B0D" w:rsidRDefault="00BD3CC0">
                      <w:pPr>
                        <w:rPr>
                          <w:rFonts w:ascii="Calibri" w:hAnsi="Calibri"/>
                          <w:sz w:val="22"/>
                          <w:szCs w:val="22"/>
                        </w:rPr>
                      </w:pPr>
                    </w:p>
                  </w:txbxContent>
                </v:textbox>
              </v:rect>
            </w:pict>
          </mc:Fallback>
        </mc:AlternateContent>
      </w: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817C86" w:rsidP="00D3211A">
      <w:pPr>
        <w:pStyle w:val="Default"/>
        <w:jc w:val="both"/>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57216" behindDoc="0" locked="0" layoutInCell="1" allowOverlap="1">
                <wp:simplePos x="0" y="0"/>
                <wp:positionH relativeFrom="column">
                  <wp:posOffset>-2540</wp:posOffset>
                </wp:positionH>
                <wp:positionV relativeFrom="paragraph">
                  <wp:posOffset>137795</wp:posOffset>
                </wp:positionV>
                <wp:extent cx="6294120" cy="1348740"/>
                <wp:effectExtent l="6985" t="13970" r="13970" b="889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4120" cy="1348740"/>
                        </a:xfrm>
                        <a:prstGeom prst="rect">
                          <a:avLst/>
                        </a:prstGeom>
                        <a:solidFill>
                          <a:srgbClr val="FFFFFF"/>
                        </a:solidFill>
                        <a:ln w="9525">
                          <a:solidFill>
                            <a:srgbClr val="000000"/>
                          </a:solidFill>
                          <a:miter lim="800000"/>
                          <a:headEnd/>
                          <a:tailEnd/>
                        </a:ln>
                      </wps:spPr>
                      <wps:txbx>
                        <w:txbxContent>
                          <w:p w:rsidR="00BD3CC0" w:rsidRPr="000D1B0D" w:rsidRDefault="00BD3CC0" w:rsidP="007C526F">
                            <w:pPr>
                              <w:rPr>
                                <w:rFonts w:ascii="Calibri" w:hAnsi="Calibri"/>
                                <w:b/>
                                <w:sz w:val="22"/>
                                <w:szCs w:val="22"/>
                              </w:rPr>
                            </w:pPr>
                            <w:r w:rsidRPr="000D1B0D">
                              <w:rPr>
                                <w:rFonts w:ascii="Calibri" w:hAnsi="Calibri"/>
                                <w:b/>
                                <w:sz w:val="22"/>
                                <w:szCs w:val="22"/>
                              </w:rPr>
                              <w:t>STATUS OF THE REPORT</w:t>
                            </w:r>
                          </w:p>
                          <w:p w:rsidR="00BD3CC0" w:rsidRPr="000D1B0D" w:rsidRDefault="00BD3CC0">
                            <w:pPr>
                              <w:rPr>
                                <w:rFonts w:ascii="Calibri" w:hAnsi="Calibri"/>
                                <w:sz w:val="22"/>
                                <w:szCs w:val="22"/>
                              </w:rPr>
                            </w:pPr>
                          </w:p>
                          <w:p w:rsidR="00BD3CC0" w:rsidRPr="000D1B0D" w:rsidRDefault="00BD3CC0" w:rsidP="00136B75">
                            <w:pPr>
                              <w:spacing w:line="360" w:lineRule="auto"/>
                              <w:rPr>
                                <w:rFonts w:ascii="Calibri" w:hAnsi="Calibri"/>
                                <w:sz w:val="22"/>
                                <w:szCs w:val="22"/>
                              </w:rPr>
                            </w:pPr>
                            <w:r w:rsidRPr="000D1B0D">
                              <w:rPr>
                                <w:rFonts w:ascii="Calibri" w:hAnsi="Calibri"/>
                                <w:sz w:val="22"/>
                                <w:szCs w:val="22"/>
                              </w:rPr>
                              <w:t xml:space="preserve">For Information </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r>
                              <w:rPr>
                                <w:rFonts w:ascii="Calibri" w:hAnsi="Calibri"/>
                                <w:sz w:val="22"/>
                                <w:szCs w:val="22"/>
                              </w:rPr>
                              <w:t xml:space="preserve"> X</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p>
                          <w:p w:rsidR="00BD3CC0" w:rsidRPr="000D1B0D" w:rsidRDefault="00BD3CC0" w:rsidP="00136B75">
                            <w:pPr>
                              <w:spacing w:line="360" w:lineRule="auto"/>
                              <w:rPr>
                                <w:rFonts w:ascii="Calibri" w:hAnsi="Calibri"/>
                                <w:sz w:val="22"/>
                                <w:szCs w:val="22"/>
                              </w:rPr>
                            </w:pPr>
                            <w:r w:rsidRPr="000D1B0D">
                              <w:rPr>
                                <w:rFonts w:ascii="Calibri" w:hAnsi="Calibri"/>
                                <w:sz w:val="22"/>
                                <w:szCs w:val="22"/>
                              </w:rPr>
                              <w:t>For Discussion</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r>
                              <w:rPr>
                                <w:rFonts w:ascii="Calibri" w:hAnsi="Calibri"/>
                                <w:sz w:val="22"/>
                                <w:szCs w:val="22"/>
                              </w:rPr>
                              <w:t xml:space="preserve"> X</w:t>
                            </w:r>
                          </w:p>
                          <w:p w:rsidR="00BD3CC0" w:rsidRPr="000D1B0D" w:rsidRDefault="00BD3CC0" w:rsidP="00136B75">
                            <w:pPr>
                              <w:spacing w:line="360" w:lineRule="auto"/>
                              <w:rPr>
                                <w:rFonts w:ascii="Calibri" w:hAnsi="Calibri"/>
                                <w:sz w:val="22"/>
                                <w:szCs w:val="22"/>
                              </w:rPr>
                            </w:pPr>
                            <w:r w:rsidRPr="000D1B0D">
                              <w:rPr>
                                <w:rFonts w:ascii="Calibri" w:hAnsi="Calibri"/>
                                <w:sz w:val="22"/>
                                <w:szCs w:val="22"/>
                              </w:rPr>
                              <w:t>For Approval / Ratification</w:t>
                            </w:r>
                            <w:r w:rsidRPr="000D1B0D">
                              <w:rPr>
                                <w:rFonts w:ascii="Calibri" w:hAnsi="Calibri"/>
                                <w:sz w:val="22"/>
                                <w:szCs w:val="22"/>
                              </w:rPr>
                              <w:tab/>
                            </w:r>
                            <w:r w:rsidRPr="000D1B0D">
                              <w:rPr>
                                <w:rFonts w:ascii="Calibri" w:hAnsi="Calibri"/>
                                <w:sz w:val="22"/>
                                <w:szCs w:val="22"/>
                              </w:rPr>
                              <w:tab/>
                            </w:r>
                            <w:r w:rsidR="00817C86">
                              <w:rPr>
                                <w:rFonts w:ascii="Calibri" w:hAnsi="Calibri"/>
                                <w:noProof/>
                                <w:sz w:val="22"/>
                                <w:szCs w:val="22"/>
                                <w:lang w:eastAsia="en-GB"/>
                              </w:rPr>
                              <w:drawing>
                                <wp:inline distT="0" distB="0" distL="0" distR="0">
                                  <wp:extent cx="152400" cy="1447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447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left:0;text-align:left;margin-left:-.2pt;margin-top:10.85pt;width:495.6pt;height:10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">
                <v:textbox>
                  <w:txbxContent>
                    <w:p w:rsidR="00BD3CC0" w:rsidRPr="000D1B0D" w:rsidRDefault="00BD3CC0" w:rsidP="007C526F">
                      <w:pPr>
                        <w:rPr>
                          <w:rFonts w:ascii="Calibri" w:hAnsi="Calibri"/>
                          <w:b/>
                          <w:sz w:val="22"/>
                          <w:szCs w:val="22"/>
                        </w:rPr>
                      </w:pPr>
                      <w:r w:rsidRPr="000D1B0D">
                        <w:rPr>
                          <w:rFonts w:ascii="Calibri" w:hAnsi="Calibri"/>
                          <w:b/>
                          <w:sz w:val="22"/>
                          <w:szCs w:val="22"/>
                        </w:rPr>
                        <w:t>STATUS OF THE REPORT</w:t>
                      </w:r>
                    </w:p>
                    <w:p w:rsidR="00BD3CC0" w:rsidRPr="000D1B0D" w:rsidRDefault="00BD3CC0">
                      <w:pPr>
                        <w:rPr>
                          <w:rFonts w:ascii="Calibri" w:hAnsi="Calibri"/>
                          <w:sz w:val="22"/>
                          <w:szCs w:val="22"/>
                        </w:rPr>
                      </w:pPr>
                    </w:p>
                    <w:p w:rsidR="00BD3CC0" w:rsidRPr="000D1B0D" w:rsidRDefault="00BD3CC0" w:rsidP="00136B75">
                      <w:pPr>
                        <w:spacing w:line="360" w:lineRule="auto"/>
                        <w:rPr>
                          <w:rFonts w:ascii="Calibri" w:hAnsi="Calibri"/>
                          <w:sz w:val="22"/>
                          <w:szCs w:val="22"/>
                        </w:rPr>
                      </w:pPr>
                      <w:r w:rsidRPr="000D1B0D">
                        <w:rPr>
                          <w:rFonts w:ascii="Calibri" w:hAnsi="Calibri"/>
                          <w:sz w:val="22"/>
                          <w:szCs w:val="22"/>
                        </w:rPr>
                        <w:t xml:space="preserve">For Information </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r>
                        <w:rPr>
                          <w:rFonts w:ascii="Calibri" w:hAnsi="Calibri"/>
                          <w:sz w:val="22"/>
                          <w:szCs w:val="22"/>
                        </w:rPr>
                        <w:t xml:space="preserve"> X</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p>
                    <w:p w:rsidR="00BD3CC0" w:rsidRPr="000D1B0D" w:rsidRDefault="00BD3CC0" w:rsidP="00136B75">
                      <w:pPr>
                        <w:spacing w:line="360" w:lineRule="auto"/>
                        <w:rPr>
                          <w:rFonts w:ascii="Calibri" w:hAnsi="Calibri"/>
                          <w:sz w:val="22"/>
                          <w:szCs w:val="22"/>
                        </w:rPr>
                      </w:pPr>
                      <w:r w:rsidRPr="000D1B0D">
                        <w:rPr>
                          <w:rFonts w:ascii="Calibri" w:hAnsi="Calibri"/>
                          <w:sz w:val="22"/>
                          <w:szCs w:val="22"/>
                        </w:rPr>
                        <w:t>For Discussion</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r>
                        <w:rPr>
                          <w:rFonts w:ascii="Calibri" w:hAnsi="Calibri"/>
                          <w:sz w:val="22"/>
                          <w:szCs w:val="22"/>
                        </w:rPr>
                        <w:t xml:space="preserve"> X</w:t>
                      </w:r>
                    </w:p>
                    <w:p w:rsidR="00BD3CC0" w:rsidRPr="000D1B0D" w:rsidRDefault="00BD3CC0" w:rsidP="00136B75">
                      <w:pPr>
                        <w:spacing w:line="360" w:lineRule="auto"/>
                        <w:rPr>
                          <w:rFonts w:ascii="Calibri" w:hAnsi="Calibri"/>
                          <w:sz w:val="22"/>
                          <w:szCs w:val="22"/>
                        </w:rPr>
                      </w:pPr>
                      <w:r w:rsidRPr="000D1B0D">
                        <w:rPr>
                          <w:rFonts w:ascii="Calibri" w:hAnsi="Calibri"/>
                          <w:sz w:val="22"/>
                          <w:szCs w:val="22"/>
                        </w:rPr>
                        <w:t>For Approval / Ratification</w:t>
                      </w:r>
                      <w:r w:rsidRPr="000D1B0D">
                        <w:rPr>
                          <w:rFonts w:ascii="Calibri" w:hAnsi="Calibri"/>
                          <w:sz w:val="22"/>
                          <w:szCs w:val="22"/>
                        </w:rPr>
                        <w:tab/>
                      </w:r>
                      <w:r w:rsidRPr="000D1B0D">
                        <w:rPr>
                          <w:rFonts w:ascii="Calibri" w:hAnsi="Calibri"/>
                          <w:sz w:val="22"/>
                          <w:szCs w:val="22"/>
                        </w:rPr>
                        <w:tab/>
                      </w:r>
                      <w:r w:rsidR="00817C86">
                        <w:rPr>
                          <w:rFonts w:ascii="Calibri" w:hAnsi="Calibri"/>
                          <w:noProof/>
                          <w:sz w:val="22"/>
                          <w:szCs w:val="22"/>
                          <w:lang w:eastAsia="en-GB"/>
                        </w:rPr>
                        <w:drawing>
                          <wp:inline distT="0" distB="0" distL="0" distR="0">
                            <wp:extent cx="152400" cy="1447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44780"/>
                                    </a:xfrm>
                                    <a:prstGeom prst="rect">
                                      <a:avLst/>
                                    </a:prstGeom>
                                    <a:noFill/>
                                    <a:ln>
                                      <a:noFill/>
                                    </a:ln>
                                  </pic:spPr>
                                </pic:pic>
                              </a:graphicData>
                            </a:graphic>
                          </wp:inline>
                        </w:drawing>
                      </w:r>
                    </w:p>
                  </w:txbxContent>
                </v:textbox>
              </v:rect>
            </w:pict>
          </mc:Fallback>
        </mc:AlternateContent>
      </w: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9D4EDC" w:rsidRDefault="009D4EDC"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8001"/>
      </w:tblGrid>
      <w:tr w:rsidR="009D4EDC" w:rsidRPr="000D1B0D" w:rsidTr="00153351">
        <w:tc>
          <w:tcPr>
            <w:tcW w:w="2079" w:type="dxa"/>
            <w:tcBorders>
              <w:bottom w:val="single" w:sz="4" w:space="0" w:color="auto"/>
            </w:tcBorders>
            <w:shd w:val="clear" w:color="auto" w:fill="auto"/>
          </w:tcPr>
          <w:p w:rsidR="004B3529" w:rsidRDefault="004B3529" w:rsidP="009D4EDC">
            <w:pPr>
              <w:rPr>
                <w:rFonts w:ascii="Calibri" w:hAnsi="Calibri"/>
                <w:b/>
                <w:sz w:val="22"/>
                <w:szCs w:val="22"/>
              </w:rPr>
            </w:pPr>
          </w:p>
          <w:p w:rsidR="009D4EDC" w:rsidRPr="000D1B0D" w:rsidRDefault="009D4EDC" w:rsidP="009D4EDC">
            <w:pPr>
              <w:rPr>
                <w:rFonts w:ascii="Calibri" w:hAnsi="Calibri"/>
                <w:b/>
                <w:sz w:val="22"/>
                <w:szCs w:val="22"/>
              </w:rPr>
            </w:pPr>
            <w:r w:rsidRPr="000D1B0D">
              <w:rPr>
                <w:rFonts w:ascii="Calibri" w:hAnsi="Calibri"/>
                <w:b/>
                <w:sz w:val="22"/>
                <w:szCs w:val="22"/>
              </w:rPr>
              <w:t>PURPOSE OF REPORT:</w:t>
            </w:r>
          </w:p>
          <w:p w:rsidR="009D4EDC" w:rsidRPr="000D1B0D" w:rsidRDefault="009D4EDC" w:rsidP="000D1B0D">
            <w:pPr>
              <w:pStyle w:val="Default"/>
              <w:jc w:val="both"/>
              <w:rPr>
                <w:rFonts w:ascii="Calibri" w:hAnsi="Calibri" w:cs="Calibri"/>
                <w:b/>
                <w:sz w:val="20"/>
                <w:szCs w:val="20"/>
              </w:rPr>
            </w:pPr>
          </w:p>
        </w:tc>
        <w:tc>
          <w:tcPr>
            <w:tcW w:w="8001" w:type="dxa"/>
            <w:shd w:val="clear" w:color="auto" w:fill="auto"/>
          </w:tcPr>
          <w:p w:rsidR="004B3529" w:rsidRPr="004A45AE" w:rsidRDefault="004B3529" w:rsidP="000D1B0D">
            <w:pPr>
              <w:pStyle w:val="Default"/>
              <w:jc w:val="both"/>
              <w:rPr>
                <w:rFonts w:asciiTheme="minorHAnsi" w:hAnsiTheme="minorHAnsi" w:cstheme="minorHAnsi"/>
                <w:bCs/>
                <w:sz w:val="22"/>
                <w:szCs w:val="22"/>
              </w:rPr>
            </w:pPr>
          </w:p>
          <w:p w:rsidR="00E76606" w:rsidRPr="004A45AE" w:rsidRDefault="007211F9" w:rsidP="000D1B0D">
            <w:pPr>
              <w:pStyle w:val="Default"/>
              <w:jc w:val="both"/>
              <w:rPr>
                <w:rFonts w:asciiTheme="minorHAnsi" w:hAnsiTheme="minorHAnsi" w:cstheme="minorHAnsi"/>
                <w:sz w:val="22"/>
                <w:szCs w:val="22"/>
              </w:rPr>
            </w:pPr>
            <w:r w:rsidRPr="004A45AE">
              <w:rPr>
                <w:rFonts w:asciiTheme="minorHAnsi" w:hAnsiTheme="minorHAnsi" w:cstheme="minorHAnsi"/>
                <w:bCs/>
                <w:sz w:val="22"/>
                <w:szCs w:val="22"/>
              </w:rPr>
              <w:t>To provide an update on the CCG</w:t>
            </w:r>
            <w:r w:rsidR="003901FE">
              <w:rPr>
                <w:rFonts w:asciiTheme="minorHAnsi" w:hAnsiTheme="minorHAnsi" w:cstheme="minorHAnsi"/>
                <w:bCs/>
                <w:sz w:val="22"/>
                <w:szCs w:val="22"/>
              </w:rPr>
              <w:t>s</w:t>
            </w:r>
            <w:r w:rsidRPr="004A45AE">
              <w:rPr>
                <w:rFonts w:asciiTheme="minorHAnsi" w:hAnsiTheme="minorHAnsi" w:cstheme="minorHAnsi"/>
                <w:bCs/>
                <w:sz w:val="22"/>
                <w:szCs w:val="22"/>
              </w:rPr>
              <w:t xml:space="preserve"> financial position </w:t>
            </w:r>
            <w:r w:rsidR="004A45AE">
              <w:rPr>
                <w:rFonts w:asciiTheme="minorHAnsi" w:hAnsiTheme="minorHAnsi" w:cstheme="minorHAnsi"/>
                <w:bCs/>
                <w:sz w:val="22"/>
                <w:szCs w:val="22"/>
              </w:rPr>
              <w:t>as at</w:t>
            </w:r>
            <w:r w:rsidRPr="004A45AE">
              <w:rPr>
                <w:rFonts w:asciiTheme="minorHAnsi" w:hAnsiTheme="minorHAnsi" w:cstheme="minorHAnsi"/>
                <w:bCs/>
                <w:sz w:val="22"/>
                <w:szCs w:val="22"/>
              </w:rPr>
              <w:t xml:space="preserve"> May 2016</w:t>
            </w:r>
            <w:r w:rsidR="004A45AE">
              <w:rPr>
                <w:rFonts w:asciiTheme="minorHAnsi" w:hAnsiTheme="minorHAnsi" w:cstheme="minorHAnsi"/>
                <w:bCs/>
                <w:sz w:val="22"/>
                <w:szCs w:val="22"/>
              </w:rPr>
              <w:t xml:space="preserve"> and the financial risks that need to be managed in the remainder of the year. </w:t>
            </w:r>
          </w:p>
          <w:p w:rsidR="00E76606" w:rsidRPr="004A45AE" w:rsidRDefault="00E76606" w:rsidP="007211F9">
            <w:pPr>
              <w:pStyle w:val="Default"/>
              <w:jc w:val="both"/>
              <w:rPr>
                <w:rFonts w:asciiTheme="minorHAnsi" w:hAnsiTheme="minorHAnsi" w:cstheme="minorHAnsi"/>
                <w:sz w:val="22"/>
                <w:szCs w:val="22"/>
              </w:rPr>
            </w:pPr>
          </w:p>
        </w:tc>
      </w:tr>
      <w:tr w:rsidR="009D4EDC" w:rsidRPr="000D1B0D" w:rsidTr="00153351">
        <w:tc>
          <w:tcPr>
            <w:tcW w:w="2079" w:type="dxa"/>
            <w:shd w:val="clear" w:color="auto" w:fill="595959"/>
          </w:tcPr>
          <w:p w:rsidR="009D4EDC" w:rsidRPr="000D1B0D" w:rsidRDefault="009D4EDC" w:rsidP="000D1B0D">
            <w:pPr>
              <w:pStyle w:val="Default"/>
              <w:jc w:val="both"/>
              <w:rPr>
                <w:rFonts w:ascii="Calibri" w:hAnsi="Calibri" w:cs="Calibri"/>
                <w:b/>
                <w:color w:val="FFFFFF"/>
                <w:sz w:val="20"/>
                <w:szCs w:val="20"/>
              </w:rPr>
            </w:pPr>
          </w:p>
          <w:p w:rsidR="009D4EDC" w:rsidRPr="000D1B0D" w:rsidRDefault="009D4EDC" w:rsidP="000D1B0D">
            <w:pPr>
              <w:pStyle w:val="Default"/>
              <w:jc w:val="both"/>
              <w:rPr>
                <w:rFonts w:ascii="Calibri" w:hAnsi="Calibri" w:cs="Calibri"/>
                <w:b/>
                <w:color w:val="FFFFFF"/>
                <w:sz w:val="20"/>
                <w:szCs w:val="20"/>
              </w:rPr>
            </w:pPr>
            <w:r w:rsidRPr="000D1B0D">
              <w:rPr>
                <w:rFonts w:ascii="Calibri" w:hAnsi="Calibri" w:cs="Calibri"/>
                <w:b/>
                <w:color w:val="FFFFFF"/>
                <w:sz w:val="20"/>
                <w:szCs w:val="20"/>
              </w:rPr>
              <w:t>Recommendations:</w:t>
            </w:r>
          </w:p>
        </w:tc>
        <w:tc>
          <w:tcPr>
            <w:tcW w:w="8001" w:type="dxa"/>
            <w:shd w:val="clear" w:color="auto" w:fill="auto"/>
          </w:tcPr>
          <w:p w:rsidR="00153351" w:rsidRPr="004A45AE" w:rsidRDefault="00153351" w:rsidP="00153351">
            <w:pPr>
              <w:pStyle w:val="Default"/>
              <w:jc w:val="both"/>
              <w:rPr>
                <w:rFonts w:asciiTheme="minorHAnsi" w:hAnsiTheme="minorHAnsi" w:cstheme="minorHAnsi"/>
                <w:bCs/>
                <w:sz w:val="22"/>
                <w:szCs w:val="22"/>
              </w:rPr>
            </w:pPr>
          </w:p>
          <w:p w:rsidR="004A45AE" w:rsidRDefault="00153351" w:rsidP="000D1B0D">
            <w:pPr>
              <w:pStyle w:val="Default"/>
              <w:jc w:val="both"/>
              <w:rPr>
                <w:rFonts w:asciiTheme="minorHAnsi" w:hAnsiTheme="minorHAnsi" w:cstheme="minorHAnsi"/>
                <w:bCs/>
                <w:sz w:val="22"/>
                <w:szCs w:val="22"/>
              </w:rPr>
            </w:pPr>
            <w:r w:rsidRPr="004A45AE">
              <w:rPr>
                <w:rFonts w:asciiTheme="minorHAnsi" w:hAnsiTheme="minorHAnsi" w:cstheme="minorHAnsi"/>
                <w:bCs/>
                <w:sz w:val="22"/>
                <w:szCs w:val="22"/>
              </w:rPr>
              <w:t>The Partnership Board is asked to note</w:t>
            </w:r>
            <w:r w:rsidR="004A45AE">
              <w:rPr>
                <w:rFonts w:asciiTheme="minorHAnsi" w:hAnsiTheme="minorHAnsi" w:cstheme="minorHAnsi"/>
                <w:bCs/>
                <w:sz w:val="22"/>
                <w:szCs w:val="22"/>
              </w:rPr>
              <w:t>:-</w:t>
            </w:r>
          </w:p>
          <w:p w:rsidR="009D4EDC" w:rsidRPr="004A45AE" w:rsidRDefault="00153351" w:rsidP="004A45AE">
            <w:pPr>
              <w:pStyle w:val="Default"/>
              <w:numPr>
                <w:ilvl w:val="0"/>
                <w:numId w:val="8"/>
              </w:numPr>
              <w:jc w:val="both"/>
              <w:rPr>
                <w:rFonts w:asciiTheme="minorHAnsi" w:hAnsiTheme="minorHAnsi" w:cstheme="minorHAnsi"/>
                <w:sz w:val="22"/>
                <w:szCs w:val="22"/>
              </w:rPr>
            </w:pPr>
            <w:r w:rsidRPr="004A45AE">
              <w:rPr>
                <w:rFonts w:asciiTheme="minorHAnsi" w:hAnsiTheme="minorHAnsi" w:cstheme="minorHAnsi"/>
                <w:bCs/>
                <w:sz w:val="22"/>
                <w:szCs w:val="22"/>
              </w:rPr>
              <w:t xml:space="preserve">the financial position </w:t>
            </w:r>
            <w:r w:rsidR="004A45AE">
              <w:rPr>
                <w:rFonts w:asciiTheme="minorHAnsi" w:hAnsiTheme="minorHAnsi" w:cstheme="minorHAnsi"/>
                <w:bCs/>
                <w:sz w:val="22"/>
                <w:szCs w:val="22"/>
              </w:rPr>
              <w:t>as at May 2016</w:t>
            </w:r>
          </w:p>
          <w:p w:rsidR="004A45AE" w:rsidRPr="004A45AE" w:rsidRDefault="004A45AE" w:rsidP="004A45AE">
            <w:pPr>
              <w:pStyle w:val="Default"/>
              <w:numPr>
                <w:ilvl w:val="0"/>
                <w:numId w:val="8"/>
              </w:numPr>
              <w:jc w:val="both"/>
              <w:rPr>
                <w:rFonts w:asciiTheme="minorHAnsi" w:hAnsiTheme="minorHAnsi" w:cstheme="minorHAnsi"/>
                <w:sz w:val="22"/>
                <w:szCs w:val="22"/>
              </w:rPr>
            </w:pPr>
            <w:r>
              <w:rPr>
                <w:rFonts w:asciiTheme="minorHAnsi" w:hAnsiTheme="minorHAnsi" w:cstheme="minorHAnsi"/>
                <w:bCs/>
                <w:sz w:val="22"/>
                <w:szCs w:val="22"/>
              </w:rPr>
              <w:t>the risks that need to be managed in the reminder of the year and the actions being taken to do this</w:t>
            </w:r>
          </w:p>
          <w:p w:rsidR="009D4EDC" w:rsidRPr="004A45AE" w:rsidRDefault="009D4EDC" w:rsidP="000D1B0D">
            <w:pPr>
              <w:pStyle w:val="Default"/>
              <w:jc w:val="both"/>
              <w:rPr>
                <w:rFonts w:asciiTheme="minorHAnsi" w:hAnsiTheme="minorHAnsi" w:cstheme="minorHAnsi"/>
                <w:sz w:val="22"/>
                <w:szCs w:val="22"/>
              </w:rPr>
            </w:pPr>
          </w:p>
        </w:tc>
      </w:tr>
      <w:tr w:rsidR="008A2DC2" w:rsidRPr="000D1B0D" w:rsidTr="00153351">
        <w:tc>
          <w:tcPr>
            <w:tcW w:w="2079" w:type="dxa"/>
            <w:shd w:val="clear" w:color="auto" w:fill="auto"/>
          </w:tcPr>
          <w:p w:rsidR="008A2DC2" w:rsidRPr="000D1B0D" w:rsidRDefault="008A2DC2" w:rsidP="004A45AE">
            <w:pPr>
              <w:pStyle w:val="Default"/>
              <w:rPr>
                <w:rFonts w:ascii="Calibri" w:hAnsi="Calibri" w:cs="Calibri"/>
                <w:b/>
                <w:sz w:val="20"/>
                <w:szCs w:val="20"/>
              </w:rPr>
            </w:pPr>
            <w:r w:rsidRPr="000D1B0D">
              <w:rPr>
                <w:rFonts w:ascii="Calibri" w:hAnsi="Calibri" w:cs="Calibri"/>
                <w:b/>
                <w:sz w:val="20"/>
                <w:szCs w:val="20"/>
              </w:rPr>
              <w:t>Sub Committee Process and Assurance:</w:t>
            </w:r>
          </w:p>
          <w:p w:rsidR="008A2DC2" w:rsidRPr="000D1B0D" w:rsidRDefault="008A2DC2" w:rsidP="004A45AE">
            <w:pPr>
              <w:pStyle w:val="Default"/>
              <w:jc w:val="both"/>
              <w:rPr>
                <w:rFonts w:ascii="Calibri" w:hAnsi="Calibri" w:cs="Calibri"/>
                <w:b/>
                <w:sz w:val="20"/>
                <w:szCs w:val="20"/>
              </w:rPr>
            </w:pPr>
          </w:p>
        </w:tc>
        <w:tc>
          <w:tcPr>
            <w:tcW w:w="8001" w:type="dxa"/>
            <w:shd w:val="clear" w:color="auto" w:fill="auto"/>
          </w:tcPr>
          <w:p w:rsidR="008A2DC2" w:rsidRPr="004A45AE" w:rsidRDefault="00F57D8A" w:rsidP="004A45AE">
            <w:pPr>
              <w:pStyle w:val="Default"/>
              <w:jc w:val="both"/>
              <w:rPr>
                <w:rFonts w:asciiTheme="minorHAnsi" w:hAnsiTheme="minorHAnsi" w:cstheme="minorHAnsi"/>
                <w:sz w:val="22"/>
                <w:szCs w:val="22"/>
              </w:rPr>
            </w:pPr>
            <w:r>
              <w:rPr>
                <w:rFonts w:asciiTheme="minorHAnsi" w:hAnsiTheme="minorHAnsi" w:cstheme="minorHAnsi"/>
                <w:sz w:val="22"/>
                <w:szCs w:val="22"/>
              </w:rPr>
              <w:t xml:space="preserve">A more detailed </w:t>
            </w:r>
            <w:r w:rsidR="003901FE">
              <w:rPr>
                <w:rFonts w:asciiTheme="minorHAnsi" w:hAnsiTheme="minorHAnsi" w:cstheme="minorHAnsi"/>
                <w:sz w:val="22"/>
                <w:szCs w:val="22"/>
              </w:rPr>
              <w:t xml:space="preserve">version </w:t>
            </w:r>
            <w:r>
              <w:rPr>
                <w:rFonts w:asciiTheme="minorHAnsi" w:hAnsiTheme="minorHAnsi" w:cstheme="minorHAnsi"/>
                <w:sz w:val="22"/>
                <w:szCs w:val="22"/>
              </w:rPr>
              <w:t>of this report was taken to &amp; discussed at the Delivery Assurance Committee on the 29</w:t>
            </w:r>
            <w:r w:rsidRPr="00F57D8A">
              <w:rPr>
                <w:rFonts w:asciiTheme="minorHAnsi" w:hAnsiTheme="minorHAnsi" w:cstheme="minorHAnsi"/>
                <w:sz w:val="22"/>
                <w:szCs w:val="22"/>
                <w:vertAlign w:val="superscript"/>
              </w:rPr>
              <w:t>th</w:t>
            </w:r>
            <w:r>
              <w:rPr>
                <w:rFonts w:asciiTheme="minorHAnsi" w:hAnsiTheme="minorHAnsi" w:cstheme="minorHAnsi"/>
                <w:sz w:val="22"/>
                <w:szCs w:val="22"/>
              </w:rPr>
              <w:t xml:space="preserve"> June. </w:t>
            </w:r>
          </w:p>
          <w:p w:rsidR="008A2DC2" w:rsidRPr="004A45AE" w:rsidRDefault="008A2DC2" w:rsidP="004A45AE">
            <w:pPr>
              <w:pStyle w:val="Default"/>
              <w:jc w:val="both"/>
              <w:rPr>
                <w:rFonts w:asciiTheme="minorHAnsi" w:hAnsiTheme="minorHAnsi" w:cstheme="minorHAnsi"/>
                <w:sz w:val="22"/>
                <w:szCs w:val="22"/>
              </w:rPr>
            </w:pPr>
          </w:p>
        </w:tc>
      </w:tr>
      <w:tr w:rsidR="00473CC5" w:rsidRPr="000D1B0D" w:rsidTr="00153351">
        <w:tc>
          <w:tcPr>
            <w:tcW w:w="2079" w:type="dxa"/>
            <w:shd w:val="clear" w:color="auto" w:fill="D9D9D9"/>
          </w:tcPr>
          <w:p w:rsidR="00473CC5" w:rsidRPr="000D1B0D" w:rsidRDefault="00473CC5" w:rsidP="009D4EDC">
            <w:pPr>
              <w:pStyle w:val="Default"/>
              <w:rPr>
                <w:rFonts w:ascii="Calibri" w:hAnsi="Calibri" w:cs="Calibri"/>
                <w:b/>
                <w:i/>
                <w:sz w:val="20"/>
                <w:szCs w:val="20"/>
              </w:rPr>
            </w:pPr>
            <w:r w:rsidRPr="000D1B0D">
              <w:rPr>
                <w:rFonts w:ascii="Calibri" w:hAnsi="Calibri" w:cs="Calibri"/>
                <w:b/>
                <w:i/>
                <w:sz w:val="20"/>
                <w:szCs w:val="20"/>
              </w:rPr>
              <w:t>Implications:</w:t>
            </w:r>
          </w:p>
        </w:tc>
        <w:tc>
          <w:tcPr>
            <w:tcW w:w="8001" w:type="dxa"/>
            <w:shd w:val="clear" w:color="auto" w:fill="D9D9D9"/>
          </w:tcPr>
          <w:p w:rsidR="00473CC5" w:rsidRPr="004A45AE" w:rsidRDefault="00473CC5" w:rsidP="000D1B0D">
            <w:pPr>
              <w:pStyle w:val="Default"/>
              <w:jc w:val="both"/>
              <w:rPr>
                <w:rFonts w:asciiTheme="minorHAnsi" w:hAnsiTheme="minorHAnsi" w:cstheme="minorHAnsi"/>
                <w:sz w:val="22"/>
                <w:szCs w:val="22"/>
              </w:rPr>
            </w:pPr>
          </w:p>
        </w:tc>
      </w:tr>
      <w:tr w:rsidR="007E1C2F" w:rsidRPr="000D1B0D" w:rsidTr="00153351">
        <w:tc>
          <w:tcPr>
            <w:tcW w:w="2079" w:type="dxa"/>
            <w:shd w:val="clear" w:color="auto" w:fill="auto"/>
          </w:tcPr>
          <w:p w:rsidR="007E1C2F" w:rsidRPr="000D1B0D" w:rsidRDefault="007E1C2F" w:rsidP="009D4EDC">
            <w:pPr>
              <w:pStyle w:val="Default"/>
              <w:rPr>
                <w:rFonts w:ascii="Calibri" w:hAnsi="Calibri" w:cs="Calibri"/>
                <w:b/>
                <w:sz w:val="20"/>
                <w:szCs w:val="20"/>
              </w:rPr>
            </w:pPr>
            <w:r w:rsidRPr="000D1B0D">
              <w:rPr>
                <w:rFonts w:ascii="Calibri" w:hAnsi="Calibri" w:cs="Calibri"/>
                <w:b/>
                <w:sz w:val="20"/>
                <w:szCs w:val="20"/>
              </w:rPr>
              <w:t>Risk Assurance Framework</w:t>
            </w:r>
            <w:r w:rsidR="00246EFA">
              <w:rPr>
                <w:rFonts w:ascii="Calibri" w:hAnsi="Calibri" w:cs="Calibri"/>
                <w:b/>
                <w:sz w:val="20"/>
                <w:szCs w:val="20"/>
              </w:rPr>
              <w:t xml:space="preserve"> Implications</w:t>
            </w:r>
            <w:r w:rsidRPr="000D1B0D">
              <w:rPr>
                <w:rFonts w:ascii="Calibri" w:hAnsi="Calibri" w:cs="Calibri"/>
                <w:b/>
                <w:sz w:val="20"/>
                <w:szCs w:val="20"/>
              </w:rPr>
              <w:t>:</w:t>
            </w:r>
          </w:p>
          <w:p w:rsidR="007E1C2F" w:rsidRPr="000D1B0D" w:rsidRDefault="007E1C2F" w:rsidP="009D4EDC">
            <w:pPr>
              <w:pStyle w:val="Default"/>
              <w:rPr>
                <w:rFonts w:ascii="Calibri" w:hAnsi="Calibri" w:cs="Calibri"/>
                <w:b/>
                <w:sz w:val="20"/>
                <w:szCs w:val="20"/>
              </w:rPr>
            </w:pPr>
          </w:p>
        </w:tc>
        <w:tc>
          <w:tcPr>
            <w:tcW w:w="8001" w:type="dxa"/>
            <w:shd w:val="clear" w:color="auto" w:fill="auto"/>
          </w:tcPr>
          <w:p w:rsidR="00153351" w:rsidRPr="004A45AE" w:rsidRDefault="00153351" w:rsidP="00153351">
            <w:pPr>
              <w:pStyle w:val="Default"/>
              <w:jc w:val="both"/>
              <w:rPr>
                <w:rFonts w:asciiTheme="minorHAnsi" w:hAnsiTheme="minorHAnsi" w:cstheme="minorHAnsi"/>
                <w:i/>
                <w:sz w:val="22"/>
                <w:szCs w:val="22"/>
              </w:rPr>
            </w:pPr>
            <w:r w:rsidRPr="004A45AE">
              <w:rPr>
                <w:rFonts w:asciiTheme="minorHAnsi" w:hAnsiTheme="minorHAnsi" w:cstheme="minorHAnsi"/>
                <w:sz w:val="22"/>
                <w:szCs w:val="22"/>
              </w:rPr>
              <w:t>None</w:t>
            </w:r>
          </w:p>
          <w:p w:rsidR="00246EFA" w:rsidRPr="004A45AE" w:rsidRDefault="00246EFA" w:rsidP="000D1B0D">
            <w:pPr>
              <w:pStyle w:val="Default"/>
              <w:jc w:val="both"/>
              <w:rPr>
                <w:rFonts w:asciiTheme="minorHAnsi" w:hAnsiTheme="minorHAnsi" w:cstheme="minorHAnsi"/>
                <w:sz w:val="22"/>
                <w:szCs w:val="22"/>
              </w:rPr>
            </w:pPr>
          </w:p>
        </w:tc>
      </w:tr>
      <w:tr w:rsidR="007E1C2F" w:rsidRPr="000D1B0D" w:rsidTr="00153351">
        <w:tc>
          <w:tcPr>
            <w:tcW w:w="2079" w:type="dxa"/>
            <w:shd w:val="clear" w:color="auto" w:fill="auto"/>
          </w:tcPr>
          <w:p w:rsidR="007E1C2F" w:rsidRPr="000D1B0D" w:rsidRDefault="007E1C2F" w:rsidP="009D4EDC">
            <w:pPr>
              <w:pStyle w:val="Default"/>
              <w:rPr>
                <w:rFonts w:ascii="Calibri" w:hAnsi="Calibri" w:cs="Calibri"/>
                <w:b/>
                <w:sz w:val="20"/>
                <w:szCs w:val="20"/>
              </w:rPr>
            </w:pPr>
            <w:r w:rsidRPr="000D1B0D">
              <w:rPr>
                <w:rFonts w:ascii="Calibri" w:hAnsi="Calibri" w:cs="Calibri"/>
                <w:b/>
                <w:sz w:val="20"/>
                <w:szCs w:val="20"/>
              </w:rPr>
              <w:t>Legal Implications:</w:t>
            </w:r>
          </w:p>
          <w:p w:rsidR="007E1C2F" w:rsidRPr="000D1B0D" w:rsidRDefault="007E1C2F" w:rsidP="009D4EDC">
            <w:pPr>
              <w:pStyle w:val="Default"/>
              <w:rPr>
                <w:rFonts w:ascii="Calibri" w:hAnsi="Calibri" w:cs="Calibri"/>
                <w:b/>
                <w:sz w:val="20"/>
                <w:szCs w:val="20"/>
              </w:rPr>
            </w:pPr>
          </w:p>
        </w:tc>
        <w:tc>
          <w:tcPr>
            <w:tcW w:w="8001" w:type="dxa"/>
            <w:shd w:val="clear" w:color="auto" w:fill="auto"/>
          </w:tcPr>
          <w:p w:rsidR="00246EFA" w:rsidRPr="004A45AE" w:rsidRDefault="00153351" w:rsidP="000D1B0D">
            <w:pPr>
              <w:pStyle w:val="Default"/>
              <w:jc w:val="both"/>
              <w:rPr>
                <w:rFonts w:asciiTheme="minorHAnsi" w:hAnsiTheme="minorHAnsi" w:cstheme="minorHAnsi"/>
                <w:i/>
                <w:sz w:val="22"/>
                <w:szCs w:val="22"/>
              </w:rPr>
            </w:pPr>
            <w:r w:rsidRPr="004A45AE">
              <w:rPr>
                <w:rFonts w:asciiTheme="minorHAnsi" w:hAnsiTheme="minorHAnsi" w:cstheme="minorHAnsi"/>
                <w:sz w:val="22"/>
                <w:szCs w:val="22"/>
              </w:rPr>
              <w:t>None</w:t>
            </w:r>
          </w:p>
          <w:p w:rsidR="00246EFA" w:rsidRPr="004A45AE" w:rsidRDefault="00246EFA" w:rsidP="000D1B0D">
            <w:pPr>
              <w:pStyle w:val="Default"/>
              <w:jc w:val="both"/>
              <w:rPr>
                <w:rFonts w:asciiTheme="minorHAnsi" w:hAnsiTheme="minorHAnsi" w:cstheme="minorHAnsi"/>
                <w:sz w:val="22"/>
                <w:szCs w:val="22"/>
              </w:rPr>
            </w:pPr>
          </w:p>
          <w:p w:rsidR="00246EFA" w:rsidRPr="004A45AE" w:rsidRDefault="00246EFA" w:rsidP="000D1B0D">
            <w:pPr>
              <w:pStyle w:val="Default"/>
              <w:jc w:val="both"/>
              <w:rPr>
                <w:rFonts w:asciiTheme="minorHAnsi" w:hAnsiTheme="minorHAnsi" w:cstheme="minorHAnsi"/>
                <w:sz w:val="22"/>
                <w:szCs w:val="22"/>
              </w:rPr>
            </w:pPr>
          </w:p>
        </w:tc>
      </w:tr>
      <w:tr w:rsidR="007E1C2F" w:rsidRPr="000D1B0D" w:rsidTr="00153351">
        <w:tc>
          <w:tcPr>
            <w:tcW w:w="2079" w:type="dxa"/>
            <w:shd w:val="clear" w:color="auto" w:fill="auto"/>
          </w:tcPr>
          <w:p w:rsidR="007E1C2F" w:rsidRPr="000D1B0D" w:rsidRDefault="00473CC5" w:rsidP="009D4EDC">
            <w:pPr>
              <w:pStyle w:val="Default"/>
              <w:rPr>
                <w:rFonts w:ascii="Calibri" w:hAnsi="Calibri" w:cs="Calibri"/>
                <w:b/>
                <w:sz w:val="20"/>
                <w:szCs w:val="20"/>
              </w:rPr>
            </w:pPr>
            <w:r w:rsidRPr="000D1B0D">
              <w:rPr>
                <w:rFonts w:ascii="Calibri" w:hAnsi="Calibri" w:cs="Calibri"/>
                <w:b/>
                <w:sz w:val="20"/>
                <w:szCs w:val="20"/>
              </w:rPr>
              <w:t>Equality Impact Assessment implications:</w:t>
            </w:r>
          </w:p>
          <w:p w:rsidR="00473CC5" w:rsidRPr="000D1B0D" w:rsidRDefault="00473CC5" w:rsidP="009D4EDC">
            <w:pPr>
              <w:pStyle w:val="Default"/>
              <w:rPr>
                <w:rFonts w:ascii="Calibri" w:hAnsi="Calibri" w:cs="Calibri"/>
                <w:b/>
                <w:sz w:val="20"/>
                <w:szCs w:val="20"/>
              </w:rPr>
            </w:pPr>
          </w:p>
        </w:tc>
        <w:tc>
          <w:tcPr>
            <w:tcW w:w="8001" w:type="dxa"/>
            <w:shd w:val="clear" w:color="auto" w:fill="auto"/>
          </w:tcPr>
          <w:p w:rsidR="00153351" w:rsidRPr="004A45AE" w:rsidRDefault="00153351" w:rsidP="00153351">
            <w:pPr>
              <w:pStyle w:val="Default"/>
              <w:jc w:val="both"/>
              <w:rPr>
                <w:rFonts w:asciiTheme="minorHAnsi" w:hAnsiTheme="minorHAnsi" w:cstheme="minorHAnsi"/>
                <w:i/>
                <w:sz w:val="22"/>
                <w:szCs w:val="22"/>
              </w:rPr>
            </w:pPr>
            <w:r w:rsidRPr="004A45AE">
              <w:rPr>
                <w:rFonts w:asciiTheme="minorHAnsi" w:hAnsiTheme="minorHAnsi" w:cstheme="minorHAnsi"/>
                <w:sz w:val="22"/>
                <w:szCs w:val="22"/>
              </w:rPr>
              <w:t>None</w:t>
            </w:r>
          </w:p>
          <w:p w:rsidR="00473CC5" w:rsidRPr="004A45AE" w:rsidRDefault="00473CC5" w:rsidP="000D1B0D">
            <w:pPr>
              <w:pStyle w:val="Default"/>
              <w:jc w:val="both"/>
              <w:rPr>
                <w:rFonts w:asciiTheme="minorHAnsi" w:hAnsiTheme="minorHAnsi" w:cstheme="minorHAnsi"/>
                <w:sz w:val="22"/>
                <w:szCs w:val="22"/>
              </w:rPr>
            </w:pPr>
          </w:p>
        </w:tc>
      </w:tr>
    </w:tbl>
    <w:p w:rsidR="00A37CAD" w:rsidRDefault="00A37CAD">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9"/>
        <w:gridCol w:w="8001"/>
      </w:tblGrid>
      <w:tr w:rsidR="00473CC5" w:rsidRPr="000D1B0D" w:rsidTr="00DF685D">
        <w:tc>
          <w:tcPr>
            <w:tcW w:w="2079" w:type="dxa"/>
            <w:shd w:val="clear" w:color="auto" w:fill="auto"/>
          </w:tcPr>
          <w:p w:rsidR="00473CC5" w:rsidRPr="000D1B0D" w:rsidRDefault="00473CC5" w:rsidP="009D4EDC">
            <w:pPr>
              <w:pStyle w:val="Default"/>
              <w:rPr>
                <w:rFonts w:ascii="Calibri" w:hAnsi="Calibri" w:cs="Calibri"/>
                <w:b/>
                <w:sz w:val="20"/>
                <w:szCs w:val="20"/>
              </w:rPr>
            </w:pPr>
            <w:r w:rsidRPr="000D1B0D">
              <w:rPr>
                <w:rFonts w:ascii="Calibri" w:hAnsi="Calibri" w:cs="Calibri"/>
                <w:b/>
                <w:sz w:val="20"/>
                <w:szCs w:val="20"/>
              </w:rPr>
              <w:t>Finance Implications:</w:t>
            </w:r>
          </w:p>
          <w:p w:rsidR="00473CC5" w:rsidRPr="000D1B0D" w:rsidRDefault="00473CC5" w:rsidP="009D4EDC">
            <w:pPr>
              <w:pStyle w:val="Default"/>
              <w:rPr>
                <w:rFonts w:ascii="Calibri" w:hAnsi="Calibri" w:cs="Calibri"/>
                <w:b/>
                <w:sz w:val="20"/>
                <w:szCs w:val="20"/>
              </w:rPr>
            </w:pPr>
          </w:p>
        </w:tc>
        <w:tc>
          <w:tcPr>
            <w:tcW w:w="8001" w:type="dxa"/>
            <w:shd w:val="clear" w:color="auto" w:fill="auto"/>
          </w:tcPr>
          <w:tbl>
            <w:tblPr>
              <w:tblW w:w="7854" w:type="dxa"/>
              <w:tblLayout w:type="fixed"/>
              <w:tblLook w:val="04A0" w:firstRow="1" w:lastRow="0" w:firstColumn="1" w:lastColumn="0" w:noHBand="0" w:noVBand="1"/>
            </w:tblPr>
            <w:tblGrid>
              <w:gridCol w:w="872"/>
              <w:gridCol w:w="1897"/>
              <w:gridCol w:w="279"/>
              <w:gridCol w:w="454"/>
              <w:gridCol w:w="1554"/>
              <w:gridCol w:w="858"/>
              <w:gridCol w:w="901"/>
              <w:gridCol w:w="1039"/>
            </w:tblGrid>
            <w:tr w:rsidR="00153351" w:rsidRPr="004A45AE" w:rsidTr="00DF685D">
              <w:trPr>
                <w:trHeight w:val="299"/>
              </w:trPr>
              <w:tc>
                <w:tcPr>
                  <w:tcW w:w="872" w:type="dxa"/>
                  <w:tcBorders>
                    <w:top w:val="single" w:sz="8" w:space="0" w:color="auto"/>
                    <w:left w:val="single" w:sz="4" w:space="0" w:color="auto"/>
                    <w:bottom w:val="single" w:sz="4" w:space="0" w:color="auto"/>
                    <w:right w:val="nil"/>
                  </w:tcBorders>
                  <w:shd w:val="clear" w:color="auto" w:fill="auto"/>
                  <w:noWrap/>
                  <w:vAlign w:val="bottom"/>
                  <w:hideMark/>
                </w:tcPr>
                <w:p w:rsidR="00153351" w:rsidRPr="004A45AE" w:rsidRDefault="00153351" w:rsidP="004A45AE">
                  <w:pPr>
                    <w:rPr>
                      <w:rFonts w:asciiTheme="minorHAnsi" w:hAnsiTheme="minorHAnsi" w:cstheme="minorHAnsi"/>
                      <w:color w:val="000000"/>
                      <w:sz w:val="22"/>
                      <w:szCs w:val="22"/>
                      <w:lang w:eastAsia="en-GB"/>
                    </w:rPr>
                  </w:pPr>
                  <w:r w:rsidRPr="004A45AE">
                    <w:rPr>
                      <w:rFonts w:asciiTheme="minorHAnsi" w:hAnsiTheme="minorHAnsi" w:cstheme="minorHAnsi"/>
                      <w:color w:val="000000"/>
                      <w:sz w:val="22"/>
                      <w:szCs w:val="22"/>
                      <w:lang w:eastAsia="en-GB"/>
                    </w:rPr>
                    <w:t> </w:t>
                  </w:r>
                </w:p>
              </w:tc>
              <w:tc>
                <w:tcPr>
                  <w:tcW w:w="1896" w:type="dxa"/>
                  <w:tcBorders>
                    <w:top w:val="single" w:sz="8" w:space="0" w:color="auto"/>
                    <w:left w:val="nil"/>
                    <w:bottom w:val="single" w:sz="4" w:space="0" w:color="auto"/>
                    <w:right w:val="nil"/>
                  </w:tcBorders>
                  <w:shd w:val="clear" w:color="auto" w:fill="auto"/>
                  <w:noWrap/>
                  <w:vAlign w:val="bottom"/>
                  <w:hideMark/>
                </w:tcPr>
                <w:p w:rsidR="00153351" w:rsidRPr="004A45AE" w:rsidRDefault="00153351" w:rsidP="004A45AE">
                  <w:pPr>
                    <w:rPr>
                      <w:rFonts w:asciiTheme="minorHAnsi" w:hAnsiTheme="minorHAnsi" w:cstheme="minorHAnsi"/>
                      <w:color w:val="000000"/>
                      <w:sz w:val="22"/>
                      <w:szCs w:val="22"/>
                      <w:lang w:eastAsia="en-GB"/>
                    </w:rPr>
                  </w:pPr>
                  <w:r w:rsidRPr="004A45AE">
                    <w:rPr>
                      <w:rFonts w:asciiTheme="minorHAnsi" w:hAnsiTheme="minorHAnsi" w:cstheme="minorHAnsi"/>
                      <w:color w:val="000000"/>
                      <w:sz w:val="22"/>
                      <w:szCs w:val="22"/>
                      <w:lang w:eastAsia="en-GB"/>
                    </w:rPr>
                    <w:t> </w:t>
                  </w:r>
                </w:p>
              </w:tc>
              <w:tc>
                <w:tcPr>
                  <w:tcW w:w="279" w:type="dxa"/>
                  <w:tcBorders>
                    <w:top w:val="single" w:sz="8" w:space="0" w:color="auto"/>
                    <w:left w:val="nil"/>
                    <w:bottom w:val="nil"/>
                    <w:right w:val="nil"/>
                  </w:tcBorders>
                  <w:shd w:val="clear" w:color="auto" w:fill="auto"/>
                  <w:noWrap/>
                  <w:vAlign w:val="bottom"/>
                  <w:hideMark/>
                </w:tcPr>
                <w:p w:rsidR="00153351" w:rsidRPr="004A45AE" w:rsidRDefault="00153351" w:rsidP="004A45AE">
                  <w:pPr>
                    <w:rPr>
                      <w:rFonts w:asciiTheme="minorHAnsi" w:hAnsiTheme="minorHAnsi" w:cstheme="minorHAnsi"/>
                      <w:color w:val="000000"/>
                      <w:sz w:val="22"/>
                      <w:szCs w:val="22"/>
                      <w:lang w:eastAsia="en-GB"/>
                    </w:rPr>
                  </w:pPr>
                  <w:r w:rsidRPr="004A45AE">
                    <w:rPr>
                      <w:rFonts w:asciiTheme="minorHAnsi" w:hAnsiTheme="minorHAnsi" w:cstheme="minorHAnsi"/>
                      <w:color w:val="000000"/>
                      <w:sz w:val="22"/>
                      <w:szCs w:val="22"/>
                      <w:lang w:eastAsia="en-GB"/>
                    </w:rPr>
                    <w:t> </w:t>
                  </w:r>
                </w:p>
              </w:tc>
              <w:tc>
                <w:tcPr>
                  <w:tcW w:w="454" w:type="dxa"/>
                  <w:tcBorders>
                    <w:top w:val="single" w:sz="8" w:space="0" w:color="auto"/>
                    <w:left w:val="nil"/>
                    <w:bottom w:val="single" w:sz="4" w:space="0" w:color="auto"/>
                    <w:right w:val="single" w:sz="4" w:space="0" w:color="auto"/>
                  </w:tcBorders>
                  <w:shd w:val="clear" w:color="auto" w:fill="auto"/>
                  <w:noWrap/>
                  <w:vAlign w:val="bottom"/>
                  <w:hideMark/>
                </w:tcPr>
                <w:p w:rsidR="00153351" w:rsidRPr="004A45AE" w:rsidRDefault="00153351" w:rsidP="004A45AE">
                  <w:pPr>
                    <w:rPr>
                      <w:rFonts w:asciiTheme="minorHAnsi" w:hAnsiTheme="minorHAnsi" w:cstheme="minorHAnsi"/>
                      <w:color w:val="000000"/>
                      <w:sz w:val="22"/>
                      <w:szCs w:val="22"/>
                      <w:lang w:eastAsia="en-GB"/>
                    </w:rPr>
                  </w:pPr>
                  <w:r w:rsidRPr="004A45AE">
                    <w:rPr>
                      <w:rFonts w:asciiTheme="minorHAnsi" w:hAnsiTheme="minorHAnsi" w:cstheme="minorHAnsi"/>
                      <w:color w:val="000000"/>
                      <w:sz w:val="22"/>
                      <w:szCs w:val="22"/>
                      <w:lang w:eastAsia="en-GB"/>
                    </w:rPr>
                    <w:t> </w:t>
                  </w:r>
                </w:p>
              </w:tc>
              <w:tc>
                <w:tcPr>
                  <w:tcW w:w="1554" w:type="dxa"/>
                  <w:tcBorders>
                    <w:top w:val="single" w:sz="4" w:space="0" w:color="auto"/>
                    <w:left w:val="nil"/>
                    <w:bottom w:val="single" w:sz="4" w:space="0" w:color="auto"/>
                    <w:right w:val="single" w:sz="4" w:space="0" w:color="auto"/>
                  </w:tcBorders>
                  <w:shd w:val="clear" w:color="auto" w:fill="auto"/>
                  <w:noWrap/>
                  <w:vAlign w:val="center"/>
                  <w:hideMark/>
                </w:tcPr>
                <w:p w:rsidR="00153351" w:rsidRPr="004A45AE" w:rsidRDefault="00153351" w:rsidP="004A45AE">
                  <w:pPr>
                    <w:jc w:val="center"/>
                    <w:rPr>
                      <w:rFonts w:asciiTheme="minorHAnsi" w:hAnsiTheme="minorHAnsi" w:cstheme="minorHAnsi"/>
                      <w:color w:val="000000"/>
                      <w:sz w:val="22"/>
                      <w:szCs w:val="22"/>
                      <w:lang w:eastAsia="en-GB"/>
                    </w:rPr>
                  </w:pPr>
                  <w:r w:rsidRPr="004A45AE">
                    <w:rPr>
                      <w:rFonts w:asciiTheme="minorHAnsi" w:hAnsiTheme="minorHAnsi" w:cstheme="minorHAnsi"/>
                      <w:color w:val="000000"/>
                      <w:sz w:val="22"/>
                      <w:szCs w:val="22"/>
                      <w:lang w:eastAsia="en-GB"/>
                    </w:rPr>
                    <w:t>Classification</w:t>
                  </w:r>
                </w:p>
              </w:tc>
              <w:tc>
                <w:tcPr>
                  <w:tcW w:w="858" w:type="dxa"/>
                  <w:tcBorders>
                    <w:top w:val="single" w:sz="8" w:space="0" w:color="auto"/>
                    <w:left w:val="nil"/>
                    <w:bottom w:val="single" w:sz="4" w:space="0" w:color="auto"/>
                    <w:right w:val="single" w:sz="4" w:space="0" w:color="auto"/>
                  </w:tcBorders>
                  <w:shd w:val="clear" w:color="auto" w:fill="auto"/>
                  <w:noWrap/>
                  <w:vAlign w:val="center"/>
                  <w:hideMark/>
                </w:tcPr>
                <w:p w:rsidR="00153351" w:rsidRPr="004A45AE" w:rsidRDefault="00153351" w:rsidP="004A45AE">
                  <w:pPr>
                    <w:jc w:val="center"/>
                    <w:rPr>
                      <w:rFonts w:asciiTheme="minorHAnsi" w:hAnsiTheme="minorHAnsi" w:cstheme="minorHAnsi"/>
                      <w:color w:val="000000"/>
                      <w:sz w:val="22"/>
                      <w:szCs w:val="22"/>
                      <w:lang w:eastAsia="en-GB"/>
                    </w:rPr>
                  </w:pPr>
                  <w:r w:rsidRPr="004A45AE">
                    <w:rPr>
                      <w:rFonts w:asciiTheme="minorHAnsi" w:hAnsiTheme="minorHAnsi" w:cstheme="minorHAnsi"/>
                      <w:color w:val="000000"/>
                      <w:sz w:val="22"/>
                      <w:szCs w:val="22"/>
                      <w:lang w:eastAsia="en-GB"/>
                    </w:rPr>
                    <w:t>Table</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153351" w:rsidRPr="004A45AE" w:rsidRDefault="00153351" w:rsidP="004A45AE">
                  <w:pPr>
                    <w:jc w:val="center"/>
                    <w:rPr>
                      <w:rFonts w:asciiTheme="minorHAnsi" w:hAnsiTheme="minorHAnsi" w:cstheme="minorHAnsi"/>
                      <w:color w:val="000000"/>
                      <w:sz w:val="22"/>
                      <w:szCs w:val="22"/>
                      <w:lang w:eastAsia="en-GB"/>
                    </w:rPr>
                  </w:pPr>
                  <w:r w:rsidRPr="004A45AE">
                    <w:rPr>
                      <w:rFonts w:asciiTheme="minorHAnsi" w:hAnsiTheme="minorHAnsi" w:cstheme="minorHAnsi"/>
                      <w:color w:val="000000"/>
                      <w:sz w:val="22"/>
                      <w:szCs w:val="22"/>
                      <w:lang w:eastAsia="en-GB"/>
                    </w:rPr>
                    <w:t>Year to Date</w:t>
                  </w:r>
                </w:p>
              </w:tc>
              <w:tc>
                <w:tcPr>
                  <w:tcW w:w="1039" w:type="dxa"/>
                  <w:tcBorders>
                    <w:top w:val="single" w:sz="8" w:space="0" w:color="auto"/>
                    <w:left w:val="nil"/>
                    <w:bottom w:val="single" w:sz="4" w:space="0" w:color="auto"/>
                    <w:right w:val="single" w:sz="4" w:space="0" w:color="auto"/>
                  </w:tcBorders>
                  <w:shd w:val="clear" w:color="auto" w:fill="auto"/>
                  <w:noWrap/>
                  <w:vAlign w:val="center"/>
                  <w:hideMark/>
                </w:tcPr>
                <w:p w:rsidR="00153351" w:rsidRPr="004A45AE" w:rsidRDefault="00153351" w:rsidP="004A45AE">
                  <w:pPr>
                    <w:jc w:val="center"/>
                    <w:rPr>
                      <w:rFonts w:asciiTheme="minorHAnsi" w:hAnsiTheme="minorHAnsi" w:cstheme="minorHAnsi"/>
                      <w:color w:val="000000"/>
                      <w:sz w:val="22"/>
                      <w:szCs w:val="22"/>
                      <w:lang w:eastAsia="en-GB"/>
                    </w:rPr>
                  </w:pPr>
                  <w:r w:rsidRPr="004A45AE">
                    <w:rPr>
                      <w:rFonts w:asciiTheme="minorHAnsi" w:hAnsiTheme="minorHAnsi" w:cstheme="minorHAnsi"/>
                      <w:color w:val="000000"/>
                      <w:sz w:val="22"/>
                      <w:szCs w:val="22"/>
                      <w:lang w:eastAsia="en-GB"/>
                    </w:rPr>
                    <w:t>Outturn</w:t>
                  </w:r>
                </w:p>
              </w:tc>
            </w:tr>
            <w:tr w:rsidR="00153351" w:rsidRPr="004A45AE" w:rsidTr="00DF685D">
              <w:trPr>
                <w:trHeight w:val="561"/>
              </w:trPr>
              <w:tc>
                <w:tcPr>
                  <w:tcW w:w="2769" w:type="dxa"/>
                  <w:gridSpan w:val="2"/>
                  <w:tcBorders>
                    <w:top w:val="single" w:sz="4" w:space="0" w:color="auto"/>
                    <w:left w:val="single" w:sz="4" w:space="0" w:color="auto"/>
                    <w:bottom w:val="nil"/>
                    <w:right w:val="nil"/>
                  </w:tcBorders>
                  <w:shd w:val="clear" w:color="auto" w:fill="auto"/>
                  <w:noWrap/>
                  <w:vAlign w:val="center"/>
                  <w:hideMark/>
                </w:tcPr>
                <w:p w:rsidR="00153351" w:rsidRPr="004A45AE" w:rsidRDefault="00153351" w:rsidP="004A45AE">
                  <w:pPr>
                    <w:rPr>
                      <w:rFonts w:asciiTheme="minorHAnsi" w:hAnsiTheme="minorHAnsi" w:cstheme="minorHAnsi"/>
                      <w:color w:val="000000"/>
                      <w:sz w:val="22"/>
                      <w:szCs w:val="22"/>
                      <w:lang w:eastAsia="en-GB"/>
                    </w:rPr>
                  </w:pPr>
                  <w:r w:rsidRPr="004A45AE">
                    <w:rPr>
                      <w:rFonts w:asciiTheme="minorHAnsi" w:hAnsiTheme="minorHAnsi" w:cstheme="minorHAnsi"/>
                      <w:color w:val="000000"/>
                      <w:sz w:val="22"/>
                      <w:szCs w:val="22"/>
                      <w:lang w:eastAsia="en-GB"/>
                    </w:rPr>
                    <w:t>NHS Operating Surplus (Plan = breakeven)</w:t>
                  </w:r>
                </w:p>
                <w:p w:rsidR="00153351" w:rsidRPr="004A45AE" w:rsidRDefault="00153351" w:rsidP="004A45AE">
                  <w:pPr>
                    <w:rPr>
                      <w:rFonts w:asciiTheme="minorHAnsi" w:hAnsiTheme="minorHAnsi" w:cstheme="minorHAnsi"/>
                      <w:color w:val="000000"/>
                      <w:sz w:val="22"/>
                      <w:szCs w:val="22"/>
                      <w:lang w:eastAsia="en-GB"/>
                    </w:rPr>
                  </w:pPr>
                </w:p>
              </w:tc>
              <w:tc>
                <w:tcPr>
                  <w:tcW w:w="279" w:type="dxa"/>
                  <w:tcBorders>
                    <w:top w:val="single" w:sz="4" w:space="0" w:color="auto"/>
                    <w:left w:val="nil"/>
                    <w:bottom w:val="nil"/>
                    <w:right w:val="nil"/>
                  </w:tcBorders>
                  <w:shd w:val="clear" w:color="auto" w:fill="auto"/>
                  <w:noWrap/>
                  <w:vAlign w:val="center"/>
                  <w:hideMark/>
                </w:tcPr>
                <w:p w:rsidR="00153351" w:rsidRPr="004A45AE" w:rsidRDefault="00153351" w:rsidP="004A45AE">
                  <w:pPr>
                    <w:rPr>
                      <w:rFonts w:asciiTheme="minorHAnsi" w:hAnsiTheme="minorHAnsi" w:cstheme="minorHAnsi"/>
                      <w:color w:val="000000"/>
                      <w:sz w:val="22"/>
                      <w:szCs w:val="22"/>
                      <w:lang w:eastAsia="en-GB"/>
                    </w:rPr>
                  </w:pPr>
                  <w:r w:rsidRPr="004A45AE">
                    <w:rPr>
                      <w:rFonts w:asciiTheme="minorHAnsi" w:hAnsiTheme="minorHAnsi" w:cstheme="minorHAnsi"/>
                      <w:color w:val="000000"/>
                      <w:sz w:val="22"/>
                      <w:szCs w:val="22"/>
                      <w:lang w:eastAsia="en-GB"/>
                    </w:rPr>
                    <w:t> </w:t>
                  </w:r>
                </w:p>
              </w:tc>
              <w:tc>
                <w:tcPr>
                  <w:tcW w:w="454" w:type="dxa"/>
                  <w:tcBorders>
                    <w:top w:val="nil"/>
                    <w:left w:val="nil"/>
                    <w:bottom w:val="nil"/>
                    <w:right w:val="single" w:sz="4" w:space="0" w:color="auto"/>
                  </w:tcBorders>
                  <w:shd w:val="clear" w:color="auto" w:fill="auto"/>
                  <w:noWrap/>
                  <w:vAlign w:val="center"/>
                  <w:hideMark/>
                </w:tcPr>
                <w:p w:rsidR="00153351" w:rsidRPr="004A45AE" w:rsidRDefault="00153351" w:rsidP="004A45AE">
                  <w:pPr>
                    <w:rPr>
                      <w:rFonts w:asciiTheme="minorHAnsi" w:hAnsiTheme="minorHAnsi" w:cstheme="minorHAnsi"/>
                      <w:color w:val="000000"/>
                      <w:sz w:val="22"/>
                      <w:szCs w:val="22"/>
                      <w:lang w:eastAsia="en-GB"/>
                    </w:rPr>
                  </w:pPr>
                  <w:r w:rsidRPr="004A45AE">
                    <w:rPr>
                      <w:rFonts w:asciiTheme="minorHAnsi" w:hAnsiTheme="minorHAnsi" w:cstheme="minorHAnsi"/>
                      <w:color w:val="000000"/>
                      <w:sz w:val="22"/>
                      <w:szCs w:val="22"/>
                      <w:lang w:eastAsia="en-GB"/>
                    </w:rPr>
                    <w:t> </w:t>
                  </w:r>
                </w:p>
              </w:tc>
              <w:tc>
                <w:tcPr>
                  <w:tcW w:w="1554" w:type="dxa"/>
                  <w:tcBorders>
                    <w:top w:val="nil"/>
                    <w:left w:val="nil"/>
                    <w:bottom w:val="nil"/>
                    <w:right w:val="single" w:sz="4" w:space="0" w:color="auto"/>
                  </w:tcBorders>
                  <w:shd w:val="clear" w:color="auto" w:fill="auto"/>
                  <w:noWrap/>
                  <w:vAlign w:val="center"/>
                  <w:hideMark/>
                </w:tcPr>
                <w:p w:rsidR="00153351" w:rsidRPr="004A45AE" w:rsidRDefault="00153351" w:rsidP="004A45AE">
                  <w:pPr>
                    <w:jc w:val="center"/>
                    <w:rPr>
                      <w:rFonts w:asciiTheme="minorHAnsi" w:hAnsiTheme="minorHAnsi" w:cstheme="minorHAnsi"/>
                      <w:color w:val="000000"/>
                      <w:sz w:val="22"/>
                      <w:szCs w:val="22"/>
                      <w:lang w:eastAsia="en-GB"/>
                    </w:rPr>
                  </w:pPr>
                  <w:r w:rsidRPr="004A45AE">
                    <w:rPr>
                      <w:rFonts w:asciiTheme="minorHAnsi" w:hAnsiTheme="minorHAnsi" w:cstheme="minorHAnsi"/>
                      <w:color w:val="000000"/>
                      <w:sz w:val="22"/>
                      <w:szCs w:val="22"/>
                      <w:lang w:eastAsia="en-GB"/>
                    </w:rPr>
                    <w:t>Operational</w:t>
                  </w:r>
                </w:p>
              </w:tc>
              <w:tc>
                <w:tcPr>
                  <w:tcW w:w="858" w:type="dxa"/>
                  <w:tcBorders>
                    <w:top w:val="nil"/>
                    <w:left w:val="nil"/>
                    <w:bottom w:val="nil"/>
                    <w:right w:val="single" w:sz="4" w:space="0" w:color="auto"/>
                  </w:tcBorders>
                  <w:shd w:val="clear" w:color="auto" w:fill="auto"/>
                  <w:noWrap/>
                  <w:vAlign w:val="center"/>
                  <w:hideMark/>
                </w:tcPr>
                <w:p w:rsidR="00153351" w:rsidRPr="004A45AE" w:rsidRDefault="00153351" w:rsidP="004A45AE">
                  <w:pPr>
                    <w:jc w:val="center"/>
                    <w:rPr>
                      <w:rFonts w:asciiTheme="minorHAnsi" w:hAnsiTheme="minorHAnsi" w:cstheme="minorHAnsi"/>
                      <w:color w:val="000000"/>
                      <w:sz w:val="22"/>
                      <w:szCs w:val="22"/>
                      <w:lang w:eastAsia="en-GB"/>
                    </w:rPr>
                  </w:pPr>
                  <w:r w:rsidRPr="004A45AE">
                    <w:rPr>
                      <w:rFonts w:asciiTheme="minorHAnsi" w:hAnsiTheme="minorHAnsi" w:cstheme="minorHAnsi"/>
                      <w:color w:val="000000"/>
                      <w:sz w:val="22"/>
                      <w:szCs w:val="22"/>
                      <w:lang w:eastAsia="en-GB"/>
                    </w:rPr>
                    <w:t>1</w:t>
                  </w:r>
                </w:p>
              </w:tc>
              <w:tc>
                <w:tcPr>
                  <w:tcW w:w="901" w:type="dxa"/>
                  <w:tcBorders>
                    <w:top w:val="nil"/>
                    <w:left w:val="nil"/>
                    <w:bottom w:val="nil"/>
                    <w:right w:val="single" w:sz="4" w:space="0" w:color="auto"/>
                  </w:tcBorders>
                  <w:shd w:val="clear" w:color="auto" w:fill="auto"/>
                  <w:noWrap/>
                  <w:vAlign w:val="center"/>
                  <w:hideMark/>
                </w:tcPr>
                <w:p w:rsidR="00153351" w:rsidRPr="004A45AE" w:rsidRDefault="00153351" w:rsidP="004A45AE">
                  <w:pPr>
                    <w:jc w:val="center"/>
                    <w:rPr>
                      <w:rFonts w:asciiTheme="minorHAnsi" w:hAnsiTheme="minorHAnsi" w:cstheme="minorHAnsi"/>
                      <w:color w:val="000000"/>
                      <w:sz w:val="22"/>
                      <w:szCs w:val="22"/>
                      <w:lang w:eastAsia="en-GB"/>
                    </w:rPr>
                  </w:pPr>
                  <w:r w:rsidRPr="004A45AE">
                    <w:rPr>
                      <w:rFonts w:asciiTheme="minorHAnsi" w:hAnsiTheme="minorHAnsi" w:cstheme="minorHAnsi"/>
                      <w:color w:val="000000"/>
                      <w:sz w:val="22"/>
                      <w:szCs w:val="22"/>
                      <w:lang w:eastAsia="en-GB"/>
                    </w:rPr>
                    <w:t>Green</w:t>
                  </w:r>
                </w:p>
              </w:tc>
              <w:tc>
                <w:tcPr>
                  <w:tcW w:w="1039" w:type="dxa"/>
                  <w:tcBorders>
                    <w:top w:val="nil"/>
                    <w:left w:val="nil"/>
                    <w:bottom w:val="nil"/>
                    <w:right w:val="single" w:sz="4" w:space="0" w:color="auto"/>
                  </w:tcBorders>
                  <w:shd w:val="clear" w:color="auto" w:fill="auto"/>
                  <w:noWrap/>
                  <w:vAlign w:val="center"/>
                  <w:hideMark/>
                </w:tcPr>
                <w:p w:rsidR="00153351" w:rsidRPr="004A45AE" w:rsidRDefault="00153351" w:rsidP="004A45AE">
                  <w:pPr>
                    <w:jc w:val="center"/>
                    <w:rPr>
                      <w:rFonts w:asciiTheme="minorHAnsi" w:hAnsiTheme="minorHAnsi" w:cstheme="minorHAnsi"/>
                      <w:color w:val="000000"/>
                      <w:sz w:val="22"/>
                      <w:szCs w:val="22"/>
                      <w:lang w:eastAsia="en-GB"/>
                    </w:rPr>
                  </w:pPr>
                  <w:r w:rsidRPr="004A45AE">
                    <w:rPr>
                      <w:rFonts w:asciiTheme="minorHAnsi" w:hAnsiTheme="minorHAnsi" w:cstheme="minorHAnsi"/>
                      <w:color w:val="000000"/>
                      <w:sz w:val="22"/>
                      <w:szCs w:val="22"/>
                      <w:lang w:eastAsia="en-GB"/>
                    </w:rPr>
                    <w:t>Green</w:t>
                  </w:r>
                </w:p>
              </w:tc>
            </w:tr>
            <w:tr w:rsidR="00153351" w:rsidRPr="004A45AE" w:rsidTr="00DF685D">
              <w:trPr>
                <w:trHeight w:val="561"/>
              </w:trPr>
              <w:tc>
                <w:tcPr>
                  <w:tcW w:w="3502" w:type="dxa"/>
                  <w:gridSpan w:val="4"/>
                  <w:tcBorders>
                    <w:top w:val="nil"/>
                    <w:left w:val="single" w:sz="4" w:space="0" w:color="auto"/>
                    <w:bottom w:val="nil"/>
                    <w:right w:val="single" w:sz="4" w:space="0" w:color="000000"/>
                  </w:tcBorders>
                  <w:shd w:val="clear" w:color="auto" w:fill="auto"/>
                  <w:vAlign w:val="center"/>
                  <w:hideMark/>
                </w:tcPr>
                <w:p w:rsidR="00153351" w:rsidRPr="004A45AE" w:rsidRDefault="00153351" w:rsidP="004A45AE">
                  <w:pPr>
                    <w:rPr>
                      <w:rFonts w:asciiTheme="minorHAnsi" w:hAnsiTheme="minorHAnsi" w:cstheme="minorHAnsi"/>
                      <w:color w:val="000000"/>
                      <w:sz w:val="22"/>
                      <w:szCs w:val="22"/>
                      <w:lang w:eastAsia="en-GB"/>
                    </w:rPr>
                  </w:pPr>
                  <w:r w:rsidRPr="004A45AE">
                    <w:rPr>
                      <w:rFonts w:asciiTheme="minorHAnsi" w:hAnsiTheme="minorHAnsi" w:cstheme="minorHAnsi"/>
                      <w:color w:val="000000"/>
                      <w:sz w:val="22"/>
                      <w:szCs w:val="22"/>
                      <w:lang w:eastAsia="en-GB"/>
                    </w:rPr>
                    <w:t>Adult Social Care (ASC) Partnership Agreement (Plan = breakeven)</w:t>
                  </w:r>
                </w:p>
              </w:tc>
              <w:tc>
                <w:tcPr>
                  <w:tcW w:w="1554" w:type="dxa"/>
                  <w:tcBorders>
                    <w:top w:val="nil"/>
                    <w:left w:val="nil"/>
                    <w:bottom w:val="nil"/>
                    <w:right w:val="single" w:sz="4" w:space="0" w:color="auto"/>
                  </w:tcBorders>
                  <w:shd w:val="clear" w:color="auto" w:fill="auto"/>
                  <w:vAlign w:val="center"/>
                  <w:hideMark/>
                </w:tcPr>
                <w:p w:rsidR="00153351" w:rsidRPr="004A45AE" w:rsidRDefault="00153351" w:rsidP="004A45AE">
                  <w:pPr>
                    <w:jc w:val="center"/>
                    <w:rPr>
                      <w:rFonts w:asciiTheme="minorHAnsi" w:hAnsiTheme="minorHAnsi" w:cstheme="minorHAnsi"/>
                      <w:color w:val="000000"/>
                      <w:sz w:val="22"/>
                      <w:szCs w:val="22"/>
                      <w:lang w:eastAsia="en-GB"/>
                    </w:rPr>
                  </w:pPr>
                  <w:r w:rsidRPr="004A45AE">
                    <w:rPr>
                      <w:rFonts w:asciiTheme="minorHAnsi" w:hAnsiTheme="minorHAnsi" w:cstheme="minorHAnsi"/>
                      <w:color w:val="000000"/>
                      <w:sz w:val="22"/>
                      <w:szCs w:val="22"/>
                      <w:lang w:eastAsia="en-GB"/>
                    </w:rPr>
                    <w:t>Operational</w:t>
                  </w:r>
                </w:p>
              </w:tc>
              <w:tc>
                <w:tcPr>
                  <w:tcW w:w="858" w:type="dxa"/>
                  <w:tcBorders>
                    <w:top w:val="nil"/>
                    <w:left w:val="nil"/>
                    <w:bottom w:val="nil"/>
                    <w:right w:val="single" w:sz="4" w:space="0" w:color="auto"/>
                  </w:tcBorders>
                  <w:shd w:val="clear" w:color="auto" w:fill="auto"/>
                  <w:vAlign w:val="center"/>
                  <w:hideMark/>
                </w:tcPr>
                <w:p w:rsidR="00153351" w:rsidRPr="004A45AE" w:rsidRDefault="00153351" w:rsidP="004A45AE">
                  <w:pPr>
                    <w:jc w:val="center"/>
                    <w:rPr>
                      <w:rFonts w:asciiTheme="minorHAnsi" w:hAnsiTheme="minorHAnsi" w:cstheme="minorHAnsi"/>
                      <w:color w:val="000000"/>
                      <w:sz w:val="22"/>
                      <w:szCs w:val="22"/>
                      <w:lang w:eastAsia="en-GB"/>
                    </w:rPr>
                  </w:pPr>
                  <w:r w:rsidRPr="004A45AE">
                    <w:rPr>
                      <w:rFonts w:asciiTheme="minorHAnsi" w:hAnsiTheme="minorHAnsi" w:cstheme="minorHAnsi"/>
                      <w:color w:val="000000"/>
                      <w:sz w:val="22"/>
                      <w:szCs w:val="22"/>
                      <w:lang w:eastAsia="en-GB"/>
                    </w:rPr>
                    <w:t>1</w:t>
                  </w:r>
                </w:p>
              </w:tc>
              <w:tc>
                <w:tcPr>
                  <w:tcW w:w="901" w:type="dxa"/>
                  <w:tcBorders>
                    <w:top w:val="nil"/>
                    <w:left w:val="nil"/>
                    <w:bottom w:val="nil"/>
                    <w:right w:val="nil"/>
                  </w:tcBorders>
                  <w:shd w:val="clear" w:color="auto" w:fill="auto"/>
                  <w:vAlign w:val="center"/>
                  <w:hideMark/>
                </w:tcPr>
                <w:p w:rsidR="00153351" w:rsidRPr="004A45AE" w:rsidRDefault="00153351" w:rsidP="004A45AE">
                  <w:pPr>
                    <w:jc w:val="center"/>
                    <w:rPr>
                      <w:rFonts w:asciiTheme="minorHAnsi" w:hAnsiTheme="minorHAnsi" w:cstheme="minorHAnsi"/>
                      <w:color w:val="000000"/>
                      <w:sz w:val="22"/>
                      <w:szCs w:val="22"/>
                      <w:lang w:eastAsia="en-GB"/>
                    </w:rPr>
                  </w:pPr>
                  <w:r w:rsidRPr="004A45AE">
                    <w:rPr>
                      <w:rFonts w:asciiTheme="minorHAnsi" w:hAnsiTheme="minorHAnsi" w:cstheme="minorHAnsi"/>
                      <w:color w:val="000000"/>
                      <w:sz w:val="22"/>
                      <w:szCs w:val="22"/>
                      <w:lang w:eastAsia="en-GB"/>
                    </w:rPr>
                    <w:t>Green</w:t>
                  </w:r>
                </w:p>
              </w:tc>
              <w:tc>
                <w:tcPr>
                  <w:tcW w:w="1039" w:type="dxa"/>
                  <w:tcBorders>
                    <w:top w:val="nil"/>
                    <w:left w:val="single" w:sz="4" w:space="0" w:color="auto"/>
                    <w:bottom w:val="nil"/>
                    <w:right w:val="single" w:sz="4" w:space="0" w:color="auto"/>
                  </w:tcBorders>
                  <w:shd w:val="clear" w:color="auto" w:fill="auto"/>
                  <w:noWrap/>
                  <w:vAlign w:val="center"/>
                  <w:hideMark/>
                </w:tcPr>
                <w:p w:rsidR="00153351" w:rsidRPr="004A45AE" w:rsidRDefault="00153351" w:rsidP="004A45AE">
                  <w:pPr>
                    <w:jc w:val="center"/>
                    <w:rPr>
                      <w:rFonts w:asciiTheme="minorHAnsi" w:hAnsiTheme="minorHAnsi" w:cstheme="minorHAnsi"/>
                      <w:color w:val="000000"/>
                      <w:sz w:val="22"/>
                      <w:szCs w:val="22"/>
                      <w:lang w:eastAsia="en-GB"/>
                    </w:rPr>
                  </w:pPr>
                  <w:r w:rsidRPr="004A45AE">
                    <w:rPr>
                      <w:rFonts w:asciiTheme="minorHAnsi" w:hAnsiTheme="minorHAnsi" w:cstheme="minorHAnsi"/>
                      <w:color w:val="000000"/>
                      <w:sz w:val="22"/>
                      <w:szCs w:val="22"/>
                      <w:lang w:eastAsia="en-GB"/>
                    </w:rPr>
                    <w:t>Green</w:t>
                  </w:r>
                </w:p>
              </w:tc>
            </w:tr>
            <w:tr w:rsidR="00153351" w:rsidRPr="004A45AE" w:rsidTr="00DF685D">
              <w:trPr>
                <w:trHeight w:val="561"/>
              </w:trPr>
              <w:tc>
                <w:tcPr>
                  <w:tcW w:w="3502" w:type="dxa"/>
                  <w:gridSpan w:val="4"/>
                  <w:tcBorders>
                    <w:top w:val="nil"/>
                    <w:left w:val="single" w:sz="4" w:space="0" w:color="auto"/>
                    <w:bottom w:val="nil"/>
                    <w:right w:val="single" w:sz="4" w:space="0" w:color="000000"/>
                  </w:tcBorders>
                  <w:shd w:val="clear" w:color="auto" w:fill="auto"/>
                  <w:vAlign w:val="center"/>
                  <w:hideMark/>
                </w:tcPr>
                <w:p w:rsidR="00153351" w:rsidRPr="004A45AE" w:rsidRDefault="00153351" w:rsidP="004A45AE">
                  <w:pPr>
                    <w:rPr>
                      <w:rFonts w:asciiTheme="minorHAnsi" w:hAnsiTheme="minorHAnsi" w:cstheme="minorHAnsi"/>
                      <w:color w:val="000000"/>
                      <w:sz w:val="22"/>
                      <w:szCs w:val="22"/>
                      <w:lang w:eastAsia="en-GB"/>
                    </w:rPr>
                  </w:pPr>
                </w:p>
                <w:p w:rsidR="00153351" w:rsidRPr="004A45AE" w:rsidRDefault="00153351" w:rsidP="004A45AE">
                  <w:pPr>
                    <w:rPr>
                      <w:rFonts w:asciiTheme="minorHAnsi" w:hAnsiTheme="minorHAnsi" w:cstheme="minorHAnsi"/>
                      <w:color w:val="000000"/>
                      <w:sz w:val="22"/>
                      <w:szCs w:val="22"/>
                      <w:lang w:eastAsia="en-GB"/>
                    </w:rPr>
                  </w:pPr>
                  <w:r w:rsidRPr="004A45AE">
                    <w:rPr>
                      <w:rFonts w:asciiTheme="minorHAnsi" w:hAnsiTheme="minorHAnsi" w:cstheme="minorHAnsi"/>
                      <w:color w:val="000000"/>
                      <w:sz w:val="22"/>
                      <w:szCs w:val="22"/>
                      <w:lang w:eastAsia="en-GB"/>
                    </w:rPr>
                    <w:t>NHSE Mandated Surplus (Plan = £4.531m surplus)</w:t>
                  </w:r>
                </w:p>
              </w:tc>
              <w:tc>
                <w:tcPr>
                  <w:tcW w:w="1554" w:type="dxa"/>
                  <w:tcBorders>
                    <w:top w:val="nil"/>
                    <w:left w:val="nil"/>
                    <w:bottom w:val="nil"/>
                    <w:right w:val="single" w:sz="4" w:space="0" w:color="auto"/>
                  </w:tcBorders>
                  <w:shd w:val="clear" w:color="auto" w:fill="auto"/>
                  <w:vAlign w:val="center"/>
                  <w:hideMark/>
                </w:tcPr>
                <w:p w:rsidR="00153351" w:rsidRPr="004A45AE" w:rsidRDefault="00153351" w:rsidP="004A45AE">
                  <w:pPr>
                    <w:jc w:val="center"/>
                    <w:rPr>
                      <w:rFonts w:asciiTheme="minorHAnsi" w:hAnsiTheme="minorHAnsi" w:cstheme="minorHAnsi"/>
                      <w:color w:val="000000"/>
                      <w:sz w:val="22"/>
                      <w:szCs w:val="22"/>
                      <w:lang w:eastAsia="en-GB"/>
                    </w:rPr>
                  </w:pPr>
                  <w:r w:rsidRPr="004A45AE">
                    <w:rPr>
                      <w:rFonts w:asciiTheme="minorHAnsi" w:hAnsiTheme="minorHAnsi" w:cstheme="minorHAnsi"/>
                      <w:color w:val="000000"/>
                      <w:sz w:val="22"/>
                      <w:szCs w:val="22"/>
                      <w:lang w:eastAsia="en-GB"/>
                    </w:rPr>
                    <w:t>Statutory</w:t>
                  </w:r>
                </w:p>
              </w:tc>
              <w:tc>
                <w:tcPr>
                  <w:tcW w:w="858" w:type="dxa"/>
                  <w:tcBorders>
                    <w:top w:val="nil"/>
                    <w:left w:val="nil"/>
                    <w:bottom w:val="nil"/>
                    <w:right w:val="single" w:sz="4" w:space="0" w:color="auto"/>
                  </w:tcBorders>
                  <w:shd w:val="clear" w:color="auto" w:fill="auto"/>
                  <w:vAlign w:val="center"/>
                  <w:hideMark/>
                </w:tcPr>
                <w:p w:rsidR="00153351" w:rsidRPr="004A45AE" w:rsidRDefault="00153351" w:rsidP="004A45AE">
                  <w:pPr>
                    <w:jc w:val="center"/>
                    <w:rPr>
                      <w:rFonts w:asciiTheme="minorHAnsi" w:hAnsiTheme="minorHAnsi" w:cstheme="minorHAnsi"/>
                      <w:color w:val="000000"/>
                      <w:sz w:val="22"/>
                      <w:szCs w:val="22"/>
                      <w:lang w:eastAsia="en-GB"/>
                    </w:rPr>
                  </w:pPr>
                  <w:r w:rsidRPr="004A45AE">
                    <w:rPr>
                      <w:rFonts w:asciiTheme="minorHAnsi" w:hAnsiTheme="minorHAnsi" w:cstheme="minorHAnsi"/>
                      <w:color w:val="000000"/>
                      <w:sz w:val="22"/>
                      <w:szCs w:val="22"/>
                      <w:lang w:eastAsia="en-GB"/>
                    </w:rPr>
                    <w:t>1</w:t>
                  </w:r>
                </w:p>
              </w:tc>
              <w:tc>
                <w:tcPr>
                  <w:tcW w:w="901" w:type="dxa"/>
                  <w:tcBorders>
                    <w:top w:val="nil"/>
                    <w:left w:val="nil"/>
                    <w:bottom w:val="nil"/>
                    <w:right w:val="single" w:sz="4" w:space="0" w:color="auto"/>
                  </w:tcBorders>
                  <w:shd w:val="clear" w:color="auto" w:fill="auto"/>
                  <w:vAlign w:val="center"/>
                  <w:hideMark/>
                </w:tcPr>
                <w:p w:rsidR="00153351" w:rsidRPr="004A45AE" w:rsidRDefault="00153351" w:rsidP="004A45AE">
                  <w:pPr>
                    <w:jc w:val="center"/>
                    <w:rPr>
                      <w:rFonts w:asciiTheme="minorHAnsi" w:hAnsiTheme="minorHAnsi" w:cstheme="minorHAnsi"/>
                      <w:color w:val="000000"/>
                      <w:sz w:val="22"/>
                      <w:szCs w:val="22"/>
                      <w:lang w:eastAsia="en-GB"/>
                    </w:rPr>
                  </w:pPr>
                  <w:r w:rsidRPr="004A45AE">
                    <w:rPr>
                      <w:rFonts w:asciiTheme="minorHAnsi" w:hAnsiTheme="minorHAnsi" w:cstheme="minorHAnsi"/>
                      <w:color w:val="000000"/>
                      <w:sz w:val="22"/>
                      <w:szCs w:val="22"/>
                      <w:lang w:eastAsia="en-GB"/>
                    </w:rPr>
                    <w:t>Green</w:t>
                  </w:r>
                </w:p>
              </w:tc>
              <w:tc>
                <w:tcPr>
                  <w:tcW w:w="1039" w:type="dxa"/>
                  <w:tcBorders>
                    <w:top w:val="nil"/>
                    <w:left w:val="nil"/>
                    <w:bottom w:val="nil"/>
                    <w:right w:val="single" w:sz="4" w:space="0" w:color="auto"/>
                  </w:tcBorders>
                  <w:shd w:val="clear" w:color="auto" w:fill="auto"/>
                  <w:noWrap/>
                  <w:vAlign w:val="center"/>
                  <w:hideMark/>
                </w:tcPr>
                <w:p w:rsidR="00153351" w:rsidRPr="004A45AE" w:rsidRDefault="00153351" w:rsidP="004A45AE">
                  <w:pPr>
                    <w:jc w:val="center"/>
                    <w:rPr>
                      <w:rFonts w:asciiTheme="minorHAnsi" w:hAnsiTheme="minorHAnsi" w:cstheme="minorHAnsi"/>
                      <w:color w:val="000000"/>
                      <w:sz w:val="22"/>
                      <w:szCs w:val="22"/>
                      <w:lang w:eastAsia="en-GB"/>
                    </w:rPr>
                  </w:pPr>
                  <w:r w:rsidRPr="004A45AE">
                    <w:rPr>
                      <w:rFonts w:asciiTheme="minorHAnsi" w:hAnsiTheme="minorHAnsi" w:cstheme="minorHAnsi"/>
                      <w:color w:val="000000"/>
                      <w:sz w:val="22"/>
                      <w:szCs w:val="22"/>
                      <w:lang w:eastAsia="en-GB"/>
                    </w:rPr>
                    <w:t>Green</w:t>
                  </w:r>
                </w:p>
              </w:tc>
            </w:tr>
            <w:tr w:rsidR="00153351" w:rsidRPr="004A45AE" w:rsidTr="00DF685D">
              <w:trPr>
                <w:trHeight w:val="561"/>
              </w:trPr>
              <w:tc>
                <w:tcPr>
                  <w:tcW w:w="3502" w:type="dxa"/>
                  <w:gridSpan w:val="4"/>
                  <w:tcBorders>
                    <w:top w:val="nil"/>
                    <w:left w:val="single" w:sz="4" w:space="0" w:color="auto"/>
                    <w:bottom w:val="nil"/>
                    <w:right w:val="single" w:sz="4" w:space="0" w:color="000000"/>
                  </w:tcBorders>
                  <w:shd w:val="clear" w:color="auto" w:fill="auto"/>
                  <w:noWrap/>
                  <w:vAlign w:val="center"/>
                  <w:hideMark/>
                </w:tcPr>
                <w:p w:rsidR="00153351" w:rsidRPr="004A45AE" w:rsidRDefault="00153351" w:rsidP="004A45AE">
                  <w:pPr>
                    <w:rPr>
                      <w:rFonts w:asciiTheme="minorHAnsi" w:hAnsiTheme="minorHAnsi" w:cstheme="minorHAnsi"/>
                      <w:color w:val="000000"/>
                      <w:sz w:val="22"/>
                      <w:szCs w:val="22"/>
                      <w:lang w:eastAsia="en-GB"/>
                    </w:rPr>
                  </w:pPr>
                </w:p>
                <w:p w:rsidR="00153351" w:rsidRPr="004A45AE" w:rsidRDefault="00153351" w:rsidP="004A45AE">
                  <w:pPr>
                    <w:rPr>
                      <w:rFonts w:asciiTheme="minorHAnsi" w:hAnsiTheme="minorHAnsi" w:cstheme="minorHAnsi"/>
                      <w:color w:val="000000"/>
                      <w:sz w:val="22"/>
                      <w:szCs w:val="22"/>
                      <w:lang w:eastAsia="en-GB"/>
                    </w:rPr>
                  </w:pPr>
                  <w:r w:rsidRPr="004A45AE">
                    <w:rPr>
                      <w:rFonts w:asciiTheme="minorHAnsi" w:hAnsiTheme="minorHAnsi" w:cstheme="minorHAnsi"/>
                      <w:color w:val="000000"/>
                      <w:sz w:val="22"/>
                      <w:szCs w:val="22"/>
                      <w:lang w:eastAsia="en-GB"/>
                    </w:rPr>
                    <w:t>Capital resource use does not exceed the amount specified in Directions</w:t>
                  </w:r>
                </w:p>
              </w:tc>
              <w:tc>
                <w:tcPr>
                  <w:tcW w:w="1554" w:type="dxa"/>
                  <w:tcBorders>
                    <w:top w:val="nil"/>
                    <w:left w:val="nil"/>
                    <w:bottom w:val="nil"/>
                    <w:right w:val="single" w:sz="4" w:space="0" w:color="auto"/>
                  </w:tcBorders>
                  <w:shd w:val="clear" w:color="auto" w:fill="auto"/>
                  <w:vAlign w:val="center"/>
                  <w:hideMark/>
                </w:tcPr>
                <w:p w:rsidR="00153351" w:rsidRPr="004A45AE" w:rsidRDefault="00153351" w:rsidP="004A45AE">
                  <w:pPr>
                    <w:jc w:val="center"/>
                    <w:rPr>
                      <w:rFonts w:asciiTheme="minorHAnsi" w:hAnsiTheme="minorHAnsi" w:cstheme="minorHAnsi"/>
                      <w:color w:val="000000"/>
                      <w:sz w:val="22"/>
                      <w:szCs w:val="22"/>
                      <w:lang w:eastAsia="en-GB"/>
                    </w:rPr>
                  </w:pPr>
                  <w:r w:rsidRPr="004A45AE">
                    <w:rPr>
                      <w:rFonts w:asciiTheme="minorHAnsi" w:hAnsiTheme="minorHAnsi" w:cstheme="minorHAnsi"/>
                      <w:color w:val="000000"/>
                      <w:sz w:val="22"/>
                      <w:szCs w:val="22"/>
                      <w:lang w:eastAsia="en-GB"/>
                    </w:rPr>
                    <w:t>Statutory</w:t>
                  </w:r>
                </w:p>
              </w:tc>
              <w:tc>
                <w:tcPr>
                  <w:tcW w:w="858" w:type="dxa"/>
                  <w:tcBorders>
                    <w:top w:val="nil"/>
                    <w:left w:val="nil"/>
                    <w:bottom w:val="nil"/>
                    <w:right w:val="single" w:sz="4" w:space="0" w:color="auto"/>
                  </w:tcBorders>
                  <w:shd w:val="clear" w:color="auto" w:fill="auto"/>
                  <w:vAlign w:val="center"/>
                  <w:hideMark/>
                </w:tcPr>
                <w:p w:rsidR="00153351" w:rsidRPr="004A45AE" w:rsidRDefault="00153351" w:rsidP="004A45AE">
                  <w:pPr>
                    <w:jc w:val="center"/>
                    <w:rPr>
                      <w:rFonts w:asciiTheme="minorHAnsi" w:hAnsiTheme="minorHAnsi" w:cstheme="minorHAnsi"/>
                      <w:color w:val="000000"/>
                      <w:sz w:val="22"/>
                      <w:szCs w:val="22"/>
                      <w:lang w:eastAsia="en-GB"/>
                    </w:rPr>
                  </w:pPr>
                  <w:r w:rsidRPr="004A45AE">
                    <w:rPr>
                      <w:rFonts w:asciiTheme="minorHAnsi" w:hAnsiTheme="minorHAnsi" w:cstheme="minorHAnsi"/>
                      <w:color w:val="000000"/>
                      <w:sz w:val="22"/>
                      <w:szCs w:val="22"/>
                      <w:lang w:eastAsia="en-GB"/>
                    </w:rPr>
                    <w:t>-</w:t>
                  </w:r>
                </w:p>
              </w:tc>
              <w:tc>
                <w:tcPr>
                  <w:tcW w:w="901" w:type="dxa"/>
                  <w:tcBorders>
                    <w:top w:val="nil"/>
                    <w:left w:val="nil"/>
                    <w:bottom w:val="nil"/>
                    <w:right w:val="single" w:sz="4" w:space="0" w:color="auto"/>
                  </w:tcBorders>
                  <w:shd w:val="clear" w:color="auto" w:fill="auto"/>
                  <w:vAlign w:val="center"/>
                  <w:hideMark/>
                </w:tcPr>
                <w:p w:rsidR="00153351" w:rsidRPr="004A45AE" w:rsidRDefault="00153351" w:rsidP="004A45AE">
                  <w:pPr>
                    <w:jc w:val="center"/>
                    <w:rPr>
                      <w:rFonts w:asciiTheme="minorHAnsi" w:hAnsiTheme="minorHAnsi" w:cstheme="minorHAnsi"/>
                      <w:color w:val="000000"/>
                      <w:sz w:val="22"/>
                      <w:szCs w:val="22"/>
                      <w:lang w:eastAsia="en-GB"/>
                    </w:rPr>
                  </w:pPr>
                  <w:r w:rsidRPr="004A45AE">
                    <w:rPr>
                      <w:rFonts w:asciiTheme="minorHAnsi" w:hAnsiTheme="minorHAnsi" w:cstheme="minorHAnsi"/>
                      <w:color w:val="000000"/>
                      <w:sz w:val="22"/>
                      <w:szCs w:val="22"/>
                      <w:lang w:eastAsia="en-GB"/>
                    </w:rPr>
                    <w:t>Green</w:t>
                  </w:r>
                </w:p>
              </w:tc>
              <w:tc>
                <w:tcPr>
                  <w:tcW w:w="1039" w:type="dxa"/>
                  <w:tcBorders>
                    <w:top w:val="nil"/>
                    <w:left w:val="nil"/>
                    <w:bottom w:val="nil"/>
                    <w:right w:val="single" w:sz="4" w:space="0" w:color="auto"/>
                  </w:tcBorders>
                  <w:shd w:val="clear" w:color="auto" w:fill="auto"/>
                  <w:noWrap/>
                  <w:vAlign w:val="center"/>
                  <w:hideMark/>
                </w:tcPr>
                <w:p w:rsidR="00153351" w:rsidRPr="004A45AE" w:rsidRDefault="00153351" w:rsidP="004A45AE">
                  <w:pPr>
                    <w:jc w:val="center"/>
                    <w:rPr>
                      <w:rFonts w:asciiTheme="minorHAnsi" w:hAnsiTheme="minorHAnsi" w:cstheme="minorHAnsi"/>
                      <w:color w:val="000000"/>
                      <w:sz w:val="22"/>
                      <w:szCs w:val="22"/>
                      <w:lang w:eastAsia="en-GB"/>
                    </w:rPr>
                  </w:pPr>
                  <w:r w:rsidRPr="004A45AE">
                    <w:rPr>
                      <w:rFonts w:asciiTheme="minorHAnsi" w:hAnsiTheme="minorHAnsi" w:cstheme="minorHAnsi"/>
                      <w:color w:val="000000"/>
                      <w:sz w:val="22"/>
                      <w:szCs w:val="22"/>
                      <w:lang w:eastAsia="en-GB"/>
                    </w:rPr>
                    <w:t>Green</w:t>
                  </w:r>
                </w:p>
              </w:tc>
            </w:tr>
            <w:tr w:rsidR="00153351" w:rsidRPr="004A45AE" w:rsidTr="00DF685D">
              <w:trPr>
                <w:trHeight w:val="561"/>
              </w:trPr>
              <w:tc>
                <w:tcPr>
                  <w:tcW w:w="3502" w:type="dxa"/>
                  <w:gridSpan w:val="4"/>
                  <w:tcBorders>
                    <w:top w:val="nil"/>
                    <w:left w:val="single" w:sz="4" w:space="0" w:color="auto"/>
                    <w:bottom w:val="nil"/>
                    <w:right w:val="single" w:sz="4" w:space="0" w:color="000000"/>
                  </w:tcBorders>
                  <w:shd w:val="clear" w:color="auto" w:fill="auto"/>
                  <w:vAlign w:val="center"/>
                  <w:hideMark/>
                </w:tcPr>
                <w:p w:rsidR="00153351" w:rsidRPr="004A45AE" w:rsidRDefault="00153351" w:rsidP="004A45AE">
                  <w:pPr>
                    <w:rPr>
                      <w:rFonts w:asciiTheme="minorHAnsi" w:hAnsiTheme="minorHAnsi" w:cstheme="minorHAnsi"/>
                      <w:color w:val="000000"/>
                      <w:sz w:val="22"/>
                      <w:szCs w:val="22"/>
                      <w:lang w:eastAsia="en-GB"/>
                    </w:rPr>
                  </w:pPr>
                </w:p>
                <w:p w:rsidR="00153351" w:rsidRPr="004A45AE" w:rsidRDefault="00153351" w:rsidP="004A45AE">
                  <w:pPr>
                    <w:rPr>
                      <w:rFonts w:asciiTheme="minorHAnsi" w:hAnsiTheme="minorHAnsi" w:cstheme="minorHAnsi"/>
                      <w:color w:val="000000"/>
                      <w:sz w:val="22"/>
                      <w:szCs w:val="22"/>
                      <w:lang w:eastAsia="en-GB"/>
                    </w:rPr>
                  </w:pPr>
                  <w:r w:rsidRPr="004A45AE">
                    <w:rPr>
                      <w:rFonts w:asciiTheme="minorHAnsi" w:hAnsiTheme="minorHAnsi" w:cstheme="minorHAnsi"/>
                      <w:color w:val="000000"/>
                      <w:sz w:val="22"/>
                      <w:szCs w:val="22"/>
                      <w:lang w:eastAsia="en-GB"/>
                    </w:rPr>
                    <w:t>Manage cash within 1.25% of monthly drawdown</w:t>
                  </w:r>
                </w:p>
              </w:tc>
              <w:tc>
                <w:tcPr>
                  <w:tcW w:w="1554" w:type="dxa"/>
                  <w:tcBorders>
                    <w:top w:val="nil"/>
                    <w:left w:val="nil"/>
                    <w:bottom w:val="nil"/>
                    <w:right w:val="single" w:sz="4" w:space="0" w:color="auto"/>
                  </w:tcBorders>
                  <w:shd w:val="clear" w:color="auto" w:fill="auto"/>
                  <w:vAlign w:val="center"/>
                  <w:hideMark/>
                </w:tcPr>
                <w:p w:rsidR="00153351" w:rsidRPr="004A45AE" w:rsidRDefault="00153351" w:rsidP="004A45AE">
                  <w:pPr>
                    <w:jc w:val="center"/>
                    <w:rPr>
                      <w:rFonts w:asciiTheme="minorHAnsi" w:hAnsiTheme="minorHAnsi" w:cstheme="minorHAnsi"/>
                      <w:color w:val="000000"/>
                      <w:sz w:val="22"/>
                      <w:szCs w:val="22"/>
                      <w:lang w:eastAsia="en-GB"/>
                    </w:rPr>
                  </w:pPr>
                  <w:r w:rsidRPr="004A45AE">
                    <w:rPr>
                      <w:rFonts w:asciiTheme="minorHAnsi" w:hAnsiTheme="minorHAnsi" w:cstheme="minorHAnsi"/>
                      <w:color w:val="000000"/>
                      <w:sz w:val="22"/>
                      <w:szCs w:val="22"/>
                      <w:lang w:eastAsia="en-GB"/>
                    </w:rPr>
                    <w:t>Operational</w:t>
                  </w:r>
                </w:p>
              </w:tc>
              <w:tc>
                <w:tcPr>
                  <w:tcW w:w="858" w:type="dxa"/>
                  <w:tcBorders>
                    <w:top w:val="nil"/>
                    <w:left w:val="nil"/>
                    <w:bottom w:val="nil"/>
                    <w:right w:val="single" w:sz="4" w:space="0" w:color="auto"/>
                  </w:tcBorders>
                  <w:shd w:val="clear" w:color="auto" w:fill="auto"/>
                  <w:vAlign w:val="center"/>
                  <w:hideMark/>
                </w:tcPr>
                <w:p w:rsidR="00153351" w:rsidRPr="004A45AE" w:rsidRDefault="00153351" w:rsidP="004A45AE">
                  <w:pPr>
                    <w:jc w:val="center"/>
                    <w:rPr>
                      <w:rFonts w:asciiTheme="minorHAnsi" w:hAnsiTheme="minorHAnsi" w:cstheme="minorHAnsi"/>
                      <w:color w:val="000000"/>
                      <w:sz w:val="22"/>
                      <w:szCs w:val="22"/>
                      <w:lang w:eastAsia="en-GB"/>
                    </w:rPr>
                  </w:pPr>
                  <w:r w:rsidRPr="004A45AE">
                    <w:rPr>
                      <w:rFonts w:asciiTheme="minorHAnsi" w:hAnsiTheme="minorHAnsi" w:cstheme="minorHAnsi"/>
                      <w:color w:val="000000"/>
                      <w:sz w:val="22"/>
                      <w:szCs w:val="22"/>
                      <w:lang w:eastAsia="en-GB"/>
                    </w:rPr>
                    <w:t>-</w:t>
                  </w:r>
                </w:p>
              </w:tc>
              <w:tc>
                <w:tcPr>
                  <w:tcW w:w="901" w:type="dxa"/>
                  <w:tcBorders>
                    <w:top w:val="nil"/>
                    <w:left w:val="nil"/>
                    <w:bottom w:val="nil"/>
                    <w:right w:val="nil"/>
                  </w:tcBorders>
                  <w:shd w:val="clear" w:color="auto" w:fill="auto"/>
                  <w:vAlign w:val="center"/>
                  <w:hideMark/>
                </w:tcPr>
                <w:p w:rsidR="00153351" w:rsidRPr="004A45AE" w:rsidRDefault="00153351" w:rsidP="004A45AE">
                  <w:pPr>
                    <w:jc w:val="center"/>
                    <w:rPr>
                      <w:rFonts w:asciiTheme="minorHAnsi" w:hAnsiTheme="minorHAnsi" w:cstheme="minorHAnsi"/>
                      <w:color w:val="000000"/>
                      <w:sz w:val="22"/>
                      <w:szCs w:val="22"/>
                      <w:lang w:eastAsia="en-GB"/>
                    </w:rPr>
                  </w:pPr>
                  <w:r w:rsidRPr="004A45AE">
                    <w:rPr>
                      <w:rFonts w:asciiTheme="minorHAnsi" w:hAnsiTheme="minorHAnsi" w:cstheme="minorHAnsi"/>
                      <w:color w:val="000000"/>
                      <w:sz w:val="22"/>
                      <w:szCs w:val="22"/>
                      <w:lang w:eastAsia="en-GB"/>
                    </w:rPr>
                    <w:t>Green</w:t>
                  </w:r>
                </w:p>
              </w:tc>
              <w:tc>
                <w:tcPr>
                  <w:tcW w:w="1039" w:type="dxa"/>
                  <w:tcBorders>
                    <w:top w:val="nil"/>
                    <w:left w:val="single" w:sz="4" w:space="0" w:color="auto"/>
                    <w:bottom w:val="nil"/>
                    <w:right w:val="single" w:sz="4" w:space="0" w:color="auto"/>
                  </w:tcBorders>
                  <w:shd w:val="clear" w:color="auto" w:fill="auto"/>
                  <w:noWrap/>
                  <w:vAlign w:val="center"/>
                  <w:hideMark/>
                </w:tcPr>
                <w:p w:rsidR="00153351" w:rsidRPr="004A45AE" w:rsidRDefault="00153351" w:rsidP="004A45AE">
                  <w:pPr>
                    <w:jc w:val="center"/>
                    <w:rPr>
                      <w:rFonts w:asciiTheme="minorHAnsi" w:hAnsiTheme="minorHAnsi" w:cstheme="minorHAnsi"/>
                      <w:color w:val="000000"/>
                      <w:sz w:val="22"/>
                      <w:szCs w:val="22"/>
                      <w:lang w:eastAsia="en-GB"/>
                    </w:rPr>
                  </w:pPr>
                  <w:r w:rsidRPr="004A45AE">
                    <w:rPr>
                      <w:rFonts w:asciiTheme="minorHAnsi" w:hAnsiTheme="minorHAnsi" w:cstheme="minorHAnsi"/>
                      <w:color w:val="000000"/>
                      <w:sz w:val="22"/>
                      <w:szCs w:val="22"/>
                      <w:lang w:eastAsia="en-GB"/>
                    </w:rPr>
                    <w:t>Green</w:t>
                  </w:r>
                </w:p>
              </w:tc>
            </w:tr>
            <w:tr w:rsidR="00153351" w:rsidRPr="004A45AE" w:rsidTr="00DF685D">
              <w:trPr>
                <w:trHeight w:val="561"/>
              </w:trPr>
              <w:tc>
                <w:tcPr>
                  <w:tcW w:w="3502" w:type="dxa"/>
                  <w:gridSpan w:val="4"/>
                  <w:tcBorders>
                    <w:top w:val="nil"/>
                    <w:left w:val="single" w:sz="4" w:space="0" w:color="auto"/>
                    <w:bottom w:val="single" w:sz="4" w:space="0" w:color="auto"/>
                    <w:right w:val="single" w:sz="4" w:space="0" w:color="000000"/>
                  </w:tcBorders>
                  <w:shd w:val="clear" w:color="auto" w:fill="auto"/>
                  <w:vAlign w:val="center"/>
                  <w:hideMark/>
                </w:tcPr>
                <w:p w:rsidR="00153351" w:rsidRPr="004A45AE" w:rsidRDefault="00153351" w:rsidP="004A45AE">
                  <w:pPr>
                    <w:rPr>
                      <w:rFonts w:asciiTheme="minorHAnsi" w:hAnsiTheme="minorHAnsi" w:cstheme="minorHAnsi"/>
                      <w:color w:val="000000"/>
                      <w:sz w:val="22"/>
                      <w:szCs w:val="22"/>
                      <w:lang w:eastAsia="en-GB"/>
                    </w:rPr>
                  </w:pPr>
                </w:p>
                <w:p w:rsidR="00153351" w:rsidRPr="004A45AE" w:rsidRDefault="00153351" w:rsidP="004A45AE">
                  <w:pPr>
                    <w:rPr>
                      <w:rFonts w:asciiTheme="minorHAnsi" w:hAnsiTheme="minorHAnsi" w:cstheme="minorHAnsi"/>
                      <w:color w:val="000000"/>
                      <w:sz w:val="22"/>
                      <w:szCs w:val="22"/>
                      <w:lang w:eastAsia="en-GB"/>
                    </w:rPr>
                  </w:pPr>
                  <w:r w:rsidRPr="004A45AE">
                    <w:rPr>
                      <w:rFonts w:asciiTheme="minorHAnsi" w:hAnsiTheme="minorHAnsi" w:cstheme="minorHAnsi"/>
                      <w:color w:val="000000"/>
                      <w:sz w:val="22"/>
                      <w:szCs w:val="22"/>
                      <w:lang w:eastAsia="en-GB"/>
                    </w:rPr>
                    <w:t>BPPC – number/value paid within 30 days</w:t>
                  </w:r>
                </w:p>
              </w:tc>
              <w:tc>
                <w:tcPr>
                  <w:tcW w:w="1554" w:type="dxa"/>
                  <w:tcBorders>
                    <w:top w:val="nil"/>
                    <w:left w:val="nil"/>
                    <w:bottom w:val="single" w:sz="4" w:space="0" w:color="auto"/>
                    <w:right w:val="single" w:sz="4" w:space="0" w:color="auto"/>
                  </w:tcBorders>
                  <w:shd w:val="clear" w:color="auto" w:fill="auto"/>
                  <w:vAlign w:val="center"/>
                  <w:hideMark/>
                </w:tcPr>
                <w:p w:rsidR="00153351" w:rsidRPr="004A45AE" w:rsidRDefault="00153351" w:rsidP="004A45AE">
                  <w:pPr>
                    <w:jc w:val="center"/>
                    <w:rPr>
                      <w:rFonts w:asciiTheme="minorHAnsi" w:hAnsiTheme="minorHAnsi" w:cstheme="minorHAnsi"/>
                      <w:color w:val="000000"/>
                      <w:sz w:val="22"/>
                      <w:szCs w:val="22"/>
                      <w:lang w:eastAsia="en-GB"/>
                    </w:rPr>
                  </w:pPr>
                  <w:r w:rsidRPr="004A45AE">
                    <w:rPr>
                      <w:rFonts w:asciiTheme="minorHAnsi" w:hAnsiTheme="minorHAnsi" w:cstheme="minorHAnsi"/>
                      <w:color w:val="000000"/>
                      <w:sz w:val="22"/>
                      <w:szCs w:val="22"/>
                      <w:lang w:eastAsia="en-GB"/>
                    </w:rPr>
                    <w:t>Operational</w:t>
                  </w:r>
                </w:p>
              </w:tc>
              <w:tc>
                <w:tcPr>
                  <w:tcW w:w="858" w:type="dxa"/>
                  <w:tcBorders>
                    <w:top w:val="nil"/>
                    <w:left w:val="nil"/>
                    <w:bottom w:val="single" w:sz="4" w:space="0" w:color="auto"/>
                    <w:right w:val="single" w:sz="4" w:space="0" w:color="auto"/>
                  </w:tcBorders>
                  <w:shd w:val="clear" w:color="auto" w:fill="auto"/>
                  <w:vAlign w:val="center"/>
                  <w:hideMark/>
                </w:tcPr>
                <w:p w:rsidR="00153351" w:rsidRPr="004A45AE" w:rsidRDefault="00153351" w:rsidP="004A45AE">
                  <w:pPr>
                    <w:jc w:val="center"/>
                    <w:rPr>
                      <w:rFonts w:asciiTheme="minorHAnsi" w:hAnsiTheme="minorHAnsi" w:cstheme="minorHAnsi"/>
                      <w:color w:val="000000"/>
                      <w:sz w:val="22"/>
                      <w:szCs w:val="22"/>
                      <w:lang w:eastAsia="en-GB"/>
                    </w:rPr>
                  </w:pPr>
                  <w:r w:rsidRPr="004A45AE">
                    <w:rPr>
                      <w:rFonts w:asciiTheme="minorHAnsi" w:hAnsiTheme="minorHAnsi" w:cstheme="minorHAnsi"/>
                      <w:color w:val="000000"/>
                      <w:sz w:val="22"/>
                      <w:szCs w:val="22"/>
                      <w:lang w:eastAsia="en-GB"/>
                    </w:rPr>
                    <w:t>3</w:t>
                  </w:r>
                </w:p>
              </w:tc>
              <w:tc>
                <w:tcPr>
                  <w:tcW w:w="901" w:type="dxa"/>
                  <w:tcBorders>
                    <w:top w:val="nil"/>
                    <w:left w:val="nil"/>
                    <w:bottom w:val="single" w:sz="4" w:space="0" w:color="auto"/>
                    <w:right w:val="nil"/>
                  </w:tcBorders>
                  <w:shd w:val="clear" w:color="auto" w:fill="auto"/>
                  <w:vAlign w:val="center"/>
                  <w:hideMark/>
                </w:tcPr>
                <w:p w:rsidR="00153351" w:rsidRPr="004A45AE" w:rsidRDefault="00153351" w:rsidP="004A45AE">
                  <w:pPr>
                    <w:jc w:val="center"/>
                    <w:rPr>
                      <w:rFonts w:asciiTheme="minorHAnsi" w:hAnsiTheme="minorHAnsi" w:cstheme="minorHAnsi"/>
                      <w:color w:val="000000"/>
                      <w:sz w:val="22"/>
                      <w:szCs w:val="22"/>
                      <w:lang w:eastAsia="en-GB"/>
                    </w:rPr>
                  </w:pPr>
                  <w:r w:rsidRPr="004A45AE">
                    <w:rPr>
                      <w:rFonts w:asciiTheme="minorHAnsi" w:hAnsiTheme="minorHAnsi" w:cstheme="minorHAnsi"/>
                      <w:color w:val="000000"/>
                      <w:sz w:val="22"/>
                      <w:szCs w:val="22"/>
                      <w:lang w:eastAsia="en-GB"/>
                    </w:rPr>
                    <w:t>Green</w:t>
                  </w:r>
                </w:p>
              </w:tc>
              <w:tc>
                <w:tcPr>
                  <w:tcW w:w="1039" w:type="dxa"/>
                  <w:tcBorders>
                    <w:top w:val="nil"/>
                    <w:left w:val="single" w:sz="4" w:space="0" w:color="auto"/>
                    <w:bottom w:val="single" w:sz="4" w:space="0" w:color="auto"/>
                    <w:right w:val="single" w:sz="4" w:space="0" w:color="auto"/>
                  </w:tcBorders>
                  <w:shd w:val="clear" w:color="auto" w:fill="auto"/>
                  <w:noWrap/>
                  <w:vAlign w:val="center"/>
                  <w:hideMark/>
                </w:tcPr>
                <w:p w:rsidR="00153351" w:rsidRPr="004A45AE" w:rsidRDefault="00153351" w:rsidP="004A45AE">
                  <w:pPr>
                    <w:jc w:val="center"/>
                    <w:rPr>
                      <w:rFonts w:asciiTheme="minorHAnsi" w:hAnsiTheme="minorHAnsi" w:cstheme="minorHAnsi"/>
                      <w:color w:val="000000"/>
                      <w:sz w:val="22"/>
                      <w:szCs w:val="22"/>
                      <w:lang w:eastAsia="en-GB"/>
                    </w:rPr>
                  </w:pPr>
                  <w:r w:rsidRPr="004A45AE">
                    <w:rPr>
                      <w:rFonts w:asciiTheme="minorHAnsi" w:hAnsiTheme="minorHAnsi" w:cstheme="minorHAnsi"/>
                      <w:color w:val="000000"/>
                      <w:sz w:val="22"/>
                      <w:szCs w:val="22"/>
                      <w:lang w:eastAsia="en-GB"/>
                    </w:rPr>
                    <w:t>Green</w:t>
                  </w:r>
                </w:p>
              </w:tc>
            </w:tr>
          </w:tbl>
          <w:p w:rsidR="00153351" w:rsidRPr="004A45AE" w:rsidRDefault="00153351" w:rsidP="00153351">
            <w:pPr>
              <w:pStyle w:val="Default"/>
              <w:tabs>
                <w:tab w:val="left" w:pos="699"/>
              </w:tabs>
              <w:jc w:val="both"/>
              <w:rPr>
                <w:rFonts w:asciiTheme="minorHAnsi" w:hAnsiTheme="minorHAnsi" w:cstheme="minorHAnsi"/>
                <w:sz w:val="22"/>
                <w:szCs w:val="22"/>
              </w:rPr>
            </w:pPr>
          </w:p>
          <w:p w:rsidR="00153351" w:rsidRPr="004A45AE" w:rsidRDefault="00153351" w:rsidP="00153351">
            <w:pPr>
              <w:pStyle w:val="Default"/>
              <w:tabs>
                <w:tab w:val="left" w:pos="699"/>
              </w:tabs>
              <w:jc w:val="both"/>
              <w:rPr>
                <w:rFonts w:asciiTheme="minorHAnsi" w:hAnsiTheme="minorHAnsi" w:cstheme="minorHAnsi"/>
                <w:sz w:val="22"/>
                <w:szCs w:val="22"/>
              </w:rPr>
            </w:pPr>
            <w:r w:rsidRPr="004A45AE">
              <w:rPr>
                <w:rFonts w:asciiTheme="minorHAnsi" w:hAnsiTheme="minorHAnsi" w:cstheme="minorHAnsi"/>
                <w:sz w:val="22"/>
                <w:szCs w:val="22"/>
              </w:rPr>
              <w:t>At this early stage in the year the CCG is on track to achieve both its planned operating position (Health £nil (break-even) + ASC £nil (break-even)) and its NHSE Mandated Surplus(£4.53m), however we would draw your attention to the following:-</w:t>
            </w:r>
            <w:r w:rsidRPr="004A45AE">
              <w:rPr>
                <w:rFonts w:asciiTheme="minorHAnsi" w:hAnsiTheme="minorHAnsi" w:cstheme="minorHAnsi"/>
                <w:sz w:val="22"/>
                <w:szCs w:val="22"/>
              </w:rPr>
              <w:tab/>
            </w:r>
            <w:r w:rsidRPr="004A45AE">
              <w:rPr>
                <w:rFonts w:asciiTheme="minorHAnsi" w:hAnsiTheme="minorHAnsi" w:cstheme="minorHAnsi"/>
                <w:sz w:val="22"/>
                <w:szCs w:val="22"/>
              </w:rPr>
              <w:tab/>
            </w:r>
            <w:r w:rsidRPr="004A45AE">
              <w:rPr>
                <w:rFonts w:asciiTheme="minorHAnsi" w:hAnsiTheme="minorHAnsi" w:cstheme="minorHAnsi"/>
                <w:sz w:val="22"/>
                <w:szCs w:val="22"/>
              </w:rPr>
              <w:tab/>
            </w:r>
            <w:r w:rsidRPr="004A45AE">
              <w:rPr>
                <w:rFonts w:asciiTheme="minorHAnsi" w:hAnsiTheme="minorHAnsi" w:cstheme="minorHAnsi"/>
                <w:sz w:val="22"/>
                <w:szCs w:val="22"/>
              </w:rPr>
              <w:tab/>
            </w:r>
            <w:r w:rsidRPr="004A45AE">
              <w:rPr>
                <w:rFonts w:asciiTheme="minorHAnsi" w:hAnsiTheme="minorHAnsi" w:cstheme="minorHAnsi"/>
                <w:sz w:val="22"/>
                <w:szCs w:val="22"/>
              </w:rPr>
              <w:tab/>
            </w:r>
            <w:r w:rsidRPr="004A45AE">
              <w:rPr>
                <w:rFonts w:asciiTheme="minorHAnsi" w:hAnsiTheme="minorHAnsi" w:cstheme="minorHAnsi"/>
                <w:sz w:val="22"/>
                <w:szCs w:val="22"/>
              </w:rPr>
              <w:tab/>
            </w:r>
            <w:r w:rsidRPr="004A45AE">
              <w:rPr>
                <w:rFonts w:asciiTheme="minorHAnsi" w:hAnsiTheme="minorHAnsi" w:cstheme="minorHAnsi"/>
                <w:sz w:val="22"/>
                <w:szCs w:val="22"/>
              </w:rPr>
              <w:tab/>
            </w:r>
            <w:r w:rsidRPr="004A45AE">
              <w:rPr>
                <w:rFonts w:asciiTheme="minorHAnsi" w:hAnsiTheme="minorHAnsi" w:cstheme="minorHAnsi"/>
                <w:sz w:val="22"/>
                <w:szCs w:val="22"/>
              </w:rPr>
              <w:tab/>
            </w:r>
          </w:p>
          <w:p w:rsidR="002C2A66" w:rsidRPr="002C2A66" w:rsidRDefault="005F3FA1" w:rsidP="002C2A66">
            <w:pPr>
              <w:pStyle w:val="Default"/>
              <w:numPr>
                <w:ilvl w:val="0"/>
                <w:numId w:val="7"/>
              </w:numPr>
              <w:tabs>
                <w:tab w:val="left" w:pos="483"/>
              </w:tabs>
              <w:ind w:left="483" w:hanging="284"/>
              <w:jc w:val="both"/>
              <w:rPr>
                <w:rFonts w:asciiTheme="minorHAnsi" w:hAnsiTheme="minorHAnsi" w:cstheme="minorHAnsi"/>
                <w:sz w:val="22"/>
                <w:szCs w:val="22"/>
              </w:rPr>
            </w:pPr>
            <w:r w:rsidRPr="002C2A66">
              <w:rPr>
                <w:rFonts w:asciiTheme="minorHAnsi" w:hAnsiTheme="minorHAnsi" w:cstheme="minorHAnsi"/>
                <w:sz w:val="22"/>
                <w:szCs w:val="22"/>
              </w:rPr>
              <w:t>The CCG has a number of risks that need to be managed in year in order to achieve our planned position, the key risks facing</w:t>
            </w:r>
            <w:r w:rsidR="00F35AC2" w:rsidRPr="002C2A66">
              <w:rPr>
                <w:rFonts w:asciiTheme="minorHAnsi" w:hAnsiTheme="minorHAnsi" w:cstheme="minorHAnsi"/>
                <w:sz w:val="22"/>
                <w:szCs w:val="22"/>
              </w:rPr>
              <w:t xml:space="preserve"> the CCG are:-</w:t>
            </w:r>
            <w:r w:rsidR="002C2A66" w:rsidRPr="002C2A66">
              <w:rPr>
                <w:rFonts w:asciiTheme="minorHAnsi" w:hAnsiTheme="minorHAnsi" w:cstheme="minorHAnsi"/>
                <w:sz w:val="22"/>
                <w:szCs w:val="22"/>
              </w:rPr>
              <w:t xml:space="preserve"> </w:t>
            </w:r>
          </w:p>
          <w:p w:rsidR="00896FD9" w:rsidRDefault="00896FD9" w:rsidP="00896FD9">
            <w:pPr>
              <w:pStyle w:val="Default"/>
              <w:numPr>
                <w:ilvl w:val="0"/>
                <w:numId w:val="9"/>
              </w:numPr>
              <w:tabs>
                <w:tab w:val="left" w:pos="483"/>
              </w:tabs>
              <w:jc w:val="both"/>
              <w:rPr>
                <w:rFonts w:asciiTheme="minorHAnsi" w:hAnsiTheme="minorHAnsi" w:cstheme="minorHAnsi"/>
                <w:sz w:val="22"/>
                <w:szCs w:val="22"/>
              </w:rPr>
            </w:pPr>
            <w:r>
              <w:rPr>
                <w:rFonts w:asciiTheme="minorHAnsi" w:hAnsiTheme="minorHAnsi" w:cstheme="minorHAnsi"/>
                <w:sz w:val="22"/>
                <w:szCs w:val="22"/>
              </w:rPr>
              <w:t>Activity levels higher than planned, across Acute, Mental Health, Continuing Care, Prescribing and Adult Social Care</w:t>
            </w:r>
          </w:p>
          <w:p w:rsidR="00896FD9" w:rsidRDefault="00896FD9" w:rsidP="00896FD9">
            <w:pPr>
              <w:pStyle w:val="Default"/>
              <w:numPr>
                <w:ilvl w:val="0"/>
                <w:numId w:val="9"/>
              </w:numPr>
              <w:tabs>
                <w:tab w:val="left" w:pos="483"/>
              </w:tabs>
              <w:jc w:val="both"/>
              <w:rPr>
                <w:rFonts w:asciiTheme="minorHAnsi" w:hAnsiTheme="minorHAnsi" w:cstheme="minorHAnsi"/>
                <w:sz w:val="22"/>
                <w:szCs w:val="22"/>
              </w:rPr>
            </w:pPr>
            <w:r>
              <w:rPr>
                <w:rFonts w:asciiTheme="minorHAnsi" w:hAnsiTheme="minorHAnsi" w:cstheme="minorHAnsi"/>
                <w:sz w:val="22"/>
                <w:szCs w:val="22"/>
              </w:rPr>
              <w:t>QIPP schemes do not deliver planned savings</w:t>
            </w:r>
          </w:p>
          <w:p w:rsidR="004F0C5A" w:rsidRPr="002C2A66" w:rsidRDefault="00896FD9" w:rsidP="004F0C5A">
            <w:pPr>
              <w:pStyle w:val="Default"/>
              <w:numPr>
                <w:ilvl w:val="0"/>
                <w:numId w:val="9"/>
              </w:numPr>
              <w:tabs>
                <w:tab w:val="left" w:pos="483"/>
              </w:tabs>
              <w:jc w:val="both"/>
              <w:rPr>
                <w:rFonts w:asciiTheme="minorHAnsi" w:hAnsiTheme="minorHAnsi" w:cstheme="minorHAnsi"/>
                <w:sz w:val="22"/>
                <w:szCs w:val="22"/>
              </w:rPr>
            </w:pPr>
            <w:r w:rsidRPr="002C2A66">
              <w:rPr>
                <w:rFonts w:asciiTheme="minorHAnsi" w:hAnsiTheme="minorHAnsi" w:cstheme="minorHAnsi"/>
                <w:sz w:val="22"/>
                <w:szCs w:val="22"/>
              </w:rPr>
              <w:t>Community / wider system pressures</w:t>
            </w:r>
            <w:r w:rsidR="002C2A66" w:rsidRPr="002C2A66">
              <w:rPr>
                <w:rFonts w:asciiTheme="minorHAnsi" w:hAnsiTheme="minorHAnsi" w:cstheme="minorHAnsi"/>
                <w:sz w:val="22"/>
                <w:szCs w:val="22"/>
              </w:rPr>
              <w:t xml:space="preserve"> </w:t>
            </w:r>
          </w:p>
          <w:tbl>
            <w:tblPr>
              <w:tblStyle w:val="TableGrid"/>
              <w:tblW w:w="0" w:type="auto"/>
              <w:tblInd w:w="1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1559"/>
            </w:tblGrid>
            <w:tr w:rsidR="00896FD9" w:rsidTr="00DF685D">
              <w:tc>
                <w:tcPr>
                  <w:tcW w:w="4536" w:type="dxa"/>
                </w:tcPr>
                <w:p w:rsidR="00896FD9" w:rsidRDefault="00896FD9" w:rsidP="004F0C5A">
                  <w:pPr>
                    <w:pStyle w:val="Default"/>
                    <w:tabs>
                      <w:tab w:val="left" w:pos="483"/>
                    </w:tabs>
                    <w:jc w:val="both"/>
                    <w:rPr>
                      <w:rFonts w:asciiTheme="minorHAnsi" w:hAnsiTheme="minorHAnsi" w:cstheme="minorHAnsi"/>
                      <w:sz w:val="22"/>
                      <w:szCs w:val="22"/>
                    </w:rPr>
                  </w:pPr>
                </w:p>
              </w:tc>
              <w:tc>
                <w:tcPr>
                  <w:tcW w:w="1559" w:type="dxa"/>
                </w:tcPr>
                <w:p w:rsidR="00896FD9" w:rsidRDefault="002C2A66" w:rsidP="002C2A66">
                  <w:pPr>
                    <w:pStyle w:val="Default"/>
                    <w:tabs>
                      <w:tab w:val="left" w:pos="483"/>
                    </w:tabs>
                    <w:jc w:val="right"/>
                    <w:rPr>
                      <w:rFonts w:asciiTheme="minorHAnsi" w:hAnsiTheme="minorHAnsi" w:cstheme="minorHAnsi"/>
                      <w:sz w:val="22"/>
                      <w:szCs w:val="22"/>
                    </w:rPr>
                  </w:pPr>
                  <w:r>
                    <w:rPr>
                      <w:rFonts w:asciiTheme="minorHAnsi" w:hAnsiTheme="minorHAnsi" w:cstheme="minorHAnsi"/>
                      <w:sz w:val="22"/>
                      <w:szCs w:val="22"/>
                    </w:rPr>
                    <w:t xml:space="preserve"> £’000</w:t>
                  </w:r>
                </w:p>
              </w:tc>
            </w:tr>
            <w:tr w:rsidR="00896FD9" w:rsidTr="00DF685D">
              <w:tc>
                <w:tcPr>
                  <w:tcW w:w="4536" w:type="dxa"/>
                </w:tcPr>
                <w:p w:rsidR="00896FD9" w:rsidRDefault="00363AC8" w:rsidP="004F0C5A">
                  <w:pPr>
                    <w:pStyle w:val="Default"/>
                    <w:tabs>
                      <w:tab w:val="left" w:pos="483"/>
                    </w:tabs>
                    <w:jc w:val="both"/>
                    <w:rPr>
                      <w:rFonts w:asciiTheme="minorHAnsi" w:hAnsiTheme="minorHAnsi" w:cstheme="minorHAnsi"/>
                      <w:sz w:val="22"/>
                      <w:szCs w:val="22"/>
                    </w:rPr>
                  </w:pPr>
                  <w:r>
                    <w:rPr>
                      <w:rFonts w:asciiTheme="minorHAnsi" w:hAnsiTheme="minorHAnsi" w:cstheme="minorHAnsi"/>
                      <w:sz w:val="22"/>
                      <w:szCs w:val="22"/>
                    </w:rPr>
                    <w:t>Health</w:t>
                  </w:r>
                </w:p>
              </w:tc>
              <w:tc>
                <w:tcPr>
                  <w:tcW w:w="1559" w:type="dxa"/>
                </w:tcPr>
                <w:p w:rsidR="00896FD9" w:rsidRDefault="00363AC8" w:rsidP="00A65600">
                  <w:pPr>
                    <w:pStyle w:val="Default"/>
                    <w:tabs>
                      <w:tab w:val="left" w:pos="483"/>
                    </w:tabs>
                    <w:jc w:val="right"/>
                    <w:rPr>
                      <w:rFonts w:asciiTheme="minorHAnsi" w:hAnsiTheme="minorHAnsi" w:cstheme="minorHAnsi"/>
                      <w:sz w:val="22"/>
                      <w:szCs w:val="22"/>
                    </w:rPr>
                  </w:pPr>
                  <w:r>
                    <w:rPr>
                      <w:rFonts w:asciiTheme="minorHAnsi" w:hAnsiTheme="minorHAnsi" w:cstheme="minorHAnsi"/>
                      <w:sz w:val="22"/>
                      <w:szCs w:val="22"/>
                    </w:rPr>
                    <w:t>5,905</w:t>
                  </w:r>
                </w:p>
              </w:tc>
            </w:tr>
            <w:tr w:rsidR="00896FD9" w:rsidTr="00DF685D">
              <w:tc>
                <w:tcPr>
                  <w:tcW w:w="4536" w:type="dxa"/>
                </w:tcPr>
                <w:p w:rsidR="00896FD9" w:rsidRDefault="00896FD9" w:rsidP="004F0C5A">
                  <w:pPr>
                    <w:pStyle w:val="Default"/>
                    <w:tabs>
                      <w:tab w:val="left" w:pos="483"/>
                    </w:tabs>
                    <w:jc w:val="both"/>
                    <w:rPr>
                      <w:rFonts w:asciiTheme="minorHAnsi" w:hAnsiTheme="minorHAnsi" w:cstheme="minorHAnsi"/>
                      <w:sz w:val="22"/>
                      <w:szCs w:val="22"/>
                    </w:rPr>
                  </w:pPr>
                  <w:r>
                    <w:rPr>
                      <w:rFonts w:asciiTheme="minorHAnsi" w:hAnsiTheme="minorHAnsi" w:cstheme="minorHAnsi"/>
                      <w:sz w:val="22"/>
                      <w:szCs w:val="22"/>
                    </w:rPr>
                    <w:t>Adult Social Care</w:t>
                  </w:r>
                </w:p>
              </w:tc>
              <w:tc>
                <w:tcPr>
                  <w:tcW w:w="1559" w:type="dxa"/>
                </w:tcPr>
                <w:p w:rsidR="00896FD9" w:rsidRDefault="00896FD9" w:rsidP="00A65600">
                  <w:pPr>
                    <w:pStyle w:val="Default"/>
                    <w:tabs>
                      <w:tab w:val="left" w:pos="483"/>
                    </w:tabs>
                    <w:jc w:val="right"/>
                    <w:rPr>
                      <w:rFonts w:asciiTheme="minorHAnsi" w:hAnsiTheme="minorHAnsi" w:cstheme="minorHAnsi"/>
                      <w:sz w:val="22"/>
                      <w:szCs w:val="22"/>
                    </w:rPr>
                  </w:pPr>
                  <w:r>
                    <w:rPr>
                      <w:rFonts w:asciiTheme="minorHAnsi" w:hAnsiTheme="minorHAnsi" w:cstheme="minorHAnsi"/>
                      <w:sz w:val="22"/>
                      <w:szCs w:val="22"/>
                    </w:rPr>
                    <w:t>1,000</w:t>
                  </w:r>
                </w:p>
              </w:tc>
            </w:tr>
            <w:tr w:rsidR="00896FD9" w:rsidTr="00DF685D">
              <w:tc>
                <w:tcPr>
                  <w:tcW w:w="4536" w:type="dxa"/>
                </w:tcPr>
                <w:p w:rsidR="00896FD9" w:rsidRPr="00A65600" w:rsidRDefault="00896FD9" w:rsidP="002C2A66">
                  <w:pPr>
                    <w:pStyle w:val="Default"/>
                    <w:tabs>
                      <w:tab w:val="left" w:pos="483"/>
                    </w:tabs>
                    <w:jc w:val="both"/>
                    <w:rPr>
                      <w:rFonts w:asciiTheme="minorHAnsi" w:hAnsiTheme="minorHAnsi" w:cstheme="minorHAnsi"/>
                      <w:b/>
                      <w:sz w:val="22"/>
                      <w:szCs w:val="22"/>
                    </w:rPr>
                  </w:pPr>
                  <w:r w:rsidRPr="00A65600">
                    <w:rPr>
                      <w:rFonts w:asciiTheme="minorHAnsi" w:hAnsiTheme="minorHAnsi" w:cstheme="minorHAnsi"/>
                      <w:b/>
                      <w:sz w:val="22"/>
                      <w:szCs w:val="22"/>
                    </w:rPr>
                    <w:t xml:space="preserve">Total </w:t>
                  </w:r>
                  <w:r w:rsidR="002C2A66" w:rsidRPr="002C2A66">
                    <w:rPr>
                      <w:rFonts w:ascii="Calibri" w:hAnsi="Calibri" w:cs="Calibri"/>
                      <w:b/>
                      <w:sz w:val="22"/>
                      <w:szCs w:val="22"/>
                    </w:rPr>
                    <w:t>Potential Risk Value</w:t>
                  </w:r>
                </w:p>
              </w:tc>
              <w:tc>
                <w:tcPr>
                  <w:tcW w:w="1559" w:type="dxa"/>
                </w:tcPr>
                <w:p w:rsidR="00896FD9" w:rsidRPr="00A65600" w:rsidRDefault="00896FD9" w:rsidP="00A65600">
                  <w:pPr>
                    <w:pStyle w:val="Default"/>
                    <w:tabs>
                      <w:tab w:val="left" w:pos="483"/>
                    </w:tabs>
                    <w:jc w:val="right"/>
                    <w:rPr>
                      <w:rFonts w:asciiTheme="minorHAnsi" w:hAnsiTheme="minorHAnsi" w:cstheme="minorHAnsi"/>
                      <w:b/>
                      <w:sz w:val="22"/>
                      <w:szCs w:val="22"/>
                    </w:rPr>
                  </w:pPr>
                  <w:r w:rsidRPr="00A65600">
                    <w:rPr>
                      <w:rFonts w:asciiTheme="minorHAnsi" w:hAnsiTheme="minorHAnsi" w:cstheme="minorHAnsi"/>
                      <w:b/>
                      <w:sz w:val="22"/>
                      <w:szCs w:val="22"/>
                    </w:rPr>
                    <w:t>6,905</w:t>
                  </w:r>
                </w:p>
              </w:tc>
            </w:tr>
            <w:tr w:rsidR="00896FD9" w:rsidTr="00DF685D">
              <w:tc>
                <w:tcPr>
                  <w:tcW w:w="4536" w:type="dxa"/>
                </w:tcPr>
                <w:p w:rsidR="00896FD9" w:rsidRDefault="00896FD9" w:rsidP="004F0C5A">
                  <w:pPr>
                    <w:pStyle w:val="Default"/>
                    <w:tabs>
                      <w:tab w:val="left" w:pos="483"/>
                    </w:tabs>
                    <w:jc w:val="both"/>
                    <w:rPr>
                      <w:rFonts w:asciiTheme="minorHAnsi" w:hAnsiTheme="minorHAnsi" w:cstheme="minorHAnsi"/>
                      <w:sz w:val="22"/>
                      <w:szCs w:val="22"/>
                    </w:rPr>
                  </w:pPr>
                  <w:r>
                    <w:rPr>
                      <w:rFonts w:asciiTheme="minorHAnsi" w:hAnsiTheme="minorHAnsi" w:cstheme="minorHAnsi"/>
                      <w:sz w:val="22"/>
                      <w:szCs w:val="22"/>
                    </w:rPr>
                    <w:t>Mitigations:-</w:t>
                  </w:r>
                </w:p>
              </w:tc>
              <w:tc>
                <w:tcPr>
                  <w:tcW w:w="1559" w:type="dxa"/>
                </w:tcPr>
                <w:p w:rsidR="00896FD9" w:rsidRDefault="00896FD9" w:rsidP="00A65600">
                  <w:pPr>
                    <w:pStyle w:val="Default"/>
                    <w:tabs>
                      <w:tab w:val="left" w:pos="483"/>
                    </w:tabs>
                    <w:jc w:val="right"/>
                    <w:rPr>
                      <w:rFonts w:asciiTheme="minorHAnsi" w:hAnsiTheme="minorHAnsi" w:cstheme="minorHAnsi"/>
                      <w:sz w:val="22"/>
                      <w:szCs w:val="22"/>
                    </w:rPr>
                  </w:pPr>
                </w:p>
              </w:tc>
            </w:tr>
            <w:tr w:rsidR="00896FD9" w:rsidTr="00DF685D">
              <w:tc>
                <w:tcPr>
                  <w:tcW w:w="4536" w:type="dxa"/>
                </w:tcPr>
                <w:p w:rsidR="00896FD9" w:rsidRDefault="00896FD9" w:rsidP="00A65600">
                  <w:pPr>
                    <w:pStyle w:val="Default"/>
                    <w:tabs>
                      <w:tab w:val="left" w:pos="483"/>
                    </w:tabs>
                    <w:jc w:val="both"/>
                    <w:rPr>
                      <w:rFonts w:asciiTheme="minorHAnsi" w:hAnsiTheme="minorHAnsi" w:cstheme="minorHAnsi"/>
                      <w:sz w:val="22"/>
                      <w:szCs w:val="22"/>
                    </w:rPr>
                  </w:pPr>
                  <w:r>
                    <w:rPr>
                      <w:rFonts w:asciiTheme="minorHAnsi" w:hAnsiTheme="minorHAnsi" w:cstheme="minorHAnsi"/>
                      <w:sz w:val="22"/>
                      <w:szCs w:val="22"/>
                    </w:rPr>
                    <w:t xml:space="preserve">Contingency / Reserves </w:t>
                  </w:r>
                </w:p>
              </w:tc>
              <w:tc>
                <w:tcPr>
                  <w:tcW w:w="1559" w:type="dxa"/>
                </w:tcPr>
                <w:p w:rsidR="00896FD9" w:rsidRDefault="00896FD9" w:rsidP="00A65600">
                  <w:pPr>
                    <w:pStyle w:val="Default"/>
                    <w:tabs>
                      <w:tab w:val="left" w:pos="483"/>
                    </w:tabs>
                    <w:jc w:val="right"/>
                    <w:rPr>
                      <w:rFonts w:asciiTheme="minorHAnsi" w:hAnsiTheme="minorHAnsi" w:cstheme="minorHAnsi"/>
                      <w:sz w:val="22"/>
                      <w:szCs w:val="22"/>
                    </w:rPr>
                  </w:pPr>
                  <w:r>
                    <w:rPr>
                      <w:rFonts w:asciiTheme="minorHAnsi" w:hAnsiTheme="minorHAnsi" w:cstheme="minorHAnsi"/>
                      <w:sz w:val="22"/>
                      <w:szCs w:val="22"/>
                    </w:rPr>
                    <w:t>2,786</w:t>
                  </w:r>
                </w:p>
              </w:tc>
            </w:tr>
            <w:tr w:rsidR="00896FD9" w:rsidTr="00DF685D">
              <w:tc>
                <w:tcPr>
                  <w:tcW w:w="4536" w:type="dxa"/>
                </w:tcPr>
                <w:p w:rsidR="00896FD9" w:rsidRDefault="00896FD9" w:rsidP="004F0C5A">
                  <w:pPr>
                    <w:pStyle w:val="Default"/>
                    <w:tabs>
                      <w:tab w:val="left" w:pos="483"/>
                    </w:tabs>
                    <w:jc w:val="both"/>
                    <w:rPr>
                      <w:rFonts w:asciiTheme="minorHAnsi" w:hAnsiTheme="minorHAnsi" w:cstheme="minorHAnsi"/>
                      <w:sz w:val="22"/>
                      <w:szCs w:val="22"/>
                    </w:rPr>
                  </w:pPr>
                  <w:r>
                    <w:rPr>
                      <w:rFonts w:asciiTheme="minorHAnsi" w:hAnsiTheme="minorHAnsi" w:cstheme="minorHAnsi"/>
                      <w:sz w:val="22"/>
                      <w:szCs w:val="22"/>
                    </w:rPr>
                    <w:t>Earmarked Reserves - NELC</w:t>
                  </w:r>
                </w:p>
              </w:tc>
              <w:tc>
                <w:tcPr>
                  <w:tcW w:w="1559" w:type="dxa"/>
                </w:tcPr>
                <w:p w:rsidR="00896FD9" w:rsidRDefault="00896FD9" w:rsidP="00A65600">
                  <w:pPr>
                    <w:pStyle w:val="Default"/>
                    <w:tabs>
                      <w:tab w:val="left" w:pos="483"/>
                    </w:tabs>
                    <w:jc w:val="right"/>
                    <w:rPr>
                      <w:rFonts w:asciiTheme="minorHAnsi" w:hAnsiTheme="minorHAnsi" w:cstheme="minorHAnsi"/>
                      <w:sz w:val="22"/>
                      <w:szCs w:val="22"/>
                    </w:rPr>
                  </w:pPr>
                  <w:r>
                    <w:rPr>
                      <w:rFonts w:asciiTheme="minorHAnsi" w:hAnsiTheme="minorHAnsi" w:cstheme="minorHAnsi"/>
                      <w:sz w:val="22"/>
                      <w:szCs w:val="22"/>
                    </w:rPr>
                    <w:t>1,000</w:t>
                  </w:r>
                </w:p>
              </w:tc>
            </w:tr>
            <w:tr w:rsidR="00896FD9" w:rsidTr="00DF685D">
              <w:tc>
                <w:tcPr>
                  <w:tcW w:w="4536" w:type="dxa"/>
                </w:tcPr>
                <w:p w:rsidR="00896FD9" w:rsidRDefault="00896FD9" w:rsidP="00603BF2">
                  <w:pPr>
                    <w:pStyle w:val="Default"/>
                    <w:tabs>
                      <w:tab w:val="left" w:pos="483"/>
                    </w:tabs>
                    <w:jc w:val="both"/>
                    <w:rPr>
                      <w:rFonts w:asciiTheme="minorHAnsi" w:hAnsiTheme="minorHAnsi" w:cstheme="minorHAnsi"/>
                      <w:sz w:val="22"/>
                      <w:szCs w:val="22"/>
                    </w:rPr>
                  </w:pPr>
                  <w:r>
                    <w:rPr>
                      <w:rFonts w:asciiTheme="minorHAnsi" w:hAnsiTheme="minorHAnsi" w:cstheme="minorHAnsi"/>
                      <w:sz w:val="22"/>
                      <w:szCs w:val="22"/>
                    </w:rPr>
                    <w:t>Actions to implement</w:t>
                  </w:r>
                  <w:r w:rsidR="00603BF2">
                    <w:rPr>
                      <w:rFonts w:asciiTheme="minorHAnsi" w:hAnsiTheme="minorHAnsi" w:cstheme="minorHAnsi"/>
                      <w:sz w:val="22"/>
                      <w:szCs w:val="22"/>
                    </w:rPr>
                    <w:t xml:space="preserve"> – e.g. further QIPP, Non-recurrent measures</w:t>
                  </w:r>
                </w:p>
              </w:tc>
              <w:tc>
                <w:tcPr>
                  <w:tcW w:w="1559" w:type="dxa"/>
                </w:tcPr>
                <w:p w:rsidR="00896FD9" w:rsidRDefault="00896FD9" w:rsidP="00A65600">
                  <w:pPr>
                    <w:pStyle w:val="Default"/>
                    <w:tabs>
                      <w:tab w:val="left" w:pos="483"/>
                    </w:tabs>
                    <w:jc w:val="right"/>
                    <w:rPr>
                      <w:rFonts w:asciiTheme="minorHAnsi" w:hAnsiTheme="minorHAnsi" w:cstheme="minorHAnsi"/>
                      <w:sz w:val="22"/>
                      <w:szCs w:val="22"/>
                    </w:rPr>
                  </w:pPr>
                  <w:r>
                    <w:rPr>
                      <w:rFonts w:asciiTheme="minorHAnsi" w:hAnsiTheme="minorHAnsi" w:cstheme="minorHAnsi"/>
                      <w:sz w:val="22"/>
                      <w:szCs w:val="22"/>
                    </w:rPr>
                    <w:t>2,900</w:t>
                  </w:r>
                </w:p>
              </w:tc>
            </w:tr>
            <w:tr w:rsidR="00896FD9" w:rsidTr="00DF685D">
              <w:tc>
                <w:tcPr>
                  <w:tcW w:w="4536" w:type="dxa"/>
                </w:tcPr>
                <w:p w:rsidR="00896FD9" w:rsidRPr="00A65600" w:rsidRDefault="00896FD9" w:rsidP="004F0C5A">
                  <w:pPr>
                    <w:pStyle w:val="Default"/>
                    <w:tabs>
                      <w:tab w:val="left" w:pos="483"/>
                    </w:tabs>
                    <w:jc w:val="both"/>
                    <w:rPr>
                      <w:rFonts w:asciiTheme="minorHAnsi" w:hAnsiTheme="minorHAnsi" w:cstheme="minorHAnsi"/>
                      <w:b/>
                      <w:sz w:val="22"/>
                      <w:szCs w:val="22"/>
                    </w:rPr>
                  </w:pPr>
                  <w:r w:rsidRPr="00A65600">
                    <w:rPr>
                      <w:rFonts w:asciiTheme="minorHAnsi" w:hAnsiTheme="minorHAnsi" w:cstheme="minorHAnsi"/>
                      <w:b/>
                      <w:sz w:val="22"/>
                      <w:szCs w:val="22"/>
                    </w:rPr>
                    <w:t>Total Mitigation</w:t>
                  </w:r>
                </w:p>
              </w:tc>
              <w:tc>
                <w:tcPr>
                  <w:tcW w:w="1559" w:type="dxa"/>
                </w:tcPr>
                <w:p w:rsidR="00896FD9" w:rsidRPr="00896FD9" w:rsidRDefault="00896FD9" w:rsidP="00A65600">
                  <w:pPr>
                    <w:pStyle w:val="Default"/>
                    <w:tabs>
                      <w:tab w:val="left" w:pos="483"/>
                    </w:tabs>
                    <w:jc w:val="right"/>
                    <w:rPr>
                      <w:rFonts w:asciiTheme="minorHAnsi" w:hAnsiTheme="minorHAnsi" w:cstheme="minorHAnsi"/>
                      <w:b/>
                      <w:sz w:val="22"/>
                      <w:szCs w:val="22"/>
                    </w:rPr>
                  </w:pPr>
                  <w:r w:rsidRPr="00896FD9">
                    <w:rPr>
                      <w:rFonts w:asciiTheme="minorHAnsi" w:hAnsiTheme="minorHAnsi" w:cstheme="minorHAnsi"/>
                      <w:b/>
                      <w:sz w:val="22"/>
                      <w:szCs w:val="22"/>
                    </w:rPr>
                    <w:t>6,686</w:t>
                  </w:r>
                </w:p>
              </w:tc>
            </w:tr>
            <w:tr w:rsidR="00896FD9" w:rsidTr="00DF685D">
              <w:tc>
                <w:tcPr>
                  <w:tcW w:w="4536" w:type="dxa"/>
                </w:tcPr>
                <w:p w:rsidR="00896FD9" w:rsidRDefault="00896FD9" w:rsidP="004F0C5A">
                  <w:pPr>
                    <w:pStyle w:val="Default"/>
                    <w:tabs>
                      <w:tab w:val="left" w:pos="483"/>
                    </w:tabs>
                    <w:jc w:val="both"/>
                    <w:rPr>
                      <w:rFonts w:asciiTheme="minorHAnsi" w:hAnsiTheme="minorHAnsi" w:cstheme="minorHAnsi"/>
                      <w:sz w:val="22"/>
                      <w:szCs w:val="22"/>
                    </w:rPr>
                  </w:pPr>
                  <w:r>
                    <w:rPr>
                      <w:rFonts w:asciiTheme="minorHAnsi" w:hAnsiTheme="minorHAnsi" w:cstheme="minorHAnsi"/>
                      <w:sz w:val="22"/>
                      <w:szCs w:val="22"/>
                    </w:rPr>
                    <w:t>Net (Risk) / Headroom</w:t>
                  </w:r>
                </w:p>
              </w:tc>
              <w:tc>
                <w:tcPr>
                  <w:tcW w:w="1559" w:type="dxa"/>
                </w:tcPr>
                <w:p w:rsidR="00896FD9" w:rsidRDefault="00896FD9" w:rsidP="00A65600">
                  <w:pPr>
                    <w:pStyle w:val="Default"/>
                    <w:tabs>
                      <w:tab w:val="left" w:pos="483"/>
                    </w:tabs>
                    <w:jc w:val="right"/>
                    <w:rPr>
                      <w:rFonts w:asciiTheme="minorHAnsi" w:hAnsiTheme="minorHAnsi" w:cstheme="minorHAnsi"/>
                      <w:sz w:val="22"/>
                      <w:szCs w:val="22"/>
                    </w:rPr>
                  </w:pPr>
                  <w:r>
                    <w:rPr>
                      <w:rFonts w:asciiTheme="minorHAnsi" w:hAnsiTheme="minorHAnsi" w:cstheme="minorHAnsi"/>
                      <w:sz w:val="22"/>
                      <w:szCs w:val="22"/>
                    </w:rPr>
                    <w:t>(219)</w:t>
                  </w:r>
                </w:p>
              </w:tc>
            </w:tr>
          </w:tbl>
          <w:p w:rsidR="00A65600" w:rsidRDefault="00A65600" w:rsidP="004F0C5A">
            <w:pPr>
              <w:pStyle w:val="Default"/>
              <w:tabs>
                <w:tab w:val="left" w:pos="483"/>
              </w:tabs>
              <w:jc w:val="both"/>
              <w:rPr>
                <w:rFonts w:asciiTheme="minorHAnsi" w:hAnsiTheme="minorHAnsi" w:cstheme="minorHAnsi"/>
                <w:sz w:val="22"/>
                <w:szCs w:val="22"/>
              </w:rPr>
            </w:pPr>
          </w:p>
          <w:p w:rsidR="002C2A66" w:rsidRDefault="002C2A66" w:rsidP="002C2A66">
            <w:pPr>
              <w:pStyle w:val="Default"/>
              <w:tabs>
                <w:tab w:val="left" w:pos="444"/>
              </w:tabs>
              <w:ind w:left="444"/>
              <w:jc w:val="both"/>
              <w:rPr>
                <w:rFonts w:ascii="Calibri" w:hAnsi="Calibri" w:cs="Calibri"/>
                <w:sz w:val="22"/>
                <w:szCs w:val="22"/>
              </w:rPr>
            </w:pPr>
            <w:r w:rsidRPr="002C2A66">
              <w:rPr>
                <w:rFonts w:ascii="Calibri" w:hAnsi="Calibri" w:cs="Calibri"/>
                <w:sz w:val="22"/>
                <w:szCs w:val="22"/>
              </w:rPr>
              <w:t>Work is on-going to identify further mitigations and an update is to be brought to the next Delivery Assurance Committee on the progress made.</w:t>
            </w:r>
          </w:p>
          <w:p w:rsidR="002C2A66" w:rsidRDefault="002C2A66" w:rsidP="002C2A66">
            <w:pPr>
              <w:pStyle w:val="Default"/>
              <w:tabs>
                <w:tab w:val="left" w:pos="444"/>
              </w:tabs>
              <w:ind w:left="444"/>
              <w:jc w:val="both"/>
              <w:rPr>
                <w:rFonts w:asciiTheme="minorHAnsi" w:hAnsiTheme="minorHAnsi" w:cstheme="minorHAnsi"/>
                <w:sz w:val="22"/>
                <w:szCs w:val="22"/>
              </w:rPr>
            </w:pPr>
          </w:p>
          <w:p w:rsidR="005F3FA1" w:rsidRDefault="005F3FA1" w:rsidP="00153351">
            <w:pPr>
              <w:pStyle w:val="Default"/>
              <w:numPr>
                <w:ilvl w:val="0"/>
                <w:numId w:val="7"/>
              </w:numPr>
              <w:tabs>
                <w:tab w:val="left" w:pos="483"/>
              </w:tabs>
              <w:ind w:left="483" w:hanging="284"/>
              <w:jc w:val="both"/>
              <w:rPr>
                <w:rFonts w:asciiTheme="minorHAnsi" w:hAnsiTheme="minorHAnsi" w:cstheme="minorHAnsi"/>
                <w:sz w:val="22"/>
                <w:szCs w:val="22"/>
              </w:rPr>
            </w:pPr>
            <w:r w:rsidRPr="005F3FA1">
              <w:rPr>
                <w:rFonts w:asciiTheme="minorHAnsi" w:hAnsiTheme="minorHAnsi" w:cstheme="minorHAnsi"/>
                <w:sz w:val="22"/>
                <w:szCs w:val="22"/>
              </w:rPr>
              <w:t>NHS England (NHSE) have assessed our financial plan as 1b (Assured and meets business rules but increased or higher risk), against a scale of 1a (A</w:t>
            </w:r>
            <w:r w:rsidR="00603BF2">
              <w:rPr>
                <w:rFonts w:asciiTheme="minorHAnsi" w:hAnsiTheme="minorHAnsi" w:cstheme="minorHAnsi"/>
                <w:sz w:val="22"/>
                <w:szCs w:val="22"/>
              </w:rPr>
              <w:t>ssured and meets business rules</w:t>
            </w:r>
            <w:r w:rsidRPr="005F3FA1">
              <w:rPr>
                <w:rFonts w:asciiTheme="minorHAnsi" w:hAnsiTheme="minorHAnsi" w:cstheme="minorHAnsi"/>
                <w:sz w:val="22"/>
                <w:szCs w:val="22"/>
              </w:rPr>
              <w:t>) to 3 (Not assured and plan not capable of being supported without further improvement). The 1b assessment reflects the unmitigated risk that we have identified in our plan and means that we will be subject to closer support and contact from NHSE in year.</w:t>
            </w:r>
          </w:p>
          <w:p w:rsidR="00153351" w:rsidRPr="004A45AE" w:rsidRDefault="00153351" w:rsidP="002C2A66">
            <w:pPr>
              <w:pStyle w:val="Default"/>
              <w:tabs>
                <w:tab w:val="left" w:pos="699"/>
              </w:tabs>
              <w:jc w:val="both"/>
              <w:rPr>
                <w:rFonts w:asciiTheme="minorHAnsi" w:hAnsiTheme="minorHAnsi" w:cstheme="minorHAnsi"/>
                <w:sz w:val="22"/>
                <w:szCs w:val="22"/>
              </w:rPr>
            </w:pPr>
            <w:r w:rsidRPr="004A45AE">
              <w:rPr>
                <w:rFonts w:asciiTheme="minorHAnsi" w:hAnsiTheme="minorHAnsi" w:cstheme="minorHAnsi"/>
                <w:sz w:val="22"/>
                <w:szCs w:val="22"/>
              </w:rPr>
              <w:lastRenderedPageBreak/>
              <w:tab/>
            </w:r>
            <w:r w:rsidRPr="004A45AE">
              <w:rPr>
                <w:rFonts w:asciiTheme="minorHAnsi" w:hAnsiTheme="minorHAnsi" w:cstheme="minorHAnsi"/>
                <w:sz w:val="22"/>
                <w:szCs w:val="22"/>
              </w:rPr>
              <w:tab/>
            </w:r>
            <w:r w:rsidRPr="004A45AE">
              <w:rPr>
                <w:rFonts w:asciiTheme="minorHAnsi" w:hAnsiTheme="minorHAnsi" w:cstheme="minorHAnsi"/>
                <w:sz w:val="22"/>
                <w:szCs w:val="22"/>
              </w:rPr>
              <w:tab/>
            </w:r>
            <w:r w:rsidRPr="004A45AE">
              <w:rPr>
                <w:rFonts w:asciiTheme="minorHAnsi" w:hAnsiTheme="minorHAnsi" w:cstheme="minorHAnsi"/>
                <w:sz w:val="22"/>
                <w:szCs w:val="22"/>
              </w:rPr>
              <w:tab/>
            </w:r>
            <w:r w:rsidRPr="004A45AE">
              <w:rPr>
                <w:rFonts w:asciiTheme="minorHAnsi" w:hAnsiTheme="minorHAnsi" w:cstheme="minorHAnsi"/>
                <w:sz w:val="22"/>
                <w:szCs w:val="22"/>
              </w:rPr>
              <w:tab/>
            </w:r>
          </w:p>
          <w:p w:rsidR="00E879DB" w:rsidRPr="0087216E" w:rsidRDefault="00153351" w:rsidP="00E879DB">
            <w:pPr>
              <w:pStyle w:val="Default"/>
              <w:numPr>
                <w:ilvl w:val="0"/>
                <w:numId w:val="7"/>
              </w:numPr>
              <w:tabs>
                <w:tab w:val="left" w:pos="483"/>
              </w:tabs>
              <w:ind w:left="483" w:hanging="284"/>
              <w:jc w:val="both"/>
              <w:rPr>
                <w:rFonts w:asciiTheme="minorHAnsi" w:hAnsiTheme="minorHAnsi" w:cstheme="minorHAnsi"/>
              </w:rPr>
            </w:pPr>
            <w:r w:rsidRPr="0087216E">
              <w:rPr>
                <w:rFonts w:asciiTheme="minorHAnsi" w:hAnsiTheme="minorHAnsi" w:cstheme="minorHAnsi"/>
                <w:sz w:val="22"/>
                <w:szCs w:val="22"/>
              </w:rPr>
              <w:t xml:space="preserve">Savings; The </w:t>
            </w:r>
            <w:r w:rsidR="0087216E" w:rsidRPr="0087216E">
              <w:rPr>
                <w:rFonts w:asciiTheme="minorHAnsi" w:hAnsiTheme="minorHAnsi" w:cstheme="minorHAnsi"/>
                <w:sz w:val="22"/>
                <w:szCs w:val="22"/>
              </w:rPr>
              <w:t xml:space="preserve">table below summarises the current position with QIPP schemes </w:t>
            </w:r>
          </w:p>
          <w:p w:rsidR="0087216E" w:rsidRPr="0087216E" w:rsidRDefault="0087216E" w:rsidP="0087216E">
            <w:pPr>
              <w:pStyle w:val="Default"/>
              <w:tabs>
                <w:tab w:val="left" w:pos="483"/>
              </w:tabs>
              <w:ind w:left="483"/>
              <w:jc w:val="both"/>
              <w:rPr>
                <w:rFonts w:asciiTheme="minorHAnsi" w:hAnsiTheme="minorHAnsi" w:cstheme="minorHAnsi"/>
              </w:rPr>
            </w:pPr>
          </w:p>
          <w:tbl>
            <w:tblPr>
              <w:tblStyle w:val="TableGrid"/>
              <w:tblW w:w="7308" w:type="dxa"/>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86"/>
              <w:gridCol w:w="1050"/>
              <w:gridCol w:w="708"/>
              <w:gridCol w:w="284"/>
              <w:gridCol w:w="1072"/>
              <w:gridCol w:w="708"/>
            </w:tblGrid>
            <w:tr w:rsidR="00DF685D" w:rsidTr="008932D6">
              <w:tc>
                <w:tcPr>
                  <w:tcW w:w="3486" w:type="dxa"/>
                </w:tcPr>
                <w:p w:rsidR="0087216E" w:rsidRDefault="0087216E" w:rsidP="00E879DB">
                  <w:pPr>
                    <w:pStyle w:val="ListParagraph"/>
                    <w:ind w:left="0"/>
                    <w:rPr>
                      <w:rFonts w:asciiTheme="minorHAnsi" w:hAnsiTheme="minorHAnsi" w:cstheme="minorHAnsi"/>
                    </w:rPr>
                  </w:pPr>
                </w:p>
              </w:tc>
              <w:tc>
                <w:tcPr>
                  <w:tcW w:w="1758" w:type="dxa"/>
                  <w:gridSpan w:val="2"/>
                </w:tcPr>
                <w:p w:rsidR="0087216E" w:rsidRPr="0087216E" w:rsidRDefault="0087216E" w:rsidP="0087216E">
                  <w:pPr>
                    <w:pStyle w:val="ListParagraph"/>
                    <w:ind w:left="0"/>
                    <w:rPr>
                      <w:rFonts w:asciiTheme="minorHAnsi" w:hAnsiTheme="minorHAnsi" w:cstheme="minorHAnsi"/>
                      <w:u w:val="single"/>
                    </w:rPr>
                  </w:pPr>
                  <w:r w:rsidRPr="0087216E">
                    <w:rPr>
                      <w:rFonts w:asciiTheme="minorHAnsi" w:hAnsiTheme="minorHAnsi" w:cstheme="minorHAnsi"/>
                      <w:u w:val="single"/>
                    </w:rPr>
                    <w:t>Health</w:t>
                  </w:r>
                </w:p>
              </w:tc>
              <w:tc>
                <w:tcPr>
                  <w:tcW w:w="284" w:type="dxa"/>
                </w:tcPr>
                <w:p w:rsidR="0087216E" w:rsidRPr="0087216E" w:rsidRDefault="0087216E" w:rsidP="00DF685D">
                  <w:pPr>
                    <w:pStyle w:val="ListParagraph"/>
                    <w:ind w:left="0"/>
                    <w:rPr>
                      <w:rFonts w:asciiTheme="minorHAnsi" w:hAnsiTheme="minorHAnsi" w:cstheme="minorHAnsi"/>
                      <w:u w:val="single"/>
                    </w:rPr>
                  </w:pPr>
                </w:p>
              </w:tc>
              <w:tc>
                <w:tcPr>
                  <w:tcW w:w="1780" w:type="dxa"/>
                  <w:gridSpan w:val="2"/>
                </w:tcPr>
                <w:p w:rsidR="0087216E" w:rsidRPr="0087216E" w:rsidRDefault="0087216E" w:rsidP="0087216E">
                  <w:pPr>
                    <w:pStyle w:val="ListParagraph"/>
                    <w:ind w:left="0"/>
                    <w:rPr>
                      <w:rFonts w:asciiTheme="minorHAnsi" w:hAnsiTheme="minorHAnsi" w:cstheme="minorHAnsi"/>
                      <w:u w:val="single"/>
                    </w:rPr>
                  </w:pPr>
                  <w:r w:rsidRPr="0087216E">
                    <w:rPr>
                      <w:rFonts w:asciiTheme="minorHAnsi" w:hAnsiTheme="minorHAnsi" w:cstheme="minorHAnsi"/>
                      <w:u w:val="single"/>
                    </w:rPr>
                    <w:t>Adult Social Care</w:t>
                  </w:r>
                </w:p>
              </w:tc>
            </w:tr>
            <w:tr w:rsidR="00DF685D" w:rsidTr="008932D6">
              <w:tc>
                <w:tcPr>
                  <w:tcW w:w="3486" w:type="dxa"/>
                </w:tcPr>
                <w:p w:rsidR="0087216E" w:rsidRDefault="0087216E" w:rsidP="00E879DB">
                  <w:pPr>
                    <w:pStyle w:val="ListParagraph"/>
                    <w:ind w:left="0"/>
                    <w:rPr>
                      <w:rFonts w:asciiTheme="minorHAnsi" w:hAnsiTheme="minorHAnsi" w:cstheme="minorHAnsi"/>
                    </w:rPr>
                  </w:pPr>
                  <w:r>
                    <w:rPr>
                      <w:rFonts w:asciiTheme="minorHAnsi" w:hAnsiTheme="minorHAnsi" w:cstheme="minorHAnsi"/>
                    </w:rPr>
                    <w:t>Target</w:t>
                  </w:r>
                </w:p>
              </w:tc>
              <w:tc>
                <w:tcPr>
                  <w:tcW w:w="1050" w:type="dxa"/>
                </w:tcPr>
                <w:p w:rsidR="0087216E" w:rsidRDefault="0087216E" w:rsidP="00E879DB">
                  <w:pPr>
                    <w:pStyle w:val="ListParagraph"/>
                    <w:ind w:left="0"/>
                    <w:rPr>
                      <w:rFonts w:asciiTheme="minorHAnsi" w:hAnsiTheme="minorHAnsi" w:cstheme="minorHAnsi"/>
                    </w:rPr>
                  </w:pPr>
                  <w:r>
                    <w:rPr>
                      <w:rFonts w:asciiTheme="minorHAnsi" w:hAnsiTheme="minorHAnsi" w:cstheme="minorHAnsi"/>
                    </w:rPr>
                    <w:t>£6.363m</w:t>
                  </w:r>
                </w:p>
              </w:tc>
              <w:tc>
                <w:tcPr>
                  <w:tcW w:w="708" w:type="dxa"/>
                </w:tcPr>
                <w:p w:rsidR="0087216E" w:rsidRDefault="0087216E" w:rsidP="00DF685D">
                  <w:pPr>
                    <w:pStyle w:val="ListParagraph"/>
                    <w:ind w:left="0"/>
                    <w:rPr>
                      <w:rFonts w:asciiTheme="minorHAnsi" w:hAnsiTheme="minorHAnsi" w:cstheme="minorHAnsi"/>
                    </w:rPr>
                  </w:pPr>
                </w:p>
              </w:tc>
              <w:tc>
                <w:tcPr>
                  <w:tcW w:w="284" w:type="dxa"/>
                </w:tcPr>
                <w:p w:rsidR="0087216E" w:rsidRDefault="0087216E" w:rsidP="00E879DB">
                  <w:pPr>
                    <w:pStyle w:val="ListParagraph"/>
                    <w:ind w:left="0"/>
                    <w:rPr>
                      <w:rFonts w:asciiTheme="minorHAnsi" w:hAnsiTheme="minorHAnsi" w:cstheme="minorHAnsi"/>
                    </w:rPr>
                  </w:pPr>
                </w:p>
              </w:tc>
              <w:tc>
                <w:tcPr>
                  <w:tcW w:w="1072" w:type="dxa"/>
                </w:tcPr>
                <w:p w:rsidR="0087216E" w:rsidRDefault="0087216E" w:rsidP="00E879DB">
                  <w:pPr>
                    <w:pStyle w:val="ListParagraph"/>
                    <w:ind w:left="0"/>
                    <w:rPr>
                      <w:rFonts w:asciiTheme="minorHAnsi" w:hAnsiTheme="minorHAnsi" w:cstheme="minorHAnsi"/>
                    </w:rPr>
                  </w:pPr>
                  <w:r>
                    <w:rPr>
                      <w:rFonts w:asciiTheme="minorHAnsi" w:hAnsiTheme="minorHAnsi" w:cstheme="minorHAnsi"/>
                    </w:rPr>
                    <w:t>£1.860m</w:t>
                  </w:r>
                </w:p>
              </w:tc>
              <w:tc>
                <w:tcPr>
                  <w:tcW w:w="708" w:type="dxa"/>
                </w:tcPr>
                <w:p w:rsidR="0087216E" w:rsidRDefault="0087216E" w:rsidP="00E879DB">
                  <w:pPr>
                    <w:pStyle w:val="ListParagraph"/>
                    <w:ind w:left="0"/>
                    <w:rPr>
                      <w:rFonts w:asciiTheme="minorHAnsi" w:hAnsiTheme="minorHAnsi" w:cstheme="minorHAnsi"/>
                    </w:rPr>
                  </w:pPr>
                </w:p>
              </w:tc>
            </w:tr>
            <w:tr w:rsidR="00DF685D" w:rsidTr="008932D6">
              <w:tc>
                <w:tcPr>
                  <w:tcW w:w="3486" w:type="dxa"/>
                </w:tcPr>
                <w:p w:rsidR="0087216E" w:rsidRDefault="0087216E" w:rsidP="0087216E">
                  <w:pPr>
                    <w:pStyle w:val="ListParagraph"/>
                    <w:numPr>
                      <w:ilvl w:val="0"/>
                      <w:numId w:val="9"/>
                    </w:numPr>
                    <w:ind w:left="175" w:hanging="142"/>
                    <w:rPr>
                      <w:rFonts w:asciiTheme="minorHAnsi" w:hAnsiTheme="minorHAnsi" w:cstheme="minorHAnsi"/>
                    </w:rPr>
                  </w:pPr>
                  <w:r>
                    <w:rPr>
                      <w:rFonts w:asciiTheme="minorHAnsi" w:hAnsiTheme="minorHAnsi" w:cstheme="minorHAnsi"/>
                    </w:rPr>
                    <w:t>Schemes Identified / Plan in Place</w:t>
                  </w:r>
                </w:p>
              </w:tc>
              <w:tc>
                <w:tcPr>
                  <w:tcW w:w="1050" w:type="dxa"/>
                </w:tcPr>
                <w:p w:rsidR="0087216E" w:rsidRDefault="0087216E" w:rsidP="00E879DB">
                  <w:pPr>
                    <w:pStyle w:val="ListParagraph"/>
                    <w:ind w:left="0"/>
                    <w:rPr>
                      <w:rFonts w:asciiTheme="minorHAnsi" w:hAnsiTheme="minorHAnsi" w:cstheme="minorHAnsi"/>
                    </w:rPr>
                  </w:pPr>
                  <w:r>
                    <w:rPr>
                      <w:rFonts w:asciiTheme="minorHAnsi" w:hAnsiTheme="minorHAnsi" w:cstheme="minorHAnsi"/>
                    </w:rPr>
                    <w:t>£4.639m</w:t>
                  </w:r>
                </w:p>
              </w:tc>
              <w:tc>
                <w:tcPr>
                  <w:tcW w:w="708" w:type="dxa"/>
                </w:tcPr>
                <w:p w:rsidR="0087216E" w:rsidRDefault="0087216E" w:rsidP="00DF685D">
                  <w:pPr>
                    <w:pStyle w:val="ListParagraph"/>
                    <w:ind w:left="0"/>
                    <w:rPr>
                      <w:rFonts w:asciiTheme="minorHAnsi" w:hAnsiTheme="minorHAnsi" w:cstheme="minorHAnsi"/>
                    </w:rPr>
                  </w:pPr>
                  <w:r>
                    <w:rPr>
                      <w:rFonts w:asciiTheme="minorHAnsi" w:hAnsiTheme="minorHAnsi" w:cstheme="minorHAnsi"/>
                    </w:rPr>
                    <w:t>73%</w:t>
                  </w:r>
                </w:p>
              </w:tc>
              <w:tc>
                <w:tcPr>
                  <w:tcW w:w="284" w:type="dxa"/>
                </w:tcPr>
                <w:p w:rsidR="0087216E" w:rsidRDefault="0087216E" w:rsidP="00E879DB">
                  <w:pPr>
                    <w:pStyle w:val="ListParagraph"/>
                    <w:ind w:left="0"/>
                    <w:rPr>
                      <w:rFonts w:asciiTheme="minorHAnsi" w:hAnsiTheme="minorHAnsi" w:cstheme="minorHAnsi"/>
                    </w:rPr>
                  </w:pPr>
                </w:p>
              </w:tc>
              <w:tc>
                <w:tcPr>
                  <w:tcW w:w="1072" w:type="dxa"/>
                </w:tcPr>
                <w:p w:rsidR="0087216E" w:rsidRDefault="0087216E" w:rsidP="00E879DB">
                  <w:pPr>
                    <w:pStyle w:val="ListParagraph"/>
                    <w:ind w:left="0"/>
                    <w:rPr>
                      <w:rFonts w:asciiTheme="minorHAnsi" w:hAnsiTheme="minorHAnsi" w:cstheme="minorHAnsi"/>
                    </w:rPr>
                  </w:pPr>
                  <w:r>
                    <w:rPr>
                      <w:rFonts w:asciiTheme="minorHAnsi" w:hAnsiTheme="minorHAnsi" w:cstheme="minorHAnsi"/>
                    </w:rPr>
                    <w:t>£1.860m</w:t>
                  </w:r>
                </w:p>
              </w:tc>
              <w:tc>
                <w:tcPr>
                  <w:tcW w:w="708" w:type="dxa"/>
                </w:tcPr>
                <w:p w:rsidR="0087216E" w:rsidRDefault="0087216E" w:rsidP="00E879DB">
                  <w:pPr>
                    <w:pStyle w:val="ListParagraph"/>
                    <w:ind w:left="0"/>
                    <w:rPr>
                      <w:rFonts w:asciiTheme="minorHAnsi" w:hAnsiTheme="minorHAnsi" w:cstheme="minorHAnsi"/>
                    </w:rPr>
                  </w:pPr>
                  <w:r>
                    <w:rPr>
                      <w:rFonts w:asciiTheme="minorHAnsi" w:hAnsiTheme="minorHAnsi" w:cstheme="minorHAnsi"/>
                    </w:rPr>
                    <w:t>100%</w:t>
                  </w:r>
                </w:p>
              </w:tc>
            </w:tr>
            <w:tr w:rsidR="00DF685D" w:rsidTr="008932D6">
              <w:tc>
                <w:tcPr>
                  <w:tcW w:w="3486" w:type="dxa"/>
                </w:tcPr>
                <w:p w:rsidR="0087216E" w:rsidRDefault="00DF685D" w:rsidP="0087216E">
                  <w:pPr>
                    <w:pStyle w:val="ListParagraph"/>
                    <w:numPr>
                      <w:ilvl w:val="0"/>
                      <w:numId w:val="9"/>
                    </w:numPr>
                    <w:ind w:left="175" w:hanging="141"/>
                    <w:rPr>
                      <w:rFonts w:asciiTheme="minorHAnsi" w:hAnsiTheme="minorHAnsi" w:cstheme="minorHAnsi"/>
                    </w:rPr>
                  </w:pPr>
                  <w:r>
                    <w:rPr>
                      <w:rFonts w:asciiTheme="minorHAnsi" w:hAnsiTheme="minorHAnsi" w:cstheme="minorHAnsi"/>
                    </w:rPr>
                    <w:t xml:space="preserve">Potential </w:t>
                  </w:r>
                  <w:r w:rsidR="0087216E">
                    <w:rPr>
                      <w:rFonts w:asciiTheme="minorHAnsi" w:hAnsiTheme="minorHAnsi" w:cstheme="minorHAnsi"/>
                    </w:rPr>
                    <w:t>Scheme</w:t>
                  </w:r>
                  <w:r w:rsidR="008932D6">
                    <w:rPr>
                      <w:rFonts w:asciiTheme="minorHAnsi" w:hAnsiTheme="minorHAnsi" w:cstheme="minorHAnsi"/>
                    </w:rPr>
                    <w:t>s</w:t>
                  </w:r>
                  <w:r w:rsidR="0087216E">
                    <w:rPr>
                      <w:rFonts w:asciiTheme="minorHAnsi" w:hAnsiTheme="minorHAnsi" w:cstheme="minorHAnsi"/>
                    </w:rPr>
                    <w:t xml:space="preserve"> / Plan</w:t>
                  </w:r>
                  <w:r w:rsidR="008932D6">
                    <w:rPr>
                      <w:rFonts w:asciiTheme="minorHAnsi" w:hAnsiTheme="minorHAnsi" w:cstheme="minorHAnsi"/>
                    </w:rPr>
                    <w:t>s</w:t>
                  </w:r>
                  <w:r w:rsidR="0087216E">
                    <w:rPr>
                      <w:rFonts w:asciiTheme="minorHAnsi" w:hAnsiTheme="minorHAnsi" w:cstheme="minorHAnsi"/>
                    </w:rPr>
                    <w:t xml:space="preserve"> to be finalised</w:t>
                  </w:r>
                  <w:r>
                    <w:rPr>
                      <w:rFonts w:asciiTheme="minorHAnsi" w:hAnsiTheme="minorHAnsi" w:cstheme="minorHAnsi"/>
                    </w:rPr>
                    <w:t xml:space="preserve"> *</w:t>
                  </w:r>
                </w:p>
              </w:tc>
              <w:tc>
                <w:tcPr>
                  <w:tcW w:w="1050" w:type="dxa"/>
                </w:tcPr>
                <w:p w:rsidR="0087216E" w:rsidRDefault="0087216E" w:rsidP="00E879DB">
                  <w:pPr>
                    <w:pStyle w:val="ListParagraph"/>
                    <w:ind w:left="0"/>
                    <w:rPr>
                      <w:rFonts w:asciiTheme="minorHAnsi" w:hAnsiTheme="minorHAnsi" w:cstheme="minorHAnsi"/>
                    </w:rPr>
                  </w:pPr>
                  <w:r>
                    <w:rPr>
                      <w:rFonts w:asciiTheme="minorHAnsi" w:hAnsiTheme="minorHAnsi" w:cstheme="minorHAnsi"/>
                    </w:rPr>
                    <w:t>£1.724m</w:t>
                  </w:r>
                </w:p>
              </w:tc>
              <w:tc>
                <w:tcPr>
                  <w:tcW w:w="708" w:type="dxa"/>
                </w:tcPr>
                <w:p w:rsidR="0087216E" w:rsidRDefault="0087216E" w:rsidP="00DF685D">
                  <w:pPr>
                    <w:pStyle w:val="ListParagraph"/>
                    <w:ind w:left="0"/>
                    <w:rPr>
                      <w:rFonts w:asciiTheme="minorHAnsi" w:hAnsiTheme="minorHAnsi" w:cstheme="minorHAnsi"/>
                    </w:rPr>
                  </w:pPr>
                  <w:r>
                    <w:rPr>
                      <w:rFonts w:asciiTheme="minorHAnsi" w:hAnsiTheme="minorHAnsi" w:cstheme="minorHAnsi"/>
                    </w:rPr>
                    <w:t>27%</w:t>
                  </w:r>
                </w:p>
              </w:tc>
              <w:tc>
                <w:tcPr>
                  <w:tcW w:w="284" w:type="dxa"/>
                </w:tcPr>
                <w:p w:rsidR="0087216E" w:rsidRDefault="0087216E" w:rsidP="00E879DB">
                  <w:pPr>
                    <w:pStyle w:val="ListParagraph"/>
                    <w:ind w:left="0"/>
                    <w:rPr>
                      <w:rFonts w:asciiTheme="minorHAnsi" w:hAnsiTheme="minorHAnsi" w:cstheme="minorHAnsi"/>
                    </w:rPr>
                  </w:pPr>
                </w:p>
              </w:tc>
              <w:tc>
                <w:tcPr>
                  <w:tcW w:w="1072" w:type="dxa"/>
                </w:tcPr>
                <w:p w:rsidR="0087216E" w:rsidRDefault="0087216E" w:rsidP="0087216E">
                  <w:pPr>
                    <w:pStyle w:val="ListParagraph"/>
                    <w:ind w:left="0"/>
                    <w:jc w:val="center"/>
                    <w:rPr>
                      <w:rFonts w:asciiTheme="minorHAnsi" w:hAnsiTheme="minorHAnsi" w:cstheme="minorHAnsi"/>
                    </w:rPr>
                  </w:pPr>
                  <w:r>
                    <w:rPr>
                      <w:rFonts w:asciiTheme="minorHAnsi" w:hAnsiTheme="minorHAnsi" w:cstheme="minorHAnsi"/>
                    </w:rPr>
                    <w:t>-</w:t>
                  </w:r>
                </w:p>
              </w:tc>
              <w:tc>
                <w:tcPr>
                  <w:tcW w:w="708" w:type="dxa"/>
                </w:tcPr>
                <w:p w:rsidR="0087216E" w:rsidRDefault="0087216E" w:rsidP="0087216E">
                  <w:pPr>
                    <w:pStyle w:val="ListParagraph"/>
                    <w:ind w:left="0"/>
                    <w:jc w:val="center"/>
                    <w:rPr>
                      <w:rFonts w:asciiTheme="minorHAnsi" w:hAnsiTheme="minorHAnsi" w:cstheme="minorHAnsi"/>
                    </w:rPr>
                  </w:pPr>
                  <w:r>
                    <w:rPr>
                      <w:rFonts w:asciiTheme="minorHAnsi" w:hAnsiTheme="minorHAnsi" w:cstheme="minorHAnsi"/>
                    </w:rPr>
                    <w:t>-</w:t>
                  </w:r>
                </w:p>
              </w:tc>
            </w:tr>
          </w:tbl>
          <w:p w:rsidR="00153351" w:rsidRPr="004A45AE" w:rsidRDefault="00DF685D" w:rsidP="00DF685D">
            <w:pPr>
              <w:pStyle w:val="ListParagraph"/>
              <w:rPr>
                <w:rFonts w:asciiTheme="minorHAnsi" w:hAnsiTheme="minorHAnsi" w:cstheme="minorHAnsi"/>
              </w:rPr>
            </w:pPr>
            <w:r>
              <w:rPr>
                <w:rFonts w:asciiTheme="minorHAnsi" w:hAnsiTheme="minorHAnsi" w:cstheme="minorHAnsi"/>
              </w:rPr>
              <w:t xml:space="preserve">*Work is due to be completed before the end of July to finalise these schemes / plans. </w:t>
            </w:r>
            <w:r w:rsidR="00153351" w:rsidRPr="004A45AE">
              <w:rPr>
                <w:rFonts w:asciiTheme="minorHAnsi" w:hAnsiTheme="minorHAnsi" w:cstheme="minorHAnsi"/>
              </w:rPr>
              <w:tab/>
            </w:r>
            <w:r w:rsidR="00153351" w:rsidRPr="004A45AE">
              <w:rPr>
                <w:rFonts w:asciiTheme="minorHAnsi" w:hAnsiTheme="minorHAnsi" w:cstheme="minorHAnsi"/>
              </w:rPr>
              <w:tab/>
            </w:r>
            <w:r w:rsidR="00153351" w:rsidRPr="004A45AE">
              <w:rPr>
                <w:rFonts w:asciiTheme="minorHAnsi" w:hAnsiTheme="minorHAnsi" w:cstheme="minorHAnsi"/>
              </w:rPr>
              <w:tab/>
            </w:r>
            <w:r w:rsidR="00153351" w:rsidRPr="004A45AE">
              <w:rPr>
                <w:rFonts w:asciiTheme="minorHAnsi" w:hAnsiTheme="minorHAnsi" w:cstheme="minorHAnsi"/>
              </w:rPr>
              <w:tab/>
            </w:r>
            <w:r w:rsidR="00153351" w:rsidRPr="004A45AE">
              <w:rPr>
                <w:rFonts w:asciiTheme="minorHAnsi" w:hAnsiTheme="minorHAnsi" w:cstheme="minorHAnsi"/>
              </w:rPr>
              <w:tab/>
            </w:r>
            <w:r w:rsidR="00153351" w:rsidRPr="004A45AE">
              <w:rPr>
                <w:rFonts w:asciiTheme="minorHAnsi" w:hAnsiTheme="minorHAnsi" w:cstheme="minorHAnsi"/>
              </w:rPr>
              <w:tab/>
            </w:r>
          </w:p>
          <w:p w:rsidR="00153351" w:rsidRPr="004A45AE" w:rsidRDefault="00153351" w:rsidP="00153351">
            <w:pPr>
              <w:pStyle w:val="Default"/>
              <w:numPr>
                <w:ilvl w:val="0"/>
                <w:numId w:val="7"/>
              </w:numPr>
              <w:tabs>
                <w:tab w:val="left" w:pos="483"/>
              </w:tabs>
              <w:ind w:left="483" w:hanging="284"/>
              <w:jc w:val="both"/>
              <w:rPr>
                <w:rFonts w:asciiTheme="minorHAnsi" w:hAnsiTheme="minorHAnsi" w:cstheme="minorHAnsi"/>
                <w:sz w:val="22"/>
                <w:szCs w:val="22"/>
              </w:rPr>
            </w:pPr>
            <w:r w:rsidRPr="004A45AE">
              <w:rPr>
                <w:rFonts w:asciiTheme="minorHAnsi" w:hAnsiTheme="minorHAnsi" w:cstheme="minorHAnsi"/>
                <w:sz w:val="22"/>
                <w:szCs w:val="22"/>
              </w:rPr>
              <w:t>NLAG; The budget of £98m reflects the contract floor. The contract ceiling has been set at £100.4m and the financial risk associated with activity being higher than the floor is reflected in</w:t>
            </w:r>
            <w:r w:rsidR="00DF685D">
              <w:rPr>
                <w:rFonts w:asciiTheme="minorHAnsi" w:hAnsiTheme="minorHAnsi" w:cstheme="minorHAnsi"/>
                <w:sz w:val="22"/>
                <w:szCs w:val="22"/>
              </w:rPr>
              <w:t xml:space="preserve"> the potential risk value.</w:t>
            </w:r>
            <w:r w:rsidRPr="004A45AE">
              <w:rPr>
                <w:rFonts w:asciiTheme="minorHAnsi" w:hAnsiTheme="minorHAnsi" w:cstheme="minorHAnsi"/>
                <w:sz w:val="22"/>
                <w:szCs w:val="22"/>
              </w:rPr>
              <w:tab/>
            </w:r>
            <w:r w:rsidRPr="004A45AE">
              <w:rPr>
                <w:rFonts w:asciiTheme="minorHAnsi" w:hAnsiTheme="minorHAnsi" w:cstheme="minorHAnsi"/>
                <w:sz w:val="22"/>
                <w:szCs w:val="22"/>
              </w:rPr>
              <w:tab/>
            </w:r>
            <w:r w:rsidRPr="004A45AE">
              <w:rPr>
                <w:rFonts w:asciiTheme="minorHAnsi" w:hAnsiTheme="minorHAnsi" w:cstheme="minorHAnsi"/>
                <w:sz w:val="22"/>
                <w:szCs w:val="22"/>
              </w:rPr>
              <w:tab/>
            </w:r>
            <w:r w:rsidRPr="004A45AE">
              <w:rPr>
                <w:rFonts w:asciiTheme="minorHAnsi" w:hAnsiTheme="minorHAnsi" w:cstheme="minorHAnsi"/>
                <w:sz w:val="22"/>
                <w:szCs w:val="22"/>
              </w:rPr>
              <w:tab/>
            </w:r>
            <w:r w:rsidRPr="004A45AE">
              <w:rPr>
                <w:rFonts w:asciiTheme="minorHAnsi" w:hAnsiTheme="minorHAnsi" w:cstheme="minorHAnsi"/>
                <w:sz w:val="22"/>
                <w:szCs w:val="22"/>
              </w:rPr>
              <w:tab/>
            </w:r>
            <w:r w:rsidRPr="004A45AE">
              <w:rPr>
                <w:rFonts w:asciiTheme="minorHAnsi" w:hAnsiTheme="minorHAnsi" w:cstheme="minorHAnsi"/>
                <w:sz w:val="22"/>
                <w:szCs w:val="22"/>
              </w:rPr>
              <w:tab/>
            </w:r>
            <w:r w:rsidRPr="004A45AE">
              <w:rPr>
                <w:rFonts w:asciiTheme="minorHAnsi" w:hAnsiTheme="minorHAnsi" w:cstheme="minorHAnsi"/>
                <w:sz w:val="22"/>
                <w:szCs w:val="22"/>
              </w:rPr>
              <w:tab/>
            </w:r>
          </w:p>
          <w:p w:rsidR="00153351" w:rsidRPr="004A45AE" w:rsidRDefault="00153351" w:rsidP="00153351">
            <w:pPr>
              <w:pStyle w:val="Default"/>
              <w:numPr>
                <w:ilvl w:val="0"/>
                <w:numId w:val="7"/>
              </w:numPr>
              <w:tabs>
                <w:tab w:val="left" w:pos="483"/>
              </w:tabs>
              <w:ind w:left="483" w:hanging="284"/>
              <w:jc w:val="both"/>
              <w:rPr>
                <w:rFonts w:asciiTheme="minorHAnsi" w:hAnsiTheme="minorHAnsi" w:cstheme="minorHAnsi"/>
                <w:sz w:val="22"/>
                <w:szCs w:val="22"/>
              </w:rPr>
            </w:pPr>
            <w:r w:rsidRPr="004A45AE">
              <w:rPr>
                <w:rFonts w:asciiTheme="minorHAnsi" w:hAnsiTheme="minorHAnsi" w:cstheme="minorHAnsi"/>
                <w:sz w:val="22"/>
                <w:szCs w:val="22"/>
              </w:rPr>
              <w:t xml:space="preserve">Better Payment Practice; As at May 2016, the overall performance is above the 95% target for both value &amp; quantity of invoices paid within 30 days. This will be monitored to maintain the current level throughout 2016/17 </w:t>
            </w:r>
            <w:r w:rsidRPr="004A45AE">
              <w:rPr>
                <w:rFonts w:asciiTheme="minorHAnsi" w:hAnsiTheme="minorHAnsi" w:cstheme="minorHAnsi"/>
                <w:sz w:val="22"/>
                <w:szCs w:val="22"/>
              </w:rPr>
              <w:tab/>
            </w:r>
            <w:r w:rsidRPr="004A45AE">
              <w:rPr>
                <w:rFonts w:asciiTheme="minorHAnsi" w:hAnsiTheme="minorHAnsi" w:cstheme="minorHAnsi"/>
                <w:sz w:val="22"/>
                <w:szCs w:val="22"/>
              </w:rPr>
              <w:tab/>
            </w:r>
            <w:r w:rsidRPr="004A45AE">
              <w:rPr>
                <w:rFonts w:asciiTheme="minorHAnsi" w:hAnsiTheme="minorHAnsi" w:cstheme="minorHAnsi"/>
                <w:sz w:val="22"/>
                <w:szCs w:val="22"/>
              </w:rPr>
              <w:tab/>
            </w:r>
            <w:r w:rsidRPr="004A45AE">
              <w:rPr>
                <w:rFonts w:asciiTheme="minorHAnsi" w:hAnsiTheme="minorHAnsi" w:cstheme="minorHAnsi"/>
                <w:sz w:val="22"/>
                <w:szCs w:val="22"/>
              </w:rPr>
              <w:tab/>
            </w:r>
            <w:r w:rsidRPr="004A45AE">
              <w:rPr>
                <w:rFonts w:asciiTheme="minorHAnsi" w:hAnsiTheme="minorHAnsi" w:cstheme="minorHAnsi"/>
                <w:sz w:val="22"/>
                <w:szCs w:val="22"/>
              </w:rPr>
              <w:tab/>
            </w:r>
            <w:r w:rsidRPr="004A45AE">
              <w:rPr>
                <w:rFonts w:asciiTheme="minorHAnsi" w:hAnsiTheme="minorHAnsi" w:cstheme="minorHAnsi"/>
                <w:sz w:val="22"/>
                <w:szCs w:val="22"/>
              </w:rPr>
              <w:tab/>
            </w:r>
            <w:r w:rsidRPr="004A45AE">
              <w:rPr>
                <w:rFonts w:asciiTheme="minorHAnsi" w:hAnsiTheme="minorHAnsi" w:cstheme="minorHAnsi"/>
                <w:sz w:val="22"/>
                <w:szCs w:val="22"/>
              </w:rPr>
              <w:tab/>
            </w:r>
          </w:p>
          <w:p w:rsidR="00153351" w:rsidRPr="004A45AE" w:rsidRDefault="00153351" w:rsidP="00153351">
            <w:pPr>
              <w:pStyle w:val="Default"/>
              <w:numPr>
                <w:ilvl w:val="0"/>
                <w:numId w:val="7"/>
              </w:numPr>
              <w:tabs>
                <w:tab w:val="left" w:pos="483"/>
              </w:tabs>
              <w:ind w:left="483" w:hanging="284"/>
              <w:jc w:val="both"/>
              <w:rPr>
                <w:rFonts w:asciiTheme="minorHAnsi" w:hAnsiTheme="minorHAnsi" w:cstheme="minorHAnsi"/>
                <w:sz w:val="22"/>
                <w:szCs w:val="22"/>
              </w:rPr>
            </w:pPr>
            <w:r w:rsidRPr="004A45AE">
              <w:rPr>
                <w:rFonts w:asciiTheme="minorHAnsi" w:hAnsiTheme="minorHAnsi" w:cstheme="minorHAnsi"/>
                <w:sz w:val="22"/>
                <w:szCs w:val="22"/>
              </w:rPr>
              <w:t>Cash; The CCG cash profile for the year reflects the frontloading of cash payments to NLAG to reflect the phasing of their cash releasing effect of their internal CIP programme and the fact that the CCG  "demand management " schemes are phased in the latter half of the year. As at month3 the CCG had drawn down 26.5% of it</w:t>
            </w:r>
            <w:r w:rsidR="00DF685D">
              <w:rPr>
                <w:rFonts w:asciiTheme="minorHAnsi" w:hAnsiTheme="minorHAnsi" w:cstheme="minorHAnsi"/>
                <w:sz w:val="22"/>
                <w:szCs w:val="22"/>
              </w:rPr>
              <w:t>s</w:t>
            </w:r>
            <w:r w:rsidRPr="004A45AE">
              <w:rPr>
                <w:rFonts w:asciiTheme="minorHAnsi" w:hAnsiTheme="minorHAnsi" w:cstheme="minorHAnsi"/>
                <w:sz w:val="22"/>
                <w:szCs w:val="22"/>
              </w:rPr>
              <w:t xml:space="preserve"> annual cash allowance against a plan of 26.0%.</w:t>
            </w:r>
            <w:r w:rsidRPr="004A45AE">
              <w:rPr>
                <w:rFonts w:asciiTheme="minorHAnsi" w:hAnsiTheme="minorHAnsi" w:cstheme="minorHAnsi"/>
                <w:sz w:val="22"/>
                <w:szCs w:val="22"/>
              </w:rPr>
              <w:tab/>
            </w:r>
            <w:r w:rsidRPr="004A45AE">
              <w:rPr>
                <w:rFonts w:asciiTheme="minorHAnsi" w:hAnsiTheme="minorHAnsi" w:cstheme="minorHAnsi"/>
                <w:sz w:val="22"/>
                <w:szCs w:val="22"/>
              </w:rPr>
              <w:tab/>
            </w:r>
            <w:r w:rsidRPr="004A45AE">
              <w:rPr>
                <w:rFonts w:asciiTheme="minorHAnsi" w:hAnsiTheme="minorHAnsi" w:cstheme="minorHAnsi"/>
                <w:sz w:val="22"/>
                <w:szCs w:val="22"/>
              </w:rPr>
              <w:tab/>
            </w:r>
            <w:r w:rsidRPr="004A45AE">
              <w:rPr>
                <w:rFonts w:asciiTheme="minorHAnsi" w:hAnsiTheme="minorHAnsi" w:cstheme="minorHAnsi"/>
                <w:sz w:val="22"/>
                <w:szCs w:val="22"/>
              </w:rPr>
              <w:tab/>
            </w:r>
          </w:p>
          <w:p w:rsidR="00246EFA" w:rsidRPr="004A45AE" w:rsidRDefault="00246EFA" w:rsidP="000D1B0D">
            <w:pPr>
              <w:pStyle w:val="Default"/>
              <w:jc w:val="both"/>
              <w:rPr>
                <w:rFonts w:asciiTheme="minorHAnsi" w:hAnsiTheme="minorHAnsi" w:cstheme="minorHAnsi"/>
                <w:sz w:val="22"/>
                <w:szCs w:val="22"/>
              </w:rPr>
            </w:pPr>
          </w:p>
        </w:tc>
      </w:tr>
      <w:tr w:rsidR="00473CC5" w:rsidRPr="000D1B0D" w:rsidTr="00DF685D">
        <w:tc>
          <w:tcPr>
            <w:tcW w:w="2079" w:type="dxa"/>
            <w:shd w:val="clear" w:color="auto" w:fill="auto"/>
          </w:tcPr>
          <w:p w:rsidR="00473CC5" w:rsidRPr="000D1B0D" w:rsidRDefault="00473CC5" w:rsidP="009D4EDC">
            <w:pPr>
              <w:pStyle w:val="Default"/>
              <w:rPr>
                <w:rFonts w:ascii="Calibri" w:hAnsi="Calibri" w:cs="Calibri"/>
                <w:b/>
                <w:sz w:val="20"/>
                <w:szCs w:val="20"/>
              </w:rPr>
            </w:pPr>
            <w:r w:rsidRPr="000D1B0D">
              <w:rPr>
                <w:rFonts w:ascii="Calibri" w:hAnsi="Calibri" w:cs="Calibri"/>
                <w:b/>
                <w:sz w:val="20"/>
                <w:szCs w:val="20"/>
              </w:rPr>
              <w:lastRenderedPageBreak/>
              <w:t>Quality Implications:</w:t>
            </w:r>
          </w:p>
          <w:p w:rsidR="00473CC5" w:rsidRPr="000D1B0D" w:rsidRDefault="00473CC5" w:rsidP="009D4EDC">
            <w:pPr>
              <w:pStyle w:val="Default"/>
              <w:rPr>
                <w:rFonts w:ascii="Calibri" w:hAnsi="Calibri" w:cs="Calibri"/>
                <w:b/>
                <w:sz w:val="20"/>
                <w:szCs w:val="20"/>
              </w:rPr>
            </w:pPr>
          </w:p>
        </w:tc>
        <w:tc>
          <w:tcPr>
            <w:tcW w:w="8001" w:type="dxa"/>
            <w:shd w:val="clear" w:color="auto" w:fill="auto"/>
          </w:tcPr>
          <w:p w:rsidR="00246EFA" w:rsidRPr="004A45AE" w:rsidRDefault="00153351" w:rsidP="000D1B0D">
            <w:pPr>
              <w:pStyle w:val="Default"/>
              <w:jc w:val="both"/>
              <w:rPr>
                <w:rFonts w:asciiTheme="minorHAnsi" w:hAnsiTheme="minorHAnsi" w:cstheme="minorHAnsi"/>
                <w:sz w:val="22"/>
                <w:szCs w:val="22"/>
              </w:rPr>
            </w:pPr>
            <w:r w:rsidRPr="004A45AE">
              <w:rPr>
                <w:rFonts w:asciiTheme="minorHAnsi" w:hAnsiTheme="minorHAnsi" w:cstheme="minorHAnsi"/>
                <w:sz w:val="22"/>
                <w:szCs w:val="22"/>
              </w:rPr>
              <w:t>None</w:t>
            </w:r>
            <w:r w:rsidR="00A37CAD">
              <w:rPr>
                <w:rFonts w:asciiTheme="minorHAnsi" w:hAnsiTheme="minorHAnsi" w:cstheme="minorHAnsi"/>
                <w:sz w:val="22"/>
                <w:szCs w:val="22"/>
              </w:rPr>
              <w:t xml:space="preserve"> </w:t>
            </w:r>
          </w:p>
          <w:p w:rsidR="00246EFA" w:rsidRPr="004A45AE" w:rsidRDefault="00246EFA" w:rsidP="000D1B0D">
            <w:pPr>
              <w:pStyle w:val="Default"/>
              <w:jc w:val="both"/>
              <w:rPr>
                <w:rFonts w:asciiTheme="minorHAnsi" w:hAnsiTheme="minorHAnsi" w:cstheme="minorHAnsi"/>
                <w:sz w:val="22"/>
                <w:szCs w:val="22"/>
              </w:rPr>
            </w:pPr>
          </w:p>
        </w:tc>
      </w:tr>
      <w:tr w:rsidR="009D4EDC" w:rsidRPr="000D1B0D" w:rsidTr="00DF685D">
        <w:tc>
          <w:tcPr>
            <w:tcW w:w="2079" w:type="dxa"/>
            <w:shd w:val="clear" w:color="auto" w:fill="auto"/>
          </w:tcPr>
          <w:p w:rsidR="009D4EDC" w:rsidRDefault="009D4EDC" w:rsidP="00A37CAD">
            <w:pPr>
              <w:pStyle w:val="Default"/>
              <w:rPr>
                <w:rFonts w:ascii="Calibri" w:hAnsi="Calibri" w:cs="Calibri"/>
                <w:b/>
                <w:i/>
                <w:sz w:val="20"/>
                <w:szCs w:val="20"/>
              </w:rPr>
            </w:pPr>
            <w:r w:rsidRPr="000D1B0D">
              <w:rPr>
                <w:rFonts w:ascii="Calibri" w:hAnsi="Calibri" w:cs="Calibri"/>
                <w:b/>
                <w:sz w:val="20"/>
                <w:szCs w:val="20"/>
              </w:rPr>
              <w:t>Procurement Decisions</w:t>
            </w:r>
            <w:r w:rsidR="00246EFA">
              <w:rPr>
                <w:rFonts w:ascii="Calibri" w:hAnsi="Calibri" w:cs="Calibri"/>
                <w:b/>
                <w:sz w:val="20"/>
                <w:szCs w:val="20"/>
              </w:rPr>
              <w:t>/</w:t>
            </w:r>
            <w:r w:rsidR="00A37CAD">
              <w:rPr>
                <w:rFonts w:ascii="Calibri" w:hAnsi="Calibri" w:cs="Calibri"/>
                <w:b/>
                <w:sz w:val="20"/>
                <w:szCs w:val="20"/>
              </w:rPr>
              <w:t xml:space="preserve"> </w:t>
            </w:r>
            <w:r w:rsidR="00246EFA">
              <w:rPr>
                <w:rFonts w:ascii="Calibri" w:hAnsi="Calibri" w:cs="Calibri"/>
                <w:b/>
                <w:sz w:val="20"/>
                <w:szCs w:val="20"/>
              </w:rPr>
              <w:t>Implications</w:t>
            </w:r>
            <w:r w:rsidR="00E76606" w:rsidRPr="000D1B0D">
              <w:rPr>
                <w:rFonts w:ascii="Calibri" w:hAnsi="Calibri" w:cs="Calibri"/>
                <w:b/>
                <w:sz w:val="20"/>
                <w:szCs w:val="20"/>
              </w:rPr>
              <w:t xml:space="preserve"> </w:t>
            </w:r>
            <w:r w:rsidR="00E76606" w:rsidRPr="000D1B0D">
              <w:rPr>
                <w:rFonts w:ascii="Calibri" w:hAnsi="Calibri" w:cs="Calibri"/>
                <w:b/>
                <w:i/>
                <w:sz w:val="20"/>
                <w:szCs w:val="20"/>
              </w:rPr>
              <w:t>(Care Contracting Committee)</w:t>
            </w:r>
            <w:r w:rsidRPr="000D1B0D">
              <w:rPr>
                <w:rFonts w:ascii="Calibri" w:hAnsi="Calibri" w:cs="Calibri"/>
                <w:b/>
                <w:i/>
                <w:sz w:val="20"/>
                <w:szCs w:val="20"/>
              </w:rPr>
              <w:t>:</w:t>
            </w:r>
            <w:r w:rsidR="00A37CAD">
              <w:rPr>
                <w:rFonts w:ascii="Calibri" w:hAnsi="Calibri" w:cs="Calibri"/>
                <w:b/>
                <w:i/>
                <w:sz w:val="20"/>
                <w:szCs w:val="20"/>
              </w:rPr>
              <w:t xml:space="preserve"> </w:t>
            </w:r>
          </w:p>
          <w:p w:rsidR="00A37CAD" w:rsidRPr="000D1B0D" w:rsidRDefault="00A37CAD" w:rsidP="00A37CAD">
            <w:pPr>
              <w:pStyle w:val="Default"/>
              <w:rPr>
                <w:rFonts w:ascii="Calibri" w:hAnsi="Calibri" w:cs="Calibri"/>
                <w:b/>
                <w:sz w:val="20"/>
                <w:szCs w:val="20"/>
              </w:rPr>
            </w:pPr>
          </w:p>
        </w:tc>
        <w:tc>
          <w:tcPr>
            <w:tcW w:w="8001" w:type="dxa"/>
            <w:shd w:val="clear" w:color="auto" w:fill="auto"/>
          </w:tcPr>
          <w:p w:rsidR="00153351" w:rsidRPr="004A45AE" w:rsidRDefault="00153351" w:rsidP="00153351">
            <w:pPr>
              <w:pStyle w:val="Default"/>
              <w:jc w:val="both"/>
              <w:rPr>
                <w:rFonts w:asciiTheme="minorHAnsi" w:hAnsiTheme="minorHAnsi" w:cstheme="minorHAnsi"/>
                <w:i/>
                <w:sz w:val="22"/>
                <w:szCs w:val="22"/>
              </w:rPr>
            </w:pPr>
            <w:r w:rsidRPr="004A45AE">
              <w:rPr>
                <w:rFonts w:asciiTheme="minorHAnsi" w:hAnsiTheme="minorHAnsi" w:cstheme="minorHAnsi"/>
                <w:sz w:val="22"/>
                <w:szCs w:val="22"/>
              </w:rPr>
              <w:t>None</w:t>
            </w:r>
          </w:p>
          <w:p w:rsidR="00246EFA" w:rsidRPr="004A45AE" w:rsidRDefault="00246EFA" w:rsidP="00E61AF0">
            <w:pPr>
              <w:pStyle w:val="Default"/>
              <w:jc w:val="both"/>
              <w:rPr>
                <w:rFonts w:asciiTheme="minorHAnsi" w:hAnsiTheme="minorHAnsi" w:cstheme="minorHAnsi"/>
                <w:i/>
                <w:sz w:val="22"/>
                <w:szCs w:val="22"/>
              </w:rPr>
            </w:pPr>
          </w:p>
        </w:tc>
      </w:tr>
      <w:tr w:rsidR="00473CC5" w:rsidRPr="000D1B0D" w:rsidTr="00DF685D">
        <w:tc>
          <w:tcPr>
            <w:tcW w:w="2079" w:type="dxa"/>
            <w:shd w:val="clear" w:color="auto" w:fill="auto"/>
          </w:tcPr>
          <w:p w:rsidR="00473CC5" w:rsidRPr="000D1B0D" w:rsidRDefault="00473CC5" w:rsidP="000D1B0D">
            <w:pPr>
              <w:pStyle w:val="Default"/>
              <w:jc w:val="both"/>
              <w:rPr>
                <w:rFonts w:ascii="Calibri" w:hAnsi="Calibri" w:cs="Calibri"/>
                <w:b/>
                <w:sz w:val="20"/>
                <w:szCs w:val="20"/>
              </w:rPr>
            </w:pPr>
            <w:r w:rsidRPr="000D1B0D">
              <w:rPr>
                <w:rFonts w:ascii="Calibri" w:hAnsi="Calibri" w:cs="Calibri"/>
                <w:b/>
                <w:sz w:val="20"/>
                <w:szCs w:val="20"/>
              </w:rPr>
              <w:t>Engagement Implications:</w:t>
            </w:r>
            <w:r w:rsidRPr="000D1B0D">
              <w:rPr>
                <w:rFonts w:ascii="Calibri" w:hAnsi="Calibri" w:cs="Calibri"/>
                <w:b/>
                <w:sz w:val="20"/>
                <w:szCs w:val="20"/>
              </w:rPr>
              <w:br/>
            </w:r>
          </w:p>
        </w:tc>
        <w:tc>
          <w:tcPr>
            <w:tcW w:w="8001" w:type="dxa"/>
            <w:shd w:val="clear" w:color="auto" w:fill="auto"/>
          </w:tcPr>
          <w:p w:rsidR="00246EFA" w:rsidRPr="004A45AE" w:rsidRDefault="00153351" w:rsidP="000D1B0D">
            <w:pPr>
              <w:pStyle w:val="Default"/>
              <w:jc w:val="both"/>
              <w:rPr>
                <w:rFonts w:asciiTheme="minorHAnsi" w:hAnsiTheme="minorHAnsi" w:cstheme="minorHAnsi"/>
                <w:sz w:val="22"/>
                <w:szCs w:val="22"/>
              </w:rPr>
            </w:pPr>
            <w:r w:rsidRPr="004A45AE">
              <w:rPr>
                <w:rFonts w:asciiTheme="minorHAnsi" w:hAnsiTheme="minorHAnsi" w:cstheme="minorHAnsi"/>
                <w:sz w:val="22"/>
                <w:szCs w:val="22"/>
              </w:rPr>
              <w:t>None</w:t>
            </w:r>
            <w:r w:rsidR="00A37CAD">
              <w:rPr>
                <w:rFonts w:asciiTheme="minorHAnsi" w:hAnsiTheme="minorHAnsi" w:cstheme="minorHAnsi"/>
                <w:sz w:val="22"/>
                <w:szCs w:val="22"/>
              </w:rPr>
              <w:t xml:space="preserve"> </w:t>
            </w:r>
          </w:p>
          <w:p w:rsidR="00246EFA" w:rsidRPr="004A45AE" w:rsidRDefault="00246EFA" w:rsidP="000D1B0D">
            <w:pPr>
              <w:pStyle w:val="Default"/>
              <w:jc w:val="both"/>
              <w:rPr>
                <w:rFonts w:asciiTheme="minorHAnsi" w:hAnsiTheme="minorHAnsi" w:cstheme="minorHAnsi"/>
                <w:sz w:val="22"/>
                <w:szCs w:val="22"/>
              </w:rPr>
            </w:pPr>
          </w:p>
        </w:tc>
      </w:tr>
      <w:tr w:rsidR="00246EFA" w:rsidRPr="000D1B0D" w:rsidTr="00DF685D">
        <w:trPr>
          <w:trHeight w:val="86"/>
        </w:trPr>
        <w:tc>
          <w:tcPr>
            <w:tcW w:w="2079" w:type="dxa"/>
            <w:shd w:val="clear" w:color="auto" w:fill="D9D9D9"/>
          </w:tcPr>
          <w:p w:rsidR="00246EFA" w:rsidRPr="000D1B0D" w:rsidRDefault="00246EFA" w:rsidP="000D1B0D">
            <w:pPr>
              <w:pStyle w:val="Default"/>
              <w:jc w:val="both"/>
              <w:rPr>
                <w:rFonts w:ascii="Calibri" w:hAnsi="Calibri" w:cs="Calibri"/>
                <w:b/>
                <w:sz w:val="20"/>
                <w:szCs w:val="20"/>
              </w:rPr>
            </w:pPr>
          </w:p>
        </w:tc>
        <w:tc>
          <w:tcPr>
            <w:tcW w:w="8001" w:type="dxa"/>
            <w:shd w:val="clear" w:color="auto" w:fill="D9D9D9"/>
          </w:tcPr>
          <w:p w:rsidR="00246EFA" w:rsidRPr="004A45AE" w:rsidRDefault="00246EFA" w:rsidP="000D1B0D">
            <w:pPr>
              <w:pStyle w:val="Default"/>
              <w:jc w:val="both"/>
              <w:rPr>
                <w:rFonts w:asciiTheme="minorHAnsi" w:hAnsiTheme="minorHAnsi" w:cstheme="minorHAnsi"/>
                <w:sz w:val="22"/>
                <w:szCs w:val="22"/>
              </w:rPr>
            </w:pPr>
          </w:p>
        </w:tc>
      </w:tr>
      <w:tr w:rsidR="007E1C2F" w:rsidRPr="000D1B0D" w:rsidTr="00DF685D">
        <w:tc>
          <w:tcPr>
            <w:tcW w:w="2079" w:type="dxa"/>
            <w:shd w:val="clear" w:color="auto" w:fill="auto"/>
          </w:tcPr>
          <w:p w:rsidR="007E1C2F" w:rsidRPr="000D1B0D" w:rsidRDefault="007E1C2F" w:rsidP="007E1C2F">
            <w:pPr>
              <w:pStyle w:val="Default"/>
              <w:rPr>
                <w:rFonts w:ascii="Calibri" w:hAnsi="Calibri" w:cs="Calibri"/>
                <w:b/>
                <w:sz w:val="20"/>
                <w:szCs w:val="20"/>
              </w:rPr>
            </w:pPr>
            <w:r w:rsidRPr="000D1B0D">
              <w:rPr>
                <w:rFonts w:ascii="Calibri" w:hAnsi="Calibri" w:cs="Calibri"/>
                <w:b/>
                <w:sz w:val="20"/>
                <w:szCs w:val="20"/>
              </w:rPr>
              <w:t>Conflict</w:t>
            </w:r>
            <w:r w:rsidR="00006E07">
              <w:rPr>
                <w:rFonts w:ascii="Calibri" w:hAnsi="Calibri" w:cs="Calibri"/>
                <w:b/>
                <w:sz w:val="20"/>
                <w:szCs w:val="20"/>
              </w:rPr>
              <w:t>s of Interest</w:t>
            </w:r>
            <w:r w:rsidRPr="000D1B0D">
              <w:rPr>
                <w:rFonts w:ascii="Calibri" w:hAnsi="Calibri" w:cs="Calibri"/>
                <w:b/>
                <w:sz w:val="20"/>
                <w:szCs w:val="20"/>
              </w:rPr>
              <w:t xml:space="preserve"> </w:t>
            </w:r>
          </w:p>
          <w:p w:rsidR="007E1C2F" w:rsidRPr="000D1B0D" w:rsidRDefault="007E1C2F" w:rsidP="007E1C2F">
            <w:pPr>
              <w:pStyle w:val="Default"/>
              <w:rPr>
                <w:rFonts w:ascii="Calibri" w:hAnsi="Calibri" w:cs="Calibri"/>
                <w:b/>
                <w:sz w:val="20"/>
                <w:szCs w:val="20"/>
              </w:rPr>
            </w:pPr>
          </w:p>
        </w:tc>
        <w:tc>
          <w:tcPr>
            <w:tcW w:w="8001" w:type="dxa"/>
            <w:shd w:val="clear" w:color="auto" w:fill="auto"/>
          </w:tcPr>
          <w:p w:rsidR="00006E07" w:rsidRPr="004A45AE" w:rsidRDefault="00153351" w:rsidP="000D1B0D">
            <w:pPr>
              <w:pStyle w:val="Default"/>
              <w:jc w:val="both"/>
              <w:rPr>
                <w:rFonts w:asciiTheme="minorHAnsi" w:hAnsiTheme="minorHAnsi" w:cstheme="minorHAnsi"/>
                <w:sz w:val="22"/>
                <w:szCs w:val="22"/>
              </w:rPr>
            </w:pPr>
            <w:r w:rsidRPr="004A45AE">
              <w:rPr>
                <w:rFonts w:asciiTheme="minorHAnsi" w:hAnsiTheme="minorHAnsi" w:cstheme="minorHAnsi"/>
                <w:sz w:val="22"/>
                <w:szCs w:val="22"/>
              </w:rPr>
              <w:t>None</w:t>
            </w:r>
            <w:r w:rsidR="00A37CAD">
              <w:rPr>
                <w:rFonts w:asciiTheme="minorHAnsi" w:hAnsiTheme="minorHAnsi" w:cstheme="minorHAnsi"/>
                <w:sz w:val="22"/>
                <w:szCs w:val="22"/>
              </w:rPr>
              <w:t xml:space="preserve"> </w:t>
            </w:r>
          </w:p>
          <w:p w:rsidR="00246EFA" w:rsidRPr="004A45AE" w:rsidRDefault="00246EFA" w:rsidP="000D1B0D">
            <w:pPr>
              <w:pStyle w:val="Default"/>
              <w:jc w:val="both"/>
              <w:rPr>
                <w:rFonts w:asciiTheme="minorHAnsi" w:hAnsiTheme="minorHAnsi" w:cstheme="minorHAnsi"/>
                <w:sz w:val="22"/>
                <w:szCs w:val="22"/>
              </w:rPr>
            </w:pPr>
          </w:p>
        </w:tc>
      </w:tr>
      <w:tr w:rsidR="007663C8" w:rsidRPr="000D1B0D" w:rsidTr="00DF685D">
        <w:tc>
          <w:tcPr>
            <w:tcW w:w="2079" w:type="dxa"/>
            <w:vMerge w:val="restart"/>
            <w:shd w:val="clear" w:color="auto" w:fill="auto"/>
          </w:tcPr>
          <w:p w:rsidR="007663C8" w:rsidRDefault="007663C8" w:rsidP="000D1B0D">
            <w:pPr>
              <w:pStyle w:val="Default"/>
              <w:jc w:val="both"/>
              <w:rPr>
                <w:rFonts w:ascii="Calibri" w:hAnsi="Calibri" w:cs="Calibri"/>
                <w:b/>
                <w:sz w:val="20"/>
                <w:szCs w:val="20"/>
              </w:rPr>
            </w:pPr>
            <w:r>
              <w:rPr>
                <w:rFonts w:ascii="Calibri" w:hAnsi="Calibri" w:cs="Calibri"/>
                <w:b/>
                <w:sz w:val="20"/>
                <w:szCs w:val="20"/>
              </w:rPr>
              <w:t>Strategic Objectives</w:t>
            </w:r>
          </w:p>
          <w:p w:rsidR="007663C8" w:rsidRPr="007663C8" w:rsidRDefault="007663C8" w:rsidP="000D1B0D">
            <w:pPr>
              <w:pStyle w:val="Default"/>
              <w:jc w:val="both"/>
              <w:rPr>
                <w:rFonts w:ascii="Calibri" w:hAnsi="Calibri" w:cs="Calibri"/>
                <w:i/>
                <w:sz w:val="20"/>
                <w:szCs w:val="20"/>
              </w:rPr>
            </w:pPr>
            <w:r w:rsidRPr="007663C8">
              <w:rPr>
                <w:rFonts w:ascii="Calibri" w:hAnsi="Calibri" w:cs="Calibri"/>
                <w:i/>
                <w:sz w:val="20"/>
                <w:szCs w:val="20"/>
              </w:rPr>
              <w:t>Short summary as to how the report links to the CCG’s strategic objectives</w:t>
            </w:r>
          </w:p>
        </w:tc>
        <w:tc>
          <w:tcPr>
            <w:tcW w:w="8001" w:type="dxa"/>
            <w:shd w:val="clear" w:color="auto" w:fill="auto"/>
          </w:tcPr>
          <w:p w:rsidR="007663C8" w:rsidRPr="004A45AE" w:rsidRDefault="007663C8" w:rsidP="00E61AF0">
            <w:pPr>
              <w:numPr>
                <w:ilvl w:val="0"/>
                <w:numId w:val="2"/>
              </w:numPr>
              <w:autoSpaceDE w:val="0"/>
              <w:autoSpaceDN w:val="0"/>
              <w:rPr>
                <w:rFonts w:asciiTheme="minorHAnsi" w:hAnsiTheme="minorHAnsi" w:cstheme="minorHAnsi"/>
                <w:i/>
                <w:sz w:val="22"/>
                <w:szCs w:val="22"/>
              </w:rPr>
            </w:pPr>
            <w:r w:rsidRPr="004A45AE">
              <w:rPr>
                <w:rFonts w:asciiTheme="minorHAnsi" w:hAnsiTheme="minorHAnsi" w:cstheme="minorHAnsi"/>
                <w:i/>
                <w:sz w:val="22"/>
                <w:szCs w:val="22"/>
              </w:rPr>
              <w:t>Sustainable Services</w:t>
            </w:r>
          </w:p>
          <w:p w:rsidR="00E61AF0" w:rsidRPr="004653B5" w:rsidRDefault="00A37CAD" w:rsidP="00E61AF0">
            <w:pPr>
              <w:autoSpaceDE w:val="0"/>
              <w:autoSpaceDN w:val="0"/>
              <w:rPr>
                <w:rFonts w:asciiTheme="minorHAnsi" w:hAnsiTheme="minorHAnsi" w:cstheme="minorHAnsi"/>
                <w:sz w:val="22"/>
                <w:szCs w:val="22"/>
              </w:rPr>
            </w:pPr>
            <w:r w:rsidRPr="004653B5">
              <w:rPr>
                <w:rFonts w:ascii="Calibri" w:hAnsi="Calibri" w:cs="Calibri"/>
                <w:sz w:val="22"/>
                <w:szCs w:val="22"/>
              </w:rPr>
              <w:t xml:space="preserve">To support the achievement of a sustainable care system  </w:t>
            </w:r>
          </w:p>
          <w:p w:rsidR="007663C8" w:rsidRPr="004A45AE" w:rsidRDefault="007663C8" w:rsidP="007663C8">
            <w:pPr>
              <w:autoSpaceDE w:val="0"/>
              <w:autoSpaceDN w:val="0"/>
              <w:rPr>
                <w:rFonts w:asciiTheme="minorHAnsi" w:hAnsiTheme="minorHAnsi" w:cstheme="minorHAnsi"/>
                <w:i/>
                <w:sz w:val="22"/>
                <w:szCs w:val="22"/>
              </w:rPr>
            </w:pPr>
            <w:r w:rsidRPr="004A45AE">
              <w:rPr>
                <w:rFonts w:asciiTheme="minorHAnsi" w:hAnsiTheme="minorHAnsi" w:cstheme="minorHAnsi"/>
                <w:i/>
                <w:sz w:val="22"/>
                <w:szCs w:val="22"/>
              </w:rPr>
              <w:t xml:space="preserve"> </w:t>
            </w:r>
          </w:p>
        </w:tc>
      </w:tr>
      <w:tr w:rsidR="007663C8" w:rsidRPr="000D1B0D" w:rsidTr="00DF685D">
        <w:tc>
          <w:tcPr>
            <w:tcW w:w="2079" w:type="dxa"/>
            <w:vMerge/>
            <w:shd w:val="clear" w:color="auto" w:fill="auto"/>
          </w:tcPr>
          <w:p w:rsidR="007663C8" w:rsidRPr="000D1B0D" w:rsidRDefault="007663C8" w:rsidP="000D1B0D">
            <w:pPr>
              <w:pStyle w:val="Default"/>
              <w:jc w:val="both"/>
              <w:rPr>
                <w:rFonts w:ascii="Calibri" w:hAnsi="Calibri" w:cs="Calibri"/>
                <w:b/>
                <w:sz w:val="20"/>
                <w:szCs w:val="20"/>
              </w:rPr>
            </w:pPr>
          </w:p>
        </w:tc>
        <w:tc>
          <w:tcPr>
            <w:tcW w:w="8001" w:type="dxa"/>
            <w:shd w:val="clear" w:color="auto" w:fill="auto"/>
          </w:tcPr>
          <w:p w:rsidR="007663C8" w:rsidRPr="004A45AE" w:rsidRDefault="007663C8" w:rsidP="000D1B0D">
            <w:pPr>
              <w:pStyle w:val="Default"/>
              <w:jc w:val="both"/>
              <w:rPr>
                <w:rFonts w:asciiTheme="minorHAnsi" w:hAnsiTheme="minorHAnsi" w:cstheme="minorHAnsi"/>
                <w:i/>
                <w:sz w:val="22"/>
                <w:szCs w:val="22"/>
              </w:rPr>
            </w:pPr>
            <w:r w:rsidRPr="004A45AE">
              <w:rPr>
                <w:rFonts w:asciiTheme="minorHAnsi" w:hAnsiTheme="minorHAnsi" w:cstheme="minorHAnsi"/>
                <w:i/>
                <w:sz w:val="22"/>
                <w:szCs w:val="22"/>
              </w:rPr>
              <w:t>2. Empowering People</w:t>
            </w:r>
          </w:p>
          <w:p w:rsidR="007663C8" w:rsidRPr="004653B5" w:rsidRDefault="004653B5" w:rsidP="000D1B0D">
            <w:pPr>
              <w:pStyle w:val="Default"/>
              <w:jc w:val="both"/>
              <w:rPr>
                <w:rFonts w:asciiTheme="minorHAnsi" w:hAnsiTheme="minorHAnsi" w:cstheme="minorHAnsi"/>
                <w:sz w:val="22"/>
                <w:szCs w:val="22"/>
              </w:rPr>
            </w:pPr>
            <w:r w:rsidRPr="004653B5">
              <w:rPr>
                <w:rFonts w:asciiTheme="minorHAnsi" w:hAnsiTheme="minorHAnsi" w:cstheme="minorHAnsi"/>
                <w:sz w:val="22"/>
                <w:szCs w:val="22"/>
              </w:rPr>
              <w:t>Not Applicable</w:t>
            </w:r>
          </w:p>
          <w:p w:rsidR="007663C8" w:rsidRPr="004A45AE" w:rsidRDefault="007663C8" w:rsidP="000D1B0D">
            <w:pPr>
              <w:pStyle w:val="Default"/>
              <w:jc w:val="both"/>
              <w:rPr>
                <w:rFonts w:asciiTheme="minorHAnsi" w:hAnsiTheme="minorHAnsi" w:cstheme="minorHAnsi"/>
                <w:i/>
                <w:sz w:val="22"/>
                <w:szCs w:val="22"/>
              </w:rPr>
            </w:pPr>
          </w:p>
        </w:tc>
      </w:tr>
      <w:tr w:rsidR="007663C8" w:rsidRPr="000D1B0D" w:rsidTr="00DF685D">
        <w:tc>
          <w:tcPr>
            <w:tcW w:w="2079" w:type="dxa"/>
            <w:vMerge/>
            <w:shd w:val="clear" w:color="auto" w:fill="auto"/>
          </w:tcPr>
          <w:p w:rsidR="007663C8" w:rsidRPr="000D1B0D" w:rsidRDefault="007663C8" w:rsidP="000D1B0D">
            <w:pPr>
              <w:pStyle w:val="Default"/>
              <w:jc w:val="both"/>
              <w:rPr>
                <w:rFonts w:ascii="Calibri" w:hAnsi="Calibri" w:cs="Calibri"/>
                <w:b/>
                <w:sz w:val="20"/>
                <w:szCs w:val="20"/>
              </w:rPr>
            </w:pPr>
          </w:p>
        </w:tc>
        <w:tc>
          <w:tcPr>
            <w:tcW w:w="8001" w:type="dxa"/>
            <w:shd w:val="clear" w:color="auto" w:fill="auto"/>
          </w:tcPr>
          <w:p w:rsidR="007663C8" w:rsidRPr="004A45AE" w:rsidRDefault="007663C8" w:rsidP="000D1B0D">
            <w:pPr>
              <w:pStyle w:val="Default"/>
              <w:jc w:val="both"/>
              <w:rPr>
                <w:rFonts w:asciiTheme="minorHAnsi" w:hAnsiTheme="minorHAnsi" w:cstheme="minorHAnsi"/>
                <w:i/>
                <w:sz w:val="22"/>
                <w:szCs w:val="22"/>
              </w:rPr>
            </w:pPr>
            <w:r w:rsidRPr="004A45AE">
              <w:rPr>
                <w:rFonts w:asciiTheme="minorHAnsi" w:hAnsiTheme="minorHAnsi" w:cstheme="minorHAnsi"/>
                <w:i/>
                <w:sz w:val="22"/>
                <w:szCs w:val="22"/>
              </w:rPr>
              <w:t>3. Supporting Communities</w:t>
            </w:r>
          </w:p>
          <w:p w:rsidR="007663C8" w:rsidRPr="004653B5" w:rsidRDefault="004653B5" w:rsidP="000D1B0D">
            <w:pPr>
              <w:pStyle w:val="Default"/>
              <w:jc w:val="both"/>
              <w:rPr>
                <w:rFonts w:asciiTheme="minorHAnsi" w:hAnsiTheme="minorHAnsi" w:cstheme="minorHAnsi"/>
                <w:sz w:val="22"/>
                <w:szCs w:val="22"/>
              </w:rPr>
            </w:pPr>
            <w:r w:rsidRPr="004653B5">
              <w:rPr>
                <w:rFonts w:asciiTheme="minorHAnsi" w:hAnsiTheme="minorHAnsi" w:cstheme="minorHAnsi"/>
                <w:sz w:val="22"/>
                <w:szCs w:val="22"/>
              </w:rPr>
              <w:t>Not Applicable</w:t>
            </w:r>
          </w:p>
          <w:p w:rsidR="007663C8" w:rsidRPr="004A45AE" w:rsidRDefault="007663C8" w:rsidP="000D1B0D">
            <w:pPr>
              <w:pStyle w:val="Default"/>
              <w:jc w:val="both"/>
              <w:rPr>
                <w:rFonts w:asciiTheme="minorHAnsi" w:hAnsiTheme="minorHAnsi" w:cstheme="minorHAnsi"/>
                <w:i/>
                <w:sz w:val="22"/>
                <w:szCs w:val="22"/>
              </w:rPr>
            </w:pPr>
          </w:p>
        </w:tc>
      </w:tr>
      <w:tr w:rsidR="007663C8" w:rsidRPr="000D1B0D" w:rsidTr="00DF685D">
        <w:tc>
          <w:tcPr>
            <w:tcW w:w="2079" w:type="dxa"/>
            <w:vMerge/>
            <w:shd w:val="clear" w:color="auto" w:fill="auto"/>
          </w:tcPr>
          <w:p w:rsidR="007663C8" w:rsidRPr="000D1B0D" w:rsidRDefault="007663C8" w:rsidP="000D1B0D">
            <w:pPr>
              <w:pStyle w:val="Default"/>
              <w:jc w:val="both"/>
              <w:rPr>
                <w:rFonts w:ascii="Calibri" w:hAnsi="Calibri" w:cs="Calibri"/>
                <w:b/>
                <w:sz w:val="20"/>
                <w:szCs w:val="20"/>
              </w:rPr>
            </w:pPr>
          </w:p>
        </w:tc>
        <w:tc>
          <w:tcPr>
            <w:tcW w:w="8001" w:type="dxa"/>
            <w:shd w:val="clear" w:color="auto" w:fill="auto"/>
          </w:tcPr>
          <w:p w:rsidR="007663C8" w:rsidRPr="004A45AE" w:rsidRDefault="007663C8" w:rsidP="007663C8">
            <w:pPr>
              <w:autoSpaceDE w:val="0"/>
              <w:autoSpaceDN w:val="0"/>
              <w:rPr>
                <w:rFonts w:asciiTheme="minorHAnsi" w:hAnsiTheme="minorHAnsi" w:cstheme="minorHAnsi"/>
                <w:i/>
                <w:sz w:val="22"/>
                <w:szCs w:val="22"/>
              </w:rPr>
            </w:pPr>
            <w:r w:rsidRPr="004A45AE">
              <w:rPr>
                <w:rFonts w:asciiTheme="minorHAnsi" w:hAnsiTheme="minorHAnsi" w:cstheme="minorHAnsi"/>
                <w:i/>
                <w:sz w:val="22"/>
                <w:szCs w:val="22"/>
              </w:rPr>
              <w:t>4. Delivering a fit for purpose organisation</w:t>
            </w:r>
          </w:p>
          <w:p w:rsidR="00E61AF0" w:rsidRPr="004653B5" w:rsidRDefault="00E61AF0" w:rsidP="007663C8">
            <w:pPr>
              <w:autoSpaceDE w:val="0"/>
              <w:autoSpaceDN w:val="0"/>
              <w:rPr>
                <w:rFonts w:asciiTheme="minorHAnsi" w:hAnsiTheme="minorHAnsi" w:cstheme="minorHAnsi"/>
                <w:sz w:val="22"/>
                <w:szCs w:val="22"/>
              </w:rPr>
            </w:pPr>
          </w:p>
          <w:p w:rsidR="007663C8" w:rsidRPr="004A45AE" w:rsidRDefault="007663C8" w:rsidP="000D1B0D">
            <w:pPr>
              <w:pStyle w:val="Default"/>
              <w:jc w:val="both"/>
              <w:rPr>
                <w:rFonts w:asciiTheme="minorHAnsi" w:hAnsiTheme="minorHAnsi" w:cstheme="minorHAnsi"/>
                <w:i/>
                <w:sz w:val="22"/>
                <w:szCs w:val="22"/>
              </w:rPr>
            </w:pPr>
          </w:p>
        </w:tc>
      </w:tr>
      <w:tr w:rsidR="00473CC5" w:rsidRPr="000D1B0D" w:rsidTr="00DF685D">
        <w:tc>
          <w:tcPr>
            <w:tcW w:w="2079" w:type="dxa"/>
            <w:shd w:val="clear" w:color="auto" w:fill="auto"/>
          </w:tcPr>
          <w:p w:rsidR="00473CC5" w:rsidRPr="000D1B0D" w:rsidRDefault="00473CC5" w:rsidP="000D1B0D">
            <w:pPr>
              <w:pStyle w:val="Default"/>
              <w:jc w:val="both"/>
              <w:rPr>
                <w:rFonts w:ascii="Calibri" w:hAnsi="Calibri" w:cs="Calibri"/>
                <w:b/>
                <w:sz w:val="20"/>
                <w:szCs w:val="20"/>
              </w:rPr>
            </w:pPr>
            <w:r w:rsidRPr="000D1B0D">
              <w:rPr>
                <w:rFonts w:ascii="Calibri" w:hAnsi="Calibri" w:cs="Calibri"/>
                <w:b/>
                <w:sz w:val="20"/>
                <w:szCs w:val="20"/>
              </w:rPr>
              <w:t>NHS Constitution:</w:t>
            </w:r>
          </w:p>
          <w:p w:rsidR="00473CC5" w:rsidRPr="000D1B0D" w:rsidRDefault="00473CC5" w:rsidP="000D1B0D">
            <w:pPr>
              <w:pStyle w:val="Default"/>
              <w:jc w:val="both"/>
              <w:rPr>
                <w:rFonts w:ascii="Calibri" w:hAnsi="Calibri" w:cs="Calibri"/>
                <w:b/>
                <w:sz w:val="20"/>
                <w:szCs w:val="20"/>
              </w:rPr>
            </w:pPr>
          </w:p>
        </w:tc>
        <w:tc>
          <w:tcPr>
            <w:tcW w:w="8001" w:type="dxa"/>
            <w:shd w:val="clear" w:color="auto" w:fill="auto"/>
          </w:tcPr>
          <w:p w:rsidR="00006E07" w:rsidRPr="004A45AE" w:rsidRDefault="00006E07" w:rsidP="000D1B0D">
            <w:pPr>
              <w:pStyle w:val="Default"/>
              <w:jc w:val="both"/>
              <w:rPr>
                <w:rFonts w:asciiTheme="minorHAnsi" w:hAnsiTheme="minorHAnsi" w:cstheme="minorHAnsi"/>
                <w:i/>
                <w:sz w:val="22"/>
                <w:szCs w:val="22"/>
              </w:rPr>
            </w:pPr>
            <w:r w:rsidRPr="004A45AE">
              <w:rPr>
                <w:rFonts w:asciiTheme="minorHAnsi" w:hAnsiTheme="minorHAnsi" w:cstheme="minorHAnsi"/>
                <w:i/>
                <w:sz w:val="22"/>
                <w:szCs w:val="22"/>
              </w:rPr>
              <w:t>Does the report and its recommendations comply with the requiremen</w:t>
            </w:r>
            <w:r w:rsidR="000F0496">
              <w:rPr>
                <w:rFonts w:asciiTheme="minorHAnsi" w:hAnsiTheme="minorHAnsi" w:cstheme="minorHAnsi"/>
                <w:i/>
                <w:sz w:val="22"/>
                <w:szCs w:val="22"/>
              </w:rPr>
              <w:t>ts of the NHS constitution? Yes, in particular:-</w:t>
            </w:r>
          </w:p>
          <w:p w:rsidR="00006E07" w:rsidRPr="004A45AE" w:rsidRDefault="00006E07" w:rsidP="000D1B0D">
            <w:pPr>
              <w:pStyle w:val="Default"/>
              <w:jc w:val="both"/>
              <w:rPr>
                <w:rFonts w:asciiTheme="minorHAnsi" w:hAnsiTheme="minorHAnsi" w:cstheme="minorHAnsi"/>
                <w:i/>
                <w:sz w:val="22"/>
                <w:szCs w:val="22"/>
              </w:rPr>
            </w:pPr>
          </w:p>
          <w:p w:rsidR="00006E07" w:rsidRDefault="000F0496" w:rsidP="000D1B0D">
            <w:pPr>
              <w:pStyle w:val="Default"/>
              <w:jc w:val="both"/>
              <w:rPr>
                <w:rFonts w:asciiTheme="minorHAnsi" w:hAnsiTheme="minorHAnsi" w:cstheme="minorHAnsi"/>
                <w:i/>
                <w:sz w:val="22"/>
                <w:szCs w:val="22"/>
              </w:rPr>
            </w:pPr>
            <w:r>
              <w:rPr>
                <w:rFonts w:asciiTheme="minorHAnsi" w:hAnsiTheme="minorHAnsi" w:cstheme="minorHAnsi"/>
                <w:i/>
                <w:sz w:val="22"/>
                <w:szCs w:val="22"/>
              </w:rPr>
              <w:t>- The NHS works across organisational boundaries</w:t>
            </w:r>
          </w:p>
          <w:p w:rsidR="000F0496" w:rsidRPr="004A45AE" w:rsidRDefault="000F0496" w:rsidP="000D1B0D">
            <w:pPr>
              <w:pStyle w:val="Default"/>
              <w:jc w:val="both"/>
              <w:rPr>
                <w:rFonts w:asciiTheme="minorHAnsi" w:hAnsiTheme="minorHAnsi" w:cstheme="minorHAnsi"/>
                <w:i/>
                <w:sz w:val="22"/>
                <w:szCs w:val="22"/>
              </w:rPr>
            </w:pPr>
            <w:r>
              <w:rPr>
                <w:rFonts w:asciiTheme="minorHAnsi" w:hAnsiTheme="minorHAnsi" w:cstheme="minorHAnsi"/>
                <w:i/>
                <w:sz w:val="22"/>
                <w:szCs w:val="22"/>
              </w:rPr>
              <w:t>- The NHS is committed to providing best value for taxpayers’ money</w:t>
            </w:r>
          </w:p>
          <w:p w:rsidR="00006E07" w:rsidRPr="004A45AE" w:rsidRDefault="000F0496" w:rsidP="000D1B0D">
            <w:pPr>
              <w:pStyle w:val="Default"/>
              <w:jc w:val="both"/>
              <w:rPr>
                <w:rFonts w:asciiTheme="minorHAnsi" w:hAnsiTheme="minorHAnsi" w:cstheme="minorHAnsi"/>
                <w:i/>
                <w:sz w:val="22"/>
                <w:szCs w:val="22"/>
              </w:rPr>
            </w:pPr>
            <w:r>
              <w:rPr>
                <w:rFonts w:asciiTheme="minorHAnsi" w:hAnsiTheme="minorHAnsi" w:cstheme="minorHAnsi"/>
                <w:i/>
                <w:sz w:val="22"/>
                <w:szCs w:val="22"/>
              </w:rPr>
              <w:t>- The NHS is accountable to the public, communities and patients that it serves</w:t>
            </w:r>
          </w:p>
          <w:p w:rsidR="00006E07" w:rsidRPr="004A45AE" w:rsidRDefault="00006E07" w:rsidP="000D1B0D">
            <w:pPr>
              <w:pStyle w:val="Default"/>
              <w:jc w:val="both"/>
              <w:rPr>
                <w:rFonts w:asciiTheme="minorHAnsi" w:hAnsiTheme="minorHAnsi" w:cstheme="minorHAnsi"/>
                <w:sz w:val="22"/>
                <w:szCs w:val="22"/>
              </w:rPr>
            </w:pPr>
          </w:p>
        </w:tc>
      </w:tr>
      <w:tr w:rsidR="007E1C2F" w:rsidRPr="000D1B0D" w:rsidTr="00DF685D">
        <w:tc>
          <w:tcPr>
            <w:tcW w:w="2079" w:type="dxa"/>
            <w:shd w:val="clear" w:color="auto" w:fill="auto"/>
          </w:tcPr>
          <w:p w:rsidR="007E1C2F" w:rsidRPr="000D1B0D" w:rsidRDefault="007E1C2F" w:rsidP="007E1C2F">
            <w:pPr>
              <w:pStyle w:val="Default"/>
              <w:rPr>
                <w:rFonts w:ascii="Calibri" w:hAnsi="Calibri" w:cs="Calibri"/>
                <w:b/>
                <w:sz w:val="20"/>
                <w:szCs w:val="20"/>
              </w:rPr>
            </w:pPr>
            <w:r w:rsidRPr="000D1B0D">
              <w:rPr>
                <w:rFonts w:ascii="Calibri" w:hAnsi="Calibri" w:cs="Calibri"/>
                <w:b/>
                <w:sz w:val="20"/>
                <w:szCs w:val="20"/>
              </w:rPr>
              <w:t>Report exempt from Public Disclosure</w:t>
            </w:r>
          </w:p>
          <w:p w:rsidR="007E1C2F" w:rsidRPr="000D1B0D" w:rsidRDefault="007E1C2F" w:rsidP="007E1C2F">
            <w:pPr>
              <w:pStyle w:val="Default"/>
              <w:rPr>
                <w:rFonts w:ascii="Calibri" w:hAnsi="Calibri" w:cs="Calibri"/>
                <w:b/>
                <w:sz w:val="20"/>
                <w:szCs w:val="20"/>
              </w:rPr>
            </w:pPr>
          </w:p>
        </w:tc>
        <w:tc>
          <w:tcPr>
            <w:tcW w:w="8001" w:type="dxa"/>
            <w:shd w:val="clear" w:color="auto" w:fill="auto"/>
          </w:tcPr>
          <w:p w:rsidR="007E1C2F" w:rsidRPr="004A45AE" w:rsidRDefault="007E1C2F" w:rsidP="000D1B0D">
            <w:pPr>
              <w:pStyle w:val="Default"/>
              <w:jc w:val="both"/>
              <w:rPr>
                <w:rFonts w:asciiTheme="minorHAnsi" w:hAnsiTheme="minorHAnsi" w:cstheme="minorHAnsi"/>
                <w:sz w:val="22"/>
                <w:szCs w:val="22"/>
              </w:rPr>
            </w:pPr>
            <w:r w:rsidRPr="004A45AE">
              <w:rPr>
                <w:rFonts w:asciiTheme="minorHAnsi" w:hAnsiTheme="minorHAnsi" w:cstheme="minorHAnsi"/>
                <w:sz w:val="22"/>
                <w:szCs w:val="22"/>
              </w:rPr>
              <w:t>No</w:t>
            </w:r>
          </w:p>
        </w:tc>
      </w:tr>
    </w:tbl>
    <w:p w:rsidR="009D4EDC" w:rsidRDefault="009D4EDC" w:rsidP="00D3211A">
      <w:pPr>
        <w:pStyle w:val="Default"/>
        <w:jc w:val="both"/>
        <w:rPr>
          <w:rFonts w:ascii="Calibri" w:hAnsi="Calibri" w:cs="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938"/>
      </w:tblGrid>
      <w:tr w:rsidR="007E1C2F" w:rsidRPr="000D1B0D" w:rsidTr="00B658DC">
        <w:tc>
          <w:tcPr>
            <w:tcW w:w="2127" w:type="dxa"/>
            <w:shd w:val="clear" w:color="auto" w:fill="auto"/>
          </w:tcPr>
          <w:p w:rsidR="007E1C2F" w:rsidRPr="000D1B0D" w:rsidRDefault="007E1C2F" w:rsidP="00FB449C">
            <w:pPr>
              <w:pStyle w:val="Default"/>
              <w:rPr>
                <w:rFonts w:ascii="Calibri" w:hAnsi="Calibri" w:cs="Calibri"/>
                <w:b/>
                <w:sz w:val="20"/>
                <w:szCs w:val="20"/>
              </w:rPr>
            </w:pPr>
            <w:r w:rsidRPr="000D1B0D">
              <w:rPr>
                <w:rFonts w:ascii="Calibri" w:hAnsi="Calibri" w:cs="Calibri"/>
                <w:b/>
                <w:sz w:val="20"/>
                <w:szCs w:val="20"/>
              </w:rPr>
              <w:t>Appendices / attachments</w:t>
            </w:r>
          </w:p>
          <w:p w:rsidR="007E1C2F" w:rsidRPr="000D1B0D" w:rsidRDefault="007E1C2F" w:rsidP="000D1B0D">
            <w:pPr>
              <w:pStyle w:val="Default"/>
              <w:jc w:val="both"/>
              <w:rPr>
                <w:rFonts w:ascii="Calibri" w:hAnsi="Calibri" w:cs="Calibri"/>
                <w:sz w:val="20"/>
                <w:szCs w:val="20"/>
              </w:rPr>
            </w:pPr>
          </w:p>
        </w:tc>
        <w:tc>
          <w:tcPr>
            <w:tcW w:w="7938" w:type="dxa"/>
            <w:shd w:val="clear" w:color="auto" w:fill="auto"/>
          </w:tcPr>
          <w:p w:rsidR="007E1C2F" w:rsidRPr="000D1B0D" w:rsidRDefault="007E1C2F" w:rsidP="000D1B0D">
            <w:pPr>
              <w:pStyle w:val="Default"/>
              <w:jc w:val="both"/>
              <w:rPr>
                <w:rFonts w:ascii="Calibri" w:hAnsi="Calibri" w:cs="Calibri"/>
                <w:sz w:val="20"/>
                <w:szCs w:val="20"/>
              </w:rPr>
            </w:pPr>
          </w:p>
          <w:p w:rsidR="00FB449C" w:rsidRDefault="003901FE" w:rsidP="000D1B0D">
            <w:pPr>
              <w:pStyle w:val="Default"/>
              <w:jc w:val="both"/>
              <w:rPr>
                <w:rFonts w:ascii="Calibri" w:hAnsi="Calibri" w:cs="Calibri"/>
                <w:sz w:val="20"/>
                <w:szCs w:val="20"/>
              </w:rPr>
            </w:pPr>
            <w:r>
              <w:rPr>
                <w:rFonts w:ascii="Calibri" w:hAnsi="Calibri" w:cs="Calibri"/>
                <w:sz w:val="20"/>
                <w:szCs w:val="20"/>
              </w:rPr>
              <w:t>Tables 1 – 5 (attached)</w:t>
            </w:r>
          </w:p>
          <w:p w:rsidR="00E61AF0" w:rsidRDefault="00E61AF0" w:rsidP="000D1B0D">
            <w:pPr>
              <w:pStyle w:val="Default"/>
              <w:jc w:val="both"/>
              <w:rPr>
                <w:rFonts w:ascii="Calibri" w:hAnsi="Calibri" w:cs="Calibri"/>
                <w:sz w:val="20"/>
                <w:szCs w:val="20"/>
              </w:rPr>
            </w:pPr>
          </w:p>
          <w:p w:rsidR="00E61AF0" w:rsidRPr="000D1B0D" w:rsidRDefault="00E61AF0" w:rsidP="000D1B0D">
            <w:pPr>
              <w:pStyle w:val="Default"/>
              <w:jc w:val="both"/>
              <w:rPr>
                <w:rFonts w:ascii="Calibri" w:hAnsi="Calibri" w:cs="Calibri"/>
                <w:sz w:val="20"/>
                <w:szCs w:val="20"/>
              </w:rPr>
            </w:pPr>
          </w:p>
        </w:tc>
      </w:tr>
    </w:tbl>
    <w:p w:rsidR="00893409" w:rsidRDefault="00893409" w:rsidP="00D3211A">
      <w:pPr>
        <w:pStyle w:val="Default"/>
        <w:jc w:val="both"/>
        <w:rPr>
          <w:rFonts w:ascii="Calibri" w:hAnsi="Calibri" w:cs="Calibri"/>
          <w:sz w:val="20"/>
          <w:szCs w:val="20"/>
        </w:rPr>
      </w:pPr>
    </w:p>
    <w:sectPr w:rsidR="00893409" w:rsidSect="0092546C">
      <w:headerReference w:type="default" r:id="rId11"/>
      <w:footerReference w:type="default" r:id="rId12"/>
      <w:pgSz w:w="11900" w:h="16840"/>
      <w:pgMar w:top="737" w:right="964" w:bottom="567" w:left="964" w:header="0" w:footer="113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CC0" w:rsidRDefault="00BD3CC0" w:rsidP="00E1284E">
      <w:r>
        <w:separator/>
      </w:r>
    </w:p>
  </w:endnote>
  <w:endnote w:type="continuationSeparator" w:id="0">
    <w:p w:rsidR="00BD3CC0" w:rsidRDefault="00BD3CC0" w:rsidP="00E12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CC0" w:rsidRDefault="00BD3CC0">
    <w:pPr>
      <w:pStyle w:val="Footer"/>
    </w:pPr>
    <w:r>
      <w:fldChar w:fldCharType="begin"/>
    </w:r>
    <w:r>
      <w:instrText xml:space="preserve"> PAGE   \* MERGEFORMAT </w:instrText>
    </w:r>
    <w:r>
      <w:fldChar w:fldCharType="separate"/>
    </w:r>
    <w:r w:rsidR="00817C86">
      <w:rPr>
        <w:noProof/>
      </w:rPr>
      <w:t>4</w:t>
    </w:r>
    <w:r>
      <w:rPr>
        <w:noProof/>
      </w:rPr>
      <w:fldChar w:fldCharType="end"/>
    </w:r>
  </w:p>
  <w:p w:rsidR="00BD3CC0" w:rsidRDefault="00BD3C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CC0" w:rsidRDefault="00BD3CC0" w:rsidP="00E1284E">
      <w:r>
        <w:separator/>
      </w:r>
    </w:p>
  </w:footnote>
  <w:footnote w:type="continuationSeparator" w:id="0">
    <w:p w:rsidR="00BD3CC0" w:rsidRDefault="00BD3CC0" w:rsidP="00E128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CC0" w:rsidRDefault="00817C86">
    <w:pPr>
      <w:pStyle w:val="Header"/>
    </w:pPr>
    <w:r>
      <w:rPr>
        <w:noProof/>
        <w:lang w:val="en-GB" w:eastAsia="en-GB"/>
      </w:rPr>
      <mc:AlternateContent>
        <mc:Choice Requires="wps">
          <w:drawing>
            <wp:anchor distT="0" distB="0" distL="114300" distR="114300" simplePos="0" relativeHeight="251657728" behindDoc="0" locked="0" layoutInCell="0" allowOverlap="1">
              <wp:simplePos x="0" y="0"/>
              <wp:positionH relativeFrom="page">
                <wp:posOffset>6988810</wp:posOffset>
              </wp:positionH>
              <wp:positionV relativeFrom="page">
                <wp:posOffset>8150225</wp:posOffset>
              </wp:positionV>
              <wp:extent cx="51943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CC0" w:rsidRPr="00893409" w:rsidRDefault="00BD3CC0">
                          <w:pPr>
                            <w:pStyle w:val="Footer"/>
                            <w:rPr>
                              <w:rFonts w:eastAsia="Times New Roman"/>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margin-left:550.3pt;margin-top:641.75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iTqwIAAJ8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" o:allowincell="f" filled="f" stroked="f">
              <v:textbox style="layout-flow:vertical;mso-layout-flow-alt:bottom-to-top;mso-fit-shape-to-text:t">
                <w:txbxContent>
                  <w:p w:rsidR="00BD3CC0" w:rsidRPr="00893409" w:rsidRDefault="00BD3CC0">
                    <w:pPr>
                      <w:pStyle w:val="Footer"/>
                      <w:rPr>
                        <w:rFonts w:eastAsia="Times New Roman"/>
                        <w:sz w:val="44"/>
                        <w:szCs w:val="44"/>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07813"/>
    <w:multiLevelType w:val="hybridMultilevel"/>
    <w:tmpl w:val="7B145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8D207B"/>
    <w:multiLevelType w:val="hybridMultilevel"/>
    <w:tmpl w:val="A0F2DE5C"/>
    <w:lvl w:ilvl="0" w:tplc="945282FC">
      <w:start w:val="1"/>
      <w:numFmt w:val="decimal"/>
      <w:lvlText w:val="%1."/>
      <w:lvlJc w:val="left"/>
      <w:pPr>
        <w:ind w:left="360" w:hanging="360"/>
      </w:pPr>
      <w:rPr>
        <w:rFonts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9101D63"/>
    <w:multiLevelType w:val="hybridMultilevel"/>
    <w:tmpl w:val="0B144D7C"/>
    <w:lvl w:ilvl="0" w:tplc="67CC5DC0">
      <w:start w:val="3"/>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F4168F"/>
    <w:multiLevelType w:val="hybridMultilevel"/>
    <w:tmpl w:val="62ACF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690548"/>
    <w:multiLevelType w:val="hybridMultilevel"/>
    <w:tmpl w:val="82F678D8"/>
    <w:lvl w:ilvl="0" w:tplc="08090001">
      <w:start w:val="1"/>
      <w:numFmt w:val="bullet"/>
      <w:lvlText w:val=""/>
      <w:lvlJc w:val="left"/>
      <w:pPr>
        <w:ind w:left="1065" w:hanging="705"/>
      </w:pPr>
      <w:rPr>
        <w:rFonts w:ascii="Symbol" w:hAnsi="Symbol" w:hint="default"/>
      </w:rPr>
    </w:lvl>
    <w:lvl w:ilvl="1" w:tplc="67CC5DC0">
      <w:start w:val="3"/>
      <w:numFmt w:val="bullet"/>
      <w:lvlText w:val="-"/>
      <w:lvlJc w:val="left"/>
      <w:pPr>
        <w:ind w:left="1785" w:hanging="705"/>
      </w:pPr>
      <w:rPr>
        <w:rFonts w:ascii="Calibri" w:eastAsia="MS Mincho"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6B25E4"/>
    <w:multiLevelType w:val="hybridMultilevel"/>
    <w:tmpl w:val="538EE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C874D94"/>
    <w:multiLevelType w:val="hybridMultilevel"/>
    <w:tmpl w:val="A2506BB6"/>
    <w:lvl w:ilvl="0" w:tplc="FC04B498">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1034E77"/>
    <w:multiLevelType w:val="hybridMultilevel"/>
    <w:tmpl w:val="F55442EE"/>
    <w:lvl w:ilvl="0" w:tplc="67CC5DC0">
      <w:start w:val="3"/>
      <w:numFmt w:val="bullet"/>
      <w:lvlText w:val="-"/>
      <w:lvlJc w:val="left"/>
      <w:pPr>
        <w:ind w:left="1203" w:hanging="360"/>
      </w:pPr>
      <w:rPr>
        <w:rFonts w:ascii="Calibri" w:eastAsia="MS Mincho" w:hAnsi="Calibri" w:cs="Calibri" w:hint="default"/>
      </w:rPr>
    </w:lvl>
    <w:lvl w:ilvl="1" w:tplc="08090003" w:tentative="1">
      <w:start w:val="1"/>
      <w:numFmt w:val="bullet"/>
      <w:lvlText w:val="o"/>
      <w:lvlJc w:val="left"/>
      <w:pPr>
        <w:ind w:left="1923" w:hanging="360"/>
      </w:pPr>
      <w:rPr>
        <w:rFonts w:ascii="Courier New" w:hAnsi="Courier New" w:cs="Courier New" w:hint="default"/>
      </w:rPr>
    </w:lvl>
    <w:lvl w:ilvl="2" w:tplc="08090005" w:tentative="1">
      <w:start w:val="1"/>
      <w:numFmt w:val="bullet"/>
      <w:lvlText w:val=""/>
      <w:lvlJc w:val="left"/>
      <w:pPr>
        <w:ind w:left="2643" w:hanging="360"/>
      </w:pPr>
      <w:rPr>
        <w:rFonts w:ascii="Wingdings" w:hAnsi="Wingdings" w:hint="default"/>
      </w:rPr>
    </w:lvl>
    <w:lvl w:ilvl="3" w:tplc="08090001" w:tentative="1">
      <w:start w:val="1"/>
      <w:numFmt w:val="bullet"/>
      <w:lvlText w:val=""/>
      <w:lvlJc w:val="left"/>
      <w:pPr>
        <w:ind w:left="3363" w:hanging="360"/>
      </w:pPr>
      <w:rPr>
        <w:rFonts w:ascii="Symbol" w:hAnsi="Symbol" w:hint="default"/>
      </w:rPr>
    </w:lvl>
    <w:lvl w:ilvl="4" w:tplc="08090003" w:tentative="1">
      <w:start w:val="1"/>
      <w:numFmt w:val="bullet"/>
      <w:lvlText w:val="o"/>
      <w:lvlJc w:val="left"/>
      <w:pPr>
        <w:ind w:left="4083" w:hanging="360"/>
      </w:pPr>
      <w:rPr>
        <w:rFonts w:ascii="Courier New" w:hAnsi="Courier New" w:cs="Courier New" w:hint="default"/>
      </w:rPr>
    </w:lvl>
    <w:lvl w:ilvl="5" w:tplc="08090005" w:tentative="1">
      <w:start w:val="1"/>
      <w:numFmt w:val="bullet"/>
      <w:lvlText w:val=""/>
      <w:lvlJc w:val="left"/>
      <w:pPr>
        <w:ind w:left="4803" w:hanging="360"/>
      </w:pPr>
      <w:rPr>
        <w:rFonts w:ascii="Wingdings" w:hAnsi="Wingdings" w:hint="default"/>
      </w:rPr>
    </w:lvl>
    <w:lvl w:ilvl="6" w:tplc="08090001" w:tentative="1">
      <w:start w:val="1"/>
      <w:numFmt w:val="bullet"/>
      <w:lvlText w:val=""/>
      <w:lvlJc w:val="left"/>
      <w:pPr>
        <w:ind w:left="5523" w:hanging="360"/>
      </w:pPr>
      <w:rPr>
        <w:rFonts w:ascii="Symbol" w:hAnsi="Symbol" w:hint="default"/>
      </w:rPr>
    </w:lvl>
    <w:lvl w:ilvl="7" w:tplc="08090003" w:tentative="1">
      <w:start w:val="1"/>
      <w:numFmt w:val="bullet"/>
      <w:lvlText w:val="o"/>
      <w:lvlJc w:val="left"/>
      <w:pPr>
        <w:ind w:left="6243" w:hanging="360"/>
      </w:pPr>
      <w:rPr>
        <w:rFonts w:ascii="Courier New" w:hAnsi="Courier New" w:cs="Courier New" w:hint="default"/>
      </w:rPr>
    </w:lvl>
    <w:lvl w:ilvl="8" w:tplc="08090005" w:tentative="1">
      <w:start w:val="1"/>
      <w:numFmt w:val="bullet"/>
      <w:lvlText w:val=""/>
      <w:lvlJc w:val="left"/>
      <w:pPr>
        <w:ind w:left="6963" w:hanging="360"/>
      </w:pPr>
      <w:rPr>
        <w:rFonts w:ascii="Wingdings" w:hAnsi="Wingdings" w:hint="default"/>
      </w:rPr>
    </w:lvl>
  </w:abstractNum>
  <w:num w:numId="1">
    <w:abstractNumId w:val="5"/>
  </w:num>
  <w:num w:numId="2">
    <w:abstractNumId w:val="1"/>
  </w:num>
  <w:num w:numId="3">
    <w:abstractNumId w:val="6"/>
  </w:num>
  <w:num w:numId="4">
    <w:abstractNumId w:val="5"/>
  </w:num>
  <w:num w:numId="5">
    <w:abstractNumId w:val="0"/>
  </w:num>
  <w:num w:numId="6">
    <w:abstractNumId w:val="3"/>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92546C"/>
    <w:rsid w:val="00005BBC"/>
    <w:rsid w:val="00006E07"/>
    <w:rsid w:val="000350E4"/>
    <w:rsid w:val="00096E41"/>
    <w:rsid w:val="000A554D"/>
    <w:rsid w:val="000A7EB7"/>
    <w:rsid w:val="000C4D3C"/>
    <w:rsid w:val="000C70E4"/>
    <w:rsid w:val="000D1426"/>
    <w:rsid w:val="000D1B0D"/>
    <w:rsid w:val="000F0496"/>
    <w:rsid w:val="00107535"/>
    <w:rsid w:val="00136B75"/>
    <w:rsid w:val="00153351"/>
    <w:rsid w:val="001556E0"/>
    <w:rsid w:val="0016479A"/>
    <w:rsid w:val="001879F2"/>
    <w:rsid w:val="002044CF"/>
    <w:rsid w:val="00246A4E"/>
    <w:rsid w:val="00246EFA"/>
    <w:rsid w:val="0028419C"/>
    <w:rsid w:val="002C2A66"/>
    <w:rsid w:val="00363AC8"/>
    <w:rsid w:val="003901FE"/>
    <w:rsid w:val="003C46C5"/>
    <w:rsid w:val="003D7845"/>
    <w:rsid w:val="00453E4B"/>
    <w:rsid w:val="00462732"/>
    <w:rsid w:val="004653B5"/>
    <w:rsid w:val="00473CC5"/>
    <w:rsid w:val="004A45AE"/>
    <w:rsid w:val="004B3529"/>
    <w:rsid w:val="004E32B5"/>
    <w:rsid w:val="004F0C5A"/>
    <w:rsid w:val="004F5317"/>
    <w:rsid w:val="0054308A"/>
    <w:rsid w:val="005A0D0A"/>
    <w:rsid w:val="005A4EC5"/>
    <w:rsid w:val="005A53D1"/>
    <w:rsid w:val="005B0C13"/>
    <w:rsid w:val="005F3FA1"/>
    <w:rsid w:val="00603BF2"/>
    <w:rsid w:val="0062331F"/>
    <w:rsid w:val="00663808"/>
    <w:rsid w:val="00697B0F"/>
    <w:rsid w:val="006E10B5"/>
    <w:rsid w:val="006F3A4E"/>
    <w:rsid w:val="00703268"/>
    <w:rsid w:val="007211F9"/>
    <w:rsid w:val="00734128"/>
    <w:rsid w:val="0074782A"/>
    <w:rsid w:val="007663C8"/>
    <w:rsid w:val="007C526F"/>
    <w:rsid w:val="007E1C2F"/>
    <w:rsid w:val="007E2A23"/>
    <w:rsid w:val="008044FD"/>
    <w:rsid w:val="00817C86"/>
    <w:rsid w:val="008336DE"/>
    <w:rsid w:val="0087216E"/>
    <w:rsid w:val="00876931"/>
    <w:rsid w:val="008932D6"/>
    <w:rsid w:val="00893409"/>
    <w:rsid w:val="00896FD9"/>
    <w:rsid w:val="008A2DC2"/>
    <w:rsid w:val="008C5A15"/>
    <w:rsid w:val="00911F40"/>
    <w:rsid w:val="009169E9"/>
    <w:rsid w:val="009203B7"/>
    <w:rsid w:val="0092546C"/>
    <w:rsid w:val="0098436E"/>
    <w:rsid w:val="00991A1C"/>
    <w:rsid w:val="00995A9E"/>
    <w:rsid w:val="009A59BC"/>
    <w:rsid w:val="009D4EDC"/>
    <w:rsid w:val="009E45D2"/>
    <w:rsid w:val="00A0148B"/>
    <w:rsid w:val="00A218A3"/>
    <w:rsid w:val="00A34173"/>
    <w:rsid w:val="00A37CAD"/>
    <w:rsid w:val="00A65600"/>
    <w:rsid w:val="00A9358C"/>
    <w:rsid w:val="00A977E0"/>
    <w:rsid w:val="00AF4A4F"/>
    <w:rsid w:val="00B01FF1"/>
    <w:rsid w:val="00B62F45"/>
    <w:rsid w:val="00B658DC"/>
    <w:rsid w:val="00B76E57"/>
    <w:rsid w:val="00B96B78"/>
    <w:rsid w:val="00B971B9"/>
    <w:rsid w:val="00BB40A8"/>
    <w:rsid w:val="00BD3CC0"/>
    <w:rsid w:val="00BE2870"/>
    <w:rsid w:val="00BE6921"/>
    <w:rsid w:val="00BE727A"/>
    <w:rsid w:val="00C05194"/>
    <w:rsid w:val="00C41576"/>
    <w:rsid w:val="00C64AF0"/>
    <w:rsid w:val="00C81EF3"/>
    <w:rsid w:val="00CA348E"/>
    <w:rsid w:val="00CA4E8E"/>
    <w:rsid w:val="00CB1860"/>
    <w:rsid w:val="00CC2C55"/>
    <w:rsid w:val="00CF20A6"/>
    <w:rsid w:val="00CF347F"/>
    <w:rsid w:val="00CF395E"/>
    <w:rsid w:val="00D3211A"/>
    <w:rsid w:val="00D7667F"/>
    <w:rsid w:val="00DE185E"/>
    <w:rsid w:val="00DF685D"/>
    <w:rsid w:val="00E1284E"/>
    <w:rsid w:val="00E26D6F"/>
    <w:rsid w:val="00E52FDA"/>
    <w:rsid w:val="00E61AF0"/>
    <w:rsid w:val="00E72942"/>
    <w:rsid w:val="00E72F52"/>
    <w:rsid w:val="00E76606"/>
    <w:rsid w:val="00E86651"/>
    <w:rsid w:val="00E879DB"/>
    <w:rsid w:val="00EA4E01"/>
    <w:rsid w:val="00EB634A"/>
    <w:rsid w:val="00F35AC2"/>
    <w:rsid w:val="00F54DEB"/>
    <w:rsid w:val="00F57D8A"/>
    <w:rsid w:val="00FB449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86651"/>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link w:val="MediumGrid2Char"/>
    <w:qFormat/>
    <w:rsid w:val="0092546C"/>
    <w:rPr>
      <w:sz w:val="24"/>
      <w:szCs w:val="24"/>
      <w:lang w:val="en-US" w:eastAsia="ja-JP"/>
    </w:rPr>
  </w:style>
  <w:style w:type="paragraph" w:styleId="Header">
    <w:name w:val="header"/>
    <w:basedOn w:val="Normal"/>
    <w:link w:val="Head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HeaderChar">
    <w:name w:val="Header Char"/>
    <w:basedOn w:val="DefaultParagraphFont"/>
    <w:link w:val="Header"/>
    <w:uiPriority w:val="99"/>
    <w:rsid w:val="00E1284E"/>
  </w:style>
  <w:style w:type="paragraph" w:styleId="Footer">
    <w:name w:val="footer"/>
    <w:basedOn w:val="Normal"/>
    <w:link w:val="Foot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FooterChar">
    <w:name w:val="Footer Char"/>
    <w:basedOn w:val="DefaultParagraphFont"/>
    <w:link w:val="Footer"/>
    <w:uiPriority w:val="99"/>
    <w:rsid w:val="00E1284E"/>
  </w:style>
  <w:style w:type="character" w:customStyle="1" w:styleId="MediumGrid2Char">
    <w:name w:val="Medium Grid 2 Char"/>
    <w:link w:val="MediumGrid21"/>
    <w:rsid w:val="00E1284E"/>
    <w:rPr>
      <w:sz w:val="24"/>
      <w:szCs w:val="24"/>
      <w:lang w:val="en-US" w:eastAsia="ja-JP" w:bidi="ar-SA"/>
    </w:rPr>
  </w:style>
  <w:style w:type="character" w:styleId="Hyperlink">
    <w:name w:val="Hyperlink"/>
    <w:uiPriority w:val="99"/>
    <w:unhideWhenUsed/>
    <w:rsid w:val="000C4D3C"/>
    <w:rPr>
      <w:color w:val="0000FF"/>
      <w:u w:val="single"/>
    </w:rPr>
  </w:style>
  <w:style w:type="paragraph" w:customStyle="1" w:styleId="Default">
    <w:name w:val="Default"/>
    <w:rsid w:val="00D3211A"/>
    <w:pPr>
      <w:autoSpaceDE w:val="0"/>
      <w:autoSpaceDN w:val="0"/>
      <w:adjustRightInd w:val="0"/>
    </w:pPr>
    <w:rPr>
      <w:rFonts w:ascii="Arial" w:hAnsi="Arial" w:cs="Arial"/>
      <w:color w:val="000000"/>
      <w:sz w:val="24"/>
      <w:szCs w:val="24"/>
    </w:rPr>
  </w:style>
  <w:style w:type="paragraph" w:styleId="NoSpacing">
    <w:name w:val="No Spacing"/>
    <w:uiPriority w:val="1"/>
    <w:qFormat/>
    <w:rsid w:val="00BE2870"/>
    <w:rPr>
      <w:rFonts w:ascii="Calibri" w:eastAsia="Calibri" w:hAnsi="Calibri"/>
      <w:sz w:val="22"/>
      <w:szCs w:val="22"/>
      <w:lang w:eastAsia="en-US"/>
    </w:rPr>
  </w:style>
  <w:style w:type="paragraph" w:styleId="ListParagraph">
    <w:name w:val="List Paragraph"/>
    <w:basedOn w:val="Normal"/>
    <w:uiPriority w:val="34"/>
    <w:qFormat/>
    <w:rsid w:val="00BE2870"/>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7C5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86651"/>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link w:val="MediumGrid2Char"/>
    <w:qFormat/>
    <w:rsid w:val="0092546C"/>
    <w:rPr>
      <w:sz w:val="24"/>
      <w:szCs w:val="24"/>
      <w:lang w:val="en-US" w:eastAsia="ja-JP"/>
    </w:rPr>
  </w:style>
  <w:style w:type="paragraph" w:styleId="Header">
    <w:name w:val="header"/>
    <w:basedOn w:val="Normal"/>
    <w:link w:val="Head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HeaderChar">
    <w:name w:val="Header Char"/>
    <w:basedOn w:val="DefaultParagraphFont"/>
    <w:link w:val="Header"/>
    <w:uiPriority w:val="99"/>
    <w:rsid w:val="00E1284E"/>
  </w:style>
  <w:style w:type="paragraph" w:styleId="Footer">
    <w:name w:val="footer"/>
    <w:basedOn w:val="Normal"/>
    <w:link w:val="Foot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FooterChar">
    <w:name w:val="Footer Char"/>
    <w:basedOn w:val="DefaultParagraphFont"/>
    <w:link w:val="Footer"/>
    <w:uiPriority w:val="99"/>
    <w:rsid w:val="00E1284E"/>
  </w:style>
  <w:style w:type="character" w:customStyle="1" w:styleId="MediumGrid2Char">
    <w:name w:val="Medium Grid 2 Char"/>
    <w:link w:val="MediumGrid21"/>
    <w:rsid w:val="00E1284E"/>
    <w:rPr>
      <w:sz w:val="24"/>
      <w:szCs w:val="24"/>
      <w:lang w:val="en-US" w:eastAsia="ja-JP" w:bidi="ar-SA"/>
    </w:rPr>
  </w:style>
  <w:style w:type="character" w:styleId="Hyperlink">
    <w:name w:val="Hyperlink"/>
    <w:uiPriority w:val="99"/>
    <w:unhideWhenUsed/>
    <w:rsid w:val="000C4D3C"/>
    <w:rPr>
      <w:color w:val="0000FF"/>
      <w:u w:val="single"/>
    </w:rPr>
  </w:style>
  <w:style w:type="paragraph" w:customStyle="1" w:styleId="Default">
    <w:name w:val="Default"/>
    <w:rsid w:val="00D3211A"/>
    <w:pPr>
      <w:autoSpaceDE w:val="0"/>
      <w:autoSpaceDN w:val="0"/>
      <w:adjustRightInd w:val="0"/>
    </w:pPr>
    <w:rPr>
      <w:rFonts w:ascii="Arial" w:hAnsi="Arial" w:cs="Arial"/>
      <w:color w:val="000000"/>
      <w:sz w:val="24"/>
      <w:szCs w:val="24"/>
    </w:rPr>
  </w:style>
  <w:style w:type="paragraph" w:styleId="NoSpacing">
    <w:name w:val="No Spacing"/>
    <w:uiPriority w:val="1"/>
    <w:qFormat/>
    <w:rsid w:val="00BE2870"/>
    <w:rPr>
      <w:rFonts w:ascii="Calibri" w:eastAsia="Calibri" w:hAnsi="Calibri"/>
      <w:sz w:val="22"/>
      <w:szCs w:val="22"/>
      <w:lang w:eastAsia="en-US"/>
    </w:rPr>
  </w:style>
  <w:style w:type="paragraph" w:styleId="ListParagraph">
    <w:name w:val="List Paragraph"/>
    <w:basedOn w:val="Normal"/>
    <w:uiPriority w:val="34"/>
    <w:qFormat/>
    <w:rsid w:val="00BE2870"/>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7C5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37924">
      <w:bodyDiv w:val="1"/>
      <w:marLeft w:val="0"/>
      <w:marRight w:val="0"/>
      <w:marTop w:val="0"/>
      <w:marBottom w:val="0"/>
      <w:divBdr>
        <w:top w:val="none" w:sz="0" w:space="0" w:color="auto"/>
        <w:left w:val="none" w:sz="0" w:space="0" w:color="auto"/>
        <w:bottom w:val="none" w:sz="0" w:space="0" w:color="auto"/>
        <w:right w:val="none" w:sz="0" w:space="0" w:color="auto"/>
      </w:divBdr>
    </w:div>
    <w:div w:id="1156724249">
      <w:bodyDiv w:val="1"/>
      <w:marLeft w:val="0"/>
      <w:marRight w:val="0"/>
      <w:marTop w:val="0"/>
      <w:marBottom w:val="0"/>
      <w:divBdr>
        <w:top w:val="none" w:sz="0" w:space="0" w:color="auto"/>
        <w:left w:val="none" w:sz="0" w:space="0" w:color="auto"/>
        <w:bottom w:val="none" w:sz="0" w:space="0" w:color="auto"/>
        <w:right w:val="none" w:sz="0" w:space="0" w:color="auto"/>
      </w:divBdr>
    </w:div>
    <w:div w:id="213597662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576ED-E036-4982-98BB-88837D988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718</Words>
  <Characters>4096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 ERY</Company>
  <LinksUpToDate>false</LinksUpToDate>
  <CharactersWithSpaces>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Jablonski</dc:creator>
  <cp:lastModifiedBy>Helen Askham</cp:lastModifiedBy>
  <cp:revision>2</cp:revision>
  <cp:lastPrinted>2015-02-05T14:14:00Z</cp:lastPrinted>
  <dcterms:created xsi:type="dcterms:W3CDTF">2016-07-11T10:25:00Z</dcterms:created>
  <dcterms:modified xsi:type="dcterms:W3CDTF">2016-07-11T10:25:00Z</dcterms:modified>
</cp:coreProperties>
</file>