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30B" w:rsidRPr="00DD7564" w:rsidRDefault="00CC130B" w:rsidP="00DD689C">
                            <w:pPr>
                              <w:rPr>
                                <w:rFonts w:ascii="Arial" w:hAnsi="Arial" w:cs="Arial"/>
                                <w:sz w:val="32"/>
                                <w:szCs w:val="32"/>
                              </w:rPr>
                            </w:pPr>
                            <w:r>
                              <w:rPr>
                                <w:rFonts w:ascii="Arial" w:hAnsi="Arial" w:cs="Arial"/>
                                <w:sz w:val="32"/>
                                <w:szCs w:val="32"/>
                              </w:rPr>
                              <w:t xml:space="preserve">Attachment </w:t>
                            </w:r>
                            <w:r w:rsidR="00320AC0">
                              <w:rPr>
                                <w:rFonts w:ascii="Arial" w:hAnsi="Arial" w:cs="Arial"/>
                                <w:sz w:val="32"/>
                                <w:szCs w:val="32"/>
                              </w:rPr>
                              <w:t>10</w:t>
                            </w:r>
                            <w:bookmarkStart w:id="0" w:name="_GoBack"/>
                            <w:bookmarkEnd w:id="0"/>
                          </w:p>
                          <w:p w:rsidR="00CC130B" w:rsidRDefault="00CC130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CC130B" w:rsidRPr="00DD7564" w:rsidRDefault="00CC130B" w:rsidP="00DD689C">
                      <w:pPr>
                        <w:rPr>
                          <w:rFonts w:ascii="Arial" w:hAnsi="Arial" w:cs="Arial"/>
                          <w:sz w:val="32"/>
                          <w:szCs w:val="32"/>
                        </w:rPr>
                      </w:pPr>
                      <w:r>
                        <w:rPr>
                          <w:rFonts w:ascii="Arial" w:hAnsi="Arial" w:cs="Arial"/>
                          <w:sz w:val="32"/>
                          <w:szCs w:val="32"/>
                        </w:rPr>
                        <w:t xml:space="preserve">Attachment </w:t>
                      </w:r>
                      <w:r w:rsidR="00320AC0">
                        <w:rPr>
                          <w:rFonts w:ascii="Arial" w:hAnsi="Arial" w:cs="Arial"/>
                          <w:sz w:val="32"/>
                          <w:szCs w:val="32"/>
                        </w:rPr>
                        <w:t>10</w:t>
                      </w:r>
                      <w:bookmarkStart w:id="1" w:name="_GoBack"/>
                      <w:bookmarkEnd w:id="1"/>
                    </w:p>
                    <w:p w:rsidR="00CC130B" w:rsidRDefault="00CC130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C1343"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C1343" w:rsidP="000C1343">
            <w:pPr>
              <w:rPr>
                <w:rFonts w:ascii="Arial" w:hAnsi="Arial" w:cs="Arial"/>
                <w:bCs/>
                <w:sz w:val="22"/>
                <w:szCs w:val="22"/>
              </w:rPr>
            </w:pPr>
            <w:r>
              <w:rPr>
                <w:rFonts w:ascii="Arial" w:hAnsi="Arial" w:cs="Arial"/>
                <w:bCs/>
                <w:sz w:val="22"/>
                <w:szCs w:val="22"/>
              </w:rPr>
              <w:t>28</w:t>
            </w:r>
            <w:r w:rsidRPr="000C1343">
              <w:rPr>
                <w:rFonts w:ascii="Arial" w:hAnsi="Arial" w:cs="Arial"/>
                <w:bCs/>
                <w:sz w:val="22"/>
                <w:szCs w:val="22"/>
                <w:vertAlign w:val="superscript"/>
              </w:rPr>
              <w:t>th</w:t>
            </w:r>
            <w:r>
              <w:rPr>
                <w:rFonts w:ascii="Arial" w:hAnsi="Arial" w:cs="Arial"/>
                <w:bCs/>
                <w:sz w:val="22"/>
                <w:szCs w:val="22"/>
              </w:rPr>
              <w:t xml:space="preserve"> April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C1343" w:rsidP="000F233C">
            <w:pPr>
              <w:pStyle w:val="ListParagraph"/>
              <w:ind w:left="0" w:hanging="43"/>
              <w:rPr>
                <w:rFonts w:ascii="Arial" w:hAnsi="Arial" w:cs="Arial"/>
                <w:bCs/>
                <w:sz w:val="22"/>
                <w:szCs w:val="22"/>
              </w:rPr>
            </w:pPr>
            <w:r>
              <w:rPr>
                <w:rFonts w:ascii="Arial" w:hAnsi="Arial" w:cs="Arial"/>
                <w:b/>
                <w:bCs/>
              </w:rPr>
              <w:t>PMS Reinvestment: Local Quality Scheme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551F19"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551F19"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0C1343" w:rsidRDefault="000C1343" w:rsidP="000C1343">
            <w:pPr>
              <w:jc w:val="both"/>
              <w:rPr>
                <w:rFonts w:ascii="Calibri" w:hAnsi="Calibri" w:cs="Calibri"/>
                <w:bCs/>
                <w:sz w:val="22"/>
                <w:szCs w:val="22"/>
              </w:rPr>
            </w:pPr>
            <w:r>
              <w:rPr>
                <w:rFonts w:ascii="Calibri" w:hAnsi="Calibri" w:cs="Calibri"/>
                <w:bCs/>
                <w:sz w:val="22"/>
                <w:szCs w:val="22"/>
              </w:rPr>
              <w:t>The summary below sets out the areas that have been discussed and proposed to be incorporated into a Local Quality Scheme (which is a replacement of the previous PBC Incentive Scheme). The Joint Co-Commissioning Committee is asked to provide comment on the proposed content and agree the total investment required</w:t>
            </w:r>
            <w:r w:rsidR="00551F19">
              <w:rPr>
                <w:rFonts w:ascii="Calibri" w:hAnsi="Calibri" w:cs="Calibri"/>
                <w:bCs/>
                <w:sz w:val="22"/>
                <w:szCs w:val="22"/>
              </w:rPr>
              <w:t xml:space="preserve">. The Committee is also asked to agree that </w:t>
            </w:r>
            <w:r>
              <w:rPr>
                <w:rFonts w:ascii="Calibri" w:hAnsi="Calibri" w:cs="Calibri"/>
                <w:bCs/>
                <w:sz w:val="22"/>
                <w:szCs w:val="22"/>
              </w:rPr>
              <w:t>the final decision regarding the breakdown of the payment across the various elements is delegated to the Deputy Chief Executive or Assistant Director</w:t>
            </w:r>
            <w:r w:rsidR="00551F19">
              <w:rPr>
                <w:rFonts w:ascii="Calibri" w:hAnsi="Calibri" w:cs="Calibri"/>
                <w:bCs/>
                <w:sz w:val="22"/>
                <w:szCs w:val="22"/>
              </w:rPr>
              <w:t xml:space="preserve"> Co-</w:t>
            </w:r>
            <w:r>
              <w:rPr>
                <w:rFonts w:ascii="Calibri" w:hAnsi="Calibri" w:cs="Calibri"/>
                <w:bCs/>
                <w:sz w:val="22"/>
                <w:szCs w:val="22"/>
              </w:rPr>
              <w:t xml:space="preserve"> Commissioning.</w:t>
            </w:r>
          </w:p>
          <w:p w:rsidR="006A74AF" w:rsidRPr="00752FD6" w:rsidRDefault="006A74AF" w:rsidP="000F233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Pr="00752FD6" w:rsidRDefault="00551F19" w:rsidP="00E01DAB">
            <w:pPr>
              <w:rPr>
                <w:rFonts w:ascii="Arial" w:hAnsi="Arial" w:cs="Arial"/>
                <w:bCs/>
                <w:sz w:val="22"/>
                <w:szCs w:val="22"/>
              </w:rPr>
            </w:pPr>
            <w:r w:rsidRPr="00206760">
              <w:rPr>
                <w:rFonts w:ascii="Calibri" w:hAnsi="Calibri" w:cs="Calibri"/>
                <w:bCs/>
                <w:sz w:val="22"/>
                <w:szCs w:val="22"/>
              </w:rPr>
              <w:t>This is line with CCG strategy.</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51F19" w:rsidRDefault="00551F19" w:rsidP="00551F19">
            <w:pPr>
              <w:tabs>
                <w:tab w:val="left" w:pos="743"/>
              </w:tabs>
              <w:spacing w:line="276" w:lineRule="auto"/>
              <w:rPr>
                <w:rFonts w:ascii="Calibri" w:hAnsi="Calibri" w:cs="Calibri"/>
                <w:bCs/>
                <w:sz w:val="22"/>
                <w:szCs w:val="22"/>
              </w:rPr>
            </w:pPr>
            <w:r>
              <w:rPr>
                <w:rFonts w:ascii="Calibri" w:hAnsi="Calibri" w:cs="Calibri"/>
                <w:bCs/>
                <w:sz w:val="22"/>
                <w:szCs w:val="22"/>
              </w:rPr>
              <w:t>As has been previously reported to the Committee, a</w:t>
            </w:r>
            <w:r w:rsidRPr="00A10956">
              <w:rPr>
                <w:rFonts w:ascii="Calibri" w:hAnsi="Calibri" w:cs="Calibri"/>
                <w:bCs/>
                <w:sz w:val="22"/>
                <w:szCs w:val="22"/>
              </w:rPr>
              <w:t xml:space="preserve"> task and finish group </w:t>
            </w:r>
            <w:r>
              <w:rPr>
                <w:rFonts w:ascii="Calibri" w:hAnsi="Calibri" w:cs="Calibri"/>
                <w:bCs/>
                <w:sz w:val="22"/>
                <w:szCs w:val="22"/>
              </w:rPr>
              <w:t xml:space="preserve">has met to develop a proposed Local Quality Scheme for implementation during 2016/17. The task and finish group included </w:t>
            </w:r>
            <w:r w:rsidRPr="00A10956">
              <w:rPr>
                <w:rFonts w:ascii="Calibri" w:hAnsi="Calibri" w:cs="Calibri"/>
                <w:bCs/>
                <w:sz w:val="22"/>
                <w:szCs w:val="22"/>
              </w:rPr>
              <w:t xml:space="preserve">GPs, lay rep, </w:t>
            </w:r>
            <w:r>
              <w:rPr>
                <w:rFonts w:ascii="Calibri" w:hAnsi="Calibri" w:cs="Calibri"/>
                <w:bCs/>
                <w:sz w:val="22"/>
                <w:szCs w:val="22"/>
              </w:rPr>
              <w:t>practice managers and CCG staff. They have met three</w:t>
            </w:r>
            <w:r w:rsidR="002D7917">
              <w:rPr>
                <w:rFonts w:ascii="Calibri" w:hAnsi="Calibri" w:cs="Calibri"/>
                <w:bCs/>
                <w:sz w:val="22"/>
                <w:szCs w:val="22"/>
              </w:rPr>
              <w:t xml:space="preserve"> times</w:t>
            </w:r>
            <w:r>
              <w:rPr>
                <w:rFonts w:ascii="Calibri" w:hAnsi="Calibri" w:cs="Calibri"/>
                <w:bCs/>
                <w:sz w:val="22"/>
                <w:szCs w:val="22"/>
              </w:rPr>
              <w:t xml:space="preserve"> to consider the content and there are now five components to the scheme.   These have also been shared with the GP Development Group for comment.</w:t>
            </w:r>
          </w:p>
          <w:p w:rsidR="00551F19" w:rsidRDefault="00551F19" w:rsidP="00551F19">
            <w:pPr>
              <w:tabs>
                <w:tab w:val="left" w:pos="743"/>
              </w:tabs>
              <w:spacing w:line="276" w:lineRule="auto"/>
              <w:rPr>
                <w:rFonts w:ascii="Calibri" w:hAnsi="Calibri" w:cs="Calibri"/>
                <w:bCs/>
                <w:sz w:val="22"/>
                <w:szCs w:val="22"/>
              </w:rPr>
            </w:pPr>
          </w:p>
          <w:p w:rsidR="00551F19" w:rsidRDefault="00551F19" w:rsidP="00551F19">
            <w:pPr>
              <w:rPr>
                <w:rFonts w:ascii="Calibri" w:hAnsi="Calibri" w:cs="Calibri"/>
                <w:bCs/>
                <w:sz w:val="22"/>
                <w:szCs w:val="22"/>
              </w:rPr>
            </w:pPr>
            <w:r>
              <w:rPr>
                <w:rFonts w:ascii="Calibri" w:hAnsi="Calibri" w:cs="Calibri"/>
                <w:bCs/>
                <w:sz w:val="22"/>
                <w:szCs w:val="22"/>
              </w:rPr>
              <w:t xml:space="preserve">The detailed guidance and the breakdown of payment across the various elements </w:t>
            </w:r>
            <w:proofErr w:type="gramStart"/>
            <w:r>
              <w:rPr>
                <w:rFonts w:ascii="Calibri" w:hAnsi="Calibri" w:cs="Calibri"/>
                <w:bCs/>
                <w:sz w:val="22"/>
                <w:szCs w:val="22"/>
              </w:rPr>
              <w:t>is</w:t>
            </w:r>
            <w:proofErr w:type="gramEnd"/>
            <w:r>
              <w:rPr>
                <w:rFonts w:ascii="Calibri" w:hAnsi="Calibri" w:cs="Calibri"/>
                <w:bCs/>
                <w:sz w:val="22"/>
                <w:szCs w:val="22"/>
              </w:rPr>
              <w:t xml:space="preserve"> still being </w:t>
            </w:r>
            <w:r w:rsidR="002D7917">
              <w:rPr>
                <w:rFonts w:ascii="Calibri" w:hAnsi="Calibri" w:cs="Calibri"/>
                <w:bCs/>
                <w:sz w:val="22"/>
                <w:szCs w:val="22"/>
              </w:rPr>
              <w:t>finalised</w:t>
            </w:r>
            <w:r>
              <w:rPr>
                <w:rFonts w:ascii="Calibri" w:hAnsi="Calibri" w:cs="Calibri"/>
                <w:bCs/>
                <w:sz w:val="22"/>
                <w:szCs w:val="22"/>
              </w:rPr>
              <w:t>. However, the five areas that have been proposed for inclusion within the scheme</w:t>
            </w:r>
            <w:r w:rsidR="002D7917">
              <w:rPr>
                <w:rFonts w:ascii="Calibri" w:hAnsi="Calibri" w:cs="Calibri"/>
                <w:bCs/>
                <w:sz w:val="22"/>
                <w:szCs w:val="22"/>
              </w:rPr>
              <w:t xml:space="preserve"> are</w:t>
            </w:r>
            <w:r>
              <w:rPr>
                <w:rFonts w:ascii="Calibri" w:hAnsi="Calibri" w:cs="Calibri"/>
                <w:bCs/>
                <w:sz w:val="22"/>
                <w:szCs w:val="22"/>
              </w:rPr>
              <w:t>:</w:t>
            </w:r>
          </w:p>
          <w:p w:rsidR="00551F19" w:rsidRDefault="00551F19" w:rsidP="00551F19">
            <w:pPr>
              <w:rPr>
                <w:rFonts w:ascii="Calibri" w:hAnsi="Calibri" w:cs="Calibri"/>
                <w:bCs/>
                <w:sz w:val="22"/>
                <w:szCs w:val="22"/>
              </w:rPr>
            </w:pPr>
          </w:p>
          <w:p w:rsidR="00551F19" w:rsidRPr="005125C3" w:rsidRDefault="00551F19" w:rsidP="00551F19">
            <w:pPr>
              <w:numPr>
                <w:ilvl w:val="0"/>
                <w:numId w:val="25"/>
              </w:numPr>
              <w:rPr>
                <w:rFonts w:ascii="Calibri" w:hAnsi="Calibri" w:cs="Calibri"/>
                <w:b/>
                <w:bCs/>
                <w:sz w:val="22"/>
                <w:szCs w:val="22"/>
              </w:rPr>
            </w:pPr>
            <w:r w:rsidRPr="005125C3">
              <w:rPr>
                <w:rFonts w:ascii="Calibri" w:hAnsi="Calibri" w:cs="Calibri"/>
                <w:b/>
                <w:bCs/>
                <w:sz w:val="22"/>
                <w:szCs w:val="22"/>
              </w:rPr>
              <w:t>Management of Pre-diabetes</w:t>
            </w:r>
          </w:p>
          <w:p w:rsidR="00551F19" w:rsidRDefault="00551F19" w:rsidP="00551F19">
            <w:pPr>
              <w:ind w:left="1080"/>
              <w:rPr>
                <w:rFonts w:ascii="Calibri" w:hAnsi="Calibri" w:cs="Calibri"/>
                <w:bCs/>
                <w:sz w:val="22"/>
                <w:szCs w:val="22"/>
              </w:rPr>
            </w:pPr>
            <w:r>
              <w:rPr>
                <w:rFonts w:ascii="Calibri" w:hAnsi="Calibri" w:cs="Calibri"/>
                <w:bCs/>
                <w:sz w:val="22"/>
                <w:szCs w:val="22"/>
              </w:rPr>
              <w:t>The c</w:t>
            </w:r>
            <w:r w:rsidRPr="005125C3">
              <w:rPr>
                <w:rFonts w:ascii="Calibri" w:hAnsi="Calibri" w:cs="Calibri"/>
                <w:bCs/>
                <w:sz w:val="22"/>
                <w:szCs w:val="22"/>
              </w:rPr>
              <w:t xml:space="preserve">reation of </w:t>
            </w:r>
            <w:r>
              <w:rPr>
                <w:rFonts w:ascii="Calibri" w:hAnsi="Calibri" w:cs="Calibri"/>
                <w:bCs/>
                <w:sz w:val="22"/>
                <w:szCs w:val="22"/>
              </w:rPr>
              <w:t xml:space="preserve">a </w:t>
            </w:r>
            <w:r w:rsidRPr="005125C3">
              <w:rPr>
                <w:rFonts w:ascii="Calibri" w:hAnsi="Calibri" w:cs="Calibri"/>
                <w:bCs/>
                <w:sz w:val="22"/>
                <w:szCs w:val="22"/>
              </w:rPr>
              <w:t>Register &amp; On-going Monitoring</w:t>
            </w:r>
            <w:r>
              <w:rPr>
                <w:rFonts w:ascii="Calibri" w:hAnsi="Calibri" w:cs="Calibri"/>
                <w:bCs/>
                <w:sz w:val="22"/>
                <w:szCs w:val="22"/>
              </w:rPr>
              <w:t xml:space="preserve"> of </w:t>
            </w:r>
            <w:r w:rsidR="00CC130B">
              <w:rPr>
                <w:rFonts w:ascii="Calibri" w:hAnsi="Calibri" w:cs="Calibri"/>
                <w:bCs/>
                <w:sz w:val="22"/>
                <w:szCs w:val="22"/>
              </w:rPr>
              <w:t>patients at risk of diabetes</w:t>
            </w:r>
            <w:r>
              <w:rPr>
                <w:rFonts w:ascii="Calibri" w:hAnsi="Calibri" w:cs="Calibri"/>
                <w:bCs/>
                <w:sz w:val="22"/>
                <w:szCs w:val="22"/>
              </w:rPr>
              <w:t>.  From that register identify patients for</w:t>
            </w:r>
            <w:r w:rsidR="00215D33">
              <w:rPr>
                <w:rFonts w:ascii="Calibri" w:hAnsi="Calibri" w:cs="Calibri"/>
                <w:bCs/>
                <w:sz w:val="22"/>
                <w:szCs w:val="22"/>
              </w:rPr>
              <w:t xml:space="preserve"> referral to</w:t>
            </w:r>
            <w:r>
              <w:rPr>
                <w:rFonts w:ascii="Calibri" w:hAnsi="Calibri" w:cs="Calibri"/>
                <w:bCs/>
                <w:sz w:val="22"/>
                <w:szCs w:val="22"/>
              </w:rPr>
              <w:t xml:space="preserve"> the National Diabetes Prevention Programme (NDPP) scheme.</w:t>
            </w:r>
          </w:p>
          <w:p w:rsidR="00551F19" w:rsidRPr="005125C3" w:rsidRDefault="00551F19" w:rsidP="00551F19">
            <w:pPr>
              <w:numPr>
                <w:ilvl w:val="0"/>
                <w:numId w:val="25"/>
              </w:numPr>
              <w:rPr>
                <w:rFonts w:ascii="Calibri" w:hAnsi="Calibri" w:cs="Calibri"/>
                <w:b/>
                <w:bCs/>
                <w:sz w:val="22"/>
                <w:szCs w:val="22"/>
              </w:rPr>
            </w:pPr>
            <w:r w:rsidRPr="005125C3">
              <w:rPr>
                <w:rFonts w:ascii="Calibri" w:hAnsi="Calibri" w:cs="Calibri"/>
                <w:b/>
                <w:bCs/>
                <w:sz w:val="22"/>
                <w:szCs w:val="22"/>
              </w:rPr>
              <w:t xml:space="preserve">Improvements in Prescribing </w:t>
            </w:r>
            <w:r>
              <w:rPr>
                <w:rFonts w:ascii="Calibri" w:hAnsi="Calibri" w:cs="Calibri"/>
                <w:b/>
                <w:bCs/>
                <w:sz w:val="22"/>
                <w:szCs w:val="22"/>
              </w:rPr>
              <w:t>– two parts</w:t>
            </w:r>
          </w:p>
          <w:p w:rsidR="00551F19" w:rsidRDefault="00551F19" w:rsidP="00551F19">
            <w:pPr>
              <w:ind w:left="1080"/>
              <w:rPr>
                <w:rFonts w:ascii="Calibri" w:hAnsi="Calibri" w:cs="Calibri"/>
                <w:bCs/>
                <w:sz w:val="22"/>
                <w:szCs w:val="22"/>
              </w:rPr>
            </w:pPr>
            <w:r>
              <w:rPr>
                <w:rFonts w:ascii="Calibri" w:hAnsi="Calibri" w:cs="Calibri"/>
                <w:bCs/>
                <w:sz w:val="22"/>
                <w:szCs w:val="22"/>
              </w:rPr>
              <w:t xml:space="preserve">To </w:t>
            </w:r>
            <w:r w:rsidR="00215D33">
              <w:rPr>
                <w:rFonts w:ascii="Calibri" w:hAnsi="Calibri" w:cs="Calibri"/>
                <w:bCs/>
                <w:sz w:val="22"/>
                <w:szCs w:val="22"/>
              </w:rPr>
              <w:t xml:space="preserve">ensure effective </w:t>
            </w:r>
            <w:r>
              <w:rPr>
                <w:rFonts w:ascii="Calibri" w:hAnsi="Calibri" w:cs="Calibri"/>
                <w:bCs/>
                <w:sz w:val="22"/>
                <w:szCs w:val="22"/>
              </w:rPr>
              <w:t>antibacterial prescribing.</w:t>
            </w:r>
          </w:p>
          <w:p w:rsidR="00551F19" w:rsidRDefault="00551F19" w:rsidP="00551F19">
            <w:pPr>
              <w:ind w:left="1080"/>
              <w:rPr>
                <w:rFonts w:ascii="Calibri" w:hAnsi="Calibri" w:cs="Calibri"/>
                <w:bCs/>
                <w:sz w:val="22"/>
                <w:szCs w:val="22"/>
              </w:rPr>
            </w:pPr>
            <w:r>
              <w:rPr>
                <w:rFonts w:ascii="Calibri" w:hAnsi="Calibri" w:cs="Calibri"/>
                <w:bCs/>
                <w:sz w:val="22"/>
                <w:szCs w:val="22"/>
              </w:rPr>
              <w:lastRenderedPageBreak/>
              <w:t xml:space="preserve">To </w:t>
            </w:r>
            <w:r w:rsidR="00215D33">
              <w:rPr>
                <w:rFonts w:ascii="Calibri" w:hAnsi="Calibri" w:cs="Calibri"/>
                <w:bCs/>
                <w:sz w:val="22"/>
                <w:szCs w:val="22"/>
              </w:rPr>
              <w:t xml:space="preserve">ensure effective and efficient </w:t>
            </w:r>
            <w:r w:rsidRPr="005125C3">
              <w:rPr>
                <w:rFonts w:ascii="Calibri" w:hAnsi="Calibri" w:cs="Calibri"/>
                <w:bCs/>
                <w:sz w:val="22"/>
                <w:szCs w:val="22"/>
              </w:rPr>
              <w:t xml:space="preserve">prescribing </w:t>
            </w:r>
            <w:r w:rsidR="00215D33">
              <w:rPr>
                <w:rFonts w:ascii="Calibri" w:hAnsi="Calibri" w:cs="Calibri"/>
                <w:bCs/>
                <w:sz w:val="22"/>
                <w:szCs w:val="22"/>
              </w:rPr>
              <w:t>practice, using tools to support where appropriate (e.g. O</w:t>
            </w:r>
            <w:r w:rsidRPr="005125C3">
              <w:rPr>
                <w:rFonts w:ascii="Calibri" w:hAnsi="Calibri" w:cs="Calibri"/>
                <w:bCs/>
                <w:sz w:val="22"/>
                <w:szCs w:val="22"/>
              </w:rPr>
              <w:t>ptimise RX</w:t>
            </w:r>
            <w:r w:rsidR="00215D33">
              <w:rPr>
                <w:rFonts w:ascii="Calibri" w:hAnsi="Calibri" w:cs="Calibri"/>
                <w:bCs/>
                <w:sz w:val="22"/>
                <w:szCs w:val="22"/>
              </w:rPr>
              <w:t>)</w:t>
            </w:r>
          </w:p>
          <w:p w:rsidR="00551F19" w:rsidRPr="005125C3" w:rsidRDefault="00551F19" w:rsidP="00551F19">
            <w:pPr>
              <w:numPr>
                <w:ilvl w:val="0"/>
                <w:numId w:val="25"/>
              </w:numPr>
              <w:rPr>
                <w:rFonts w:ascii="Calibri" w:hAnsi="Calibri" w:cs="Calibri"/>
                <w:b/>
                <w:bCs/>
                <w:sz w:val="22"/>
                <w:szCs w:val="22"/>
              </w:rPr>
            </w:pPr>
            <w:r w:rsidRPr="005125C3">
              <w:rPr>
                <w:rFonts w:ascii="Calibri" w:hAnsi="Calibri" w:cs="Calibri"/>
                <w:b/>
                <w:bCs/>
                <w:sz w:val="22"/>
                <w:szCs w:val="22"/>
              </w:rPr>
              <w:t xml:space="preserve">Addressing variation </w:t>
            </w:r>
            <w:r w:rsidR="00215D33">
              <w:rPr>
                <w:rFonts w:ascii="Calibri" w:hAnsi="Calibri" w:cs="Calibri"/>
                <w:b/>
                <w:bCs/>
                <w:sz w:val="22"/>
                <w:szCs w:val="22"/>
              </w:rPr>
              <w:t>in outpatient activity</w:t>
            </w:r>
          </w:p>
          <w:p w:rsidR="00551F19" w:rsidRPr="00AC68E5" w:rsidRDefault="00551F19" w:rsidP="00551F19">
            <w:pPr>
              <w:ind w:left="1080"/>
              <w:rPr>
                <w:rFonts w:ascii="Calibri" w:hAnsi="Calibri" w:cs="Calibri"/>
                <w:bCs/>
                <w:sz w:val="22"/>
                <w:szCs w:val="22"/>
              </w:rPr>
            </w:pPr>
            <w:r>
              <w:rPr>
                <w:rFonts w:ascii="Calibri" w:hAnsi="Calibri" w:cs="Calibri"/>
                <w:bCs/>
                <w:sz w:val="22"/>
                <w:szCs w:val="22"/>
              </w:rPr>
              <w:t>A peer review between practic</w:t>
            </w:r>
            <w:r w:rsidR="00215D33">
              <w:rPr>
                <w:rFonts w:ascii="Calibri" w:hAnsi="Calibri" w:cs="Calibri"/>
                <w:bCs/>
                <w:sz w:val="22"/>
                <w:szCs w:val="22"/>
              </w:rPr>
              <w:t>es to understand variation in outpatient first and follow up activity.  To identify</w:t>
            </w:r>
            <w:r>
              <w:rPr>
                <w:rFonts w:ascii="Calibri" w:hAnsi="Calibri" w:cs="Calibri"/>
                <w:bCs/>
                <w:sz w:val="22"/>
                <w:szCs w:val="22"/>
              </w:rPr>
              <w:t xml:space="preserve"> </w:t>
            </w:r>
            <w:r w:rsidR="00215D33">
              <w:rPr>
                <w:rFonts w:ascii="Calibri" w:hAnsi="Calibri" w:cs="Calibri"/>
                <w:bCs/>
                <w:sz w:val="22"/>
                <w:szCs w:val="22"/>
              </w:rPr>
              <w:t xml:space="preserve">and share best practice and guidance, to support </w:t>
            </w:r>
            <w:r w:rsidR="00CC130B">
              <w:rPr>
                <w:rFonts w:ascii="Calibri" w:hAnsi="Calibri" w:cs="Calibri"/>
                <w:bCs/>
                <w:sz w:val="22"/>
                <w:szCs w:val="22"/>
              </w:rPr>
              <w:t xml:space="preserve">enhanced care in the primary care setting and </w:t>
            </w:r>
            <w:r w:rsidR="00215D33">
              <w:rPr>
                <w:rFonts w:ascii="Calibri" w:hAnsi="Calibri" w:cs="Calibri"/>
                <w:bCs/>
                <w:sz w:val="22"/>
                <w:szCs w:val="22"/>
              </w:rPr>
              <w:t>reduced variation across NEL</w:t>
            </w:r>
            <w:r>
              <w:rPr>
                <w:rFonts w:ascii="Calibri" w:hAnsi="Calibri" w:cs="Calibri"/>
                <w:bCs/>
                <w:sz w:val="22"/>
                <w:szCs w:val="22"/>
              </w:rPr>
              <w:t>.</w:t>
            </w:r>
          </w:p>
          <w:p w:rsidR="00551F19" w:rsidRPr="005125C3" w:rsidRDefault="00551F19" w:rsidP="00551F19">
            <w:pPr>
              <w:numPr>
                <w:ilvl w:val="0"/>
                <w:numId w:val="25"/>
              </w:numPr>
              <w:rPr>
                <w:rFonts w:ascii="Calibri" w:hAnsi="Calibri" w:cs="Calibri"/>
                <w:b/>
                <w:bCs/>
                <w:sz w:val="22"/>
                <w:szCs w:val="22"/>
              </w:rPr>
            </w:pPr>
            <w:r w:rsidRPr="005125C3">
              <w:rPr>
                <w:rFonts w:ascii="Calibri" w:hAnsi="Calibri" w:cs="Calibri"/>
                <w:b/>
                <w:bCs/>
                <w:sz w:val="22"/>
                <w:szCs w:val="22"/>
              </w:rPr>
              <w:t>Patient Experience</w:t>
            </w:r>
          </w:p>
          <w:p w:rsidR="00551F19" w:rsidRDefault="00CC130B" w:rsidP="00551F19">
            <w:pPr>
              <w:ind w:left="1080"/>
              <w:rPr>
                <w:rFonts w:ascii="Calibri" w:hAnsi="Calibri" w:cs="Calibri"/>
                <w:bCs/>
                <w:sz w:val="22"/>
                <w:szCs w:val="22"/>
              </w:rPr>
            </w:pPr>
            <w:r>
              <w:rPr>
                <w:rFonts w:ascii="Calibri" w:hAnsi="Calibri" w:cs="Calibri"/>
                <w:bCs/>
                <w:sz w:val="22"/>
                <w:szCs w:val="22"/>
              </w:rPr>
              <w:t xml:space="preserve">To achieve an improvement in the quality of patient contact within the surgery. </w:t>
            </w:r>
            <w:r w:rsidR="00551F19">
              <w:rPr>
                <w:rFonts w:ascii="Calibri" w:hAnsi="Calibri" w:cs="Calibri"/>
                <w:bCs/>
                <w:sz w:val="22"/>
                <w:szCs w:val="22"/>
              </w:rPr>
              <w:t>Two survey</w:t>
            </w:r>
            <w:r>
              <w:rPr>
                <w:rFonts w:ascii="Calibri" w:hAnsi="Calibri" w:cs="Calibri"/>
                <w:bCs/>
                <w:sz w:val="22"/>
                <w:szCs w:val="22"/>
              </w:rPr>
              <w:t>s will be</w:t>
            </w:r>
            <w:r w:rsidR="00551F19">
              <w:rPr>
                <w:rFonts w:ascii="Calibri" w:hAnsi="Calibri" w:cs="Calibri"/>
                <w:bCs/>
                <w:sz w:val="22"/>
                <w:szCs w:val="22"/>
              </w:rPr>
              <w:t xml:space="preserve"> conducted to monitor and assess patient experience at first </w:t>
            </w:r>
            <w:r>
              <w:rPr>
                <w:rFonts w:ascii="Calibri" w:hAnsi="Calibri" w:cs="Calibri"/>
                <w:bCs/>
                <w:sz w:val="22"/>
                <w:szCs w:val="22"/>
              </w:rPr>
              <w:t xml:space="preserve">point of </w:t>
            </w:r>
            <w:r w:rsidR="00551F19">
              <w:rPr>
                <w:rFonts w:ascii="Calibri" w:hAnsi="Calibri" w:cs="Calibri"/>
                <w:bCs/>
                <w:sz w:val="22"/>
                <w:szCs w:val="22"/>
              </w:rPr>
              <w:t xml:space="preserve">contact </w:t>
            </w:r>
            <w:r>
              <w:rPr>
                <w:rFonts w:ascii="Calibri" w:hAnsi="Calibri" w:cs="Calibri"/>
                <w:bCs/>
                <w:sz w:val="22"/>
                <w:szCs w:val="22"/>
              </w:rPr>
              <w:t>with</w:t>
            </w:r>
            <w:r w:rsidR="00551F19">
              <w:rPr>
                <w:rFonts w:ascii="Calibri" w:hAnsi="Calibri" w:cs="Calibri"/>
                <w:bCs/>
                <w:sz w:val="22"/>
                <w:szCs w:val="22"/>
              </w:rPr>
              <w:t xml:space="preserve">in </w:t>
            </w:r>
            <w:r>
              <w:rPr>
                <w:rFonts w:ascii="Calibri" w:hAnsi="Calibri" w:cs="Calibri"/>
                <w:bCs/>
                <w:sz w:val="22"/>
                <w:szCs w:val="22"/>
              </w:rPr>
              <w:t>the practice</w:t>
            </w:r>
            <w:r w:rsidR="00551F19">
              <w:rPr>
                <w:rFonts w:ascii="Calibri" w:hAnsi="Calibri" w:cs="Calibri"/>
                <w:bCs/>
                <w:sz w:val="22"/>
                <w:szCs w:val="22"/>
              </w:rPr>
              <w:t>.  Working closely with their Patient Participation Group (PPG) practices will identify any issues and work to develop plans to address them.</w:t>
            </w:r>
          </w:p>
          <w:p w:rsidR="00551F19" w:rsidRDefault="00551F19" w:rsidP="00551F19">
            <w:pPr>
              <w:numPr>
                <w:ilvl w:val="0"/>
                <w:numId w:val="25"/>
              </w:numPr>
              <w:rPr>
                <w:rFonts w:ascii="Calibri" w:hAnsi="Calibri" w:cs="Calibri"/>
                <w:b/>
                <w:bCs/>
                <w:sz w:val="22"/>
                <w:szCs w:val="22"/>
              </w:rPr>
            </w:pPr>
            <w:r w:rsidRPr="005125C3">
              <w:rPr>
                <w:rFonts w:ascii="Calibri" w:hAnsi="Calibri" w:cs="Calibri"/>
                <w:b/>
                <w:bCs/>
                <w:sz w:val="22"/>
                <w:szCs w:val="22"/>
              </w:rPr>
              <w:t>Practice Audit – Quality Based</w:t>
            </w:r>
          </w:p>
          <w:p w:rsidR="00551F19" w:rsidRPr="005125C3" w:rsidRDefault="00551F19" w:rsidP="00551F19">
            <w:pPr>
              <w:ind w:left="1080"/>
              <w:rPr>
                <w:rFonts w:ascii="Calibri" w:hAnsi="Calibri" w:cs="Calibri"/>
                <w:bCs/>
                <w:sz w:val="22"/>
                <w:szCs w:val="22"/>
              </w:rPr>
            </w:pPr>
            <w:r>
              <w:rPr>
                <w:rFonts w:ascii="Calibri" w:hAnsi="Calibri" w:cs="Calibri"/>
                <w:bCs/>
                <w:sz w:val="22"/>
                <w:szCs w:val="22"/>
              </w:rPr>
              <w:t xml:space="preserve">A full cycle audit using a frame work of quality to be adopted and audited.  Practices will have a choice of </w:t>
            </w:r>
            <w:r w:rsidR="00CC130B">
              <w:rPr>
                <w:rFonts w:ascii="Calibri" w:hAnsi="Calibri" w:cs="Calibri"/>
                <w:bCs/>
                <w:sz w:val="22"/>
                <w:szCs w:val="22"/>
              </w:rPr>
              <w:t>four Quality Areas to work from that support CCG quality initiatives in year, or they could select their own topic which would be considered by the CCG. By the end of the year, the practices would need to demonstrate the quality improvements brought about as a result of this audit.</w:t>
            </w:r>
          </w:p>
          <w:p w:rsidR="00551F19" w:rsidRDefault="00551F19" w:rsidP="00551F19">
            <w:pPr>
              <w:rPr>
                <w:rFonts w:ascii="Calibri" w:hAnsi="Calibri" w:cs="Calibri"/>
                <w:bCs/>
                <w:sz w:val="22"/>
                <w:szCs w:val="22"/>
              </w:rPr>
            </w:pPr>
          </w:p>
          <w:p w:rsidR="00551F19" w:rsidRDefault="00551F19" w:rsidP="00551F19">
            <w:pPr>
              <w:rPr>
                <w:rFonts w:ascii="Calibri" w:hAnsi="Calibri" w:cs="Calibri"/>
                <w:bCs/>
                <w:sz w:val="22"/>
                <w:szCs w:val="22"/>
              </w:rPr>
            </w:pPr>
            <w:r>
              <w:rPr>
                <w:rFonts w:ascii="Calibri" w:hAnsi="Calibri" w:cs="Calibri"/>
                <w:bCs/>
                <w:sz w:val="22"/>
                <w:szCs w:val="22"/>
              </w:rPr>
              <w:t xml:space="preserve">The </w:t>
            </w:r>
            <w:r w:rsidR="0075431D">
              <w:rPr>
                <w:rFonts w:ascii="Calibri" w:hAnsi="Calibri" w:cs="Calibri"/>
                <w:bCs/>
                <w:sz w:val="22"/>
                <w:szCs w:val="22"/>
              </w:rPr>
              <w:t xml:space="preserve">fine </w:t>
            </w:r>
            <w:r>
              <w:rPr>
                <w:rFonts w:ascii="Calibri" w:hAnsi="Calibri" w:cs="Calibri"/>
                <w:bCs/>
                <w:sz w:val="22"/>
                <w:szCs w:val="22"/>
              </w:rPr>
              <w:t xml:space="preserve">detail </w:t>
            </w:r>
            <w:r w:rsidR="0075431D">
              <w:rPr>
                <w:rFonts w:ascii="Calibri" w:hAnsi="Calibri" w:cs="Calibri"/>
                <w:bCs/>
                <w:sz w:val="22"/>
                <w:szCs w:val="22"/>
              </w:rPr>
              <w:t xml:space="preserve">of the measures, </w:t>
            </w:r>
            <w:r>
              <w:rPr>
                <w:rFonts w:ascii="Calibri" w:hAnsi="Calibri" w:cs="Calibri"/>
                <w:bCs/>
                <w:sz w:val="22"/>
                <w:szCs w:val="22"/>
              </w:rPr>
              <w:t>monitoring and the breakdown of the financial elements for each area</w:t>
            </w:r>
            <w:r w:rsidR="0075431D">
              <w:rPr>
                <w:rFonts w:ascii="Calibri" w:hAnsi="Calibri" w:cs="Calibri"/>
                <w:bCs/>
                <w:sz w:val="22"/>
                <w:szCs w:val="22"/>
              </w:rPr>
              <w:t xml:space="preserve"> is still being finalised</w:t>
            </w:r>
            <w:r>
              <w:rPr>
                <w:rFonts w:ascii="Calibri" w:hAnsi="Calibri" w:cs="Calibri"/>
                <w:bCs/>
                <w:sz w:val="22"/>
                <w:szCs w:val="22"/>
              </w:rPr>
              <w:t xml:space="preserve">.  </w:t>
            </w:r>
            <w:r w:rsidR="00E01DAB">
              <w:rPr>
                <w:rFonts w:ascii="Calibri" w:hAnsi="Calibri" w:cs="Calibri"/>
                <w:bCs/>
                <w:sz w:val="22"/>
                <w:szCs w:val="22"/>
              </w:rPr>
              <w:t>The overall</w:t>
            </w:r>
            <w:r>
              <w:rPr>
                <w:rFonts w:ascii="Calibri" w:hAnsi="Calibri" w:cs="Calibri"/>
                <w:bCs/>
                <w:sz w:val="22"/>
                <w:szCs w:val="22"/>
              </w:rPr>
              <w:t xml:space="preserve"> funding </w:t>
            </w:r>
            <w:r w:rsidR="00E01DAB">
              <w:rPr>
                <w:rFonts w:ascii="Calibri" w:hAnsi="Calibri" w:cs="Calibri"/>
                <w:bCs/>
                <w:sz w:val="22"/>
                <w:szCs w:val="22"/>
              </w:rPr>
              <w:t xml:space="preserve">for this </w:t>
            </w:r>
            <w:r>
              <w:rPr>
                <w:rFonts w:ascii="Calibri" w:hAnsi="Calibri" w:cs="Calibri"/>
                <w:bCs/>
                <w:sz w:val="22"/>
                <w:szCs w:val="22"/>
              </w:rPr>
              <w:t>scheme is made up of the following:</w:t>
            </w:r>
          </w:p>
          <w:p w:rsidR="00551F19" w:rsidRDefault="00551F19" w:rsidP="00551F19">
            <w:pPr>
              <w:numPr>
                <w:ilvl w:val="0"/>
                <w:numId w:val="27"/>
              </w:numPr>
              <w:rPr>
                <w:rFonts w:ascii="Calibri" w:hAnsi="Calibri" w:cs="Calibri"/>
                <w:bCs/>
                <w:sz w:val="22"/>
                <w:szCs w:val="22"/>
              </w:rPr>
            </w:pPr>
            <w:r>
              <w:rPr>
                <w:rFonts w:ascii="Calibri" w:hAnsi="Calibri" w:cs="Calibri"/>
                <w:bCs/>
                <w:sz w:val="22"/>
                <w:szCs w:val="22"/>
              </w:rPr>
              <w:t>£50k of PMS premium will be placed i</w:t>
            </w:r>
            <w:r w:rsidR="0075431D">
              <w:rPr>
                <w:rFonts w:ascii="Calibri" w:hAnsi="Calibri" w:cs="Calibri"/>
                <w:bCs/>
                <w:sz w:val="22"/>
                <w:szCs w:val="22"/>
              </w:rPr>
              <w:t>nto the funding for the scheme, which has already been approved by the Committee</w:t>
            </w:r>
          </w:p>
          <w:p w:rsidR="00551F19" w:rsidRDefault="0075431D" w:rsidP="00551F19">
            <w:pPr>
              <w:numPr>
                <w:ilvl w:val="0"/>
                <w:numId w:val="27"/>
              </w:numPr>
              <w:rPr>
                <w:rFonts w:ascii="Calibri" w:hAnsi="Calibri" w:cs="Calibri"/>
                <w:bCs/>
                <w:sz w:val="22"/>
                <w:szCs w:val="22"/>
              </w:rPr>
            </w:pPr>
            <w:r>
              <w:rPr>
                <w:rFonts w:ascii="Calibri" w:hAnsi="Calibri" w:cs="Calibri"/>
                <w:bCs/>
                <w:sz w:val="22"/>
                <w:szCs w:val="22"/>
              </w:rPr>
              <w:t>£</w:t>
            </w:r>
            <w:r w:rsidR="00551F19" w:rsidRPr="00920CC5">
              <w:rPr>
                <w:rFonts w:ascii="Calibri" w:hAnsi="Calibri" w:cs="Calibri"/>
                <w:bCs/>
                <w:sz w:val="22"/>
                <w:szCs w:val="22"/>
              </w:rPr>
              <w:t>300k will be provided from the previous PBC incentive scheme budget</w:t>
            </w:r>
            <w:r>
              <w:rPr>
                <w:rFonts w:ascii="Calibri" w:hAnsi="Calibri" w:cs="Calibri"/>
                <w:bCs/>
                <w:sz w:val="22"/>
                <w:szCs w:val="22"/>
              </w:rPr>
              <w:t>, which needs to be approved by the Committee</w:t>
            </w:r>
          </w:p>
          <w:p w:rsidR="00551F19" w:rsidRPr="00920CC5" w:rsidRDefault="00551F19" w:rsidP="00551F19">
            <w:pPr>
              <w:ind w:left="720"/>
              <w:rPr>
                <w:rFonts w:ascii="Calibri" w:hAnsi="Calibri" w:cs="Calibri"/>
                <w:bCs/>
                <w:sz w:val="22"/>
                <w:szCs w:val="22"/>
              </w:rPr>
            </w:pPr>
          </w:p>
          <w:p w:rsidR="0075431D" w:rsidRPr="0042714D" w:rsidRDefault="0075431D" w:rsidP="000F233C">
            <w:pPr>
              <w:rPr>
                <w:rFonts w:ascii="Calibri" w:hAnsi="Calibri" w:cs="Calibri"/>
                <w:bCs/>
                <w:sz w:val="22"/>
                <w:szCs w:val="22"/>
              </w:rPr>
            </w:pPr>
            <w:r w:rsidRPr="0042714D">
              <w:rPr>
                <w:rFonts w:ascii="Calibri" w:hAnsi="Calibri" w:cs="Calibri"/>
                <w:bCs/>
                <w:sz w:val="22"/>
                <w:szCs w:val="22"/>
              </w:rPr>
              <w:t>Each element will have a payment per patient on the total list. The</w:t>
            </w:r>
            <w:r w:rsidR="00E01DAB">
              <w:rPr>
                <w:rFonts w:ascii="Calibri" w:hAnsi="Calibri" w:cs="Calibri"/>
                <w:bCs/>
                <w:sz w:val="22"/>
                <w:szCs w:val="22"/>
              </w:rPr>
              <w:t>re is a little more work to do in order to ensure the breakdown reflects the input required for each element, as much as possible.</w:t>
            </w:r>
            <w:r w:rsidRPr="0042714D">
              <w:rPr>
                <w:rFonts w:ascii="Calibri" w:hAnsi="Calibri" w:cs="Calibri"/>
                <w:bCs/>
                <w:sz w:val="22"/>
                <w:szCs w:val="22"/>
              </w:rPr>
              <w:t xml:space="preserve"> </w:t>
            </w:r>
            <w:r w:rsidR="00E01DAB">
              <w:rPr>
                <w:rFonts w:ascii="Calibri" w:hAnsi="Calibri" w:cs="Calibri"/>
                <w:bCs/>
                <w:sz w:val="22"/>
                <w:szCs w:val="22"/>
              </w:rPr>
              <w:t xml:space="preserve">However, the </w:t>
            </w:r>
            <w:r w:rsidRPr="0042714D">
              <w:rPr>
                <w:rFonts w:ascii="Calibri" w:hAnsi="Calibri" w:cs="Calibri"/>
                <w:bCs/>
                <w:sz w:val="22"/>
                <w:szCs w:val="22"/>
              </w:rPr>
              <w:t>current proposal is as follows:</w:t>
            </w:r>
          </w:p>
          <w:p w:rsidR="0075431D" w:rsidRDefault="0075431D" w:rsidP="000F233C">
            <w:pPr>
              <w:rPr>
                <w:rFonts w:ascii="Arial" w:hAnsi="Arial" w:cs="Arial"/>
                <w:bCs/>
                <w:sz w:val="22"/>
                <w:szCs w:val="22"/>
              </w:rPr>
            </w:pPr>
          </w:p>
          <w:tbl>
            <w:tblPr>
              <w:tblW w:w="4820" w:type="dxa"/>
              <w:tblLook w:val="04A0" w:firstRow="1" w:lastRow="0" w:firstColumn="1" w:lastColumn="0" w:noHBand="0" w:noVBand="1"/>
            </w:tblPr>
            <w:tblGrid>
              <w:gridCol w:w="3119"/>
              <w:gridCol w:w="1701"/>
            </w:tblGrid>
            <w:tr w:rsidR="0042714D" w:rsidTr="0042714D">
              <w:trPr>
                <w:trHeight w:val="300"/>
              </w:trPr>
              <w:tc>
                <w:tcPr>
                  <w:tcW w:w="3119"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Pre-diabetes Register</w:t>
                  </w:r>
                </w:p>
              </w:tc>
              <w:tc>
                <w:tcPr>
                  <w:tcW w:w="1701"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 xml:space="preserve"> £       0.49 </w:t>
                  </w:r>
                </w:p>
              </w:tc>
            </w:tr>
            <w:tr w:rsidR="0042714D" w:rsidTr="0042714D">
              <w:trPr>
                <w:trHeight w:val="300"/>
              </w:trPr>
              <w:tc>
                <w:tcPr>
                  <w:tcW w:w="3119"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Prescribing</w:t>
                  </w:r>
                </w:p>
              </w:tc>
              <w:tc>
                <w:tcPr>
                  <w:tcW w:w="1701"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 xml:space="preserve"> £       0.42 </w:t>
                  </w:r>
                </w:p>
              </w:tc>
            </w:tr>
            <w:tr w:rsidR="0042714D" w:rsidTr="0042714D">
              <w:trPr>
                <w:trHeight w:val="300"/>
              </w:trPr>
              <w:tc>
                <w:tcPr>
                  <w:tcW w:w="3119"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Referral Variation</w:t>
                  </w:r>
                </w:p>
              </w:tc>
              <w:tc>
                <w:tcPr>
                  <w:tcW w:w="1701"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 xml:space="preserve"> £       0.47 </w:t>
                  </w:r>
                </w:p>
              </w:tc>
            </w:tr>
            <w:tr w:rsidR="0042714D" w:rsidTr="0042714D">
              <w:trPr>
                <w:trHeight w:val="300"/>
              </w:trPr>
              <w:tc>
                <w:tcPr>
                  <w:tcW w:w="3119"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Patient Experience</w:t>
                  </w:r>
                </w:p>
              </w:tc>
              <w:tc>
                <w:tcPr>
                  <w:tcW w:w="1701"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 xml:space="preserve"> £       0.26 </w:t>
                  </w:r>
                </w:p>
              </w:tc>
            </w:tr>
            <w:tr w:rsidR="0042714D" w:rsidTr="0042714D">
              <w:trPr>
                <w:trHeight w:val="300"/>
              </w:trPr>
              <w:tc>
                <w:tcPr>
                  <w:tcW w:w="3119"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Practice Audit</w:t>
                  </w:r>
                </w:p>
              </w:tc>
              <w:tc>
                <w:tcPr>
                  <w:tcW w:w="1701" w:type="dxa"/>
                  <w:tcBorders>
                    <w:top w:val="nil"/>
                    <w:left w:val="nil"/>
                    <w:bottom w:val="nil"/>
                    <w:right w:val="nil"/>
                  </w:tcBorders>
                  <w:shd w:val="clear" w:color="auto" w:fill="auto"/>
                  <w:noWrap/>
                  <w:vAlign w:val="bottom"/>
                  <w:hideMark/>
                </w:tcPr>
                <w:p w:rsidR="0042714D" w:rsidRDefault="0042714D">
                  <w:pPr>
                    <w:rPr>
                      <w:rFonts w:ascii="Calibri" w:hAnsi="Calibri" w:cs="Calibri"/>
                      <w:color w:val="000000"/>
                      <w:sz w:val="22"/>
                      <w:szCs w:val="22"/>
                    </w:rPr>
                  </w:pPr>
                  <w:r>
                    <w:rPr>
                      <w:rFonts w:ascii="Calibri" w:hAnsi="Calibri" w:cs="Calibri"/>
                      <w:color w:val="000000"/>
                      <w:sz w:val="22"/>
                      <w:szCs w:val="22"/>
                    </w:rPr>
                    <w:t xml:space="preserve"> £       0.42 </w:t>
                  </w:r>
                </w:p>
              </w:tc>
            </w:tr>
          </w:tbl>
          <w:p w:rsidR="00E01DAB" w:rsidRDefault="0042714D" w:rsidP="00206760">
            <w:pPr>
              <w:rPr>
                <w:rFonts w:ascii="Arial" w:hAnsi="Arial" w:cs="Arial"/>
                <w:bCs/>
                <w:sz w:val="22"/>
                <w:szCs w:val="22"/>
              </w:rPr>
            </w:pPr>
            <w:r w:rsidRPr="009406C9">
              <w:rPr>
                <w:rFonts w:ascii="Calibri" w:hAnsi="Calibri" w:cs="Calibri"/>
                <w:bCs/>
                <w:sz w:val="22"/>
                <w:szCs w:val="22"/>
              </w:rPr>
              <w:t>This means each Practice could potentially achieve a total of £2.06 per patient on their list, subject to achieving the requirements</w:t>
            </w:r>
            <w:r w:rsidR="00206760">
              <w:rPr>
                <w:rFonts w:ascii="Calibri" w:hAnsi="Calibri" w:cs="Calibri"/>
                <w:bCs/>
                <w:sz w:val="22"/>
                <w:szCs w:val="22"/>
              </w:rPr>
              <w:t xml:space="preserve"> </w:t>
            </w:r>
            <w:r w:rsidRPr="009406C9">
              <w:rPr>
                <w:rFonts w:ascii="Calibri" w:hAnsi="Calibri" w:cs="Calibri"/>
                <w:bCs/>
                <w:sz w:val="22"/>
                <w:szCs w:val="22"/>
              </w:rPr>
              <w:t>of each element</w:t>
            </w:r>
            <w:r>
              <w:rPr>
                <w:rFonts w:ascii="Arial" w:hAnsi="Arial" w:cs="Arial"/>
                <w:bCs/>
                <w:sz w:val="22"/>
                <w:szCs w:val="22"/>
              </w:rPr>
              <w:t>.</w:t>
            </w:r>
            <w:r w:rsidR="00206760">
              <w:rPr>
                <w:rFonts w:ascii="Arial" w:hAnsi="Arial" w:cs="Arial"/>
                <w:bCs/>
                <w:sz w:val="22"/>
                <w:szCs w:val="22"/>
              </w:rPr>
              <w:t xml:space="preserve"> </w:t>
            </w:r>
          </w:p>
          <w:p w:rsidR="00E01DAB" w:rsidRDefault="00E01DAB" w:rsidP="00206760">
            <w:pPr>
              <w:rPr>
                <w:rFonts w:ascii="Arial" w:hAnsi="Arial" w:cs="Arial"/>
                <w:bCs/>
                <w:sz w:val="22"/>
                <w:szCs w:val="22"/>
              </w:rPr>
            </w:pPr>
          </w:p>
          <w:p w:rsidR="00E01DAB" w:rsidRPr="00E01DAB" w:rsidRDefault="00E01DAB" w:rsidP="00206760">
            <w:pPr>
              <w:rPr>
                <w:rFonts w:ascii="Calibri" w:hAnsi="Calibri" w:cs="Calibri"/>
                <w:bCs/>
                <w:sz w:val="22"/>
                <w:szCs w:val="22"/>
              </w:rPr>
            </w:pPr>
            <w:r>
              <w:rPr>
                <w:rFonts w:ascii="Calibri" w:hAnsi="Calibri" w:cs="Calibri"/>
                <w:bCs/>
                <w:sz w:val="22"/>
                <w:szCs w:val="22"/>
              </w:rPr>
              <w:t>The next step is to take the detailed scheme for comment to the Council of Members and the GP Development Group in May, with a view to rolling out by the end of May 2016.</w:t>
            </w:r>
          </w:p>
          <w:p w:rsidR="00E01DAB" w:rsidRPr="00752FD6" w:rsidRDefault="00E01DAB" w:rsidP="00206760">
            <w:pPr>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206760" w:rsidRPr="009527E0" w:rsidRDefault="0075431D" w:rsidP="00E01DAB">
            <w:pPr>
              <w:rPr>
                <w:rFonts w:ascii="Calibri" w:hAnsi="Calibri" w:cs="Calibri"/>
                <w:bCs/>
                <w:sz w:val="22"/>
                <w:szCs w:val="22"/>
              </w:rPr>
            </w:pPr>
            <w:r>
              <w:rPr>
                <w:rFonts w:ascii="Calibri" w:hAnsi="Calibri" w:cs="Calibri"/>
                <w:bCs/>
                <w:sz w:val="22"/>
                <w:szCs w:val="22"/>
              </w:rPr>
              <w:t>The Joint Co-Commissioning Committee is asked to:</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9406C9" w:rsidRDefault="0075431D" w:rsidP="009406C9">
            <w:pPr>
              <w:pStyle w:val="ListParagraph"/>
              <w:numPr>
                <w:ilvl w:val="0"/>
                <w:numId w:val="29"/>
              </w:numPr>
              <w:rPr>
                <w:rFonts w:ascii="Arial" w:hAnsi="Arial" w:cs="Arial"/>
                <w:bCs/>
                <w:sz w:val="22"/>
                <w:szCs w:val="22"/>
              </w:rPr>
            </w:pPr>
            <w:r w:rsidRPr="009406C9">
              <w:rPr>
                <w:rFonts w:ascii="Calibri" w:hAnsi="Calibri" w:cs="Calibri"/>
                <w:bCs/>
                <w:sz w:val="22"/>
                <w:szCs w:val="22"/>
              </w:rPr>
              <w:t>Comment on the scheme content</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206760" w:rsidRPr="00206760" w:rsidRDefault="0075431D" w:rsidP="00206760">
            <w:pPr>
              <w:pStyle w:val="ListParagraph"/>
              <w:numPr>
                <w:ilvl w:val="0"/>
                <w:numId w:val="29"/>
              </w:numPr>
              <w:rPr>
                <w:rFonts w:ascii="Arial" w:hAnsi="Arial" w:cs="Arial"/>
                <w:bCs/>
                <w:sz w:val="22"/>
                <w:szCs w:val="22"/>
              </w:rPr>
            </w:pPr>
            <w:r w:rsidRPr="009406C9">
              <w:rPr>
                <w:rFonts w:ascii="Calibri" w:hAnsi="Calibri" w:cs="Calibri"/>
                <w:bCs/>
                <w:sz w:val="22"/>
                <w:szCs w:val="22"/>
              </w:rPr>
              <w:t>Agree the total investment required for this scheme</w:t>
            </w:r>
          </w:p>
          <w:p w:rsidR="00206760" w:rsidRPr="0075431D" w:rsidRDefault="00206760" w:rsidP="009406C9">
            <w:pPr>
              <w:pStyle w:val="ListParagraph"/>
              <w:numPr>
                <w:ilvl w:val="0"/>
                <w:numId w:val="29"/>
              </w:numPr>
              <w:rPr>
                <w:rFonts w:ascii="Arial" w:hAnsi="Arial" w:cs="Arial"/>
                <w:bCs/>
                <w:sz w:val="22"/>
                <w:szCs w:val="22"/>
              </w:rPr>
            </w:pPr>
            <w:r>
              <w:rPr>
                <w:rFonts w:ascii="Calibri" w:hAnsi="Calibri" w:cs="Calibri"/>
                <w:bCs/>
                <w:sz w:val="22"/>
                <w:szCs w:val="22"/>
              </w:rPr>
              <w:t>Agree to delegate authority to determine the final split of payment across the various elements to either the Deputy Chief Executive or Assistant Director Co-Commissioning</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431D" w:rsidRDefault="006A74AF" w:rsidP="0075431D">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320AC0"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0B" w:rsidRDefault="00CC130B">
      <w:r>
        <w:separator/>
      </w:r>
    </w:p>
  </w:endnote>
  <w:endnote w:type="continuationSeparator" w:id="0">
    <w:p w:rsidR="00CC130B" w:rsidRDefault="00CC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0B" w:rsidRDefault="00CC130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0B" w:rsidRDefault="00CC130B">
      <w:r>
        <w:separator/>
      </w:r>
    </w:p>
  </w:footnote>
  <w:footnote w:type="continuationSeparator" w:id="0">
    <w:p w:rsidR="00CC130B" w:rsidRDefault="00CC1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0E105B2"/>
    <w:multiLevelType w:val="hybridMultilevel"/>
    <w:tmpl w:val="448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75023"/>
    <w:multiLevelType w:val="hybridMultilevel"/>
    <w:tmpl w:val="366647DE"/>
    <w:lvl w:ilvl="0" w:tplc="8AC07530">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7767B"/>
    <w:multiLevelType w:val="hybridMultilevel"/>
    <w:tmpl w:val="436C15D8"/>
    <w:lvl w:ilvl="0" w:tplc="8AC07530">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C5FCE"/>
    <w:multiLevelType w:val="hybridMultilevel"/>
    <w:tmpl w:val="A62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B60041"/>
    <w:multiLevelType w:val="hybridMultilevel"/>
    <w:tmpl w:val="F88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23"/>
  </w:num>
  <w:num w:numId="2">
    <w:abstractNumId w:val="2"/>
  </w:num>
  <w:num w:numId="3">
    <w:abstractNumId w:val="0"/>
  </w:num>
  <w:num w:numId="4">
    <w:abstractNumId w:val="27"/>
  </w:num>
  <w:num w:numId="5">
    <w:abstractNumId w:val="19"/>
  </w:num>
  <w:num w:numId="6">
    <w:abstractNumId w:val="25"/>
  </w:num>
  <w:num w:numId="7">
    <w:abstractNumId w:val="3"/>
  </w:num>
  <w:num w:numId="8">
    <w:abstractNumId w:val="18"/>
  </w:num>
  <w:num w:numId="9">
    <w:abstractNumId w:val="22"/>
  </w:num>
  <w:num w:numId="10">
    <w:abstractNumId w:val="5"/>
  </w:num>
  <w:num w:numId="11">
    <w:abstractNumId w:val="10"/>
  </w:num>
  <w:num w:numId="12">
    <w:abstractNumId w:val="24"/>
  </w:num>
  <w:num w:numId="13">
    <w:abstractNumId w:val="15"/>
  </w:num>
  <w:num w:numId="14">
    <w:abstractNumId w:val="1"/>
  </w:num>
  <w:num w:numId="15">
    <w:abstractNumId w:val="17"/>
  </w:num>
  <w:num w:numId="16">
    <w:abstractNumId w:val="11"/>
  </w:num>
  <w:num w:numId="17">
    <w:abstractNumId w:val="21"/>
  </w:num>
  <w:num w:numId="18">
    <w:abstractNumId w:val="16"/>
  </w:num>
  <w:num w:numId="19">
    <w:abstractNumId w:val="26"/>
  </w:num>
  <w:num w:numId="20">
    <w:abstractNumId w:val="7"/>
  </w:num>
  <w:num w:numId="21">
    <w:abstractNumId w:val="6"/>
  </w:num>
  <w:num w:numId="22">
    <w:abstractNumId w:val="13"/>
  </w:num>
  <w:num w:numId="23">
    <w:abstractNumId w:val="4"/>
  </w:num>
  <w:num w:numId="24">
    <w:abstractNumId w:val="28"/>
  </w:num>
  <w:num w:numId="25">
    <w:abstractNumId w:val="12"/>
  </w:num>
  <w:num w:numId="26">
    <w:abstractNumId w:val="9"/>
  </w:num>
  <w:num w:numId="27">
    <w:abstractNumId w:val="8"/>
  </w:num>
  <w:num w:numId="28">
    <w:abstractNumId w:val="14"/>
  </w:num>
  <w:num w:numId="2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3552B"/>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32C6"/>
    <w:rsid w:val="000B4521"/>
    <w:rsid w:val="000C1343"/>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1AB6"/>
    <w:rsid w:val="001D6104"/>
    <w:rsid w:val="001D78A2"/>
    <w:rsid w:val="001E773A"/>
    <w:rsid w:val="001F21BE"/>
    <w:rsid w:val="001F59F0"/>
    <w:rsid w:val="001F6597"/>
    <w:rsid w:val="00200CED"/>
    <w:rsid w:val="00206760"/>
    <w:rsid w:val="00213BC1"/>
    <w:rsid w:val="002141E5"/>
    <w:rsid w:val="00215D33"/>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B792A"/>
    <w:rsid w:val="002C17C1"/>
    <w:rsid w:val="002D7917"/>
    <w:rsid w:val="002E26B9"/>
    <w:rsid w:val="002E7820"/>
    <w:rsid w:val="002F445D"/>
    <w:rsid w:val="002F47B6"/>
    <w:rsid w:val="00301655"/>
    <w:rsid w:val="00303B76"/>
    <w:rsid w:val="00312796"/>
    <w:rsid w:val="00320AC0"/>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2714D"/>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51F19"/>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431D"/>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85327"/>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6C9"/>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C130B"/>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01DAB"/>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11E8"/>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296333883">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5258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2016-04-26T11:21:00Z</dcterms:created>
  <dcterms:modified xsi:type="dcterms:W3CDTF">2016-04-26T11:21:00Z</dcterms:modified>
</cp:coreProperties>
</file>