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01" w:rsidRPr="003B148C" w:rsidRDefault="005D3AEC" w:rsidP="00593901">
      <w:pPr>
        <w:jc w:val="center"/>
        <w:rPr>
          <w:rFonts w:ascii="Arial" w:hAnsi="Arial" w:cs="Arial"/>
          <w:b/>
          <w:sz w:val="20"/>
          <w:szCs w:val="20"/>
        </w:rPr>
      </w:pPr>
      <w:r>
        <w:rPr>
          <w:rFonts w:ascii="Arial" w:hAnsi="Arial" w:cs="Arial"/>
          <w:b/>
          <w:sz w:val="20"/>
          <w:szCs w:val="20"/>
        </w:rPr>
        <w:t>NHS ENGLAND,</w:t>
      </w:r>
      <w:r w:rsidR="00593901">
        <w:rPr>
          <w:rFonts w:ascii="Arial" w:hAnsi="Arial" w:cs="Arial"/>
          <w:b/>
          <w:sz w:val="20"/>
          <w:szCs w:val="20"/>
        </w:rPr>
        <w:t xml:space="preserve"> NHS NORTH EAST LINCOLNSHIRE CCG</w:t>
      </w:r>
      <w:r>
        <w:rPr>
          <w:rFonts w:ascii="Arial" w:hAnsi="Arial" w:cs="Arial"/>
          <w:b/>
          <w:sz w:val="20"/>
          <w:szCs w:val="20"/>
        </w:rPr>
        <w:t xml:space="preserve"> &amp; NORTH EAST LINCOLNSHIRE COUNCIL</w:t>
      </w:r>
    </w:p>
    <w:p w:rsidR="00593901" w:rsidRPr="003B148C" w:rsidRDefault="00593901" w:rsidP="00593901">
      <w:pPr>
        <w:jc w:val="center"/>
        <w:rPr>
          <w:rFonts w:ascii="Arial" w:hAnsi="Arial" w:cs="Arial"/>
          <w:b/>
          <w:sz w:val="20"/>
          <w:szCs w:val="20"/>
        </w:rPr>
      </w:pPr>
    </w:p>
    <w:p w:rsidR="00593901" w:rsidRPr="003B148C" w:rsidRDefault="00593901" w:rsidP="00593901">
      <w:pPr>
        <w:jc w:val="center"/>
        <w:rPr>
          <w:rFonts w:ascii="Arial" w:hAnsi="Arial" w:cs="Arial"/>
          <w:sz w:val="20"/>
          <w:szCs w:val="20"/>
        </w:rPr>
      </w:pPr>
      <w:r>
        <w:rPr>
          <w:rFonts w:ascii="Arial" w:hAnsi="Arial" w:cs="Arial"/>
          <w:b/>
          <w:sz w:val="20"/>
          <w:szCs w:val="20"/>
        </w:rPr>
        <w:t>PRIMARY CARE JOINT CO-</w:t>
      </w:r>
      <w:r w:rsidRPr="003B148C">
        <w:rPr>
          <w:rFonts w:ascii="Arial" w:hAnsi="Arial" w:cs="Arial"/>
          <w:b/>
          <w:sz w:val="20"/>
          <w:szCs w:val="20"/>
        </w:rPr>
        <w:t>COMMISSIONING</w:t>
      </w:r>
      <w:r>
        <w:rPr>
          <w:rFonts w:ascii="Arial" w:hAnsi="Arial" w:cs="Arial"/>
          <w:b/>
          <w:sz w:val="20"/>
          <w:szCs w:val="20"/>
        </w:rPr>
        <w:t xml:space="preserve"> BOARD</w:t>
      </w:r>
      <w:r w:rsidRPr="003B148C">
        <w:rPr>
          <w:rFonts w:ascii="Arial" w:hAnsi="Arial" w:cs="Arial"/>
          <w:b/>
          <w:sz w:val="20"/>
          <w:szCs w:val="20"/>
        </w:rPr>
        <w:t xml:space="preserve"> FINANCIAL REPORT</w:t>
      </w:r>
    </w:p>
    <w:p w:rsidR="00593901" w:rsidRPr="003B148C" w:rsidRDefault="00593901" w:rsidP="00593901">
      <w:pPr>
        <w:jc w:val="center"/>
        <w:rPr>
          <w:rFonts w:ascii="Arial" w:hAnsi="Arial" w:cs="Arial"/>
          <w:sz w:val="20"/>
          <w:szCs w:val="20"/>
        </w:rPr>
      </w:pPr>
    </w:p>
    <w:p w:rsidR="00593901" w:rsidRPr="003B148C" w:rsidRDefault="00593901" w:rsidP="00593901">
      <w:pPr>
        <w:rPr>
          <w:rFonts w:ascii="Arial" w:hAnsi="Arial" w:cs="Arial"/>
          <w:sz w:val="20"/>
          <w:szCs w:val="20"/>
        </w:rPr>
      </w:pPr>
      <w:r w:rsidRPr="003B148C">
        <w:rPr>
          <w:rFonts w:ascii="Arial" w:hAnsi="Arial" w:cs="Arial"/>
          <w:b/>
          <w:sz w:val="20"/>
          <w:szCs w:val="20"/>
        </w:rPr>
        <w:t>Introduction</w:t>
      </w:r>
    </w:p>
    <w:p w:rsidR="00593901" w:rsidRPr="003B148C" w:rsidRDefault="00593901" w:rsidP="00593901">
      <w:pPr>
        <w:rPr>
          <w:rFonts w:ascii="Arial" w:hAnsi="Arial" w:cs="Arial"/>
          <w:sz w:val="20"/>
          <w:szCs w:val="20"/>
        </w:rPr>
      </w:pPr>
    </w:p>
    <w:p w:rsidR="00593901" w:rsidRPr="003B148C" w:rsidRDefault="00593901" w:rsidP="00593901">
      <w:pPr>
        <w:rPr>
          <w:rFonts w:ascii="Arial" w:hAnsi="Arial" w:cs="Arial"/>
          <w:sz w:val="20"/>
          <w:szCs w:val="20"/>
        </w:rPr>
      </w:pPr>
      <w:r w:rsidRPr="003B148C">
        <w:rPr>
          <w:rFonts w:ascii="Arial" w:hAnsi="Arial" w:cs="Arial"/>
          <w:sz w:val="20"/>
          <w:szCs w:val="20"/>
        </w:rPr>
        <w:t>This report summarises the financial position with regards to the funds identified as within the scope of primary care joint c</w:t>
      </w:r>
      <w:r w:rsidR="005D3AEC">
        <w:rPr>
          <w:rFonts w:ascii="Arial" w:hAnsi="Arial" w:cs="Arial"/>
          <w:sz w:val="20"/>
          <w:szCs w:val="20"/>
        </w:rPr>
        <w:t>ommissioning for NHS England,</w:t>
      </w:r>
      <w:r>
        <w:rPr>
          <w:rFonts w:ascii="Arial" w:hAnsi="Arial" w:cs="Arial"/>
          <w:sz w:val="20"/>
          <w:szCs w:val="20"/>
        </w:rPr>
        <w:t xml:space="preserve"> NHS North East Lincolnshire C</w:t>
      </w:r>
      <w:r w:rsidR="003513F6">
        <w:rPr>
          <w:rFonts w:ascii="Arial" w:hAnsi="Arial" w:cs="Arial"/>
          <w:sz w:val="20"/>
          <w:szCs w:val="20"/>
        </w:rPr>
        <w:t>CG</w:t>
      </w:r>
      <w:r w:rsidR="005D3AEC">
        <w:rPr>
          <w:rFonts w:ascii="Arial" w:hAnsi="Arial" w:cs="Arial"/>
          <w:sz w:val="20"/>
          <w:szCs w:val="20"/>
        </w:rPr>
        <w:t xml:space="preserve"> and North East Lincolnshire Council</w:t>
      </w:r>
      <w:r w:rsidR="00022F3C">
        <w:rPr>
          <w:rFonts w:ascii="Arial" w:hAnsi="Arial" w:cs="Arial"/>
          <w:sz w:val="20"/>
          <w:szCs w:val="20"/>
        </w:rPr>
        <w:t xml:space="preserve"> for the period ended 30/09</w:t>
      </w:r>
      <w:r w:rsidR="003513F6">
        <w:rPr>
          <w:rFonts w:ascii="Arial" w:hAnsi="Arial" w:cs="Arial"/>
          <w:sz w:val="20"/>
          <w:szCs w:val="20"/>
        </w:rPr>
        <w:t>/16</w:t>
      </w:r>
      <w:r>
        <w:rPr>
          <w:rFonts w:ascii="Arial" w:hAnsi="Arial" w:cs="Arial"/>
          <w:sz w:val="20"/>
          <w:szCs w:val="20"/>
        </w:rPr>
        <w:t>.</w:t>
      </w:r>
    </w:p>
    <w:p w:rsidR="00593901" w:rsidRPr="003B148C" w:rsidRDefault="00593901" w:rsidP="00593901">
      <w:pPr>
        <w:rPr>
          <w:rFonts w:ascii="Arial" w:hAnsi="Arial" w:cs="Arial"/>
          <w:sz w:val="20"/>
          <w:szCs w:val="20"/>
        </w:rPr>
      </w:pPr>
    </w:p>
    <w:p w:rsidR="00593901" w:rsidRPr="003B148C" w:rsidRDefault="00593901" w:rsidP="00593901">
      <w:pPr>
        <w:rPr>
          <w:rFonts w:ascii="Arial" w:hAnsi="Arial" w:cs="Arial"/>
          <w:b/>
          <w:sz w:val="20"/>
          <w:szCs w:val="20"/>
        </w:rPr>
      </w:pPr>
      <w:r w:rsidRPr="003B148C">
        <w:rPr>
          <w:rFonts w:ascii="Arial" w:hAnsi="Arial" w:cs="Arial"/>
          <w:b/>
          <w:sz w:val="20"/>
          <w:szCs w:val="20"/>
        </w:rPr>
        <w:t>Revenue Expenditure Position</w:t>
      </w:r>
    </w:p>
    <w:p w:rsidR="00593901" w:rsidRPr="003B148C" w:rsidRDefault="00593901" w:rsidP="00593901">
      <w:pPr>
        <w:rPr>
          <w:rFonts w:ascii="Arial" w:hAnsi="Arial" w:cs="Arial"/>
          <w:b/>
          <w:sz w:val="20"/>
          <w:szCs w:val="20"/>
        </w:rPr>
      </w:pPr>
    </w:p>
    <w:p w:rsidR="00593901" w:rsidRDefault="00593901" w:rsidP="00593901">
      <w:pPr>
        <w:rPr>
          <w:rFonts w:ascii="Arial" w:hAnsi="Arial" w:cs="Arial"/>
          <w:sz w:val="20"/>
          <w:szCs w:val="20"/>
        </w:rPr>
      </w:pPr>
      <w:r w:rsidRPr="003B148C">
        <w:rPr>
          <w:rFonts w:ascii="Arial" w:hAnsi="Arial" w:cs="Arial"/>
          <w:sz w:val="20"/>
          <w:szCs w:val="20"/>
        </w:rPr>
        <w:t xml:space="preserve">The supplementary information attached </w:t>
      </w:r>
      <w:r>
        <w:rPr>
          <w:rFonts w:ascii="Arial" w:hAnsi="Arial" w:cs="Arial"/>
          <w:sz w:val="20"/>
          <w:szCs w:val="20"/>
        </w:rPr>
        <w:t>at Appendix 1 provides further analysis</w:t>
      </w:r>
    </w:p>
    <w:p w:rsidR="00593901" w:rsidRDefault="00593901" w:rsidP="00593901">
      <w:pPr>
        <w:rPr>
          <w:rFonts w:ascii="Arial" w:hAnsi="Arial" w:cs="Arial"/>
          <w:sz w:val="20"/>
          <w:szCs w:val="20"/>
        </w:rPr>
      </w:pPr>
    </w:p>
    <w:p w:rsidR="00593901" w:rsidRDefault="00593901" w:rsidP="00593901">
      <w:pPr>
        <w:rPr>
          <w:rFonts w:ascii="Arial" w:hAnsi="Arial" w:cs="Arial"/>
          <w:sz w:val="20"/>
          <w:szCs w:val="20"/>
        </w:rPr>
      </w:pPr>
      <w:r>
        <w:rPr>
          <w:rFonts w:ascii="Arial" w:hAnsi="Arial" w:cs="Arial"/>
          <w:sz w:val="20"/>
          <w:szCs w:val="20"/>
        </w:rPr>
        <w:t>It is important to note that, under the joint commissioning arrangements in place, the financial responsibility and risk remains with the appropriate commissioning organisation.</w:t>
      </w:r>
    </w:p>
    <w:p w:rsidR="002D0963" w:rsidRPr="003B148C" w:rsidRDefault="002D0963" w:rsidP="00593901">
      <w:pPr>
        <w:rPr>
          <w:rFonts w:ascii="Arial" w:hAnsi="Arial" w:cs="Arial"/>
          <w:sz w:val="20"/>
          <w:szCs w:val="20"/>
        </w:rPr>
      </w:pPr>
    </w:p>
    <w:tbl>
      <w:tblPr>
        <w:tblW w:w="9080" w:type="dxa"/>
        <w:tblInd w:w="93" w:type="dxa"/>
        <w:tblLook w:val="04A0" w:firstRow="1" w:lastRow="0" w:firstColumn="1" w:lastColumn="0" w:noHBand="0" w:noVBand="1"/>
      </w:tblPr>
      <w:tblGrid>
        <w:gridCol w:w="2980"/>
        <w:gridCol w:w="960"/>
        <w:gridCol w:w="1060"/>
        <w:gridCol w:w="960"/>
        <w:gridCol w:w="1080"/>
        <w:gridCol w:w="1080"/>
        <w:gridCol w:w="960"/>
      </w:tblGrid>
      <w:tr w:rsidR="006561F1" w:rsidRPr="006561F1" w:rsidTr="006561F1">
        <w:trPr>
          <w:trHeight w:val="288"/>
        </w:trPr>
        <w:tc>
          <w:tcPr>
            <w:tcW w:w="2980" w:type="dxa"/>
            <w:tcBorders>
              <w:top w:val="single" w:sz="4" w:space="0" w:color="auto"/>
              <w:left w:val="single" w:sz="4" w:space="0" w:color="auto"/>
              <w:bottom w:val="nil"/>
              <w:right w:val="single" w:sz="4" w:space="0" w:color="auto"/>
            </w:tcBorders>
            <w:shd w:val="clear" w:color="000000" w:fill="BFBFBF"/>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c>
          <w:tcPr>
            <w:tcW w:w="2980" w:type="dxa"/>
            <w:gridSpan w:val="3"/>
            <w:tcBorders>
              <w:top w:val="single" w:sz="4" w:space="0" w:color="auto"/>
              <w:left w:val="nil"/>
              <w:bottom w:val="single" w:sz="4" w:space="0" w:color="auto"/>
              <w:right w:val="single" w:sz="4" w:space="0" w:color="000000"/>
            </w:tcBorders>
            <w:shd w:val="clear" w:color="000000" w:fill="BFBFBF"/>
            <w:noWrap/>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FULL YEAR</w:t>
            </w:r>
          </w:p>
        </w:tc>
        <w:tc>
          <w:tcPr>
            <w:tcW w:w="3120" w:type="dxa"/>
            <w:gridSpan w:val="3"/>
            <w:tcBorders>
              <w:top w:val="single" w:sz="4" w:space="0" w:color="auto"/>
              <w:left w:val="nil"/>
              <w:bottom w:val="single" w:sz="4" w:space="0" w:color="auto"/>
              <w:right w:val="single" w:sz="4" w:space="0" w:color="000000"/>
            </w:tcBorders>
            <w:shd w:val="clear" w:color="000000" w:fill="BFBFBF"/>
            <w:noWrap/>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YEAR TO DATE</w:t>
            </w:r>
          </w:p>
        </w:tc>
      </w:tr>
      <w:tr w:rsidR="006561F1" w:rsidRPr="006561F1" w:rsidTr="006561F1">
        <w:trPr>
          <w:trHeight w:val="1152"/>
        </w:trPr>
        <w:tc>
          <w:tcPr>
            <w:tcW w:w="2980" w:type="dxa"/>
            <w:tcBorders>
              <w:top w:val="nil"/>
              <w:left w:val="single" w:sz="4" w:space="0" w:color="auto"/>
              <w:bottom w:val="single" w:sz="4" w:space="0" w:color="auto"/>
              <w:right w:val="single" w:sz="4" w:space="0" w:color="auto"/>
            </w:tcBorders>
            <w:shd w:val="clear" w:color="000000" w:fill="BFBFBF"/>
            <w:noWrap/>
            <w:vAlign w:val="bottom"/>
            <w:hideMark/>
          </w:tcPr>
          <w:p w:rsidR="006561F1" w:rsidRPr="006561F1" w:rsidRDefault="006561F1" w:rsidP="006561F1">
            <w:pPr>
              <w:rPr>
                <w:rFonts w:eastAsia="Times New Roman" w:cs="Calibri"/>
                <w:b/>
                <w:bCs/>
                <w:color w:val="000000"/>
                <w:sz w:val="20"/>
                <w:szCs w:val="20"/>
                <w:lang w:eastAsia="en-GB"/>
              </w:rPr>
            </w:pPr>
            <w:r w:rsidRPr="006561F1">
              <w:rPr>
                <w:rFonts w:eastAsia="Times New Roman" w:cs="Calibri"/>
                <w:b/>
                <w:bCs/>
                <w:color w:val="000000"/>
                <w:sz w:val="20"/>
                <w:szCs w:val="20"/>
                <w:lang w:eastAsia="en-GB"/>
              </w:rPr>
              <w:t>Service Commissioned by</w:t>
            </w:r>
          </w:p>
        </w:tc>
        <w:tc>
          <w:tcPr>
            <w:tcW w:w="960" w:type="dxa"/>
            <w:tcBorders>
              <w:top w:val="nil"/>
              <w:left w:val="nil"/>
              <w:bottom w:val="single" w:sz="4" w:space="0" w:color="auto"/>
              <w:right w:val="single" w:sz="4" w:space="0" w:color="auto"/>
            </w:tcBorders>
            <w:shd w:val="clear" w:color="000000" w:fill="BFBFBF"/>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Annual Budget £'000</w:t>
            </w:r>
          </w:p>
        </w:tc>
        <w:tc>
          <w:tcPr>
            <w:tcW w:w="1060" w:type="dxa"/>
            <w:tcBorders>
              <w:top w:val="nil"/>
              <w:left w:val="nil"/>
              <w:bottom w:val="single" w:sz="4" w:space="0" w:color="auto"/>
              <w:right w:val="single" w:sz="4" w:space="0" w:color="auto"/>
            </w:tcBorders>
            <w:shd w:val="clear" w:color="000000" w:fill="BFBFBF"/>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Forecast Out-turn £'000</w:t>
            </w:r>
          </w:p>
        </w:tc>
        <w:tc>
          <w:tcPr>
            <w:tcW w:w="960" w:type="dxa"/>
            <w:tcBorders>
              <w:top w:val="nil"/>
              <w:left w:val="nil"/>
              <w:bottom w:val="single" w:sz="4" w:space="0" w:color="auto"/>
              <w:right w:val="single" w:sz="4" w:space="0" w:color="auto"/>
            </w:tcBorders>
            <w:shd w:val="clear" w:color="000000" w:fill="BFBFBF"/>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Forecast Variance £'000</w:t>
            </w:r>
          </w:p>
        </w:tc>
        <w:tc>
          <w:tcPr>
            <w:tcW w:w="1080" w:type="dxa"/>
            <w:tcBorders>
              <w:top w:val="nil"/>
              <w:left w:val="nil"/>
              <w:bottom w:val="nil"/>
              <w:right w:val="single" w:sz="4" w:space="0" w:color="auto"/>
            </w:tcBorders>
            <w:shd w:val="clear" w:color="000000" w:fill="BFBFBF"/>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Year to date budget £'000</w:t>
            </w:r>
          </w:p>
        </w:tc>
        <w:tc>
          <w:tcPr>
            <w:tcW w:w="1080" w:type="dxa"/>
            <w:tcBorders>
              <w:top w:val="nil"/>
              <w:left w:val="nil"/>
              <w:bottom w:val="nil"/>
              <w:right w:val="single" w:sz="4" w:space="0" w:color="auto"/>
            </w:tcBorders>
            <w:shd w:val="clear" w:color="000000" w:fill="BFBFBF"/>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Year to date actual £'000</w:t>
            </w:r>
          </w:p>
        </w:tc>
        <w:tc>
          <w:tcPr>
            <w:tcW w:w="960" w:type="dxa"/>
            <w:tcBorders>
              <w:top w:val="nil"/>
              <w:left w:val="nil"/>
              <w:bottom w:val="nil"/>
              <w:right w:val="single" w:sz="4" w:space="0" w:color="auto"/>
            </w:tcBorders>
            <w:shd w:val="clear" w:color="000000" w:fill="BFBFBF"/>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Year to date variance £'000</w:t>
            </w:r>
          </w:p>
        </w:tc>
      </w:tr>
      <w:tr w:rsidR="006561F1" w:rsidRPr="006561F1" w:rsidTr="006561F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NHS England</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26,345</w:t>
            </w:r>
          </w:p>
        </w:tc>
        <w:tc>
          <w:tcPr>
            <w:tcW w:w="10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26,345</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13,036</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12,342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-694</w:t>
            </w:r>
          </w:p>
        </w:tc>
      </w:tr>
      <w:tr w:rsidR="006561F1" w:rsidRPr="006561F1" w:rsidTr="006561F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NHS North East Lincolnshire CCG</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4,187</w:t>
            </w:r>
          </w:p>
        </w:tc>
        <w:tc>
          <w:tcPr>
            <w:tcW w:w="10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4,132</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-55</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2,069</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1,976</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-93</w:t>
            </w:r>
          </w:p>
        </w:tc>
      </w:tr>
      <w:tr w:rsidR="006561F1" w:rsidRPr="006561F1" w:rsidTr="006561F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North East Lincolnshire Council</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317</w:t>
            </w:r>
          </w:p>
        </w:tc>
        <w:tc>
          <w:tcPr>
            <w:tcW w:w="10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249</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-68</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221</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158.6</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-62</w:t>
            </w:r>
          </w:p>
        </w:tc>
      </w:tr>
    </w:tbl>
    <w:p w:rsidR="00593901" w:rsidRPr="003B148C" w:rsidRDefault="00593901" w:rsidP="00593901">
      <w:pPr>
        <w:rPr>
          <w:rFonts w:ascii="Arial" w:hAnsi="Arial" w:cs="Arial"/>
          <w:b/>
          <w:sz w:val="20"/>
          <w:szCs w:val="20"/>
        </w:rPr>
      </w:pPr>
    </w:p>
    <w:p w:rsidR="00593901" w:rsidRPr="003B148C" w:rsidRDefault="00593901" w:rsidP="00593901">
      <w:pPr>
        <w:rPr>
          <w:rFonts w:ascii="Arial" w:hAnsi="Arial" w:cs="Arial"/>
          <w:sz w:val="20"/>
          <w:szCs w:val="20"/>
        </w:rPr>
      </w:pPr>
      <w:r>
        <w:rPr>
          <w:rFonts w:ascii="Arial" w:hAnsi="Arial" w:cs="Arial"/>
          <w:sz w:val="20"/>
          <w:szCs w:val="20"/>
        </w:rPr>
        <w:t>The above table may require rounding adjustments.</w:t>
      </w:r>
    </w:p>
    <w:p w:rsidR="00593901" w:rsidRPr="003B148C" w:rsidRDefault="00593901" w:rsidP="00593901">
      <w:pPr>
        <w:rPr>
          <w:rFonts w:ascii="Arial" w:hAnsi="Arial" w:cs="Arial"/>
          <w:b/>
          <w:sz w:val="20"/>
          <w:szCs w:val="20"/>
        </w:rPr>
      </w:pPr>
    </w:p>
    <w:p w:rsidR="00593901" w:rsidRPr="003B148C" w:rsidRDefault="00593901" w:rsidP="00593901">
      <w:pPr>
        <w:rPr>
          <w:rFonts w:ascii="Arial" w:hAnsi="Arial" w:cs="Arial"/>
          <w:sz w:val="20"/>
          <w:szCs w:val="20"/>
        </w:rPr>
      </w:pPr>
      <w:r w:rsidRPr="003B148C">
        <w:rPr>
          <w:rFonts w:ascii="Arial" w:hAnsi="Arial" w:cs="Arial"/>
          <w:b/>
          <w:sz w:val="20"/>
          <w:szCs w:val="20"/>
        </w:rPr>
        <w:t>Commentary</w:t>
      </w:r>
    </w:p>
    <w:p w:rsidR="00593901" w:rsidRPr="003B148C" w:rsidRDefault="00593901" w:rsidP="00593901">
      <w:pPr>
        <w:rPr>
          <w:rFonts w:ascii="Arial" w:hAnsi="Arial" w:cs="Arial"/>
          <w:sz w:val="20"/>
          <w:szCs w:val="20"/>
        </w:rPr>
      </w:pPr>
    </w:p>
    <w:p w:rsidR="00593901" w:rsidRPr="001D5AE3" w:rsidRDefault="00593901" w:rsidP="00593901">
      <w:pPr>
        <w:rPr>
          <w:rFonts w:ascii="Arial" w:hAnsi="Arial" w:cs="Arial"/>
          <w:sz w:val="18"/>
          <w:szCs w:val="18"/>
          <w:u w:val="single"/>
        </w:rPr>
      </w:pPr>
      <w:r w:rsidRPr="001D5AE3">
        <w:rPr>
          <w:rFonts w:ascii="Arial" w:hAnsi="Arial" w:cs="Arial"/>
          <w:sz w:val="18"/>
          <w:szCs w:val="18"/>
          <w:u w:val="single"/>
        </w:rPr>
        <w:t>NHSE</w:t>
      </w:r>
    </w:p>
    <w:p w:rsidR="006561F1" w:rsidRPr="001D5AE3" w:rsidRDefault="006561F1" w:rsidP="006561F1">
      <w:pPr>
        <w:rPr>
          <w:rFonts w:ascii="Arial" w:hAnsi="Arial" w:cs="Arial"/>
          <w:sz w:val="18"/>
          <w:szCs w:val="18"/>
        </w:rPr>
      </w:pPr>
      <w:r w:rsidRPr="001D5AE3">
        <w:rPr>
          <w:rFonts w:ascii="Arial" w:eastAsia="Times New Roman" w:hAnsi="Arial" w:cs="Arial"/>
          <w:sz w:val="18"/>
          <w:szCs w:val="18"/>
        </w:rPr>
        <w:t xml:space="preserve">GMS - </w:t>
      </w:r>
      <w:r w:rsidRPr="001D5AE3">
        <w:rPr>
          <w:rFonts w:ascii="Arial" w:hAnsi="Arial" w:cs="Arial"/>
          <w:sz w:val="18"/>
          <w:szCs w:val="18"/>
        </w:rPr>
        <w:t>Global Sum is per the actual Q1 &amp; Q2</w:t>
      </w:r>
      <w:r w:rsidRPr="001D5AE3">
        <w:rPr>
          <w:rFonts w:ascii="Arial" w:hAnsi="Arial" w:cs="Arial"/>
          <w:color w:val="1F497D"/>
          <w:sz w:val="18"/>
          <w:szCs w:val="18"/>
        </w:rPr>
        <w:t xml:space="preserve"> </w:t>
      </w:r>
      <w:r w:rsidRPr="001D5AE3">
        <w:rPr>
          <w:rFonts w:ascii="Arial" w:hAnsi="Arial" w:cs="Arial"/>
          <w:sz w:val="18"/>
          <w:szCs w:val="18"/>
        </w:rPr>
        <w:t>costs</w:t>
      </w:r>
      <w:r w:rsidRPr="001D5AE3">
        <w:rPr>
          <w:rFonts w:ascii="Arial" w:hAnsi="Arial" w:cs="Arial"/>
          <w:color w:val="1F497D"/>
          <w:sz w:val="18"/>
          <w:szCs w:val="18"/>
        </w:rPr>
        <w:t xml:space="preserve"> </w:t>
      </w:r>
      <w:r w:rsidRPr="001D5AE3">
        <w:rPr>
          <w:rFonts w:ascii="Arial" w:hAnsi="Arial" w:cs="Arial"/>
          <w:sz w:val="18"/>
          <w:szCs w:val="18"/>
        </w:rPr>
        <w:t>per the quarterly list size</w:t>
      </w:r>
      <w:r w:rsidRPr="001D5AE3">
        <w:rPr>
          <w:rFonts w:ascii="Arial" w:hAnsi="Arial" w:cs="Arial"/>
          <w:color w:val="1F497D"/>
          <w:sz w:val="18"/>
          <w:szCs w:val="18"/>
        </w:rPr>
        <w:t xml:space="preserve"> </w:t>
      </w:r>
      <w:r w:rsidRPr="001D5AE3">
        <w:rPr>
          <w:rFonts w:ascii="Arial" w:hAnsi="Arial" w:cs="Arial"/>
          <w:sz w:val="18"/>
          <w:szCs w:val="18"/>
        </w:rPr>
        <w:t>count.</w:t>
      </w:r>
    </w:p>
    <w:p w:rsidR="006561F1" w:rsidRPr="001D5AE3" w:rsidRDefault="006561F1" w:rsidP="006561F1">
      <w:pPr>
        <w:rPr>
          <w:rFonts w:ascii="Arial" w:hAnsi="Arial" w:cs="Arial"/>
          <w:sz w:val="18"/>
          <w:szCs w:val="18"/>
        </w:rPr>
      </w:pPr>
      <w:r w:rsidRPr="001D5AE3">
        <w:rPr>
          <w:rFonts w:ascii="Arial" w:hAnsi="Arial" w:cs="Arial"/>
          <w:sz w:val="18"/>
          <w:szCs w:val="18"/>
        </w:rPr>
        <w:t xml:space="preserve">MPIG is per actual costs for current contracts </w:t>
      </w:r>
    </w:p>
    <w:p w:rsidR="006561F1" w:rsidRPr="001D5AE3" w:rsidRDefault="006561F1" w:rsidP="006561F1">
      <w:pPr>
        <w:rPr>
          <w:rFonts w:ascii="Arial" w:hAnsi="Arial" w:cs="Arial"/>
          <w:b/>
          <w:bCs/>
          <w:sz w:val="18"/>
          <w:szCs w:val="18"/>
          <w:u w:val="single"/>
        </w:rPr>
      </w:pPr>
    </w:p>
    <w:p w:rsidR="006561F1" w:rsidRPr="001D5AE3" w:rsidRDefault="006561F1" w:rsidP="006561F1">
      <w:pPr>
        <w:rPr>
          <w:rFonts w:ascii="Arial" w:hAnsi="Arial" w:cs="Arial"/>
          <w:sz w:val="18"/>
          <w:szCs w:val="18"/>
        </w:rPr>
      </w:pPr>
      <w:r w:rsidRPr="001D5AE3">
        <w:rPr>
          <w:rFonts w:ascii="Arial" w:hAnsi="Arial" w:cs="Arial"/>
          <w:sz w:val="18"/>
          <w:szCs w:val="18"/>
        </w:rPr>
        <w:t xml:space="preserve">APMS - Accrued to budget. </w:t>
      </w:r>
      <w:r w:rsidR="001D5AE3">
        <w:rPr>
          <w:rFonts w:ascii="Arial" w:hAnsi="Arial" w:cs="Arial"/>
          <w:sz w:val="18"/>
          <w:szCs w:val="18"/>
        </w:rPr>
        <w:t>There is a s</w:t>
      </w:r>
      <w:r w:rsidRPr="001D5AE3">
        <w:rPr>
          <w:rFonts w:ascii="Arial" w:hAnsi="Arial" w:cs="Arial"/>
          <w:sz w:val="18"/>
          <w:szCs w:val="18"/>
        </w:rPr>
        <w:t>light variance year to date which relates to the uplift in the budget.</w:t>
      </w:r>
    </w:p>
    <w:p w:rsidR="006561F1" w:rsidRPr="001D5AE3" w:rsidRDefault="006561F1" w:rsidP="006561F1">
      <w:pPr>
        <w:rPr>
          <w:rFonts w:ascii="Arial" w:hAnsi="Arial" w:cs="Arial"/>
          <w:b/>
          <w:bCs/>
          <w:sz w:val="18"/>
          <w:szCs w:val="18"/>
          <w:u w:val="single"/>
        </w:rPr>
      </w:pPr>
    </w:p>
    <w:p w:rsidR="006561F1" w:rsidRPr="001D5AE3" w:rsidRDefault="006561F1" w:rsidP="006561F1">
      <w:pPr>
        <w:rPr>
          <w:rFonts w:ascii="Arial" w:hAnsi="Arial" w:cs="Arial"/>
          <w:sz w:val="18"/>
          <w:szCs w:val="18"/>
        </w:rPr>
      </w:pPr>
      <w:r w:rsidRPr="001D5AE3">
        <w:rPr>
          <w:rFonts w:ascii="Arial" w:hAnsi="Arial" w:cs="Arial"/>
          <w:sz w:val="18"/>
          <w:szCs w:val="18"/>
        </w:rPr>
        <w:t>PMS - The PMS contract budget variance is due to a shortfall in uplift funding due to assumptions made at the time on the 16/17 uplift value.</w:t>
      </w:r>
    </w:p>
    <w:p w:rsidR="006561F1" w:rsidRPr="001D5AE3" w:rsidRDefault="006561F1" w:rsidP="006561F1">
      <w:pPr>
        <w:rPr>
          <w:rFonts w:ascii="Arial" w:hAnsi="Arial" w:cs="Arial"/>
          <w:b/>
          <w:bCs/>
          <w:sz w:val="18"/>
          <w:szCs w:val="18"/>
          <w:u w:val="single"/>
        </w:rPr>
      </w:pPr>
    </w:p>
    <w:p w:rsidR="006561F1" w:rsidRPr="001D5AE3" w:rsidRDefault="006561F1" w:rsidP="006561F1">
      <w:pPr>
        <w:rPr>
          <w:rFonts w:ascii="Arial" w:hAnsi="Arial" w:cs="Arial"/>
          <w:sz w:val="18"/>
          <w:szCs w:val="18"/>
        </w:rPr>
      </w:pPr>
      <w:r w:rsidRPr="001D5AE3">
        <w:rPr>
          <w:rFonts w:ascii="Arial" w:hAnsi="Arial" w:cs="Arial"/>
          <w:sz w:val="18"/>
          <w:szCs w:val="18"/>
        </w:rPr>
        <w:t>Enhanced Services &amp; DSQS - These have been accrued based on the following:</w:t>
      </w:r>
    </w:p>
    <w:p w:rsidR="006561F1" w:rsidRPr="001D5AE3" w:rsidRDefault="006561F1" w:rsidP="006561F1">
      <w:pPr>
        <w:rPr>
          <w:rFonts w:ascii="Arial" w:hAnsi="Arial" w:cs="Arial"/>
          <w:sz w:val="18"/>
          <w:szCs w:val="18"/>
        </w:rPr>
      </w:pPr>
      <w:r w:rsidRPr="001D5AE3">
        <w:rPr>
          <w:rFonts w:ascii="Arial" w:hAnsi="Arial" w:cs="Arial"/>
          <w:sz w:val="18"/>
          <w:szCs w:val="18"/>
        </w:rPr>
        <w:t xml:space="preserve">Extended Hours: Per current sign up </w:t>
      </w:r>
    </w:p>
    <w:p w:rsidR="006561F1" w:rsidRPr="001D5AE3" w:rsidRDefault="006561F1" w:rsidP="006561F1">
      <w:pPr>
        <w:rPr>
          <w:rFonts w:ascii="Arial" w:hAnsi="Arial" w:cs="Arial"/>
          <w:sz w:val="18"/>
          <w:szCs w:val="18"/>
        </w:rPr>
      </w:pPr>
      <w:r w:rsidRPr="001D5AE3">
        <w:rPr>
          <w:rFonts w:ascii="Arial" w:hAnsi="Arial" w:cs="Arial"/>
          <w:sz w:val="18"/>
          <w:szCs w:val="18"/>
        </w:rPr>
        <w:t>Minor Surgery = Based on YTD actual claims pro rata.</w:t>
      </w:r>
    </w:p>
    <w:p w:rsidR="006561F1" w:rsidRPr="001D5AE3" w:rsidRDefault="006561F1" w:rsidP="006561F1">
      <w:pPr>
        <w:rPr>
          <w:rFonts w:ascii="Arial" w:hAnsi="Arial" w:cs="Arial"/>
          <w:sz w:val="18"/>
          <w:szCs w:val="18"/>
        </w:rPr>
      </w:pPr>
      <w:r w:rsidRPr="001D5AE3">
        <w:rPr>
          <w:rFonts w:ascii="Arial" w:hAnsi="Arial" w:cs="Arial"/>
          <w:sz w:val="18"/>
          <w:szCs w:val="18"/>
        </w:rPr>
        <w:t>Learning Disabilities = Per 15.16 pro rata as low 16.17 claims submitted to date</w:t>
      </w:r>
    </w:p>
    <w:p w:rsidR="006561F1" w:rsidRPr="001D5AE3" w:rsidRDefault="006561F1" w:rsidP="006561F1">
      <w:pPr>
        <w:rPr>
          <w:rFonts w:ascii="Arial" w:hAnsi="Arial" w:cs="Arial"/>
          <w:sz w:val="18"/>
          <w:szCs w:val="18"/>
        </w:rPr>
      </w:pPr>
      <w:r w:rsidRPr="001D5AE3">
        <w:rPr>
          <w:rFonts w:ascii="Arial" w:hAnsi="Arial" w:cs="Arial"/>
          <w:sz w:val="18"/>
          <w:szCs w:val="18"/>
        </w:rPr>
        <w:t xml:space="preserve">Unplanned Admissions = </w:t>
      </w:r>
      <w:proofErr w:type="gramStart"/>
      <w:r w:rsidRPr="001D5AE3">
        <w:rPr>
          <w:rFonts w:ascii="Arial" w:hAnsi="Arial" w:cs="Arial"/>
          <w:sz w:val="18"/>
          <w:szCs w:val="18"/>
        </w:rPr>
        <w:t>Per</w:t>
      </w:r>
      <w:proofErr w:type="gramEnd"/>
      <w:r w:rsidRPr="001D5AE3">
        <w:rPr>
          <w:rFonts w:ascii="Arial" w:hAnsi="Arial" w:cs="Arial"/>
          <w:sz w:val="18"/>
          <w:szCs w:val="18"/>
        </w:rPr>
        <w:t xml:space="preserve"> current sign up </w:t>
      </w:r>
    </w:p>
    <w:p w:rsidR="006561F1" w:rsidRPr="001D5AE3" w:rsidRDefault="006561F1" w:rsidP="006561F1">
      <w:pPr>
        <w:rPr>
          <w:rFonts w:ascii="Arial" w:hAnsi="Arial" w:cs="Arial"/>
          <w:sz w:val="18"/>
          <w:szCs w:val="18"/>
        </w:rPr>
      </w:pPr>
    </w:p>
    <w:p w:rsidR="006561F1" w:rsidRPr="001D5AE3" w:rsidRDefault="006561F1" w:rsidP="006561F1">
      <w:pPr>
        <w:rPr>
          <w:rFonts w:ascii="Arial" w:hAnsi="Arial" w:cs="Arial"/>
          <w:sz w:val="18"/>
          <w:szCs w:val="18"/>
        </w:rPr>
      </w:pPr>
      <w:r w:rsidRPr="001D5AE3">
        <w:rPr>
          <w:rFonts w:ascii="Arial" w:hAnsi="Arial" w:cs="Arial"/>
          <w:sz w:val="18"/>
          <w:szCs w:val="18"/>
        </w:rPr>
        <w:t>Dispensing Doctors - This data is 2 months in arrears and as such the accruals for August</w:t>
      </w:r>
      <w:r w:rsidRPr="001D5AE3">
        <w:rPr>
          <w:rFonts w:ascii="Arial" w:hAnsi="Arial" w:cs="Arial"/>
          <w:color w:val="1F497D"/>
          <w:sz w:val="18"/>
          <w:szCs w:val="18"/>
        </w:rPr>
        <w:t xml:space="preserve"> </w:t>
      </w:r>
      <w:r w:rsidRPr="001D5AE3">
        <w:rPr>
          <w:rFonts w:ascii="Arial" w:hAnsi="Arial" w:cs="Arial"/>
          <w:sz w:val="18"/>
          <w:szCs w:val="18"/>
        </w:rPr>
        <w:t xml:space="preserve">&amp; September are based on 15/16 costs at current 16/17 prices with a 1.8% volume increase assumption based on national increases in 2015 </w:t>
      </w:r>
    </w:p>
    <w:p w:rsidR="006561F1" w:rsidRPr="001D5AE3" w:rsidRDefault="006561F1" w:rsidP="006561F1">
      <w:pPr>
        <w:rPr>
          <w:rFonts w:ascii="Arial" w:hAnsi="Arial" w:cs="Arial"/>
          <w:b/>
          <w:bCs/>
          <w:sz w:val="18"/>
          <w:szCs w:val="18"/>
          <w:u w:val="single"/>
        </w:rPr>
      </w:pPr>
    </w:p>
    <w:p w:rsidR="006561F1" w:rsidRPr="001D5AE3" w:rsidRDefault="006561F1" w:rsidP="006561F1">
      <w:pPr>
        <w:rPr>
          <w:rFonts w:ascii="Arial" w:hAnsi="Arial" w:cs="Arial"/>
          <w:sz w:val="18"/>
          <w:szCs w:val="18"/>
        </w:rPr>
      </w:pPr>
      <w:r w:rsidRPr="001D5AE3">
        <w:rPr>
          <w:rFonts w:ascii="Arial" w:hAnsi="Arial" w:cs="Arial"/>
          <w:sz w:val="18"/>
          <w:szCs w:val="18"/>
        </w:rPr>
        <w:t>Premises - Accruals based on current forecast costs where revaluations are due in year and for any missing costs. For NHS Property Services and CHP we are accruing to budget because any overspend is expected to be picked up centrally. Clinical waste is showing a</w:t>
      </w:r>
      <w:r w:rsidRPr="001D5AE3">
        <w:rPr>
          <w:rFonts w:ascii="Arial" w:hAnsi="Arial" w:cs="Arial"/>
          <w:color w:val="1F497D"/>
          <w:sz w:val="18"/>
          <w:szCs w:val="18"/>
        </w:rPr>
        <w:t xml:space="preserve"> </w:t>
      </w:r>
      <w:r w:rsidRPr="001D5AE3">
        <w:rPr>
          <w:rFonts w:ascii="Arial" w:hAnsi="Arial" w:cs="Arial"/>
          <w:sz w:val="18"/>
          <w:szCs w:val="18"/>
        </w:rPr>
        <w:t xml:space="preserve">£4.9k underspend YTD due to low recent invoices compared to budget.  Some rates costs are expected to be lower than budgeted due to the GL </w:t>
      </w:r>
      <w:proofErr w:type="spellStart"/>
      <w:r w:rsidRPr="001D5AE3">
        <w:rPr>
          <w:rFonts w:ascii="Arial" w:hAnsi="Arial" w:cs="Arial"/>
          <w:sz w:val="18"/>
          <w:szCs w:val="18"/>
        </w:rPr>
        <w:t>Hearns</w:t>
      </w:r>
      <w:proofErr w:type="spellEnd"/>
      <w:r w:rsidRPr="001D5AE3">
        <w:rPr>
          <w:rFonts w:ascii="Arial" w:hAnsi="Arial" w:cs="Arial"/>
          <w:sz w:val="18"/>
          <w:szCs w:val="18"/>
        </w:rPr>
        <w:t xml:space="preserve"> </w:t>
      </w:r>
      <w:proofErr w:type="gramStart"/>
      <w:r w:rsidRPr="001D5AE3">
        <w:rPr>
          <w:rFonts w:ascii="Arial" w:hAnsi="Arial" w:cs="Arial"/>
          <w:sz w:val="18"/>
          <w:szCs w:val="18"/>
        </w:rPr>
        <w:t>exercise,</w:t>
      </w:r>
      <w:proofErr w:type="gramEnd"/>
      <w:r w:rsidRPr="001D5AE3">
        <w:rPr>
          <w:rFonts w:ascii="Arial" w:hAnsi="Arial" w:cs="Arial"/>
          <w:sz w:val="18"/>
          <w:szCs w:val="18"/>
        </w:rPr>
        <w:t xml:space="preserve"> this exercise is on-going.</w:t>
      </w:r>
    </w:p>
    <w:p w:rsidR="006561F1" w:rsidRPr="001D5AE3" w:rsidRDefault="006561F1" w:rsidP="006561F1">
      <w:pPr>
        <w:rPr>
          <w:rFonts w:ascii="Arial" w:hAnsi="Arial" w:cs="Arial"/>
          <w:b/>
          <w:bCs/>
          <w:sz w:val="18"/>
          <w:szCs w:val="18"/>
          <w:u w:val="single"/>
        </w:rPr>
      </w:pPr>
    </w:p>
    <w:p w:rsidR="006561F1" w:rsidRPr="001D5AE3" w:rsidRDefault="006561F1" w:rsidP="006561F1">
      <w:pPr>
        <w:rPr>
          <w:rFonts w:ascii="Arial" w:hAnsi="Arial" w:cs="Arial"/>
          <w:sz w:val="18"/>
          <w:szCs w:val="18"/>
        </w:rPr>
      </w:pPr>
      <w:r w:rsidRPr="001D5AE3">
        <w:rPr>
          <w:rFonts w:ascii="Arial" w:hAnsi="Arial" w:cs="Arial"/>
          <w:sz w:val="18"/>
          <w:szCs w:val="18"/>
        </w:rPr>
        <w:t>PCO Administered - Seniority – This is per Q1 &amp; Q2 actual costs with an estimate, however some practices have not been paid and have been forecast based on 15/16 adjusted for 16/17 tariff change, accruals have been included until this is confirmed with Capita.</w:t>
      </w:r>
    </w:p>
    <w:p w:rsidR="006561F1" w:rsidRPr="001D5AE3" w:rsidRDefault="006561F1" w:rsidP="006561F1">
      <w:pPr>
        <w:rPr>
          <w:rFonts w:ascii="Arial" w:hAnsi="Arial" w:cs="Arial"/>
          <w:sz w:val="18"/>
          <w:szCs w:val="18"/>
        </w:rPr>
      </w:pPr>
    </w:p>
    <w:p w:rsidR="006561F1" w:rsidRPr="001D5AE3" w:rsidRDefault="006561F1" w:rsidP="006561F1">
      <w:pPr>
        <w:rPr>
          <w:rFonts w:ascii="Arial" w:hAnsi="Arial" w:cs="Arial"/>
          <w:sz w:val="18"/>
          <w:szCs w:val="18"/>
        </w:rPr>
      </w:pPr>
      <w:r w:rsidRPr="001D5AE3">
        <w:rPr>
          <w:rFonts w:ascii="Arial" w:hAnsi="Arial" w:cs="Arial"/>
          <w:sz w:val="18"/>
          <w:szCs w:val="18"/>
        </w:rPr>
        <w:lastRenderedPageBreak/>
        <w:t>Maternity / Sickness / Retainer Scheme – These are now based on recent actual claims from practices that have been submitted/we are aware of.</w:t>
      </w:r>
    </w:p>
    <w:p w:rsidR="006561F1" w:rsidRPr="001D5AE3" w:rsidRDefault="006561F1" w:rsidP="006561F1">
      <w:pPr>
        <w:rPr>
          <w:rFonts w:ascii="Arial" w:hAnsi="Arial" w:cs="Arial"/>
          <w:sz w:val="18"/>
          <w:szCs w:val="18"/>
        </w:rPr>
      </w:pPr>
    </w:p>
    <w:p w:rsidR="006561F1" w:rsidRPr="001D5AE3" w:rsidRDefault="006561F1" w:rsidP="006561F1">
      <w:pPr>
        <w:rPr>
          <w:rFonts w:ascii="Arial" w:hAnsi="Arial" w:cs="Arial"/>
          <w:sz w:val="18"/>
          <w:szCs w:val="18"/>
        </w:rPr>
      </w:pPr>
      <w:r w:rsidRPr="001D5AE3">
        <w:rPr>
          <w:rFonts w:ascii="Arial" w:hAnsi="Arial" w:cs="Arial"/>
          <w:sz w:val="18"/>
          <w:szCs w:val="18"/>
        </w:rPr>
        <w:t>QOF - Accrued based on 15/16 points at 16/17 prices with a 0.54% population increase assumption</w:t>
      </w:r>
    </w:p>
    <w:p w:rsidR="006561F1" w:rsidRPr="001D5AE3" w:rsidRDefault="006561F1" w:rsidP="006561F1">
      <w:pPr>
        <w:rPr>
          <w:rFonts w:ascii="Arial" w:hAnsi="Arial" w:cs="Arial"/>
          <w:sz w:val="18"/>
          <w:szCs w:val="18"/>
        </w:rPr>
      </w:pPr>
    </w:p>
    <w:p w:rsidR="006561F1" w:rsidRPr="001D5AE3" w:rsidRDefault="006561F1" w:rsidP="006561F1">
      <w:pPr>
        <w:rPr>
          <w:rFonts w:ascii="Arial" w:hAnsi="Arial" w:cs="Arial"/>
          <w:sz w:val="18"/>
          <w:szCs w:val="18"/>
        </w:rPr>
      </w:pPr>
      <w:r w:rsidRPr="001D5AE3">
        <w:rPr>
          <w:rFonts w:ascii="Arial" w:hAnsi="Arial" w:cs="Arial"/>
          <w:sz w:val="18"/>
          <w:szCs w:val="18"/>
        </w:rPr>
        <w:t xml:space="preserve">Prior Year Accruals and Costs - </w:t>
      </w:r>
      <w:r w:rsidR="001D5AE3" w:rsidRPr="001D5AE3">
        <w:rPr>
          <w:rFonts w:ascii="Arial" w:hAnsi="Arial" w:cs="Arial"/>
          <w:sz w:val="18"/>
          <w:szCs w:val="18"/>
        </w:rPr>
        <w:t>t</w:t>
      </w:r>
      <w:r w:rsidRPr="001D5AE3">
        <w:rPr>
          <w:rFonts w:ascii="Arial" w:hAnsi="Arial" w:cs="Arial"/>
          <w:sz w:val="18"/>
          <w:szCs w:val="18"/>
        </w:rPr>
        <w:t xml:space="preserve">hese have / are being moved to the separate cost centre </w:t>
      </w:r>
    </w:p>
    <w:p w:rsidR="006561F1" w:rsidRPr="001D5AE3" w:rsidRDefault="006561F1" w:rsidP="006561F1">
      <w:pPr>
        <w:rPr>
          <w:rFonts w:ascii="Arial" w:hAnsi="Arial" w:cs="Arial"/>
          <w:sz w:val="18"/>
          <w:szCs w:val="18"/>
        </w:rPr>
      </w:pPr>
    </w:p>
    <w:p w:rsidR="00DF326C" w:rsidRPr="001D5AE3" w:rsidRDefault="00DF326C" w:rsidP="00D421CE">
      <w:pPr>
        <w:rPr>
          <w:rFonts w:ascii="Arial" w:eastAsia="Times New Roman" w:hAnsi="Arial" w:cs="Arial"/>
          <w:sz w:val="18"/>
          <w:szCs w:val="18"/>
          <w:u w:val="single"/>
        </w:rPr>
      </w:pPr>
      <w:r w:rsidRPr="001D5AE3">
        <w:rPr>
          <w:rFonts w:ascii="Arial" w:eastAsia="Times New Roman" w:hAnsi="Arial" w:cs="Arial"/>
          <w:sz w:val="18"/>
          <w:szCs w:val="18"/>
          <w:u w:val="single"/>
        </w:rPr>
        <w:t>NEL CCG</w:t>
      </w:r>
    </w:p>
    <w:p w:rsidR="00DF326C" w:rsidRPr="001D5AE3" w:rsidRDefault="00CF08E3" w:rsidP="00D421CE">
      <w:pPr>
        <w:rPr>
          <w:rFonts w:ascii="Arial" w:eastAsia="Times New Roman" w:hAnsi="Arial" w:cs="Arial"/>
          <w:sz w:val="18"/>
          <w:szCs w:val="18"/>
        </w:rPr>
      </w:pPr>
      <w:r w:rsidRPr="001D5AE3">
        <w:rPr>
          <w:rFonts w:ascii="Arial" w:eastAsia="Times New Roman" w:hAnsi="Arial" w:cs="Arial"/>
          <w:sz w:val="18"/>
          <w:szCs w:val="18"/>
        </w:rPr>
        <w:t xml:space="preserve">For those enhanced services which practices are still in the process of signing up to and for those specifications </w:t>
      </w:r>
      <w:r w:rsidR="005457B8" w:rsidRPr="001D5AE3">
        <w:rPr>
          <w:rFonts w:ascii="Arial" w:eastAsia="Times New Roman" w:hAnsi="Arial" w:cs="Arial"/>
          <w:sz w:val="18"/>
          <w:szCs w:val="18"/>
        </w:rPr>
        <w:t>which are still to be finalised and issued to practices</w:t>
      </w:r>
      <w:r w:rsidRPr="001D5AE3">
        <w:rPr>
          <w:rFonts w:ascii="Arial" w:eastAsia="Times New Roman" w:hAnsi="Arial" w:cs="Arial"/>
          <w:sz w:val="18"/>
          <w:szCs w:val="18"/>
        </w:rPr>
        <w:t xml:space="preserve"> for sign up, an assumption has been made </w:t>
      </w:r>
      <w:r w:rsidR="005457B8" w:rsidRPr="001D5AE3">
        <w:rPr>
          <w:rFonts w:ascii="Arial" w:eastAsia="Times New Roman" w:hAnsi="Arial" w:cs="Arial"/>
          <w:sz w:val="18"/>
          <w:szCs w:val="18"/>
        </w:rPr>
        <w:t>that all practices which are eligible to sign up to provide the services will do so.</w:t>
      </w:r>
      <w:bookmarkStart w:id="0" w:name="_GoBack"/>
      <w:bookmarkEnd w:id="0"/>
    </w:p>
    <w:p w:rsidR="00E0080C" w:rsidRDefault="00E0080C" w:rsidP="00593901">
      <w:pPr>
        <w:rPr>
          <w:rFonts w:ascii="Arial" w:hAnsi="Arial" w:cs="Arial"/>
          <w:sz w:val="18"/>
          <w:szCs w:val="18"/>
          <w:highlight w:val="yellow"/>
        </w:rPr>
      </w:pPr>
    </w:p>
    <w:p w:rsidR="00593901" w:rsidRPr="003B148C" w:rsidRDefault="00593901" w:rsidP="00593901">
      <w:pPr>
        <w:rPr>
          <w:rFonts w:ascii="Arial" w:hAnsi="Arial" w:cs="Arial"/>
          <w:sz w:val="20"/>
          <w:szCs w:val="20"/>
        </w:rPr>
      </w:pPr>
    </w:p>
    <w:p w:rsidR="00593901" w:rsidRPr="003B148C" w:rsidRDefault="00593901" w:rsidP="00593901">
      <w:pPr>
        <w:rPr>
          <w:rFonts w:ascii="Arial" w:hAnsi="Arial" w:cs="Arial"/>
          <w:sz w:val="20"/>
          <w:szCs w:val="20"/>
        </w:rPr>
      </w:pPr>
      <w:r w:rsidRPr="003B148C">
        <w:rPr>
          <w:rFonts w:ascii="Arial" w:hAnsi="Arial" w:cs="Arial"/>
          <w:b/>
          <w:sz w:val="20"/>
          <w:szCs w:val="20"/>
        </w:rPr>
        <w:t>Recommendation</w:t>
      </w:r>
    </w:p>
    <w:p w:rsidR="00593901" w:rsidRPr="003B148C" w:rsidRDefault="00593901" w:rsidP="00593901">
      <w:pPr>
        <w:rPr>
          <w:rFonts w:ascii="Arial" w:hAnsi="Arial" w:cs="Arial"/>
          <w:sz w:val="20"/>
          <w:szCs w:val="20"/>
        </w:rPr>
      </w:pPr>
    </w:p>
    <w:p w:rsidR="00593901" w:rsidRPr="003F6148" w:rsidRDefault="00593901" w:rsidP="00593901">
      <w:pPr>
        <w:rPr>
          <w:rFonts w:ascii="Arial" w:hAnsi="Arial" w:cs="Arial"/>
          <w:sz w:val="18"/>
          <w:szCs w:val="18"/>
        </w:rPr>
      </w:pPr>
      <w:r w:rsidRPr="003F6148">
        <w:rPr>
          <w:rFonts w:ascii="Arial" w:hAnsi="Arial" w:cs="Arial"/>
          <w:sz w:val="18"/>
          <w:szCs w:val="18"/>
        </w:rPr>
        <w:t>Members are asked to note the position.</w:t>
      </w:r>
    </w:p>
    <w:p w:rsidR="00593901" w:rsidRDefault="00593901" w:rsidP="00593901">
      <w:pPr>
        <w:rPr>
          <w:rFonts w:ascii="Arial" w:hAnsi="Arial" w:cs="Arial"/>
          <w:sz w:val="20"/>
          <w:szCs w:val="20"/>
        </w:rPr>
      </w:pPr>
    </w:p>
    <w:p w:rsidR="00593901" w:rsidRDefault="00593901" w:rsidP="00593901">
      <w:pPr>
        <w:rPr>
          <w:rFonts w:ascii="Arial" w:hAnsi="Arial" w:cs="Arial"/>
          <w:b/>
          <w:sz w:val="20"/>
          <w:szCs w:val="20"/>
          <w:u w:val="single"/>
        </w:rPr>
      </w:pPr>
      <w:r>
        <w:rPr>
          <w:rFonts w:ascii="Arial" w:hAnsi="Arial" w:cs="Arial"/>
          <w:sz w:val="20"/>
          <w:szCs w:val="20"/>
        </w:rPr>
        <w:br w:type="page"/>
      </w:r>
      <w:r w:rsidRPr="00D65A88">
        <w:rPr>
          <w:rFonts w:ascii="Arial" w:hAnsi="Arial" w:cs="Arial"/>
          <w:b/>
          <w:sz w:val="20"/>
          <w:szCs w:val="20"/>
          <w:u w:val="single"/>
        </w:rPr>
        <w:lastRenderedPageBreak/>
        <w:t>APPENDIX 1 – SUMMARY EXPENDITUR</w:t>
      </w:r>
      <w:r>
        <w:rPr>
          <w:rFonts w:ascii="Arial" w:hAnsi="Arial" w:cs="Arial"/>
          <w:b/>
          <w:sz w:val="20"/>
          <w:szCs w:val="20"/>
          <w:u w:val="single"/>
        </w:rPr>
        <w:t>E</w:t>
      </w:r>
      <w:r w:rsidRPr="00D65A88">
        <w:rPr>
          <w:rFonts w:ascii="Arial" w:hAnsi="Arial" w:cs="Arial"/>
          <w:b/>
          <w:sz w:val="20"/>
          <w:szCs w:val="20"/>
          <w:u w:val="single"/>
        </w:rPr>
        <w:t xml:space="preserve"> REPORT</w:t>
      </w:r>
    </w:p>
    <w:p w:rsidR="00593901" w:rsidRPr="00D65A88" w:rsidRDefault="00593901" w:rsidP="00593901">
      <w:pPr>
        <w:rPr>
          <w:rFonts w:ascii="Arial" w:hAnsi="Arial" w:cs="Arial"/>
          <w:b/>
          <w:sz w:val="20"/>
          <w:szCs w:val="20"/>
          <w:u w:val="single"/>
        </w:rPr>
      </w:pPr>
    </w:p>
    <w:p w:rsidR="00593901" w:rsidRDefault="00593901" w:rsidP="00593901">
      <w:pPr>
        <w:rPr>
          <w:rFonts w:ascii="Arial" w:hAnsi="Arial" w:cs="Arial"/>
          <w:sz w:val="20"/>
          <w:szCs w:val="20"/>
        </w:rPr>
      </w:pPr>
    </w:p>
    <w:tbl>
      <w:tblPr>
        <w:tblW w:w="9080" w:type="dxa"/>
        <w:tblInd w:w="93" w:type="dxa"/>
        <w:tblLook w:val="04A0" w:firstRow="1" w:lastRow="0" w:firstColumn="1" w:lastColumn="0" w:noHBand="0" w:noVBand="1"/>
      </w:tblPr>
      <w:tblGrid>
        <w:gridCol w:w="2980"/>
        <w:gridCol w:w="960"/>
        <w:gridCol w:w="1060"/>
        <w:gridCol w:w="960"/>
        <w:gridCol w:w="1080"/>
        <w:gridCol w:w="1080"/>
        <w:gridCol w:w="960"/>
      </w:tblGrid>
      <w:tr w:rsidR="006561F1" w:rsidRPr="006561F1" w:rsidTr="006561F1">
        <w:trPr>
          <w:trHeight w:val="288"/>
        </w:trPr>
        <w:tc>
          <w:tcPr>
            <w:tcW w:w="29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c>
          <w:tcPr>
            <w:tcW w:w="2980" w:type="dxa"/>
            <w:gridSpan w:val="3"/>
            <w:tcBorders>
              <w:top w:val="single" w:sz="4" w:space="0" w:color="auto"/>
              <w:left w:val="nil"/>
              <w:bottom w:val="single" w:sz="4" w:space="0" w:color="auto"/>
              <w:right w:val="single" w:sz="4" w:space="0" w:color="000000"/>
            </w:tcBorders>
            <w:shd w:val="clear" w:color="000000" w:fill="BFBFBF"/>
            <w:noWrap/>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FULL YEAR</w:t>
            </w:r>
          </w:p>
        </w:tc>
        <w:tc>
          <w:tcPr>
            <w:tcW w:w="3120" w:type="dxa"/>
            <w:gridSpan w:val="3"/>
            <w:tcBorders>
              <w:top w:val="single" w:sz="4" w:space="0" w:color="auto"/>
              <w:left w:val="nil"/>
              <w:bottom w:val="single" w:sz="4" w:space="0" w:color="auto"/>
              <w:right w:val="single" w:sz="4" w:space="0" w:color="000000"/>
            </w:tcBorders>
            <w:shd w:val="clear" w:color="000000" w:fill="BFBFBF"/>
            <w:noWrap/>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YEAR TO DATE</w:t>
            </w:r>
          </w:p>
        </w:tc>
      </w:tr>
      <w:tr w:rsidR="006561F1" w:rsidRPr="006561F1" w:rsidTr="006561F1">
        <w:trPr>
          <w:trHeight w:val="1152"/>
        </w:trPr>
        <w:tc>
          <w:tcPr>
            <w:tcW w:w="2980" w:type="dxa"/>
            <w:tcBorders>
              <w:top w:val="nil"/>
              <w:left w:val="single" w:sz="4" w:space="0" w:color="auto"/>
              <w:bottom w:val="nil"/>
              <w:right w:val="single" w:sz="4" w:space="0" w:color="auto"/>
            </w:tcBorders>
            <w:shd w:val="clear" w:color="000000" w:fill="BFBFBF"/>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c>
          <w:tcPr>
            <w:tcW w:w="960" w:type="dxa"/>
            <w:tcBorders>
              <w:top w:val="nil"/>
              <w:left w:val="nil"/>
              <w:bottom w:val="nil"/>
              <w:right w:val="single" w:sz="4" w:space="0" w:color="auto"/>
            </w:tcBorders>
            <w:shd w:val="clear" w:color="000000" w:fill="BFBFBF"/>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Annual Budget £'000</w:t>
            </w:r>
          </w:p>
        </w:tc>
        <w:tc>
          <w:tcPr>
            <w:tcW w:w="1060" w:type="dxa"/>
            <w:tcBorders>
              <w:top w:val="nil"/>
              <w:left w:val="nil"/>
              <w:bottom w:val="nil"/>
              <w:right w:val="single" w:sz="4" w:space="0" w:color="auto"/>
            </w:tcBorders>
            <w:shd w:val="clear" w:color="000000" w:fill="BFBFBF"/>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Forecast Out-turn £'000</w:t>
            </w:r>
          </w:p>
        </w:tc>
        <w:tc>
          <w:tcPr>
            <w:tcW w:w="960" w:type="dxa"/>
            <w:tcBorders>
              <w:top w:val="nil"/>
              <w:left w:val="nil"/>
              <w:bottom w:val="nil"/>
              <w:right w:val="single" w:sz="4" w:space="0" w:color="auto"/>
            </w:tcBorders>
            <w:shd w:val="clear" w:color="000000" w:fill="BFBFBF"/>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Forecast Variance £'000</w:t>
            </w:r>
          </w:p>
        </w:tc>
        <w:tc>
          <w:tcPr>
            <w:tcW w:w="1080" w:type="dxa"/>
            <w:tcBorders>
              <w:top w:val="nil"/>
              <w:left w:val="nil"/>
              <w:bottom w:val="nil"/>
              <w:right w:val="single" w:sz="4" w:space="0" w:color="auto"/>
            </w:tcBorders>
            <w:shd w:val="clear" w:color="000000" w:fill="BFBFBF"/>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Year to date budget £'000</w:t>
            </w:r>
          </w:p>
        </w:tc>
        <w:tc>
          <w:tcPr>
            <w:tcW w:w="1080" w:type="dxa"/>
            <w:tcBorders>
              <w:top w:val="nil"/>
              <w:left w:val="nil"/>
              <w:bottom w:val="nil"/>
              <w:right w:val="single" w:sz="4" w:space="0" w:color="auto"/>
            </w:tcBorders>
            <w:shd w:val="clear" w:color="000000" w:fill="BFBFBF"/>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Year to date actual £'000</w:t>
            </w:r>
          </w:p>
        </w:tc>
        <w:tc>
          <w:tcPr>
            <w:tcW w:w="960" w:type="dxa"/>
            <w:tcBorders>
              <w:top w:val="nil"/>
              <w:left w:val="nil"/>
              <w:bottom w:val="nil"/>
              <w:right w:val="single" w:sz="4" w:space="0" w:color="auto"/>
            </w:tcBorders>
            <w:shd w:val="clear" w:color="000000" w:fill="BFBFBF"/>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Year to date variance £'000</w:t>
            </w:r>
          </w:p>
        </w:tc>
      </w:tr>
      <w:tr w:rsidR="006561F1" w:rsidRPr="006561F1" w:rsidTr="006561F1">
        <w:trPr>
          <w:trHeight w:val="288"/>
        </w:trPr>
        <w:tc>
          <w:tcPr>
            <w:tcW w:w="2980" w:type="dxa"/>
            <w:tcBorders>
              <w:top w:val="single" w:sz="4" w:space="0" w:color="auto"/>
              <w:left w:val="single" w:sz="4" w:space="0" w:color="auto"/>
              <w:bottom w:val="single" w:sz="4" w:space="0" w:color="auto"/>
              <w:right w:val="nil"/>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c>
          <w:tcPr>
            <w:tcW w:w="960" w:type="dxa"/>
            <w:tcBorders>
              <w:top w:val="single" w:sz="4" w:space="0" w:color="auto"/>
              <w:left w:val="nil"/>
              <w:bottom w:val="single" w:sz="4" w:space="0" w:color="auto"/>
              <w:right w:val="nil"/>
            </w:tcBorders>
            <w:shd w:val="clear" w:color="auto" w:fill="auto"/>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 </w:t>
            </w:r>
          </w:p>
        </w:tc>
        <w:tc>
          <w:tcPr>
            <w:tcW w:w="1060" w:type="dxa"/>
            <w:tcBorders>
              <w:top w:val="single" w:sz="4" w:space="0" w:color="auto"/>
              <w:left w:val="nil"/>
              <w:bottom w:val="single" w:sz="4" w:space="0" w:color="auto"/>
              <w:right w:val="nil"/>
            </w:tcBorders>
            <w:shd w:val="clear" w:color="auto" w:fill="auto"/>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 </w:t>
            </w:r>
          </w:p>
        </w:tc>
        <w:tc>
          <w:tcPr>
            <w:tcW w:w="960" w:type="dxa"/>
            <w:tcBorders>
              <w:top w:val="single" w:sz="4" w:space="0" w:color="auto"/>
              <w:left w:val="nil"/>
              <w:bottom w:val="single" w:sz="4" w:space="0" w:color="auto"/>
              <w:right w:val="nil"/>
            </w:tcBorders>
            <w:shd w:val="clear" w:color="auto" w:fill="auto"/>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 </w:t>
            </w:r>
          </w:p>
        </w:tc>
        <w:tc>
          <w:tcPr>
            <w:tcW w:w="1080" w:type="dxa"/>
            <w:tcBorders>
              <w:top w:val="single" w:sz="4" w:space="0" w:color="auto"/>
              <w:left w:val="nil"/>
              <w:bottom w:val="single" w:sz="4" w:space="0" w:color="auto"/>
              <w:right w:val="nil"/>
            </w:tcBorders>
            <w:shd w:val="clear" w:color="auto" w:fill="auto"/>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 </w:t>
            </w:r>
          </w:p>
        </w:tc>
        <w:tc>
          <w:tcPr>
            <w:tcW w:w="1080" w:type="dxa"/>
            <w:tcBorders>
              <w:top w:val="single" w:sz="4" w:space="0" w:color="auto"/>
              <w:left w:val="nil"/>
              <w:bottom w:val="single" w:sz="4" w:space="0" w:color="auto"/>
              <w:right w:val="nil"/>
            </w:tcBorders>
            <w:shd w:val="clear" w:color="auto" w:fill="auto"/>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 </w:t>
            </w:r>
          </w:p>
        </w:tc>
      </w:tr>
      <w:tr w:rsidR="006561F1" w:rsidRPr="006561F1" w:rsidTr="006561F1">
        <w:trPr>
          <w:trHeight w:val="576"/>
        </w:trPr>
        <w:tc>
          <w:tcPr>
            <w:tcW w:w="2980" w:type="dxa"/>
            <w:tcBorders>
              <w:top w:val="nil"/>
              <w:left w:val="single" w:sz="4" w:space="0" w:color="auto"/>
              <w:bottom w:val="single" w:sz="4" w:space="0" w:color="auto"/>
              <w:right w:val="single" w:sz="4" w:space="0" w:color="auto"/>
            </w:tcBorders>
            <w:shd w:val="clear" w:color="000000" w:fill="BFBFBF"/>
            <w:vAlign w:val="bottom"/>
            <w:hideMark/>
          </w:tcPr>
          <w:p w:rsidR="006561F1" w:rsidRPr="006561F1" w:rsidRDefault="006561F1" w:rsidP="006561F1">
            <w:pPr>
              <w:rPr>
                <w:rFonts w:eastAsia="Times New Roman" w:cs="Calibri"/>
                <w:b/>
                <w:bCs/>
                <w:color w:val="000000"/>
                <w:sz w:val="20"/>
                <w:szCs w:val="20"/>
                <w:lang w:eastAsia="en-GB"/>
              </w:rPr>
            </w:pPr>
            <w:r w:rsidRPr="006561F1">
              <w:rPr>
                <w:rFonts w:eastAsia="Times New Roman" w:cs="Calibri"/>
                <w:b/>
                <w:bCs/>
                <w:color w:val="000000"/>
                <w:sz w:val="20"/>
                <w:szCs w:val="20"/>
                <w:lang w:eastAsia="en-GB"/>
              </w:rPr>
              <w:t>NHS ENGLAND COMMISSIONED</w:t>
            </w:r>
          </w:p>
        </w:tc>
        <w:tc>
          <w:tcPr>
            <w:tcW w:w="960" w:type="dxa"/>
            <w:tcBorders>
              <w:top w:val="nil"/>
              <w:left w:val="nil"/>
              <w:bottom w:val="single" w:sz="4" w:space="0" w:color="auto"/>
              <w:right w:val="nil"/>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c>
          <w:tcPr>
            <w:tcW w:w="1060" w:type="dxa"/>
            <w:tcBorders>
              <w:top w:val="nil"/>
              <w:left w:val="nil"/>
              <w:bottom w:val="single" w:sz="4" w:space="0" w:color="auto"/>
              <w:right w:val="nil"/>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c>
          <w:tcPr>
            <w:tcW w:w="960" w:type="dxa"/>
            <w:tcBorders>
              <w:top w:val="nil"/>
              <w:left w:val="nil"/>
              <w:bottom w:val="single" w:sz="4" w:space="0" w:color="auto"/>
              <w:right w:val="nil"/>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c>
          <w:tcPr>
            <w:tcW w:w="1080" w:type="dxa"/>
            <w:tcBorders>
              <w:top w:val="nil"/>
              <w:left w:val="nil"/>
              <w:bottom w:val="single" w:sz="4" w:space="0" w:color="auto"/>
              <w:right w:val="nil"/>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c>
          <w:tcPr>
            <w:tcW w:w="1080" w:type="dxa"/>
            <w:tcBorders>
              <w:top w:val="nil"/>
              <w:left w:val="nil"/>
              <w:bottom w:val="single" w:sz="4" w:space="0" w:color="auto"/>
              <w:right w:val="nil"/>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r>
      <w:tr w:rsidR="006561F1" w:rsidRPr="006561F1" w:rsidTr="006561F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General Practice - PMS</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14,395</w:t>
            </w:r>
          </w:p>
        </w:tc>
        <w:tc>
          <w:tcPr>
            <w:tcW w:w="10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14,395</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7,198</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7,290</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92</w:t>
            </w:r>
          </w:p>
        </w:tc>
      </w:tr>
      <w:tr w:rsidR="006561F1" w:rsidRPr="006561F1" w:rsidTr="006561F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General Practice - APMS</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758</w:t>
            </w:r>
          </w:p>
        </w:tc>
        <w:tc>
          <w:tcPr>
            <w:tcW w:w="10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758</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379</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371</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-8</w:t>
            </w:r>
          </w:p>
        </w:tc>
      </w:tr>
      <w:tr w:rsidR="006561F1" w:rsidRPr="006561F1" w:rsidTr="006561F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General Practice - GMS</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25</w:t>
            </w:r>
          </w:p>
        </w:tc>
        <w:tc>
          <w:tcPr>
            <w:tcW w:w="10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25</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13</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-11</w:t>
            </w:r>
          </w:p>
        </w:tc>
      </w:tr>
      <w:tr w:rsidR="006561F1" w:rsidRPr="006561F1" w:rsidTr="006561F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Premises cost re</w:t>
            </w:r>
            <w:r>
              <w:rPr>
                <w:rFonts w:eastAsia="Times New Roman" w:cs="Calibri"/>
                <w:color w:val="000000"/>
                <w:sz w:val="20"/>
                <w:szCs w:val="20"/>
                <w:lang w:eastAsia="en-GB"/>
              </w:rPr>
              <w:t>-</w:t>
            </w:r>
            <w:r w:rsidRPr="006561F1">
              <w:rPr>
                <w:rFonts w:eastAsia="Times New Roman" w:cs="Calibri"/>
                <w:color w:val="000000"/>
                <w:sz w:val="20"/>
                <w:szCs w:val="20"/>
                <w:lang w:eastAsia="en-GB"/>
              </w:rPr>
              <w:t>imburs</w:t>
            </w:r>
            <w:r>
              <w:rPr>
                <w:rFonts w:eastAsia="Times New Roman" w:cs="Calibri"/>
                <w:color w:val="000000"/>
                <w:sz w:val="20"/>
                <w:szCs w:val="20"/>
                <w:lang w:eastAsia="en-GB"/>
              </w:rPr>
              <w:t>e</w:t>
            </w:r>
            <w:r w:rsidRPr="006561F1">
              <w:rPr>
                <w:rFonts w:eastAsia="Times New Roman" w:cs="Calibri"/>
                <w:color w:val="000000"/>
                <w:sz w:val="20"/>
                <w:szCs w:val="20"/>
                <w:lang w:eastAsia="en-GB"/>
              </w:rPr>
              <w:t>ment</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5,871</w:t>
            </w:r>
          </w:p>
        </w:tc>
        <w:tc>
          <w:tcPr>
            <w:tcW w:w="10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5,871</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2,935</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2,924</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-12</w:t>
            </w:r>
          </w:p>
        </w:tc>
      </w:tr>
      <w:tr w:rsidR="006561F1" w:rsidRPr="006561F1" w:rsidTr="006561F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Other premises costs</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2</w:t>
            </w:r>
          </w:p>
        </w:tc>
        <w:tc>
          <w:tcPr>
            <w:tcW w:w="10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0</w:t>
            </w:r>
          </w:p>
        </w:tc>
      </w:tr>
      <w:tr w:rsidR="006561F1" w:rsidRPr="006561F1" w:rsidTr="006561F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Enhanced services</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824</w:t>
            </w:r>
          </w:p>
        </w:tc>
        <w:tc>
          <w:tcPr>
            <w:tcW w:w="10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824</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412</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389</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-23</w:t>
            </w:r>
          </w:p>
        </w:tc>
      </w:tr>
      <w:tr w:rsidR="006561F1" w:rsidRPr="006561F1" w:rsidTr="006561F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QOF</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2,282</w:t>
            </w:r>
          </w:p>
        </w:tc>
        <w:tc>
          <w:tcPr>
            <w:tcW w:w="10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2,282</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1,141</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1,109</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-32</w:t>
            </w:r>
          </w:p>
        </w:tc>
      </w:tr>
      <w:tr w:rsidR="006561F1" w:rsidRPr="006561F1" w:rsidTr="006561F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Dispensing/Prescribing Drs</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326</w:t>
            </w:r>
          </w:p>
        </w:tc>
        <w:tc>
          <w:tcPr>
            <w:tcW w:w="10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326</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163</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151</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-12</w:t>
            </w:r>
          </w:p>
        </w:tc>
      </w:tr>
      <w:tr w:rsidR="006561F1" w:rsidRPr="006561F1" w:rsidTr="006561F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Other GP services</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1,862</w:t>
            </w:r>
          </w:p>
        </w:tc>
        <w:tc>
          <w:tcPr>
            <w:tcW w:w="10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1,862</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796</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107</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-689</w:t>
            </w:r>
          </w:p>
        </w:tc>
      </w:tr>
      <w:tr w:rsidR="006561F1" w:rsidRPr="006561F1" w:rsidTr="006561F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6561F1" w:rsidRPr="006561F1" w:rsidRDefault="006561F1" w:rsidP="006561F1">
            <w:pPr>
              <w:rPr>
                <w:rFonts w:eastAsia="Times New Roman" w:cs="Calibri"/>
                <w:b/>
                <w:bCs/>
                <w:color w:val="000000"/>
                <w:sz w:val="20"/>
                <w:szCs w:val="20"/>
                <w:lang w:eastAsia="en-GB"/>
              </w:rPr>
            </w:pPr>
            <w:r w:rsidRPr="006561F1">
              <w:rPr>
                <w:rFonts w:eastAsia="Times New Roman" w:cs="Calibri"/>
                <w:b/>
                <w:bCs/>
                <w:color w:val="000000"/>
                <w:sz w:val="20"/>
                <w:szCs w:val="20"/>
                <w:lang w:eastAsia="en-GB"/>
              </w:rPr>
              <w:t>NHSE COMMISSIONED TOTAL</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26,345</w:t>
            </w:r>
          </w:p>
        </w:tc>
        <w:tc>
          <w:tcPr>
            <w:tcW w:w="10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26,345</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13,036</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12,342</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-694</w:t>
            </w:r>
          </w:p>
        </w:tc>
      </w:tr>
      <w:tr w:rsidR="006561F1" w:rsidRPr="006561F1" w:rsidTr="006561F1">
        <w:trPr>
          <w:trHeight w:val="288"/>
        </w:trPr>
        <w:tc>
          <w:tcPr>
            <w:tcW w:w="2980" w:type="dxa"/>
            <w:tcBorders>
              <w:top w:val="nil"/>
              <w:left w:val="single" w:sz="4" w:space="0" w:color="auto"/>
              <w:bottom w:val="single" w:sz="4" w:space="0" w:color="auto"/>
              <w:right w:val="nil"/>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c>
          <w:tcPr>
            <w:tcW w:w="960" w:type="dxa"/>
            <w:tcBorders>
              <w:top w:val="nil"/>
              <w:left w:val="nil"/>
              <w:bottom w:val="single" w:sz="4" w:space="0" w:color="auto"/>
              <w:right w:val="nil"/>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c>
          <w:tcPr>
            <w:tcW w:w="1060" w:type="dxa"/>
            <w:tcBorders>
              <w:top w:val="nil"/>
              <w:left w:val="nil"/>
              <w:bottom w:val="single" w:sz="4" w:space="0" w:color="auto"/>
              <w:right w:val="nil"/>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c>
          <w:tcPr>
            <w:tcW w:w="960" w:type="dxa"/>
            <w:tcBorders>
              <w:top w:val="nil"/>
              <w:left w:val="nil"/>
              <w:bottom w:val="single" w:sz="4" w:space="0" w:color="auto"/>
              <w:right w:val="nil"/>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c>
          <w:tcPr>
            <w:tcW w:w="1080" w:type="dxa"/>
            <w:tcBorders>
              <w:top w:val="nil"/>
              <w:left w:val="nil"/>
              <w:bottom w:val="single" w:sz="4" w:space="0" w:color="auto"/>
              <w:right w:val="nil"/>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c>
          <w:tcPr>
            <w:tcW w:w="1080" w:type="dxa"/>
            <w:tcBorders>
              <w:top w:val="nil"/>
              <w:left w:val="nil"/>
              <w:bottom w:val="single" w:sz="4" w:space="0" w:color="auto"/>
              <w:right w:val="nil"/>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r>
      <w:tr w:rsidR="006561F1" w:rsidRPr="006561F1" w:rsidTr="006561F1">
        <w:trPr>
          <w:trHeight w:val="864"/>
        </w:trPr>
        <w:tc>
          <w:tcPr>
            <w:tcW w:w="2980" w:type="dxa"/>
            <w:tcBorders>
              <w:top w:val="nil"/>
              <w:left w:val="single" w:sz="4" w:space="0" w:color="auto"/>
              <w:bottom w:val="single" w:sz="4" w:space="0" w:color="auto"/>
              <w:right w:val="single" w:sz="4" w:space="0" w:color="auto"/>
            </w:tcBorders>
            <w:shd w:val="clear" w:color="000000" w:fill="BFBFBF"/>
            <w:vAlign w:val="bottom"/>
            <w:hideMark/>
          </w:tcPr>
          <w:p w:rsidR="006561F1" w:rsidRPr="006561F1" w:rsidRDefault="006561F1" w:rsidP="006561F1">
            <w:pPr>
              <w:rPr>
                <w:rFonts w:eastAsia="Times New Roman" w:cs="Calibri"/>
                <w:b/>
                <w:bCs/>
                <w:color w:val="000000"/>
                <w:sz w:val="20"/>
                <w:szCs w:val="20"/>
                <w:lang w:eastAsia="en-GB"/>
              </w:rPr>
            </w:pPr>
            <w:r w:rsidRPr="006561F1">
              <w:rPr>
                <w:rFonts w:eastAsia="Times New Roman" w:cs="Calibri"/>
                <w:b/>
                <w:bCs/>
                <w:color w:val="000000"/>
                <w:sz w:val="20"/>
                <w:szCs w:val="20"/>
                <w:lang w:eastAsia="en-GB"/>
              </w:rPr>
              <w:t>NHS NORTH EAST LINCOLNSHIRE CCG COMMISSIONED</w:t>
            </w:r>
          </w:p>
        </w:tc>
        <w:tc>
          <w:tcPr>
            <w:tcW w:w="960" w:type="dxa"/>
            <w:tcBorders>
              <w:top w:val="nil"/>
              <w:left w:val="nil"/>
              <w:bottom w:val="single" w:sz="4" w:space="0" w:color="auto"/>
              <w:right w:val="nil"/>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c>
          <w:tcPr>
            <w:tcW w:w="1060" w:type="dxa"/>
            <w:tcBorders>
              <w:top w:val="nil"/>
              <w:left w:val="nil"/>
              <w:bottom w:val="single" w:sz="4" w:space="0" w:color="auto"/>
              <w:right w:val="nil"/>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c>
          <w:tcPr>
            <w:tcW w:w="960" w:type="dxa"/>
            <w:tcBorders>
              <w:top w:val="nil"/>
              <w:left w:val="nil"/>
              <w:bottom w:val="single" w:sz="4" w:space="0" w:color="auto"/>
              <w:right w:val="nil"/>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c>
          <w:tcPr>
            <w:tcW w:w="1080" w:type="dxa"/>
            <w:tcBorders>
              <w:top w:val="nil"/>
              <w:left w:val="nil"/>
              <w:bottom w:val="single" w:sz="4" w:space="0" w:color="auto"/>
              <w:right w:val="nil"/>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c>
          <w:tcPr>
            <w:tcW w:w="1080" w:type="dxa"/>
            <w:tcBorders>
              <w:top w:val="nil"/>
              <w:left w:val="nil"/>
              <w:bottom w:val="single" w:sz="4" w:space="0" w:color="auto"/>
              <w:right w:val="nil"/>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r>
      <w:tr w:rsidR="006561F1" w:rsidRPr="006561F1" w:rsidTr="006561F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CCG PMS Re-investment</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928</w:t>
            </w:r>
          </w:p>
        </w:tc>
        <w:tc>
          <w:tcPr>
            <w:tcW w:w="10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928</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464</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442</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-22</w:t>
            </w:r>
          </w:p>
        </w:tc>
      </w:tr>
      <w:tr w:rsidR="006561F1" w:rsidRPr="006561F1" w:rsidTr="006561F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Enhanced Services</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1,348</w:t>
            </w:r>
          </w:p>
        </w:tc>
        <w:tc>
          <w:tcPr>
            <w:tcW w:w="10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1,060</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-288</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674</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556</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-118</w:t>
            </w:r>
          </w:p>
        </w:tc>
      </w:tr>
      <w:tr w:rsidR="006561F1" w:rsidRPr="006561F1" w:rsidTr="006561F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Service Improvement Plans</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1,238</w:t>
            </w:r>
          </w:p>
        </w:tc>
        <w:tc>
          <w:tcPr>
            <w:tcW w:w="10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1,428</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190</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619</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714</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95</w:t>
            </w:r>
          </w:p>
        </w:tc>
      </w:tr>
      <w:tr w:rsidR="006561F1" w:rsidRPr="006561F1" w:rsidTr="006561F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GP Training &amp; Recruitment</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130</w:t>
            </w:r>
          </w:p>
        </w:tc>
        <w:tc>
          <w:tcPr>
            <w:tcW w:w="10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94</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-36</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65</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27</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-38</w:t>
            </w:r>
          </w:p>
        </w:tc>
      </w:tr>
      <w:tr w:rsidR="006561F1" w:rsidRPr="006561F1" w:rsidTr="006561F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PBC Quality Scheme</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300</w:t>
            </w:r>
          </w:p>
        </w:tc>
        <w:tc>
          <w:tcPr>
            <w:tcW w:w="10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300</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125</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114</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-11</w:t>
            </w:r>
          </w:p>
        </w:tc>
      </w:tr>
      <w:tr w:rsidR="006561F1" w:rsidRPr="006561F1" w:rsidTr="006561F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Other Primary Care expenditure</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243</w:t>
            </w:r>
          </w:p>
        </w:tc>
        <w:tc>
          <w:tcPr>
            <w:tcW w:w="10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322</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79</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122</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123</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w:t>
            </w:r>
          </w:p>
        </w:tc>
      </w:tr>
      <w:tr w:rsidR="006561F1" w:rsidRPr="006561F1" w:rsidTr="006561F1">
        <w:trPr>
          <w:trHeight w:val="576"/>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6561F1" w:rsidRPr="006561F1" w:rsidRDefault="006561F1" w:rsidP="006561F1">
            <w:pPr>
              <w:rPr>
                <w:rFonts w:eastAsia="Times New Roman" w:cs="Calibri"/>
                <w:b/>
                <w:bCs/>
                <w:color w:val="000000"/>
                <w:sz w:val="20"/>
                <w:szCs w:val="20"/>
                <w:lang w:eastAsia="en-GB"/>
              </w:rPr>
            </w:pPr>
            <w:r w:rsidRPr="006561F1">
              <w:rPr>
                <w:rFonts w:eastAsia="Times New Roman" w:cs="Calibri"/>
                <w:b/>
                <w:bCs/>
                <w:color w:val="000000"/>
                <w:sz w:val="20"/>
                <w:szCs w:val="20"/>
                <w:lang w:eastAsia="en-GB"/>
              </w:rPr>
              <w:t>NEL CCG COMMISSIONED TOTAL</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4,187</w:t>
            </w:r>
          </w:p>
        </w:tc>
        <w:tc>
          <w:tcPr>
            <w:tcW w:w="10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4,132</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-55</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2,069</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1,976</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-93</w:t>
            </w:r>
          </w:p>
        </w:tc>
      </w:tr>
      <w:tr w:rsidR="006561F1" w:rsidRPr="006561F1" w:rsidTr="006561F1">
        <w:trPr>
          <w:trHeight w:val="288"/>
        </w:trPr>
        <w:tc>
          <w:tcPr>
            <w:tcW w:w="2980" w:type="dxa"/>
            <w:tcBorders>
              <w:top w:val="nil"/>
              <w:left w:val="single" w:sz="4" w:space="0" w:color="auto"/>
              <w:bottom w:val="single" w:sz="4" w:space="0" w:color="auto"/>
              <w:right w:val="nil"/>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c>
          <w:tcPr>
            <w:tcW w:w="960" w:type="dxa"/>
            <w:tcBorders>
              <w:top w:val="nil"/>
              <w:left w:val="nil"/>
              <w:bottom w:val="single" w:sz="4" w:space="0" w:color="auto"/>
              <w:right w:val="nil"/>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c>
          <w:tcPr>
            <w:tcW w:w="1060" w:type="dxa"/>
            <w:tcBorders>
              <w:top w:val="nil"/>
              <w:left w:val="nil"/>
              <w:bottom w:val="single" w:sz="4" w:space="0" w:color="auto"/>
              <w:right w:val="nil"/>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c>
          <w:tcPr>
            <w:tcW w:w="960" w:type="dxa"/>
            <w:tcBorders>
              <w:top w:val="nil"/>
              <w:left w:val="nil"/>
              <w:bottom w:val="single" w:sz="4" w:space="0" w:color="auto"/>
              <w:right w:val="nil"/>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c>
          <w:tcPr>
            <w:tcW w:w="1080" w:type="dxa"/>
            <w:tcBorders>
              <w:top w:val="nil"/>
              <w:left w:val="nil"/>
              <w:bottom w:val="single" w:sz="4" w:space="0" w:color="auto"/>
              <w:right w:val="nil"/>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c>
          <w:tcPr>
            <w:tcW w:w="1080" w:type="dxa"/>
            <w:tcBorders>
              <w:top w:val="nil"/>
              <w:left w:val="nil"/>
              <w:bottom w:val="single" w:sz="4" w:space="0" w:color="auto"/>
              <w:right w:val="nil"/>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r>
      <w:tr w:rsidR="006561F1" w:rsidRPr="006561F1" w:rsidTr="006561F1">
        <w:trPr>
          <w:trHeight w:val="576"/>
        </w:trPr>
        <w:tc>
          <w:tcPr>
            <w:tcW w:w="2980" w:type="dxa"/>
            <w:tcBorders>
              <w:top w:val="nil"/>
              <w:left w:val="single" w:sz="4" w:space="0" w:color="auto"/>
              <w:bottom w:val="single" w:sz="4" w:space="0" w:color="auto"/>
              <w:right w:val="single" w:sz="4" w:space="0" w:color="auto"/>
            </w:tcBorders>
            <w:shd w:val="clear" w:color="000000" w:fill="BFBFBF"/>
            <w:vAlign w:val="bottom"/>
            <w:hideMark/>
          </w:tcPr>
          <w:p w:rsidR="006561F1" w:rsidRPr="006561F1" w:rsidRDefault="006561F1" w:rsidP="006561F1">
            <w:pPr>
              <w:rPr>
                <w:rFonts w:eastAsia="Times New Roman" w:cs="Calibri"/>
                <w:b/>
                <w:bCs/>
                <w:color w:val="000000"/>
                <w:sz w:val="20"/>
                <w:szCs w:val="20"/>
                <w:lang w:eastAsia="en-GB"/>
              </w:rPr>
            </w:pPr>
            <w:r w:rsidRPr="006561F1">
              <w:rPr>
                <w:rFonts w:eastAsia="Times New Roman" w:cs="Calibri"/>
                <w:b/>
                <w:bCs/>
                <w:color w:val="000000"/>
                <w:sz w:val="20"/>
                <w:szCs w:val="20"/>
                <w:lang w:eastAsia="en-GB"/>
              </w:rPr>
              <w:t>NORTH EAST LINCOLNSHIRE COUNCIL</w:t>
            </w:r>
          </w:p>
        </w:tc>
        <w:tc>
          <w:tcPr>
            <w:tcW w:w="960" w:type="dxa"/>
            <w:tcBorders>
              <w:top w:val="nil"/>
              <w:left w:val="nil"/>
              <w:bottom w:val="single" w:sz="4" w:space="0" w:color="auto"/>
              <w:right w:val="nil"/>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c>
          <w:tcPr>
            <w:tcW w:w="1060" w:type="dxa"/>
            <w:tcBorders>
              <w:top w:val="nil"/>
              <w:left w:val="nil"/>
              <w:bottom w:val="single" w:sz="4" w:space="0" w:color="auto"/>
              <w:right w:val="nil"/>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c>
          <w:tcPr>
            <w:tcW w:w="960" w:type="dxa"/>
            <w:tcBorders>
              <w:top w:val="nil"/>
              <w:left w:val="nil"/>
              <w:bottom w:val="single" w:sz="4" w:space="0" w:color="auto"/>
              <w:right w:val="nil"/>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c>
          <w:tcPr>
            <w:tcW w:w="1080" w:type="dxa"/>
            <w:tcBorders>
              <w:top w:val="nil"/>
              <w:left w:val="nil"/>
              <w:bottom w:val="single" w:sz="4" w:space="0" w:color="auto"/>
              <w:right w:val="nil"/>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c>
          <w:tcPr>
            <w:tcW w:w="1080" w:type="dxa"/>
            <w:tcBorders>
              <w:top w:val="nil"/>
              <w:left w:val="nil"/>
              <w:bottom w:val="single" w:sz="4" w:space="0" w:color="auto"/>
              <w:right w:val="nil"/>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 </w:t>
            </w:r>
          </w:p>
        </w:tc>
      </w:tr>
      <w:tr w:rsidR="006561F1" w:rsidRPr="006561F1" w:rsidTr="006561F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LARC fits and removals</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80</w:t>
            </w:r>
          </w:p>
        </w:tc>
        <w:tc>
          <w:tcPr>
            <w:tcW w:w="10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80</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40</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18</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-22</w:t>
            </w:r>
          </w:p>
        </w:tc>
      </w:tr>
      <w:tr w:rsidR="006561F1" w:rsidRPr="006561F1" w:rsidTr="006561F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Health checks</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92</w:t>
            </w:r>
          </w:p>
        </w:tc>
        <w:tc>
          <w:tcPr>
            <w:tcW w:w="10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28</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-64</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46</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11</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-35</w:t>
            </w:r>
          </w:p>
        </w:tc>
      </w:tr>
      <w:tr w:rsidR="006561F1" w:rsidRPr="006561F1" w:rsidTr="006561F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Stop smoking service</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20</w:t>
            </w:r>
          </w:p>
        </w:tc>
        <w:tc>
          <w:tcPr>
            <w:tcW w:w="10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17</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-4</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10</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-5</w:t>
            </w:r>
          </w:p>
        </w:tc>
      </w:tr>
      <w:tr w:rsidR="006561F1" w:rsidRPr="006561F1" w:rsidTr="006561F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6561F1" w:rsidRPr="006561F1" w:rsidRDefault="006561F1" w:rsidP="006561F1">
            <w:pPr>
              <w:rPr>
                <w:rFonts w:eastAsia="Times New Roman" w:cs="Calibri"/>
                <w:color w:val="000000"/>
                <w:sz w:val="20"/>
                <w:szCs w:val="20"/>
                <w:lang w:eastAsia="en-GB"/>
              </w:rPr>
            </w:pPr>
            <w:r w:rsidRPr="006561F1">
              <w:rPr>
                <w:rFonts w:eastAsia="Times New Roman" w:cs="Calibri"/>
                <w:color w:val="000000"/>
                <w:sz w:val="20"/>
                <w:szCs w:val="20"/>
                <w:lang w:eastAsia="en-GB"/>
              </w:rPr>
              <w:t>Substance misuse</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125</w:t>
            </w:r>
          </w:p>
        </w:tc>
        <w:tc>
          <w:tcPr>
            <w:tcW w:w="10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125</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0</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125</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125</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color w:val="000000"/>
                <w:sz w:val="20"/>
                <w:szCs w:val="20"/>
                <w:lang w:eastAsia="en-GB"/>
              </w:rPr>
            </w:pPr>
            <w:r w:rsidRPr="006561F1">
              <w:rPr>
                <w:rFonts w:eastAsia="Times New Roman" w:cs="Calibri"/>
                <w:color w:val="000000"/>
                <w:sz w:val="20"/>
                <w:szCs w:val="20"/>
                <w:lang w:eastAsia="en-GB"/>
              </w:rPr>
              <w:t>0</w:t>
            </w:r>
          </w:p>
        </w:tc>
      </w:tr>
      <w:tr w:rsidR="006561F1" w:rsidRPr="006561F1" w:rsidTr="006561F1">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6561F1" w:rsidRPr="006561F1" w:rsidRDefault="006561F1" w:rsidP="006561F1">
            <w:pPr>
              <w:rPr>
                <w:rFonts w:eastAsia="Times New Roman" w:cs="Calibri"/>
                <w:b/>
                <w:bCs/>
                <w:color w:val="000000"/>
                <w:sz w:val="20"/>
                <w:szCs w:val="20"/>
                <w:lang w:eastAsia="en-GB"/>
              </w:rPr>
            </w:pPr>
            <w:r w:rsidRPr="006561F1">
              <w:rPr>
                <w:rFonts w:eastAsia="Times New Roman" w:cs="Calibri"/>
                <w:b/>
                <w:bCs/>
                <w:color w:val="000000"/>
                <w:sz w:val="20"/>
                <w:szCs w:val="20"/>
                <w:lang w:eastAsia="en-GB"/>
              </w:rPr>
              <w:t>NELC TOTAL</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317</w:t>
            </w:r>
          </w:p>
        </w:tc>
        <w:tc>
          <w:tcPr>
            <w:tcW w:w="10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249</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-68</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221</w:t>
            </w:r>
          </w:p>
        </w:tc>
        <w:tc>
          <w:tcPr>
            <w:tcW w:w="108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159</w:t>
            </w:r>
          </w:p>
        </w:tc>
        <w:tc>
          <w:tcPr>
            <w:tcW w:w="960" w:type="dxa"/>
            <w:tcBorders>
              <w:top w:val="nil"/>
              <w:left w:val="nil"/>
              <w:bottom w:val="single" w:sz="4" w:space="0" w:color="auto"/>
              <w:right w:val="single" w:sz="4" w:space="0" w:color="auto"/>
            </w:tcBorders>
            <w:shd w:val="clear" w:color="auto" w:fill="auto"/>
            <w:noWrap/>
            <w:vAlign w:val="bottom"/>
            <w:hideMark/>
          </w:tcPr>
          <w:p w:rsidR="006561F1" w:rsidRPr="006561F1" w:rsidRDefault="006561F1" w:rsidP="006561F1">
            <w:pPr>
              <w:jc w:val="center"/>
              <w:rPr>
                <w:rFonts w:eastAsia="Times New Roman" w:cs="Calibri"/>
                <w:b/>
                <w:bCs/>
                <w:color w:val="000000"/>
                <w:sz w:val="20"/>
                <w:szCs w:val="20"/>
                <w:lang w:eastAsia="en-GB"/>
              </w:rPr>
            </w:pPr>
            <w:r w:rsidRPr="006561F1">
              <w:rPr>
                <w:rFonts w:eastAsia="Times New Roman" w:cs="Calibri"/>
                <w:b/>
                <w:bCs/>
                <w:color w:val="000000"/>
                <w:sz w:val="20"/>
                <w:szCs w:val="20"/>
                <w:lang w:eastAsia="en-GB"/>
              </w:rPr>
              <w:t>-62</w:t>
            </w:r>
          </w:p>
        </w:tc>
      </w:tr>
    </w:tbl>
    <w:p w:rsidR="0061253C" w:rsidRDefault="0061253C"/>
    <w:sectPr w:rsidR="00612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B1061"/>
    <w:multiLevelType w:val="hybridMultilevel"/>
    <w:tmpl w:val="D5C690CC"/>
    <w:lvl w:ilvl="0" w:tplc="8D568F6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E612AD5"/>
    <w:multiLevelType w:val="hybridMultilevel"/>
    <w:tmpl w:val="EB8A9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DBD08F4"/>
    <w:multiLevelType w:val="hybridMultilevel"/>
    <w:tmpl w:val="616CF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01"/>
    <w:rsid w:val="00022F3C"/>
    <w:rsid w:val="000732CD"/>
    <w:rsid w:val="00097152"/>
    <w:rsid w:val="001909D5"/>
    <w:rsid w:val="001D5AE3"/>
    <w:rsid w:val="0020220A"/>
    <w:rsid w:val="002B3D4D"/>
    <w:rsid w:val="002D0963"/>
    <w:rsid w:val="00334F6B"/>
    <w:rsid w:val="00343C31"/>
    <w:rsid w:val="003513F6"/>
    <w:rsid w:val="00371275"/>
    <w:rsid w:val="00461774"/>
    <w:rsid w:val="004A29A2"/>
    <w:rsid w:val="004B1570"/>
    <w:rsid w:val="005457B8"/>
    <w:rsid w:val="00593901"/>
    <w:rsid w:val="005B031A"/>
    <w:rsid w:val="005D3AEC"/>
    <w:rsid w:val="0061253C"/>
    <w:rsid w:val="006561F1"/>
    <w:rsid w:val="006A5E44"/>
    <w:rsid w:val="007150EB"/>
    <w:rsid w:val="0072343B"/>
    <w:rsid w:val="007A5E19"/>
    <w:rsid w:val="008A7B6E"/>
    <w:rsid w:val="008D13BF"/>
    <w:rsid w:val="00916644"/>
    <w:rsid w:val="0093405C"/>
    <w:rsid w:val="00945E48"/>
    <w:rsid w:val="009C4BCC"/>
    <w:rsid w:val="00A12E28"/>
    <w:rsid w:val="00A21446"/>
    <w:rsid w:val="00A33F18"/>
    <w:rsid w:val="00A82644"/>
    <w:rsid w:val="00AB0238"/>
    <w:rsid w:val="00AB3E3C"/>
    <w:rsid w:val="00AD4C91"/>
    <w:rsid w:val="00B56902"/>
    <w:rsid w:val="00BD5AA5"/>
    <w:rsid w:val="00C047FE"/>
    <w:rsid w:val="00CA26E5"/>
    <w:rsid w:val="00CF08E3"/>
    <w:rsid w:val="00CF3DC6"/>
    <w:rsid w:val="00D01E3C"/>
    <w:rsid w:val="00D421CE"/>
    <w:rsid w:val="00D422C6"/>
    <w:rsid w:val="00DC0138"/>
    <w:rsid w:val="00DF326C"/>
    <w:rsid w:val="00E0080C"/>
    <w:rsid w:val="00E20DB4"/>
    <w:rsid w:val="00E323AE"/>
    <w:rsid w:val="00FD7E8E"/>
    <w:rsid w:val="00FE56D9"/>
    <w:rsid w:val="00FE7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0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901"/>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3901"/>
    <w:pPr>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0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901"/>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3901"/>
    <w:pPr>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194">
      <w:bodyDiv w:val="1"/>
      <w:marLeft w:val="0"/>
      <w:marRight w:val="0"/>
      <w:marTop w:val="0"/>
      <w:marBottom w:val="0"/>
      <w:divBdr>
        <w:top w:val="none" w:sz="0" w:space="0" w:color="auto"/>
        <w:left w:val="none" w:sz="0" w:space="0" w:color="auto"/>
        <w:bottom w:val="none" w:sz="0" w:space="0" w:color="auto"/>
        <w:right w:val="none" w:sz="0" w:space="0" w:color="auto"/>
      </w:divBdr>
    </w:div>
    <w:div w:id="40133266">
      <w:bodyDiv w:val="1"/>
      <w:marLeft w:val="0"/>
      <w:marRight w:val="0"/>
      <w:marTop w:val="0"/>
      <w:marBottom w:val="0"/>
      <w:divBdr>
        <w:top w:val="none" w:sz="0" w:space="0" w:color="auto"/>
        <w:left w:val="none" w:sz="0" w:space="0" w:color="auto"/>
        <w:bottom w:val="none" w:sz="0" w:space="0" w:color="auto"/>
        <w:right w:val="none" w:sz="0" w:space="0" w:color="auto"/>
      </w:divBdr>
    </w:div>
    <w:div w:id="62803887">
      <w:bodyDiv w:val="1"/>
      <w:marLeft w:val="0"/>
      <w:marRight w:val="0"/>
      <w:marTop w:val="0"/>
      <w:marBottom w:val="0"/>
      <w:divBdr>
        <w:top w:val="none" w:sz="0" w:space="0" w:color="auto"/>
        <w:left w:val="none" w:sz="0" w:space="0" w:color="auto"/>
        <w:bottom w:val="none" w:sz="0" w:space="0" w:color="auto"/>
        <w:right w:val="none" w:sz="0" w:space="0" w:color="auto"/>
      </w:divBdr>
    </w:div>
    <w:div w:id="172302453">
      <w:bodyDiv w:val="1"/>
      <w:marLeft w:val="0"/>
      <w:marRight w:val="0"/>
      <w:marTop w:val="0"/>
      <w:marBottom w:val="0"/>
      <w:divBdr>
        <w:top w:val="none" w:sz="0" w:space="0" w:color="auto"/>
        <w:left w:val="none" w:sz="0" w:space="0" w:color="auto"/>
        <w:bottom w:val="none" w:sz="0" w:space="0" w:color="auto"/>
        <w:right w:val="none" w:sz="0" w:space="0" w:color="auto"/>
      </w:divBdr>
    </w:div>
    <w:div w:id="203061075">
      <w:bodyDiv w:val="1"/>
      <w:marLeft w:val="0"/>
      <w:marRight w:val="0"/>
      <w:marTop w:val="0"/>
      <w:marBottom w:val="0"/>
      <w:divBdr>
        <w:top w:val="none" w:sz="0" w:space="0" w:color="auto"/>
        <w:left w:val="none" w:sz="0" w:space="0" w:color="auto"/>
        <w:bottom w:val="none" w:sz="0" w:space="0" w:color="auto"/>
        <w:right w:val="none" w:sz="0" w:space="0" w:color="auto"/>
      </w:divBdr>
    </w:div>
    <w:div w:id="222569727">
      <w:bodyDiv w:val="1"/>
      <w:marLeft w:val="0"/>
      <w:marRight w:val="0"/>
      <w:marTop w:val="0"/>
      <w:marBottom w:val="0"/>
      <w:divBdr>
        <w:top w:val="none" w:sz="0" w:space="0" w:color="auto"/>
        <w:left w:val="none" w:sz="0" w:space="0" w:color="auto"/>
        <w:bottom w:val="none" w:sz="0" w:space="0" w:color="auto"/>
        <w:right w:val="none" w:sz="0" w:space="0" w:color="auto"/>
      </w:divBdr>
    </w:div>
    <w:div w:id="313989267">
      <w:bodyDiv w:val="1"/>
      <w:marLeft w:val="0"/>
      <w:marRight w:val="0"/>
      <w:marTop w:val="0"/>
      <w:marBottom w:val="0"/>
      <w:divBdr>
        <w:top w:val="none" w:sz="0" w:space="0" w:color="auto"/>
        <w:left w:val="none" w:sz="0" w:space="0" w:color="auto"/>
        <w:bottom w:val="none" w:sz="0" w:space="0" w:color="auto"/>
        <w:right w:val="none" w:sz="0" w:space="0" w:color="auto"/>
      </w:divBdr>
    </w:div>
    <w:div w:id="579870785">
      <w:bodyDiv w:val="1"/>
      <w:marLeft w:val="0"/>
      <w:marRight w:val="0"/>
      <w:marTop w:val="0"/>
      <w:marBottom w:val="0"/>
      <w:divBdr>
        <w:top w:val="none" w:sz="0" w:space="0" w:color="auto"/>
        <w:left w:val="none" w:sz="0" w:space="0" w:color="auto"/>
        <w:bottom w:val="none" w:sz="0" w:space="0" w:color="auto"/>
        <w:right w:val="none" w:sz="0" w:space="0" w:color="auto"/>
      </w:divBdr>
    </w:div>
    <w:div w:id="717971558">
      <w:bodyDiv w:val="1"/>
      <w:marLeft w:val="0"/>
      <w:marRight w:val="0"/>
      <w:marTop w:val="0"/>
      <w:marBottom w:val="0"/>
      <w:divBdr>
        <w:top w:val="none" w:sz="0" w:space="0" w:color="auto"/>
        <w:left w:val="none" w:sz="0" w:space="0" w:color="auto"/>
        <w:bottom w:val="none" w:sz="0" w:space="0" w:color="auto"/>
        <w:right w:val="none" w:sz="0" w:space="0" w:color="auto"/>
      </w:divBdr>
    </w:div>
    <w:div w:id="780341324">
      <w:bodyDiv w:val="1"/>
      <w:marLeft w:val="0"/>
      <w:marRight w:val="0"/>
      <w:marTop w:val="0"/>
      <w:marBottom w:val="0"/>
      <w:divBdr>
        <w:top w:val="none" w:sz="0" w:space="0" w:color="auto"/>
        <w:left w:val="none" w:sz="0" w:space="0" w:color="auto"/>
        <w:bottom w:val="none" w:sz="0" w:space="0" w:color="auto"/>
        <w:right w:val="none" w:sz="0" w:space="0" w:color="auto"/>
      </w:divBdr>
    </w:div>
    <w:div w:id="782114910">
      <w:bodyDiv w:val="1"/>
      <w:marLeft w:val="0"/>
      <w:marRight w:val="0"/>
      <w:marTop w:val="0"/>
      <w:marBottom w:val="0"/>
      <w:divBdr>
        <w:top w:val="none" w:sz="0" w:space="0" w:color="auto"/>
        <w:left w:val="none" w:sz="0" w:space="0" w:color="auto"/>
        <w:bottom w:val="none" w:sz="0" w:space="0" w:color="auto"/>
        <w:right w:val="none" w:sz="0" w:space="0" w:color="auto"/>
      </w:divBdr>
    </w:div>
    <w:div w:id="1083068871">
      <w:bodyDiv w:val="1"/>
      <w:marLeft w:val="0"/>
      <w:marRight w:val="0"/>
      <w:marTop w:val="0"/>
      <w:marBottom w:val="0"/>
      <w:divBdr>
        <w:top w:val="none" w:sz="0" w:space="0" w:color="auto"/>
        <w:left w:val="none" w:sz="0" w:space="0" w:color="auto"/>
        <w:bottom w:val="none" w:sz="0" w:space="0" w:color="auto"/>
        <w:right w:val="none" w:sz="0" w:space="0" w:color="auto"/>
      </w:divBdr>
    </w:div>
    <w:div w:id="1127315671">
      <w:bodyDiv w:val="1"/>
      <w:marLeft w:val="0"/>
      <w:marRight w:val="0"/>
      <w:marTop w:val="0"/>
      <w:marBottom w:val="0"/>
      <w:divBdr>
        <w:top w:val="none" w:sz="0" w:space="0" w:color="auto"/>
        <w:left w:val="none" w:sz="0" w:space="0" w:color="auto"/>
        <w:bottom w:val="none" w:sz="0" w:space="0" w:color="auto"/>
        <w:right w:val="none" w:sz="0" w:space="0" w:color="auto"/>
      </w:divBdr>
    </w:div>
    <w:div w:id="1177768218">
      <w:bodyDiv w:val="1"/>
      <w:marLeft w:val="0"/>
      <w:marRight w:val="0"/>
      <w:marTop w:val="0"/>
      <w:marBottom w:val="0"/>
      <w:divBdr>
        <w:top w:val="none" w:sz="0" w:space="0" w:color="auto"/>
        <w:left w:val="none" w:sz="0" w:space="0" w:color="auto"/>
        <w:bottom w:val="none" w:sz="0" w:space="0" w:color="auto"/>
        <w:right w:val="none" w:sz="0" w:space="0" w:color="auto"/>
      </w:divBdr>
    </w:div>
    <w:div w:id="1270310766">
      <w:bodyDiv w:val="1"/>
      <w:marLeft w:val="0"/>
      <w:marRight w:val="0"/>
      <w:marTop w:val="0"/>
      <w:marBottom w:val="0"/>
      <w:divBdr>
        <w:top w:val="none" w:sz="0" w:space="0" w:color="auto"/>
        <w:left w:val="none" w:sz="0" w:space="0" w:color="auto"/>
        <w:bottom w:val="none" w:sz="0" w:space="0" w:color="auto"/>
        <w:right w:val="none" w:sz="0" w:space="0" w:color="auto"/>
      </w:divBdr>
    </w:div>
    <w:div w:id="1283924306">
      <w:bodyDiv w:val="1"/>
      <w:marLeft w:val="0"/>
      <w:marRight w:val="0"/>
      <w:marTop w:val="0"/>
      <w:marBottom w:val="0"/>
      <w:divBdr>
        <w:top w:val="none" w:sz="0" w:space="0" w:color="auto"/>
        <w:left w:val="none" w:sz="0" w:space="0" w:color="auto"/>
        <w:bottom w:val="none" w:sz="0" w:space="0" w:color="auto"/>
        <w:right w:val="none" w:sz="0" w:space="0" w:color="auto"/>
      </w:divBdr>
    </w:div>
    <w:div w:id="1303266565">
      <w:bodyDiv w:val="1"/>
      <w:marLeft w:val="0"/>
      <w:marRight w:val="0"/>
      <w:marTop w:val="0"/>
      <w:marBottom w:val="0"/>
      <w:divBdr>
        <w:top w:val="none" w:sz="0" w:space="0" w:color="auto"/>
        <w:left w:val="none" w:sz="0" w:space="0" w:color="auto"/>
        <w:bottom w:val="none" w:sz="0" w:space="0" w:color="auto"/>
        <w:right w:val="none" w:sz="0" w:space="0" w:color="auto"/>
      </w:divBdr>
    </w:div>
    <w:div w:id="1639409819">
      <w:bodyDiv w:val="1"/>
      <w:marLeft w:val="0"/>
      <w:marRight w:val="0"/>
      <w:marTop w:val="0"/>
      <w:marBottom w:val="0"/>
      <w:divBdr>
        <w:top w:val="none" w:sz="0" w:space="0" w:color="auto"/>
        <w:left w:val="none" w:sz="0" w:space="0" w:color="auto"/>
        <w:bottom w:val="none" w:sz="0" w:space="0" w:color="auto"/>
        <w:right w:val="none" w:sz="0" w:space="0" w:color="auto"/>
      </w:divBdr>
    </w:div>
    <w:div w:id="1655065435">
      <w:bodyDiv w:val="1"/>
      <w:marLeft w:val="0"/>
      <w:marRight w:val="0"/>
      <w:marTop w:val="0"/>
      <w:marBottom w:val="0"/>
      <w:divBdr>
        <w:top w:val="none" w:sz="0" w:space="0" w:color="auto"/>
        <w:left w:val="none" w:sz="0" w:space="0" w:color="auto"/>
        <w:bottom w:val="none" w:sz="0" w:space="0" w:color="auto"/>
        <w:right w:val="none" w:sz="0" w:space="0" w:color="auto"/>
      </w:divBdr>
    </w:div>
    <w:div w:id="1669550752">
      <w:bodyDiv w:val="1"/>
      <w:marLeft w:val="0"/>
      <w:marRight w:val="0"/>
      <w:marTop w:val="0"/>
      <w:marBottom w:val="0"/>
      <w:divBdr>
        <w:top w:val="none" w:sz="0" w:space="0" w:color="auto"/>
        <w:left w:val="none" w:sz="0" w:space="0" w:color="auto"/>
        <w:bottom w:val="none" w:sz="0" w:space="0" w:color="auto"/>
        <w:right w:val="none" w:sz="0" w:space="0" w:color="auto"/>
      </w:divBdr>
    </w:div>
    <w:div w:id="1861158393">
      <w:bodyDiv w:val="1"/>
      <w:marLeft w:val="0"/>
      <w:marRight w:val="0"/>
      <w:marTop w:val="0"/>
      <w:marBottom w:val="0"/>
      <w:divBdr>
        <w:top w:val="none" w:sz="0" w:space="0" w:color="auto"/>
        <w:left w:val="none" w:sz="0" w:space="0" w:color="auto"/>
        <w:bottom w:val="none" w:sz="0" w:space="0" w:color="auto"/>
        <w:right w:val="none" w:sz="0" w:space="0" w:color="auto"/>
      </w:divBdr>
    </w:div>
    <w:div w:id="1869829763">
      <w:bodyDiv w:val="1"/>
      <w:marLeft w:val="0"/>
      <w:marRight w:val="0"/>
      <w:marTop w:val="0"/>
      <w:marBottom w:val="0"/>
      <w:divBdr>
        <w:top w:val="none" w:sz="0" w:space="0" w:color="auto"/>
        <w:left w:val="none" w:sz="0" w:space="0" w:color="auto"/>
        <w:bottom w:val="none" w:sz="0" w:space="0" w:color="auto"/>
        <w:right w:val="none" w:sz="0" w:space="0" w:color="auto"/>
      </w:divBdr>
    </w:div>
    <w:div w:id="1871064529">
      <w:bodyDiv w:val="1"/>
      <w:marLeft w:val="0"/>
      <w:marRight w:val="0"/>
      <w:marTop w:val="0"/>
      <w:marBottom w:val="0"/>
      <w:divBdr>
        <w:top w:val="none" w:sz="0" w:space="0" w:color="auto"/>
        <w:left w:val="none" w:sz="0" w:space="0" w:color="auto"/>
        <w:bottom w:val="none" w:sz="0" w:space="0" w:color="auto"/>
        <w:right w:val="none" w:sz="0" w:space="0" w:color="auto"/>
      </w:divBdr>
    </w:div>
    <w:div w:id="1874150600">
      <w:bodyDiv w:val="1"/>
      <w:marLeft w:val="0"/>
      <w:marRight w:val="0"/>
      <w:marTop w:val="0"/>
      <w:marBottom w:val="0"/>
      <w:divBdr>
        <w:top w:val="none" w:sz="0" w:space="0" w:color="auto"/>
        <w:left w:val="none" w:sz="0" w:space="0" w:color="auto"/>
        <w:bottom w:val="none" w:sz="0" w:space="0" w:color="auto"/>
        <w:right w:val="none" w:sz="0" w:space="0" w:color="auto"/>
      </w:divBdr>
    </w:div>
    <w:div w:id="1903297961">
      <w:bodyDiv w:val="1"/>
      <w:marLeft w:val="0"/>
      <w:marRight w:val="0"/>
      <w:marTop w:val="0"/>
      <w:marBottom w:val="0"/>
      <w:divBdr>
        <w:top w:val="none" w:sz="0" w:space="0" w:color="auto"/>
        <w:left w:val="none" w:sz="0" w:space="0" w:color="auto"/>
        <w:bottom w:val="none" w:sz="0" w:space="0" w:color="auto"/>
        <w:right w:val="none" w:sz="0" w:space="0" w:color="auto"/>
      </w:divBdr>
    </w:div>
    <w:div w:id="1915236483">
      <w:bodyDiv w:val="1"/>
      <w:marLeft w:val="0"/>
      <w:marRight w:val="0"/>
      <w:marTop w:val="0"/>
      <w:marBottom w:val="0"/>
      <w:divBdr>
        <w:top w:val="none" w:sz="0" w:space="0" w:color="auto"/>
        <w:left w:val="none" w:sz="0" w:space="0" w:color="auto"/>
        <w:bottom w:val="none" w:sz="0" w:space="0" w:color="auto"/>
        <w:right w:val="none" w:sz="0" w:space="0" w:color="auto"/>
      </w:divBdr>
    </w:div>
    <w:div w:id="1915846563">
      <w:bodyDiv w:val="1"/>
      <w:marLeft w:val="0"/>
      <w:marRight w:val="0"/>
      <w:marTop w:val="0"/>
      <w:marBottom w:val="0"/>
      <w:divBdr>
        <w:top w:val="none" w:sz="0" w:space="0" w:color="auto"/>
        <w:left w:val="none" w:sz="0" w:space="0" w:color="auto"/>
        <w:bottom w:val="none" w:sz="0" w:space="0" w:color="auto"/>
        <w:right w:val="none" w:sz="0" w:space="0" w:color="auto"/>
      </w:divBdr>
    </w:div>
    <w:div w:id="1932155981">
      <w:bodyDiv w:val="1"/>
      <w:marLeft w:val="0"/>
      <w:marRight w:val="0"/>
      <w:marTop w:val="0"/>
      <w:marBottom w:val="0"/>
      <w:divBdr>
        <w:top w:val="none" w:sz="0" w:space="0" w:color="auto"/>
        <w:left w:val="none" w:sz="0" w:space="0" w:color="auto"/>
        <w:bottom w:val="none" w:sz="0" w:space="0" w:color="auto"/>
        <w:right w:val="none" w:sz="0" w:space="0" w:color="auto"/>
      </w:divBdr>
    </w:div>
    <w:div w:id="2044017678">
      <w:bodyDiv w:val="1"/>
      <w:marLeft w:val="0"/>
      <w:marRight w:val="0"/>
      <w:marTop w:val="0"/>
      <w:marBottom w:val="0"/>
      <w:divBdr>
        <w:top w:val="none" w:sz="0" w:space="0" w:color="auto"/>
        <w:left w:val="none" w:sz="0" w:space="0" w:color="auto"/>
        <w:bottom w:val="none" w:sz="0" w:space="0" w:color="auto"/>
        <w:right w:val="none" w:sz="0" w:space="0" w:color="auto"/>
      </w:divBdr>
    </w:div>
    <w:div w:id="2053187664">
      <w:bodyDiv w:val="1"/>
      <w:marLeft w:val="0"/>
      <w:marRight w:val="0"/>
      <w:marTop w:val="0"/>
      <w:marBottom w:val="0"/>
      <w:divBdr>
        <w:top w:val="none" w:sz="0" w:space="0" w:color="auto"/>
        <w:left w:val="none" w:sz="0" w:space="0" w:color="auto"/>
        <w:bottom w:val="none" w:sz="0" w:space="0" w:color="auto"/>
        <w:right w:val="none" w:sz="0" w:space="0" w:color="auto"/>
      </w:divBdr>
    </w:div>
    <w:div w:id="2055422545">
      <w:bodyDiv w:val="1"/>
      <w:marLeft w:val="0"/>
      <w:marRight w:val="0"/>
      <w:marTop w:val="0"/>
      <w:marBottom w:val="0"/>
      <w:divBdr>
        <w:top w:val="none" w:sz="0" w:space="0" w:color="auto"/>
        <w:left w:val="none" w:sz="0" w:space="0" w:color="auto"/>
        <w:bottom w:val="none" w:sz="0" w:space="0" w:color="auto"/>
        <w:right w:val="none" w:sz="0" w:space="0" w:color="auto"/>
      </w:divBdr>
    </w:div>
    <w:div w:id="21042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Horsfall</dc:creator>
  <cp:lastModifiedBy>Jo Horsfall</cp:lastModifiedBy>
  <cp:revision>4</cp:revision>
  <dcterms:created xsi:type="dcterms:W3CDTF">2016-10-10T12:55:00Z</dcterms:created>
  <dcterms:modified xsi:type="dcterms:W3CDTF">2016-10-13T13:15:00Z</dcterms:modified>
</cp:coreProperties>
</file>