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4FA02D3D" wp14:editId="4EF45AD2">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5F0C84" w:rsidRPr="00DD7564" w:rsidRDefault="00DD7564" w:rsidP="00DD689C">
                      <w:pPr>
                        <w:rPr>
                          <w:rFonts w:ascii="Arial" w:hAnsi="Arial" w:cs="Arial"/>
                          <w:sz w:val="32"/>
                          <w:szCs w:val="32"/>
                        </w:rPr>
                      </w:pPr>
                      <w:r>
                        <w:rPr>
                          <w:rFonts w:ascii="Arial" w:hAnsi="Arial" w:cs="Arial"/>
                          <w:sz w:val="32"/>
                          <w:szCs w:val="32"/>
                        </w:rPr>
                        <w:t xml:space="preserve">Attachment </w:t>
                      </w:r>
                    </w:p>
                    <w:p w:rsidR="005F0C84" w:rsidRDefault="005F0C84" w:rsidP="00DD689C">
                      <w:pPr>
                        <w:rPr>
                          <w:sz w:val="36"/>
                        </w:rPr>
                      </w:pPr>
                    </w:p>
                  </w:txbxContent>
                </v:textbox>
              </v:shape>
            </w:pict>
          </mc:Fallback>
        </mc:AlternateContent>
      </w:r>
      <w:r w:rsidR="001D78A2">
        <w:rPr>
          <w:noProof/>
        </w:rPr>
        <w:drawing>
          <wp:inline distT="0" distB="0" distL="0" distR="0" wp14:anchorId="6B226B26" wp14:editId="22758C10">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Default="00BA763E" w:rsidP="006A74AF">
      <w:pPr>
        <w:pStyle w:val="Header"/>
        <w:jc w:val="right"/>
        <w:rPr>
          <w:b/>
          <w:color w:val="365F91"/>
        </w:rPr>
      </w:pPr>
      <w:r>
        <w:rPr>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9D6E39" w:rsidRDefault="00DD689C" w:rsidP="009306C6">
            <w:pPr>
              <w:rPr>
                <w:rFonts w:ascii="Calibri" w:hAnsi="Calibri" w:cs="Calibri"/>
                <w:b/>
                <w:bCs/>
                <w:sz w:val="22"/>
                <w:szCs w:val="22"/>
              </w:rPr>
            </w:pPr>
          </w:p>
        </w:tc>
        <w:tc>
          <w:tcPr>
            <w:tcW w:w="8003" w:type="dxa"/>
            <w:shd w:val="clear" w:color="auto" w:fill="auto"/>
          </w:tcPr>
          <w:p w:rsidR="00DD689C" w:rsidRPr="009D6E39" w:rsidRDefault="00DD689C" w:rsidP="009306C6">
            <w:pPr>
              <w:rPr>
                <w:rFonts w:ascii="Calibri" w:hAnsi="Calibri" w:cs="Calibri"/>
                <w:b/>
                <w:bCs/>
                <w:sz w:val="22"/>
                <w:szCs w:val="22"/>
              </w:rPr>
            </w:pPr>
          </w:p>
        </w:tc>
      </w:tr>
      <w:tr w:rsidR="00DD689C" w:rsidRPr="00752FD6" w:rsidTr="00D7033C">
        <w:tc>
          <w:tcPr>
            <w:tcW w:w="2028" w:type="dxa"/>
            <w:shd w:val="clear" w:color="auto" w:fill="auto"/>
          </w:tcPr>
          <w:p w:rsidR="00DD689C" w:rsidRPr="009D6E39" w:rsidRDefault="00DD689C" w:rsidP="009306C6">
            <w:pPr>
              <w:rPr>
                <w:rFonts w:ascii="Calibri" w:hAnsi="Calibri" w:cs="Calibri"/>
                <w:b/>
                <w:bCs/>
                <w:sz w:val="22"/>
                <w:szCs w:val="22"/>
              </w:rPr>
            </w:pPr>
            <w:r w:rsidRPr="009D6E39">
              <w:rPr>
                <w:rFonts w:ascii="Calibri" w:hAnsi="Calibri" w:cs="Calibri"/>
                <w:b/>
                <w:bCs/>
                <w:sz w:val="22"/>
                <w:szCs w:val="22"/>
              </w:rPr>
              <w:t>Report to:</w:t>
            </w:r>
          </w:p>
          <w:p w:rsidR="00DD689C" w:rsidRPr="009D6E39" w:rsidRDefault="00DD689C" w:rsidP="009306C6">
            <w:pPr>
              <w:rPr>
                <w:rFonts w:ascii="Calibri" w:hAnsi="Calibri" w:cs="Calibri"/>
                <w:b/>
                <w:bCs/>
                <w:sz w:val="22"/>
                <w:szCs w:val="22"/>
              </w:rPr>
            </w:pPr>
          </w:p>
        </w:tc>
        <w:tc>
          <w:tcPr>
            <w:tcW w:w="8003" w:type="dxa"/>
            <w:shd w:val="clear" w:color="auto" w:fill="auto"/>
          </w:tcPr>
          <w:p w:rsidR="00DD689C" w:rsidRPr="009D6E39" w:rsidRDefault="007E6A63" w:rsidP="00410BAA">
            <w:pPr>
              <w:rPr>
                <w:rFonts w:ascii="Calibri" w:hAnsi="Calibri" w:cs="Calibri"/>
                <w:bCs/>
                <w:sz w:val="22"/>
                <w:szCs w:val="22"/>
              </w:rPr>
            </w:pPr>
            <w:r w:rsidRPr="009D6E39">
              <w:rPr>
                <w:rFonts w:ascii="Calibri" w:hAnsi="Calibri" w:cs="Calibri"/>
                <w:bCs/>
                <w:sz w:val="22"/>
                <w:szCs w:val="22"/>
              </w:rPr>
              <w:t xml:space="preserve">NEL </w:t>
            </w:r>
            <w:r w:rsidR="00F059BD" w:rsidRPr="009D6E39">
              <w:rPr>
                <w:rFonts w:ascii="Calibri" w:hAnsi="Calibri" w:cs="Calibri"/>
                <w:bCs/>
                <w:sz w:val="22"/>
                <w:szCs w:val="22"/>
              </w:rPr>
              <w:t>Joint Co-Commissioning Board</w:t>
            </w:r>
          </w:p>
        </w:tc>
      </w:tr>
      <w:tr w:rsidR="00DD689C" w:rsidRPr="00752FD6" w:rsidTr="00D7033C">
        <w:tc>
          <w:tcPr>
            <w:tcW w:w="2028" w:type="dxa"/>
            <w:shd w:val="clear" w:color="auto" w:fill="auto"/>
          </w:tcPr>
          <w:p w:rsidR="00DD689C" w:rsidRPr="009D6E39" w:rsidRDefault="00DD689C" w:rsidP="009306C6">
            <w:pPr>
              <w:rPr>
                <w:rFonts w:ascii="Calibri" w:hAnsi="Calibri" w:cs="Calibri"/>
                <w:b/>
                <w:bCs/>
                <w:sz w:val="22"/>
                <w:szCs w:val="22"/>
              </w:rPr>
            </w:pPr>
            <w:r w:rsidRPr="009D6E39">
              <w:rPr>
                <w:rFonts w:ascii="Calibri" w:hAnsi="Calibri" w:cs="Calibri"/>
                <w:b/>
                <w:bCs/>
                <w:sz w:val="22"/>
                <w:szCs w:val="22"/>
              </w:rPr>
              <w:t>Presented by:</w:t>
            </w:r>
          </w:p>
          <w:p w:rsidR="00DD689C" w:rsidRPr="009D6E39" w:rsidRDefault="00DD689C" w:rsidP="009306C6">
            <w:pPr>
              <w:rPr>
                <w:rFonts w:ascii="Calibri" w:hAnsi="Calibri" w:cs="Calibri"/>
                <w:b/>
                <w:bCs/>
                <w:sz w:val="22"/>
                <w:szCs w:val="22"/>
              </w:rPr>
            </w:pPr>
          </w:p>
        </w:tc>
        <w:tc>
          <w:tcPr>
            <w:tcW w:w="8003" w:type="dxa"/>
            <w:shd w:val="clear" w:color="auto" w:fill="auto"/>
          </w:tcPr>
          <w:p w:rsidR="00DD689C" w:rsidRPr="009D6E39" w:rsidRDefault="001D3BD7" w:rsidP="009306C6">
            <w:pPr>
              <w:rPr>
                <w:rFonts w:ascii="Calibri" w:hAnsi="Calibri" w:cs="Calibri"/>
                <w:bCs/>
                <w:sz w:val="22"/>
                <w:szCs w:val="22"/>
              </w:rPr>
            </w:pPr>
            <w:r w:rsidRPr="009D6E39">
              <w:rPr>
                <w:rFonts w:ascii="Calibri" w:hAnsi="Calibri" w:cs="Calibri"/>
                <w:bCs/>
                <w:sz w:val="22"/>
                <w:szCs w:val="22"/>
              </w:rPr>
              <w:t>Debbee Walker</w:t>
            </w:r>
          </w:p>
        </w:tc>
      </w:tr>
      <w:tr w:rsidR="00DD689C" w:rsidRPr="00752FD6" w:rsidTr="00D7033C">
        <w:tc>
          <w:tcPr>
            <w:tcW w:w="2028" w:type="dxa"/>
            <w:shd w:val="clear" w:color="auto" w:fill="auto"/>
          </w:tcPr>
          <w:p w:rsidR="00DD689C" w:rsidRPr="009D6E39" w:rsidRDefault="00DD689C" w:rsidP="009306C6">
            <w:pPr>
              <w:rPr>
                <w:rFonts w:ascii="Calibri" w:hAnsi="Calibri" w:cs="Calibri"/>
                <w:b/>
                <w:bCs/>
                <w:sz w:val="22"/>
                <w:szCs w:val="22"/>
              </w:rPr>
            </w:pPr>
            <w:r w:rsidRPr="009D6E39">
              <w:rPr>
                <w:rFonts w:ascii="Calibri" w:hAnsi="Calibri" w:cs="Calibri"/>
                <w:b/>
                <w:bCs/>
                <w:sz w:val="22"/>
                <w:szCs w:val="22"/>
              </w:rPr>
              <w:t>Date of Meeting:</w:t>
            </w:r>
          </w:p>
          <w:p w:rsidR="00DD689C" w:rsidRPr="009D6E39" w:rsidRDefault="00DD689C" w:rsidP="009306C6">
            <w:pPr>
              <w:rPr>
                <w:rFonts w:ascii="Calibri" w:hAnsi="Calibri" w:cs="Calibri"/>
                <w:b/>
                <w:bCs/>
                <w:sz w:val="22"/>
                <w:szCs w:val="22"/>
              </w:rPr>
            </w:pPr>
          </w:p>
        </w:tc>
        <w:tc>
          <w:tcPr>
            <w:tcW w:w="8003" w:type="dxa"/>
            <w:shd w:val="clear" w:color="auto" w:fill="auto"/>
          </w:tcPr>
          <w:p w:rsidR="00DD689C" w:rsidRPr="009D6E39" w:rsidRDefault="001D3BD7" w:rsidP="00BC5CEC">
            <w:pPr>
              <w:rPr>
                <w:rFonts w:ascii="Calibri" w:hAnsi="Calibri" w:cs="Calibri"/>
                <w:bCs/>
                <w:sz w:val="22"/>
                <w:szCs w:val="22"/>
              </w:rPr>
            </w:pPr>
            <w:r w:rsidRPr="009D6E39">
              <w:rPr>
                <w:rFonts w:ascii="Calibri" w:hAnsi="Calibri" w:cs="Calibri"/>
                <w:bCs/>
                <w:sz w:val="22"/>
                <w:szCs w:val="22"/>
              </w:rPr>
              <w:t>23</w:t>
            </w:r>
            <w:r w:rsidRPr="009D6E39">
              <w:rPr>
                <w:rFonts w:ascii="Calibri" w:hAnsi="Calibri" w:cs="Calibri"/>
                <w:bCs/>
                <w:sz w:val="22"/>
                <w:szCs w:val="22"/>
                <w:vertAlign w:val="superscript"/>
              </w:rPr>
              <w:t>rd</w:t>
            </w:r>
            <w:r w:rsidRPr="009D6E39">
              <w:rPr>
                <w:rFonts w:ascii="Calibri" w:hAnsi="Calibri" w:cs="Calibri"/>
                <w:bCs/>
                <w:sz w:val="22"/>
                <w:szCs w:val="22"/>
              </w:rPr>
              <w:t xml:space="preserve"> April, 2015</w:t>
            </w:r>
          </w:p>
        </w:tc>
      </w:tr>
      <w:tr w:rsidR="00DD689C" w:rsidRPr="00752FD6" w:rsidTr="00D7033C">
        <w:trPr>
          <w:trHeight w:val="438"/>
        </w:trPr>
        <w:tc>
          <w:tcPr>
            <w:tcW w:w="2028" w:type="dxa"/>
            <w:shd w:val="clear" w:color="auto" w:fill="auto"/>
          </w:tcPr>
          <w:p w:rsidR="00DD689C" w:rsidRPr="009D6E39" w:rsidRDefault="00DD689C" w:rsidP="009306C6">
            <w:pPr>
              <w:rPr>
                <w:rFonts w:ascii="Calibri" w:hAnsi="Calibri" w:cs="Calibri"/>
                <w:b/>
                <w:bCs/>
                <w:sz w:val="22"/>
                <w:szCs w:val="22"/>
              </w:rPr>
            </w:pPr>
            <w:r w:rsidRPr="009D6E39">
              <w:rPr>
                <w:rFonts w:ascii="Calibri" w:hAnsi="Calibri" w:cs="Calibri"/>
                <w:b/>
                <w:bCs/>
                <w:sz w:val="22"/>
                <w:szCs w:val="22"/>
              </w:rPr>
              <w:t>Subject:</w:t>
            </w:r>
          </w:p>
          <w:p w:rsidR="00DD689C" w:rsidRPr="009D6E39" w:rsidRDefault="00DD689C" w:rsidP="009306C6">
            <w:pPr>
              <w:rPr>
                <w:rFonts w:ascii="Calibri" w:hAnsi="Calibri" w:cs="Calibri"/>
                <w:b/>
                <w:bCs/>
                <w:sz w:val="22"/>
                <w:szCs w:val="22"/>
              </w:rPr>
            </w:pPr>
          </w:p>
        </w:tc>
        <w:tc>
          <w:tcPr>
            <w:tcW w:w="8003" w:type="dxa"/>
            <w:shd w:val="clear" w:color="auto" w:fill="auto"/>
          </w:tcPr>
          <w:p w:rsidR="00DD689C" w:rsidRPr="009D6E39" w:rsidRDefault="001D3BD7" w:rsidP="009306C6">
            <w:pPr>
              <w:rPr>
                <w:rFonts w:ascii="Calibri" w:hAnsi="Calibri" w:cs="Calibri"/>
                <w:bCs/>
                <w:sz w:val="22"/>
                <w:szCs w:val="22"/>
              </w:rPr>
            </w:pPr>
            <w:r w:rsidRPr="009D6E39">
              <w:rPr>
                <w:rFonts w:ascii="Calibri" w:hAnsi="Calibri" w:cs="Calibri"/>
                <w:bCs/>
                <w:sz w:val="22"/>
                <w:szCs w:val="22"/>
              </w:rPr>
              <w:t>New Enhanced Services</w:t>
            </w:r>
          </w:p>
        </w:tc>
      </w:tr>
      <w:tr w:rsidR="00DD689C" w:rsidRPr="00752FD6" w:rsidTr="00D7033C">
        <w:tc>
          <w:tcPr>
            <w:tcW w:w="2028" w:type="dxa"/>
            <w:shd w:val="clear" w:color="auto" w:fill="auto"/>
          </w:tcPr>
          <w:p w:rsidR="00DD689C" w:rsidRPr="009D6E39" w:rsidRDefault="00DD689C" w:rsidP="009306C6">
            <w:pPr>
              <w:rPr>
                <w:rFonts w:ascii="Calibri" w:hAnsi="Calibri" w:cs="Calibri"/>
                <w:b/>
                <w:bCs/>
                <w:sz w:val="22"/>
                <w:szCs w:val="22"/>
              </w:rPr>
            </w:pPr>
            <w:r w:rsidRPr="009D6E39">
              <w:rPr>
                <w:rFonts w:ascii="Calibri" w:hAnsi="Calibri" w:cs="Calibri"/>
                <w:b/>
                <w:bCs/>
                <w:sz w:val="22"/>
                <w:szCs w:val="22"/>
              </w:rPr>
              <w:t>Status:</w:t>
            </w:r>
          </w:p>
          <w:p w:rsidR="00DD689C" w:rsidRPr="009D6E39" w:rsidRDefault="00DD689C" w:rsidP="009306C6">
            <w:pPr>
              <w:rPr>
                <w:rFonts w:ascii="Calibri" w:hAnsi="Calibri" w:cs="Calibri"/>
                <w:b/>
                <w:bCs/>
                <w:sz w:val="22"/>
                <w:szCs w:val="22"/>
              </w:rPr>
            </w:pPr>
          </w:p>
        </w:tc>
        <w:bookmarkStart w:id="0" w:name="Check4"/>
        <w:tc>
          <w:tcPr>
            <w:tcW w:w="8003" w:type="dxa"/>
            <w:shd w:val="clear" w:color="auto" w:fill="auto"/>
          </w:tcPr>
          <w:p w:rsidR="00DD689C" w:rsidRPr="009D6E39" w:rsidRDefault="001D3BD7" w:rsidP="00752FD6">
            <w:pPr>
              <w:spacing w:before="60"/>
              <w:rPr>
                <w:rFonts w:ascii="Calibri" w:hAnsi="Calibri" w:cs="Calibri"/>
                <w:sz w:val="22"/>
                <w:szCs w:val="22"/>
              </w:rPr>
            </w:pPr>
            <w:r w:rsidRPr="009D6E39">
              <w:rPr>
                <w:rFonts w:ascii="Calibri" w:hAnsi="Calibri" w:cs="Calibri"/>
                <w:sz w:val="22"/>
                <w:szCs w:val="22"/>
              </w:rPr>
              <w:fldChar w:fldCharType="begin">
                <w:ffData>
                  <w:name w:val="Check4"/>
                  <w:enabled/>
                  <w:calcOnExit w:val="0"/>
                  <w:checkBox>
                    <w:sizeAuto/>
                    <w:default w:val="1"/>
                  </w:checkBox>
                </w:ffData>
              </w:fldChar>
            </w:r>
            <w:r w:rsidRPr="009D6E39">
              <w:rPr>
                <w:rFonts w:ascii="Calibri" w:hAnsi="Calibri" w:cs="Calibri"/>
                <w:sz w:val="22"/>
                <w:szCs w:val="22"/>
              </w:rPr>
              <w:instrText xml:space="preserve"> FORMCHECKBOX </w:instrText>
            </w:r>
            <w:r w:rsidRPr="009D6E39">
              <w:rPr>
                <w:rFonts w:ascii="Calibri" w:hAnsi="Calibri" w:cs="Calibri"/>
                <w:sz w:val="22"/>
                <w:szCs w:val="22"/>
              </w:rPr>
            </w:r>
            <w:r w:rsidRPr="009D6E39">
              <w:rPr>
                <w:rFonts w:ascii="Calibri" w:hAnsi="Calibri" w:cs="Calibri"/>
                <w:sz w:val="22"/>
                <w:szCs w:val="22"/>
              </w:rPr>
              <w:fldChar w:fldCharType="end"/>
            </w:r>
            <w:bookmarkEnd w:id="0"/>
            <w:r w:rsidR="00DD689C" w:rsidRPr="009D6E39">
              <w:rPr>
                <w:rFonts w:ascii="Calibri" w:hAnsi="Calibri" w:cs="Calibri"/>
                <w:sz w:val="22"/>
                <w:szCs w:val="22"/>
              </w:rPr>
              <w:t xml:space="preserve"> OPEN</w:t>
            </w:r>
            <w:r w:rsidR="00DD689C" w:rsidRPr="009D6E39">
              <w:rPr>
                <w:rFonts w:ascii="Calibri" w:hAnsi="Calibri" w:cs="Calibri"/>
                <w:sz w:val="22"/>
                <w:szCs w:val="22"/>
              </w:rPr>
              <w:tab/>
              <w:t xml:space="preserve">           </w:t>
            </w:r>
            <w:r w:rsidR="00DD689C" w:rsidRPr="009D6E39">
              <w:rPr>
                <w:rFonts w:ascii="Calibri" w:hAnsi="Calibri" w:cs="Calibri"/>
                <w:sz w:val="22"/>
                <w:szCs w:val="22"/>
              </w:rPr>
              <w:fldChar w:fldCharType="begin">
                <w:ffData>
                  <w:name w:val="Check8"/>
                  <w:enabled/>
                  <w:calcOnExit w:val="0"/>
                  <w:checkBox>
                    <w:sizeAuto/>
                    <w:default w:val="0"/>
                  </w:checkBox>
                </w:ffData>
              </w:fldChar>
            </w:r>
            <w:bookmarkStart w:id="1" w:name="Check8"/>
            <w:r w:rsidR="00DD689C" w:rsidRPr="009D6E39">
              <w:rPr>
                <w:rFonts w:ascii="Calibri" w:hAnsi="Calibri" w:cs="Calibri"/>
                <w:sz w:val="22"/>
                <w:szCs w:val="22"/>
              </w:rPr>
              <w:instrText xml:space="preserve"> FORMCHECKBOX </w:instrText>
            </w:r>
            <w:r w:rsidR="00DD689C" w:rsidRPr="009D6E39">
              <w:rPr>
                <w:rFonts w:ascii="Calibri" w:hAnsi="Calibri" w:cs="Calibri"/>
                <w:sz w:val="22"/>
                <w:szCs w:val="22"/>
              </w:rPr>
            </w:r>
            <w:r w:rsidR="00DD689C" w:rsidRPr="009D6E39">
              <w:rPr>
                <w:rFonts w:ascii="Calibri" w:hAnsi="Calibri" w:cs="Calibri"/>
                <w:sz w:val="22"/>
                <w:szCs w:val="22"/>
              </w:rPr>
              <w:fldChar w:fldCharType="end"/>
            </w:r>
            <w:bookmarkEnd w:id="1"/>
            <w:r w:rsidR="00DD689C" w:rsidRPr="009D6E39">
              <w:rPr>
                <w:rFonts w:ascii="Calibri" w:hAnsi="Calibri" w:cs="Calibri"/>
                <w:sz w:val="22"/>
                <w:szCs w:val="22"/>
              </w:rPr>
              <w:t xml:space="preserve"> CLOSED</w:t>
            </w: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C05EFE">
            <w:pPr>
              <w:jc w:val="both"/>
              <w:rPr>
                <w:rFonts w:ascii="Arial" w:hAnsi="Arial" w:cs="Arial"/>
                <w:bCs/>
                <w:sz w:val="22"/>
                <w:szCs w:val="22"/>
              </w:rPr>
            </w:pPr>
          </w:p>
          <w:p w:rsidR="001D3BD7" w:rsidRPr="00C05EFE" w:rsidRDefault="009D6E39" w:rsidP="00C05EFE">
            <w:pPr>
              <w:jc w:val="both"/>
              <w:rPr>
                <w:rFonts w:asciiTheme="minorHAnsi" w:hAnsiTheme="minorHAnsi" w:cstheme="minorHAnsi"/>
                <w:sz w:val="22"/>
                <w:szCs w:val="22"/>
              </w:rPr>
            </w:pPr>
            <w:r w:rsidRPr="00C05EFE">
              <w:rPr>
                <w:rFonts w:asciiTheme="minorHAnsi" w:hAnsiTheme="minorHAnsi" w:cstheme="minorHAnsi"/>
                <w:bCs/>
                <w:sz w:val="22"/>
                <w:szCs w:val="22"/>
              </w:rPr>
              <w:t>In 2014-15 NHS England conducted a national review</w:t>
            </w:r>
            <w:r w:rsidR="00EE74F0" w:rsidRPr="00C05EFE">
              <w:rPr>
                <w:rFonts w:asciiTheme="minorHAnsi" w:hAnsiTheme="minorHAnsi" w:cstheme="minorHAnsi"/>
                <w:bCs/>
                <w:sz w:val="22"/>
                <w:szCs w:val="22"/>
              </w:rPr>
              <w:t xml:space="preserve"> of</w:t>
            </w:r>
            <w:r w:rsidRPr="00C05EFE">
              <w:rPr>
                <w:rFonts w:asciiTheme="minorHAnsi" w:hAnsiTheme="minorHAnsi" w:cstheme="minorHAnsi"/>
                <w:bCs/>
                <w:sz w:val="22"/>
                <w:szCs w:val="22"/>
              </w:rPr>
              <w:t xml:space="preserve"> the PMS contract. </w:t>
            </w:r>
            <w:r w:rsidR="001D3BD7" w:rsidRPr="00C05EFE">
              <w:rPr>
                <w:rFonts w:asciiTheme="minorHAnsi" w:hAnsiTheme="minorHAnsi" w:cstheme="minorHAnsi"/>
                <w:bCs/>
                <w:sz w:val="22"/>
                <w:szCs w:val="22"/>
              </w:rPr>
              <w:t xml:space="preserve">The purpose of the </w:t>
            </w:r>
            <w:r w:rsidRPr="00C05EFE">
              <w:rPr>
                <w:rFonts w:asciiTheme="minorHAnsi" w:hAnsiTheme="minorHAnsi" w:cstheme="minorHAnsi"/>
                <w:bCs/>
                <w:sz w:val="22"/>
                <w:szCs w:val="22"/>
              </w:rPr>
              <w:t>review was to enable</w:t>
            </w:r>
            <w:r w:rsidR="00C05EFE">
              <w:rPr>
                <w:rFonts w:asciiTheme="minorHAnsi" w:hAnsiTheme="minorHAnsi" w:cstheme="minorHAnsi"/>
                <w:sz w:val="22"/>
                <w:szCs w:val="22"/>
              </w:rPr>
              <w:t xml:space="preserve"> the principle</w:t>
            </w:r>
            <w:r w:rsidR="001D3BD7" w:rsidRPr="00C05EFE">
              <w:rPr>
                <w:rFonts w:asciiTheme="minorHAnsi" w:hAnsiTheme="minorHAnsi" w:cstheme="minorHAnsi"/>
                <w:sz w:val="22"/>
                <w:szCs w:val="22"/>
              </w:rPr>
              <w:t xml:space="preserve"> of equitable funding by moving towards a position where we can demonstrate that all practices (whether on GMS, PMS or APMS) receive the same core funding for providing the core services expected of all GP practices. Any additional funding above this must be clearly linked to enhanced quality or services for the specific needs of a local population, and practices should have an equal opportunity to earn premium funding if they meet the necessary criteria.</w:t>
            </w:r>
          </w:p>
          <w:p w:rsidR="001D3BD7" w:rsidRPr="00C05EFE" w:rsidRDefault="001D3BD7" w:rsidP="00C05EFE">
            <w:pPr>
              <w:jc w:val="both"/>
              <w:rPr>
                <w:rFonts w:asciiTheme="minorHAnsi" w:hAnsiTheme="minorHAnsi" w:cstheme="minorHAnsi"/>
                <w:sz w:val="22"/>
                <w:szCs w:val="22"/>
              </w:rPr>
            </w:pPr>
          </w:p>
          <w:p w:rsidR="001D3BD7" w:rsidRPr="00C05EFE" w:rsidRDefault="001D3BD7" w:rsidP="00C05EFE">
            <w:pPr>
              <w:jc w:val="both"/>
              <w:rPr>
                <w:rFonts w:asciiTheme="minorHAnsi" w:hAnsiTheme="minorHAnsi" w:cstheme="minorHAnsi"/>
                <w:bCs/>
                <w:sz w:val="22"/>
                <w:szCs w:val="22"/>
              </w:rPr>
            </w:pPr>
            <w:r w:rsidRPr="00C05EFE">
              <w:rPr>
                <w:rFonts w:asciiTheme="minorHAnsi" w:hAnsiTheme="minorHAnsi" w:cstheme="minorHAnsi"/>
                <w:sz w:val="22"/>
                <w:szCs w:val="22"/>
              </w:rPr>
              <w:t xml:space="preserve">The funding which comes out of </w:t>
            </w:r>
            <w:r w:rsidR="009D6E39" w:rsidRPr="00C05EFE">
              <w:rPr>
                <w:rFonts w:asciiTheme="minorHAnsi" w:hAnsiTheme="minorHAnsi" w:cstheme="minorHAnsi"/>
                <w:sz w:val="22"/>
                <w:szCs w:val="22"/>
              </w:rPr>
              <w:t>NEL</w:t>
            </w:r>
            <w:r w:rsidRPr="00C05EFE">
              <w:rPr>
                <w:rFonts w:asciiTheme="minorHAnsi" w:hAnsiTheme="minorHAnsi" w:cstheme="minorHAnsi"/>
                <w:sz w:val="22"/>
                <w:szCs w:val="22"/>
              </w:rPr>
              <w:t xml:space="preserve"> GPs</w:t>
            </w:r>
            <w:r w:rsidR="009D6E39" w:rsidRPr="00C05EFE">
              <w:rPr>
                <w:rFonts w:asciiTheme="minorHAnsi" w:hAnsiTheme="minorHAnsi" w:cstheme="minorHAnsi"/>
                <w:sz w:val="22"/>
                <w:szCs w:val="22"/>
              </w:rPr>
              <w:t xml:space="preserve"> </w:t>
            </w:r>
            <w:r w:rsidRPr="00C05EFE">
              <w:rPr>
                <w:rFonts w:asciiTheme="minorHAnsi" w:hAnsiTheme="minorHAnsi" w:cstheme="minorHAnsi"/>
                <w:sz w:val="22"/>
                <w:szCs w:val="22"/>
              </w:rPr>
              <w:t xml:space="preserve">will be provided to NELCCG who are mandated to reinvest the money back into local General Practice services. </w:t>
            </w:r>
            <w:r w:rsidR="009D6E39" w:rsidRPr="00C05EFE">
              <w:rPr>
                <w:rFonts w:asciiTheme="minorHAnsi" w:hAnsiTheme="minorHAnsi" w:cstheme="minorHAnsi"/>
                <w:sz w:val="22"/>
                <w:szCs w:val="22"/>
              </w:rPr>
              <w:t xml:space="preserve">The deductions from the PMS contract will be taken </w:t>
            </w:r>
            <w:r w:rsidR="00EE74F0" w:rsidRPr="00C05EFE">
              <w:rPr>
                <w:rFonts w:asciiTheme="minorHAnsi" w:hAnsiTheme="minorHAnsi" w:cstheme="minorHAnsi"/>
                <w:sz w:val="22"/>
                <w:szCs w:val="22"/>
              </w:rPr>
              <w:t xml:space="preserve">in phases, over a period of 4 years. </w:t>
            </w:r>
          </w:p>
          <w:p w:rsidR="001D3BD7" w:rsidRPr="00C05EFE" w:rsidRDefault="001D3BD7" w:rsidP="00C05EFE">
            <w:pPr>
              <w:jc w:val="both"/>
              <w:rPr>
                <w:rFonts w:asciiTheme="minorHAnsi" w:hAnsiTheme="minorHAnsi" w:cstheme="minorHAnsi"/>
                <w:bCs/>
                <w:sz w:val="22"/>
                <w:szCs w:val="22"/>
              </w:rPr>
            </w:pPr>
          </w:p>
          <w:p w:rsidR="001D3BD7" w:rsidRPr="00C05EFE" w:rsidRDefault="001D3BD7" w:rsidP="00C05EFE">
            <w:pPr>
              <w:jc w:val="both"/>
              <w:rPr>
                <w:rFonts w:asciiTheme="minorHAnsi" w:hAnsiTheme="minorHAnsi" w:cstheme="minorHAnsi"/>
                <w:sz w:val="22"/>
                <w:szCs w:val="22"/>
              </w:rPr>
            </w:pPr>
            <w:r w:rsidRPr="00C05EFE">
              <w:rPr>
                <w:rFonts w:asciiTheme="minorHAnsi" w:hAnsiTheme="minorHAnsi" w:cstheme="minorHAnsi"/>
                <w:sz w:val="22"/>
                <w:szCs w:val="22"/>
              </w:rPr>
              <w:t>Following discussions at the GP Development Group, with the LMC and sub region team for Y&amp;H, we’ve reached agreement on the services which will be commissioned for re-investment of the 25% of the 2015-16 PMS premium deduction. The below services will be commissioned by NELCCG and are expected to have a fundamental value of 25% of the current PMS premium.</w:t>
            </w:r>
          </w:p>
          <w:p w:rsidR="001D3BD7" w:rsidRPr="00C05EFE" w:rsidRDefault="001D3BD7" w:rsidP="00C05EFE">
            <w:pPr>
              <w:jc w:val="both"/>
              <w:rPr>
                <w:rFonts w:asciiTheme="minorHAnsi" w:hAnsiTheme="minorHAnsi" w:cstheme="minorHAnsi"/>
                <w:sz w:val="22"/>
                <w:szCs w:val="22"/>
              </w:rPr>
            </w:pPr>
          </w:p>
          <w:p w:rsidR="001D3BD7" w:rsidRPr="00C05EFE" w:rsidRDefault="001D3BD7" w:rsidP="00C05EFE">
            <w:pPr>
              <w:numPr>
                <w:ilvl w:val="0"/>
                <w:numId w:val="24"/>
              </w:numPr>
              <w:jc w:val="both"/>
              <w:rPr>
                <w:rFonts w:asciiTheme="minorHAnsi" w:hAnsiTheme="minorHAnsi" w:cstheme="minorHAnsi"/>
                <w:bCs/>
                <w:sz w:val="22"/>
                <w:szCs w:val="22"/>
              </w:rPr>
            </w:pPr>
            <w:r w:rsidRPr="00C05EFE">
              <w:rPr>
                <w:rFonts w:asciiTheme="minorHAnsi" w:hAnsiTheme="minorHAnsi" w:cstheme="minorHAnsi"/>
                <w:bCs/>
                <w:sz w:val="22"/>
                <w:szCs w:val="22"/>
              </w:rPr>
              <w:t>Anticoagulation Level 3</w:t>
            </w:r>
          </w:p>
          <w:p w:rsidR="001D3BD7" w:rsidRPr="00C05EFE" w:rsidRDefault="001D3BD7" w:rsidP="00C05EFE">
            <w:pPr>
              <w:numPr>
                <w:ilvl w:val="0"/>
                <w:numId w:val="24"/>
              </w:numPr>
              <w:jc w:val="both"/>
              <w:rPr>
                <w:rFonts w:asciiTheme="minorHAnsi" w:hAnsiTheme="minorHAnsi" w:cstheme="minorHAnsi"/>
                <w:bCs/>
                <w:sz w:val="22"/>
                <w:szCs w:val="22"/>
              </w:rPr>
            </w:pPr>
            <w:r w:rsidRPr="00C05EFE">
              <w:rPr>
                <w:rFonts w:asciiTheme="minorHAnsi" w:hAnsiTheme="minorHAnsi" w:cstheme="minorHAnsi"/>
                <w:bCs/>
                <w:sz w:val="22"/>
                <w:szCs w:val="22"/>
              </w:rPr>
              <w:t>Post-operative Care Service</w:t>
            </w:r>
          </w:p>
          <w:p w:rsidR="001D3BD7" w:rsidRPr="00C05EFE" w:rsidRDefault="001D3BD7" w:rsidP="00C05EFE">
            <w:pPr>
              <w:numPr>
                <w:ilvl w:val="0"/>
                <w:numId w:val="24"/>
              </w:numPr>
              <w:jc w:val="both"/>
              <w:rPr>
                <w:rFonts w:asciiTheme="minorHAnsi" w:hAnsiTheme="minorHAnsi" w:cstheme="minorHAnsi"/>
                <w:bCs/>
                <w:sz w:val="22"/>
                <w:szCs w:val="22"/>
              </w:rPr>
            </w:pPr>
            <w:r w:rsidRPr="00C05EFE">
              <w:rPr>
                <w:rFonts w:asciiTheme="minorHAnsi" w:hAnsiTheme="minorHAnsi" w:cstheme="minorHAnsi"/>
                <w:bCs/>
                <w:sz w:val="22"/>
                <w:szCs w:val="22"/>
              </w:rPr>
              <w:t xml:space="preserve">Administration of </w:t>
            </w:r>
            <w:proofErr w:type="spellStart"/>
            <w:r w:rsidRPr="00C05EFE">
              <w:rPr>
                <w:rFonts w:asciiTheme="minorHAnsi" w:hAnsiTheme="minorHAnsi" w:cstheme="minorHAnsi"/>
                <w:bCs/>
                <w:sz w:val="22"/>
                <w:szCs w:val="22"/>
              </w:rPr>
              <w:t>GnRH</w:t>
            </w:r>
            <w:proofErr w:type="spellEnd"/>
            <w:r w:rsidRPr="00C05EFE">
              <w:rPr>
                <w:rFonts w:asciiTheme="minorHAnsi" w:hAnsiTheme="minorHAnsi" w:cstheme="minorHAnsi"/>
                <w:bCs/>
                <w:sz w:val="22"/>
                <w:szCs w:val="22"/>
              </w:rPr>
              <w:t xml:space="preserve"> Analogues (Urology)</w:t>
            </w:r>
          </w:p>
          <w:p w:rsidR="001D3BD7" w:rsidRPr="00C05EFE" w:rsidRDefault="001D3BD7" w:rsidP="00C05EFE">
            <w:pPr>
              <w:jc w:val="both"/>
              <w:rPr>
                <w:rFonts w:asciiTheme="minorHAnsi" w:hAnsiTheme="minorHAnsi" w:cstheme="minorHAnsi"/>
                <w:bCs/>
                <w:sz w:val="22"/>
                <w:szCs w:val="22"/>
              </w:rPr>
            </w:pPr>
          </w:p>
          <w:p w:rsidR="001D3BD7" w:rsidRPr="00C05EFE" w:rsidRDefault="00C05EFE" w:rsidP="00C05EFE">
            <w:pPr>
              <w:jc w:val="both"/>
              <w:rPr>
                <w:rFonts w:asciiTheme="minorHAnsi" w:hAnsiTheme="minorHAnsi" w:cstheme="minorHAnsi"/>
                <w:bCs/>
                <w:sz w:val="22"/>
                <w:szCs w:val="22"/>
              </w:rPr>
            </w:pPr>
            <w:r w:rsidRPr="00C05EFE">
              <w:rPr>
                <w:rFonts w:asciiTheme="minorHAnsi" w:hAnsiTheme="minorHAnsi" w:cstheme="minorHAnsi"/>
                <w:bCs/>
                <w:sz w:val="22"/>
                <w:szCs w:val="22"/>
              </w:rPr>
              <w:t>The 3 services will commence following return of signed contract variations from the Practices to NHSE, which have been requested to be returned no later than the 30</w:t>
            </w:r>
            <w:r w:rsidRPr="00C05EFE">
              <w:rPr>
                <w:rFonts w:asciiTheme="minorHAnsi" w:hAnsiTheme="minorHAnsi" w:cstheme="minorHAnsi"/>
                <w:bCs/>
                <w:sz w:val="22"/>
                <w:szCs w:val="22"/>
                <w:vertAlign w:val="superscript"/>
              </w:rPr>
              <w:t>th</w:t>
            </w:r>
            <w:r w:rsidRPr="00C05EFE">
              <w:rPr>
                <w:rFonts w:asciiTheme="minorHAnsi" w:hAnsiTheme="minorHAnsi" w:cstheme="minorHAnsi"/>
                <w:bCs/>
                <w:sz w:val="22"/>
                <w:szCs w:val="22"/>
              </w:rPr>
              <w:t xml:space="preserve"> April 2015. </w:t>
            </w:r>
            <w:r>
              <w:rPr>
                <w:rFonts w:asciiTheme="minorHAnsi" w:hAnsiTheme="minorHAnsi" w:cstheme="minorHAnsi"/>
                <w:sz w:val="22"/>
                <w:szCs w:val="22"/>
                <w:shd w:val="clear" w:color="auto" w:fill="FFFFFF"/>
              </w:rPr>
              <w:t>Payment for the services</w:t>
            </w:r>
            <w:r w:rsidRPr="00C05EFE">
              <w:rPr>
                <w:rFonts w:asciiTheme="minorHAnsi" w:hAnsiTheme="minorHAnsi" w:cstheme="minorHAnsi"/>
                <w:sz w:val="22"/>
                <w:szCs w:val="22"/>
                <w:shd w:val="clear" w:color="auto" w:fill="FFFFFF"/>
              </w:rPr>
              <w:t xml:space="preserve"> will be made by NHSE, and will be adjusted back to the 1st April once the signed CVs have been returned. </w:t>
            </w:r>
          </w:p>
          <w:p w:rsidR="001D3BD7" w:rsidRPr="00C05EFE" w:rsidRDefault="001D3BD7" w:rsidP="00C05EFE">
            <w:pPr>
              <w:jc w:val="both"/>
              <w:rPr>
                <w:rFonts w:asciiTheme="minorHAnsi" w:hAnsiTheme="minorHAnsi" w:cstheme="minorHAnsi"/>
                <w:bCs/>
                <w:sz w:val="22"/>
                <w:szCs w:val="22"/>
              </w:rPr>
            </w:pPr>
          </w:p>
          <w:p w:rsidR="006A74AF" w:rsidRPr="00C05EFE" w:rsidRDefault="009D6E39" w:rsidP="00C05EFE">
            <w:pPr>
              <w:jc w:val="both"/>
              <w:rPr>
                <w:rFonts w:asciiTheme="minorHAnsi" w:hAnsiTheme="minorHAnsi" w:cstheme="minorHAnsi"/>
                <w:bCs/>
                <w:sz w:val="22"/>
                <w:szCs w:val="22"/>
              </w:rPr>
            </w:pPr>
            <w:r w:rsidRPr="00C05EFE">
              <w:rPr>
                <w:rFonts w:asciiTheme="minorHAnsi" w:hAnsiTheme="minorHAnsi" w:cstheme="minorHAnsi"/>
                <w:bCs/>
                <w:sz w:val="22"/>
                <w:szCs w:val="22"/>
              </w:rPr>
              <w:t xml:space="preserve">A further paper will be provided to the Joint Co-commissioning Board </w:t>
            </w:r>
            <w:r w:rsidRPr="00C05EFE">
              <w:rPr>
                <w:rFonts w:asciiTheme="minorHAnsi" w:hAnsiTheme="minorHAnsi" w:cstheme="minorHAnsi"/>
                <w:sz w:val="22"/>
                <w:szCs w:val="22"/>
              </w:rPr>
              <w:t xml:space="preserve">later in the year looking at priorities for use </w:t>
            </w:r>
            <w:r w:rsidR="00EE74F0" w:rsidRPr="00C05EFE">
              <w:rPr>
                <w:rFonts w:asciiTheme="minorHAnsi" w:hAnsiTheme="minorHAnsi" w:cstheme="minorHAnsi"/>
                <w:sz w:val="22"/>
                <w:szCs w:val="22"/>
              </w:rPr>
              <w:t>for the</w:t>
            </w:r>
            <w:r w:rsidRPr="00C05EFE">
              <w:rPr>
                <w:rFonts w:asciiTheme="minorHAnsi" w:hAnsiTheme="minorHAnsi" w:cstheme="minorHAnsi"/>
                <w:sz w:val="22"/>
                <w:szCs w:val="22"/>
              </w:rPr>
              <w:t> next 25% </w:t>
            </w:r>
            <w:r w:rsidR="00EE74F0" w:rsidRPr="00C05EFE">
              <w:rPr>
                <w:rFonts w:asciiTheme="minorHAnsi" w:hAnsiTheme="minorHAnsi" w:cstheme="minorHAnsi"/>
                <w:sz w:val="22"/>
                <w:szCs w:val="22"/>
              </w:rPr>
              <w:t xml:space="preserve">of the monies, which will be available in 2016-17. </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Default="00DD689C" w:rsidP="00DD689C">
      <w:pPr>
        <w:rPr>
          <w:rFonts w:ascii="Arial" w:hAnsi="Arial" w:cs="Arial"/>
          <w:b/>
          <w:sz w:val="22"/>
          <w:szCs w:val="22"/>
        </w:rPr>
      </w:pPr>
    </w:p>
    <w:p w:rsidR="00673D79" w:rsidRDefault="00673D79" w:rsidP="00DD689C">
      <w:pPr>
        <w:rPr>
          <w:rFonts w:ascii="Arial" w:hAnsi="Arial" w:cs="Arial"/>
          <w:b/>
          <w:sz w:val="22"/>
          <w:szCs w:val="22"/>
        </w:rPr>
      </w:pPr>
    </w:p>
    <w:p w:rsidR="00673D79" w:rsidRDefault="00673D79" w:rsidP="00DD689C">
      <w:pPr>
        <w:rPr>
          <w:rFonts w:ascii="Arial" w:hAnsi="Arial" w:cs="Arial"/>
          <w:b/>
          <w:sz w:val="22"/>
          <w:szCs w:val="22"/>
        </w:rPr>
      </w:pPr>
    </w:p>
    <w:p w:rsidR="00673D79" w:rsidRPr="009D14DD" w:rsidRDefault="00673D79" w:rsidP="00DD689C">
      <w:pPr>
        <w:rPr>
          <w:rFonts w:ascii="Arial" w:hAnsi="Arial" w:cs="Arial"/>
          <w:b/>
          <w:sz w:val="22"/>
          <w:szCs w:val="22"/>
        </w:rPr>
      </w:pPr>
    </w:p>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6A74AF" w:rsidRPr="00673D79" w:rsidRDefault="00673D79" w:rsidP="00673D79">
            <w:pPr>
              <w:pStyle w:val="ListParagraph"/>
              <w:numPr>
                <w:ilvl w:val="0"/>
                <w:numId w:val="25"/>
              </w:numPr>
              <w:jc w:val="both"/>
              <w:rPr>
                <w:rFonts w:asciiTheme="minorHAnsi" w:hAnsiTheme="minorHAnsi" w:cstheme="minorHAnsi"/>
                <w:bCs/>
                <w:sz w:val="22"/>
                <w:szCs w:val="22"/>
              </w:rPr>
            </w:pPr>
            <w:r w:rsidRPr="00673D79">
              <w:rPr>
                <w:rFonts w:asciiTheme="minorHAnsi" w:hAnsiTheme="minorHAnsi" w:cstheme="minorHAnsi"/>
                <w:bCs/>
                <w:sz w:val="22"/>
                <w:szCs w:val="22"/>
              </w:rPr>
              <w:t xml:space="preserve">Initial identified potential implications regarding service delivery have been mitigated as all PMS practices have signed up to deliver all 3 services. </w:t>
            </w:r>
          </w:p>
          <w:p w:rsidR="00673D79" w:rsidRPr="00673D79" w:rsidRDefault="00673D79" w:rsidP="00673D79">
            <w:pPr>
              <w:pStyle w:val="ListParagraph"/>
              <w:numPr>
                <w:ilvl w:val="0"/>
                <w:numId w:val="25"/>
              </w:numPr>
              <w:jc w:val="both"/>
              <w:rPr>
                <w:rFonts w:asciiTheme="minorHAnsi" w:hAnsiTheme="minorHAnsi" w:cstheme="minorHAnsi"/>
                <w:bCs/>
                <w:sz w:val="22"/>
                <w:szCs w:val="22"/>
              </w:rPr>
            </w:pPr>
            <w:r w:rsidRPr="00673D79">
              <w:rPr>
                <w:rFonts w:asciiTheme="minorHAnsi" w:hAnsiTheme="minorHAnsi" w:cstheme="minorHAnsi"/>
                <w:bCs/>
                <w:sz w:val="22"/>
                <w:szCs w:val="22"/>
              </w:rPr>
              <w:t xml:space="preserve">Potential financial impact of activity exceeds funding. </w:t>
            </w:r>
          </w:p>
          <w:p w:rsidR="006A74AF" w:rsidRDefault="006A74AF" w:rsidP="00585083">
            <w:pPr>
              <w:jc w:val="both"/>
              <w:rPr>
                <w:rFonts w:ascii="Arial" w:hAnsi="Arial" w:cs="Arial"/>
                <w:bCs/>
                <w:sz w:val="22"/>
                <w:szCs w:val="22"/>
              </w:rPr>
            </w:pP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Pr="00752FD6"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tc>
      </w:tr>
      <w:tr w:rsidR="00410BAA" w:rsidRPr="00752FD6" w:rsidTr="00673D79">
        <w:trPr>
          <w:trHeight w:val="653"/>
        </w:trPr>
        <w:tc>
          <w:tcPr>
            <w:tcW w:w="10031" w:type="dxa"/>
            <w:gridSpan w:val="2"/>
            <w:shd w:val="clear" w:color="auto" w:fill="auto"/>
          </w:tcPr>
          <w:p w:rsidR="00C57CB2" w:rsidRDefault="00C57CB2" w:rsidP="009306C6">
            <w:pPr>
              <w:rPr>
                <w:rFonts w:asciiTheme="minorHAnsi" w:hAnsiTheme="minorHAnsi" w:cstheme="minorHAnsi"/>
                <w:bCs/>
                <w:sz w:val="22"/>
                <w:szCs w:val="22"/>
              </w:rPr>
            </w:pPr>
          </w:p>
          <w:p w:rsidR="00410BAA" w:rsidRPr="00410BAA" w:rsidRDefault="00410BAA" w:rsidP="009306C6">
            <w:pPr>
              <w:rPr>
                <w:rFonts w:asciiTheme="minorHAnsi" w:hAnsiTheme="minorHAnsi" w:cstheme="minorHAnsi"/>
                <w:bCs/>
                <w:sz w:val="22"/>
                <w:szCs w:val="22"/>
              </w:rPr>
            </w:pPr>
            <w:r w:rsidRPr="00410BAA">
              <w:rPr>
                <w:rFonts w:asciiTheme="minorHAnsi" w:hAnsiTheme="minorHAnsi" w:cstheme="minorHAnsi"/>
                <w:bCs/>
                <w:sz w:val="22"/>
                <w:szCs w:val="22"/>
              </w:rPr>
              <w:t xml:space="preserve">This report is for information only. </w:t>
            </w:r>
          </w:p>
          <w:p w:rsidR="00410BAA" w:rsidRDefault="00410BAA" w:rsidP="009306C6">
            <w:pPr>
              <w:rPr>
                <w:rFonts w:ascii="Arial" w:hAnsi="Arial" w:cs="Arial"/>
                <w:bCs/>
                <w:sz w:val="22"/>
                <w:szCs w:val="22"/>
              </w:rPr>
            </w:pPr>
          </w:p>
          <w:p w:rsidR="00410BAA" w:rsidRPr="00752FD6" w:rsidRDefault="00410BAA"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bookmarkStart w:id="2" w:name="_GoBack" w:colFirst="2" w:colLast="2"/>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bookmarkEnd w:id="2"/>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410BAA"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410BAA"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410BAA"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410BAA"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410BAA" w:rsidP="00D7033C">
            <w:pPr>
              <w:spacing w:before="80" w:after="80"/>
              <w:jc w:val="center"/>
              <w:rPr>
                <w:rFonts w:ascii="Arial" w:hAnsi="Arial" w:cs="Arial"/>
                <w:sz w:val="22"/>
                <w:szCs w:val="22"/>
              </w:rPr>
            </w:pPr>
            <w:r>
              <w:rPr>
                <w:rFonts w:ascii="Arial" w:hAnsi="Arial" w:cs="Arial"/>
                <w:sz w:val="22"/>
                <w:szCs w:val="22"/>
              </w:rPr>
              <w:t>n/a</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2E0365"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673D79" w:rsidP="00D7033C">
            <w:pPr>
              <w:spacing w:before="80" w:after="80"/>
              <w:jc w:val="center"/>
              <w:rPr>
                <w:rFonts w:ascii="Arial" w:hAnsi="Arial" w:cs="Arial"/>
                <w:sz w:val="22"/>
                <w:szCs w:val="22"/>
              </w:rPr>
            </w:pPr>
            <w:r>
              <w:rPr>
                <w:rFonts w:ascii="Arial" w:hAnsi="Arial" w:cs="Arial"/>
                <w:sz w:val="22"/>
                <w:szCs w:val="22"/>
              </w:rPr>
              <w:t>Yes</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sectPr w:rsidR="00DC3218" w:rsidSect="00DD7564">
      <w:footerReference w:type="default" r:id="rId10"/>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08" w:rsidRDefault="003D3E08">
      <w:r>
        <w:separator/>
      </w:r>
    </w:p>
  </w:endnote>
  <w:endnote w:type="continuationSeparator" w:id="0">
    <w:p w:rsidR="003D3E08" w:rsidRDefault="003D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08" w:rsidRDefault="003D3E08">
      <w:r>
        <w:separator/>
      </w:r>
    </w:p>
  </w:footnote>
  <w:footnote w:type="continuationSeparator" w:id="0">
    <w:p w:rsidR="003D3E08" w:rsidRDefault="003D3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87A"/>
    <w:multiLevelType w:val="hybridMultilevel"/>
    <w:tmpl w:val="AF0AA1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D940B5"/>
    <w:multiLevelType w:val="hybridMultilevel"/>
    <w:tmpl w:val="24F2BE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0">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1"/>
  </w:num>
  <w:num w:numId="4">
    <w:abstractNumId w:val="24"/>
  </w:num>
  <w:num w:numId="5">
    <w:abstractNumId w:val="17"/>
  </w:num>
  <w:num w:numId="6">
    <w:abstractNumId w:val="22"/>
  </w:num>
  <w:num w:numId="7">
    <w:abstractNumId w:val="4"/>
  </w:num>
  <w:num w:numId="8">
    <w:abstractNumId w:val="16"/>
  </w:num>
  <w:num w:numId="9">
    <w:abstractNumId w:val="19"/>
  </w:num>
  <w:num w:numId="10">
    <w:abstractNumId w:val="6"/>
  </w:num>
  <w:num w:numId="11">
    <w:abstractNumId w:val="9"/>
  </w:num>
  <w:num w:numId="12">
    <w:abstractNumId w:val="21"/>
  </w:num>
  <w:num w:numId="13">
    <w:abstractNumId w:val="13"/>
  </w:num>
  <w:num w:numId="14">
    <w:abstractNumId w:val="2"/>
  </w:num>
  <w:num w:numId="15">
    <w:abstractNumId w:val="15"/>
  </w:num>
  <w:num w:numId="16">
    <w:abstractNumId w:val="10"/>
  </w:num>
  <w:num w:numId="17">
    <w:abstractNumId w:val="18"/>
  </w:num>
  <w:num w:numId="18">
    <w:abstractNumId w:val="14"/>
  </w:num>
  <w:num w:numId="19">
    <w:abstractNumId w:val="23"/>
  </w:num>
  <w:num w:numId="20">
    <w:abstractNumId w:val="8"/>
  </w:num>
  <w:num w:numId="21">
    <w:abstractNumId w:val="7"/>
  </w:num>
  <w:num w:numId="22">
    <w:abstractNumId w:val="11"/>
  </w:num>
  <w:num w:numId="23">
    <w:abstractNumId w:val="5"/>
  </w:num>
  <w:num w:numId="24">
    <w:abstractNumId w:val="12"/>
  </w:num>
  <w:num w:numId="2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4E90"/>
    <w:rsid w:val="001B3A86"/>
    <w:rsid w:val="001B6258"/>
    <w:rsid w:val="001D3BD7"/>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C5C6F"/>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10BAA"/>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3D79"/>
    <w:rsid w:val="00675C73"/>
    <w:rsid w:val="0068471B"/>
    <w:rsid w:val="0068496F"/>
    <w:rsid w:val="0069645B"/>
    <w:rsid w:val="0069733F"/>
    <w:rsid w:val="006A2E19"/>
    <w:rsid w:val="006A74AF"/>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D6E39"/>
    <w:rsid w:val="009E0D79"/>
    <w:rsid w:val="009E7323"/>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5EFE"/>
    <w:rsid w:val="00C07D8B"/>
    <w:rsid w:val="00C20949"/>
    <w:rsid w:val="00C523B4"/>
    <w:rsid w:val="00C52D50"/>
    <w:rsid w:val="00C57CB2"/>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50C3"/>
    <w:rsid w:val="00D4597C"/>
    <w:rsid w:val="00D52206"/>
    <w:rsid w:val="00D655CC"/>
    <w:rsid w:val="00D6660C"/>
    <w:rsid w:val="00D7033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E74F0"/>
    <w:rsid w:val="00EF1A15"/>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3011</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Informatics</cp:lastModifiedBy>
  <cp:revision>8</cp:revision>
  <cp:lastPrinted>2011-06-01T15:50:00Z</cp:lastPrinted>
  <dcterms:created xsi:type="dcterms:W3CDTF">2015-04-13T12:27:00Z</dcterms:created>
  <dcterms:modified xsi:type="dcterms:W3CDTF">2015-04-16T08:05:00Z</dcterms:modified>
</cp:coreProperties>
</file>