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844249" w:rsidRDefault="00DD689C" w:rsidP="009306C6">
            <w:pPr>
              <w:rPr>
                <w:rFonts w:asciiTheme="minorHAnsi" w:hAnsiTheme="minorHAnsi" w:cstheme="minorHAnsi"/>
                <w:b/>
                <w:bCs/>
                <w:sz w:val="22"/>
                <w:szCs w:val="22"/>
              </w:rPr>
            </w:pPr>
            <w:r w:rsidRPr="00844249">
              <w:rPr>
                <w:rFonts w:asciiTheme="minorHAnsi" w:hAnsiTheme="minorHAnsi" w:cstheme="minorHAnsi"/>
                <w:b/>
                <w:bCs/>
                <w:sz w:val="22"/>
                <w:szCs w:val="22"/>
              </w:rPr>
              <w:t>Report to:</w:t>
            </w:r>
          </w:p>
          <w:p w:rsidR="00DD689C" w:rsidRPr="00844249" w:rsidRDefault="00DD689C" w:rsidP="009306C6">
            <w:pPr>
              <w:rPr>
                <w:rFonts w:asciiTheme="minorHAnsi" w:hAnsiTheme="minorHAnsi" w:cstheme="minorHAnsi"/>
                <w:b/>
                <w:bCs/>
                <w:sz w:val="22"/>
                <w:szCs w:val="22"/>
              </w:rPr>
            </w:pPr>
          </w:p>
        </w:tc>
        <w:tc>
          <w:tcPr>
            <w:tcW w:w="8003" w:type="dxa"/>
            <w:shd w:val="clear" w:color="auto" w:fill="auto"/>
          </w:tcPr>
          <w:p w:rsidR="00DD689C" w:rsidRPr="00844249" w:rsidRDefault="007E6A63" w:rsidP="00F059BD">
            <w:pPr>
              <w:rPr>
                <w:rFonts w:asciiTheme="minorHAnsi" w:hAnsiTheme="minorHAnsi" w:cstheme="minorHAnsi"/>
                <w:bCs/>
                <w:sz w:val="22"/>
                <w:szCs w:val="22"/>
              </w:rPr>
            </w:pPr>
            <w:r w:rsidRPr="00844249">
              <w:rPr>
                <w:rFonts w:asciiTheme="minorHAnsi" w:hAnsiTheme="minorHAnsi" w:cstheme="minorHAnsi"/>
                <w:bCs/>
                <w:sz w:val="22"/>
                <w:szCs w:val="22"/>
              </w:rPr>
              <w:t xml:space="preserve">NEL </w:t>
            </w:r>
            <w:r w:rsidR="00F059BD" w:rsidRPr="00844249">
              <w:rPr>
                <w:rFonts w:asciiTheme="minorHAnsi" w:hAnsiTheme="minorHAnsi" w:cstheme="minorHAnsi"/>
                <w:bCs/>
                <w:sz w:val="22"/>
                <w:szCs w:val="22"/>
              </w:rPr>
              <w:t>CCG Joint Co-Commissioning Board</w:t>
            </w:r>
          </w:p>
        </w:tc>
      </w:tr>
      <w:tr w:rsidR="00DD689C" w:rsidRPr="00752FD6" w:rsidTr="00D7033C">
        <w:tc>
          <w:tcPr>
            <w:tcW w:w="2028" w:type="dxa"/>
            <w:shd w:val="clear" w:color="auto" w:fill="auto"/>
          </w:tcPr>
          <w:p w:rsidR="00DD689C" w:rsidRPr="00844249" w:rsidRDefault="00DD689C" w:rsidP="009306C6">
            <w:pPr>
              <w:rPr>
                <w:rFonts w:asciiTheme="minorHAnsi" w:hAnsiTheme="minorHAnsi" w:cstheme="minorHAnsi"/>
                <w:b/>
                <w:bCs/>
                <w:sz w:val="22"/>
                <w:szCs w:val="22"/>
              </w:rPr>
            </w:pPr>
            <w:r w:rsidRPr="00844249">
              <w:rPr>
                <w:rFonts w:asciiTheme="minorHAnsi" w:hAnsiTheme="minorHAnsi" w:cstheme="minorHAnsi"/>
                <w:b/>
                <w:bCs/>
                <w:sz w:val="22"/>
                <w:szCs w:val="22"/>
              </w:rPr>
              <w:t>Presented by:</w:t>
            </w:r>
          </w:p>
          <w:p w:rsidR="00DD689C" w:rsidRPr="00844249" w:rsidRDefault="00DD689C" w:rsidP="009306C6">
            <w:pPr>
              <w:rPr>
                <w:rFonts w:asciiTheme="minorHAnsi" w:hAnsiTheme="minorHAnsi" w:cstheme="minorHAnsi"/>
                <w:b/>
                <w:bCs/>
                <w:sz w:val="22"/>
                <w:szCs w:val="22"/>
              </w:rPr>
            </w:pPr>
          </w:p>
        </w:tc>
        <w:tc>
          <w:tcPr>
            <w:tcW w:w="8003" w:type="dxa"/>
            <w:shd w:val="clear" w:color="auto" w:fill="auto"/>
          </w:tcPr>
          <w:p w:rsidR="00DD689C" w:rsidRPr="00844249" w:rsidRDefault="001D3BD7" w:rsidP="009306C6">
            <w:pPr>
              <w:rPr>
                <w:rFonts w:asciiTheme="minorHAnsi" w:hAnsiTheme="minorHAnsi" w:cstheme="minorHAnsi"/>
                <w:bCs/>
                <w:sz w:val="22"/>
                <w:szCs w:val="22"/>
              </w:rPr>
            </w:pPr>
            <w:r w:rsidRPr="00844249">
              <w:rPr>
                <w:rFonts w:asciiTheme="minorHAnsi" w:hAnsiTheme="minorHAnsi" w:cstheme="minorHAnsi"/>
                <w:bCs/>
                <w:sz w:val="22"/>
                <w:szCs w:val="22"/>
              </w:rPr>
              <w:t>Debbee Walker</w:t>
            </w:r>
          </w:p>
        </w:tc>
      </w:tr>
      <w:tr w:rsidR="00DD689C" w:rsidRPr="00752FD6" w:rsidTr="00D7033C">
        <w:tc>
          <w:tcPr>
            <w:tcW w:w="2028" w:type="dxa"/>
            <w:shd w:val="clear" w:color="auto" w:fill="auto"/>
          </w:tcPr>
          <w:p w:rsidR="00DD689C" w:rsidRPr="00844249" w:rsidRDefault="00DD689C" w:rsidP="009306C6">
            <w:pPr>
              <w:rPr>
                <w:rFonts w:asciiTheme="minorHAnsi" w:hAnsiTheme="minorHAnsi" w:cstheme="minorHAnsi"/>
                <w:b/>
                <w:bCs/>
                <w:sz w:val="22"/>
                <w:szCs w:val="22"/>
              </w:rPr>
            </w:pPr>
            <w:r w:rsidRPr="00844249">
              <w:rPr>
                <w:rFonts w:asciiTheme="minorHAnsi" w:hAnsiTheme="minorHAnsi" w:cstheme="minorHAnsi"/>
                <w:b/>
                <w:bCs/>
                <w:sz w:val="22"/>
                <w:szCs w:val="22"/>
              </w:rPr>
              <w:t>Date of Meeting:</w:t>
            </w:r>
          </w:p>
          <w:p w:rsidR="00DD689C" w:rsidRPr="00844249" w:rsidRDefault="00DD689C" w:rsidP="009306C6">
            <w:pPr>
              <w:rPr>
                <w:rFonts w:asciiTheme="minorHAnsi" w:hAnsiTheme="minorHAnsi" w:cstheme="minorHAnsi"/>
                <w:b/>
                <w:bCs/>
                <w:sz w:val="22"/>
                <w:szCs w:val="22"/>
              </w:rPr>
            </w:pPr>
          </w:p>
        </w:tc>
        <w:tc>
          <w:tcPr>
            <w:tcW w:w="8003" w:type="dxa"/>
            <w:shd w:val="clear" w:color="auto" w:fill="auto"/>
          </w:tcPr>
          <w:p w:rsidR="00DD689C" w:rsidRPr="00844249" w:rsidRDefault="001D3BD7" w:rsidP="00BC5CEC">
            <w:pPr>
              <w:rPr>
                <w:rFonts w:asciiTheme="minorHAnsi" w:hAnsiTheme="minorHAnsi" w:cstheme="minorHAnsi"/>
                <w:bCs/>
                <w:sz w:val="22"/>
                <w:szCs w:val="22"/>
              </w:rPr>
            </w:pPr>
            <w:r w:rsidRPr="00844249">
              <w:rPr>
                <w:rFonts w:asciiTheme="minorHAnsi" w:hAnsiTheme="minorHAnsi" w:cstheme="minorHAnsi"/>
                <w:bCs/>
                <w:sz w:val="22"/>
                <w:szCs w:val="22"/>
              </w:rPr>
              <w:t>23</w:t>
            </w:r>
            <w:r w:rsidRPr="00844249">
              <w:rPr>
                <w:rFonts w:asciiTheme="minorHAnsi" w:hAnsiTheme="minorHAnsi" w:cstheme="minorHAnsi"/>
                <w:bCs/>
                <w:sz w:val="22"/>
                <w:szCs w:val="22"/>
                <w:vertAlign w:val="superscript"/>
              </w:rPr>
              <w:t>rd</w:t>
            </w:r>
            <w:r w:rsidRPr="00844249">
              <w:rPr>
                <w:rFonts w:asciiTheme="minorHAnsi" w:hAnsiTheme="minorHAnsi" w:cstheme="minorHAnsi"/>
                <w:bCs/>
                <w:sz w:val="22"/>
                <w:szCs w:val="22"/>
              </w:rPr>
              <w:t xml:space="preserve"> April, 2015</w:t>
            </w:r>
          </w:p>
        </w:tc>
      </w:tr>
      <w:tr w:rsidR="00DD689C" w:rsidRPr="00752FD6" w:rsidTr="00D7033C">
        <w:trPr>
          <w:trHeight w:val="438"/>
        </w:trPr>
        <w:tc>
          <w:tcPr>
            <w:tcW w:w="2028" w:type="dxa"/>
            <w:shd w:val="clear" w:color="auto" w:fill="auto"/>
          </w:tcPr>
          <w:p w:rsidR="00DD689C" w:rsidRPr="00844249" w:rsidRDefault="00DD689C" w:rsidP="009306C6">
            <w:pPr>
              <w:rPr>
                <w:rFonts w:asciiTheme="minorHAnsi" w:hAnsiTheme="minorHAnsi" w:cstheme="minorHAnsi"/>
                <w:b/>
                <w:bCs/>
                <w:sz w:val="22"/>
                <w:szCs w:val="22"/>
              </w:rPr>
            </w:pPr>
            <w:r w:rsidRPr="00844249">
              <w:rPr>
                <w:rFonts w:asciiTheme="minorHAnsi" w:hAnsiTheme="minorHAnsi" w:cstheme="minorHAnsi"/>
                <w:b/>
                <w:bCs/>
                <w:sz w:val="22"/>
                <w:szCs w:val="22"/>
              </w:rPr>
              <w:t>Subject:</w:t>
            </w:r>
          </w:p>
          <w:p w:rsidR="00DD689C" w:rsidRPr="00844249" w:rsidRDefault="00DD689C" w:rsidP="009306C6">
            <w:pPr>
              <w:rPr>
                <w:rFonts w:asciiTheme="minorHAnsi" w:hAnsiTheme="minorHAnsi" w:cstheme="minorHAnsi"/>
                <w:b/>
                <w:bCs/>
                <w:sz w:val="22"/>
                <w:szCs w:val="22"/>
              </w:rPr>
            </w:pPr>
          </w:p>
        </w:tc>
        <w:tc>
          <w:tcPr>
            <w:tcW w:w="8003" w:type="dxa"/>
            <w:shd w:val="clear" w:color="auto" w:fill="auto"/>
          </w:tcPr>
          <w:p w:rsidR="00DD689C" w:rsidRPr="00844249" w:rsidRDefault="005B38EF" w:rsidP="009306C6">
            <w:pPr>
              <w:rPr>
                <w:rFonts w:asciiTheme="minorHAnsi" w:hAnsiTheme="minorHAnsi" w:cstheme="minorHAnsi"/>
                <w:bCs/>
                <w:sz w:val="22"/>
                <w:szCs w:val="22"/>
              </w:rPr>
            </w:pPr>
            <w:r w:rsidRPr="00844249">
              <w:rPr>
                <w:rFonts w:asciiTheme="minorHAnsi" w:hAnsiTheme="minorHAnsi" w:cstheme="minorHAnsi"/>
                <w:bCs/>
                <w:sz w:val="22"/>
                <w:szCs w:val="22"/>
              </w:rPr>
              <w:t>PBC Monitoring Incentive Scheme</w:t>
            </w:r>
            <w:r w:rsidR="00844249" w:rsidRPr="00844249">
              <w:rPr>
                <w:rFonts w:asciiTheme="minorHAnsi" w:hAnsiTheme="minorHAnsi" w:cstheme="minorHAnsi"/>
                <w:bCs/>
                <w:sz w:val="22"/>
                <w:szCs w:val="22"/>
              </w:rPr>
              <w:t xml:space="preserve"> 2015-16</w:t>
            </w:r>
          </w:p>
        </w:tc>
      </w:tr>
      <w:tr w:rsidR="00DD689C" w:rsidRPr="00752FD6" w:rsidTr="00D7033C">
        <w:tc>
          <w:tcPr>
            <w:tcW w:w="2028" w:type="dxa"/>
            <w:shd w:val="clear" w:color="auto" w:fill="auto"/>
          </w:tcPr>
          <w:p w:rsidR="00DD689C" w:rsidRPr="00844249" w:rsidRDefault="00DD689C" w:rsidP="009306C6">
            <w:pPr>
              <w:rPr>
                <w:rFonts w:asciiTheme="minorHAnsi" w:hAnsiTheme="minorHAnsi" w:cstheme="minorHAnsi"/>
                <w:b/>
                <w:bCs/>
                <w:sz w:val="22"/>
                <w:szCs w:val="22"/>
              </w:rPr>
            </w:pPr>
            <w:r w:rsidRPr="00844249">
              <w:rPr>
                <w:rFonts w:asciiTheme="minorHAnsi" w:hAnsiTheme="minorHAnsi" w:cstheme="minorHAnsi"/>
                <w:b/>
                <w:bCs/>
                <w:sz w:val="22"/>
                <w:szCs w:val="22"/>
              </w:rPr>
              <w:t>Status:</w:t>
            </w:r>
          </w:p>
          <w:p w:rsidR="00DD689C" w:rsidRPr="00844249" w:rsidRDefault="00DD689C" w:rsidP="009306C6">
            <w:pPr>
              <w:rPr>
                <w:rFonts w:asciiTheme="minorHAnsi" w:hAnsiTheme="minorHAnsi" w:cstheme="minorHAnsi"/>
                <w:b/>
                <w:bCs/>
                <w:sz w:val="22"/>
                <w:szCs w:val="22"/>
              </w:rPr>
            </w:pPr>
          </w:p>
        </w:tc>
        <w:bookmarkStart w:id="1" w:name="Check4"/>
        <w:tc>
          <w:tcPr>
            <w:tcW w:w="8003" w:type="dxa"/>
            <w:shd w:val="clear" w:color="auto" w:fill="auto"/>
          </w:tcPr>
          <w:p w:rsidR="00DD689C" w:rsidRPr="00844249" w:rsidRDefault="001D3BD7" w:rsidP="00752FD6">
            <w:pPr>
              <w:spacing w:before="60"/>
              <w:rPr>
                <w:rFonts w:asciiTheme="minorHAnsi" w:hAnsiTheme="minorHAnsi" w:cstheme="minorHAnsi"/>
                <w:sz w:val="22"/>
                <w:szCs w:val="22"/>
              </w:rPr>
            </w:pPr>
            <w:r w:rsidRPr="00844249">
              <w:rPr>
                <w:rFonts w:asciiTheme="minorHAnsi" w:hAnsiTheme="minorHAnsi" w:cstheme="minorHAnsi"/>
                <w:sz w:val="22"/>
                <w:szCs w:val="22"/>
              </w:rPr>
              <w:fldChar w:fldCharType="begin">
                <w:ffData>
                  <w:name w:val="Check4"/>
                  <w:enabled/>
                  <w:calcOnExit w:val="0"/>
                  <w:checkBox>
                    <w:sizeAuto/>
                    <w:default w:val="1"/>
                  </w:checkBox>
                </w:ffData>
              </w:fldChar>
            </w:r>
            <w:r w:rsidRPr="00844249">
              <w:rPr>
                <w:rFonts w:asciiTheme="minorHAnsi" w:hAnsiTheme="minorHAnsi" w:cstheme="minorHAnsi"/>
                <w:sz w:val="22"/>
                <w:szCs w:val="22"/>
              </w:rPr>
              <w:instrText xml:space="preserve"> FORMCHECKBOX </w:instrText>
            </w:r>
            <w:r w:rsidRPr="00844249">
              <w:rPr>
                <w:rFonts w:asciiTheme="minorHAnsi" w:hAnsiTheme="minorHAnsi" w:cstheme="minorHAnsi"/>
                <w:sz w:val="22"/>
                <w:szCs w:val="22"/>
              </w:rPr>
            </w:r>
            <w:r w:rsidRPr="00844249">
              <w:rPr>
                <w:rFonts w:asciiTheme="minorHAnsi" w:hAnsiTheme="minorHAnsi" w:cstheme="minorHAnsi"/>
                <w:sz w:val="22"/>
                <w:szCs w:val="22"/>
              </w:rPr>
              <w:fldChar w:fldCharType="end"/>
            </w:r>
            <w:bookmarkEnd w:id="1"/>
            <w:r w:rsidR="00DD689C" w:rsidRPr="00844249">
              <w:rPr>
                <w:rFonts w:asciiTheme="minorHAnsi" w:hAnsiTheme="minorHAnsi" w:cstheme="minorHAnsi"/>
                <w:sz w:val="22"/>
                <w:szCs w:val="22"/>
              </w:rPr>
              <w:t xml:space="preserve"> OPEN</w:t>
            </w:r>
            <w:r w:rsidR="00DD689C" w:rsidRPr="00844249">
              <w:rPr>
                <w:rFonts w:asciiTheme="minorHAnsi" w:hAnsiTheme="minorHAnsi" w:cstheme="minorHAnsi"/>
                <w:sz w:val="22"/>
                <w:szCs w:val="22"/>
              </w:rPr>
              <w:tab/>
              <w:t xml:space="preserve">           </w:t>
            </w:r>
            <w:r w:rsidR="00DD689C" w:rsidRPr="00844249">
              <w:rPr>
                <w:rFonts w:asciiTheme="minorHAnsi" w:hAnsiTheme="minorHAnsi" w:cstheme="minorHAnsi"/>
                <w:sz w:val="22"/>
                <w:szCs w:val="22"/>
              </w:rPr>
              <w:fldChar w:fldCharType="begin">
                <w:ffData>
                  <w:name w:val="Check8"/>
                  <w:enabled/>
                  <w:calcOnExit w:val="0"/>
                  <w:checkBox>
                    <w:sizeAuto/>
                    <w:default w:val="0"/>
                  </w:checkBox>
                </w:ffData>
              </w:fldChar>
            </w:r>
            <w:bookmarkStart w:id="2" w:name="Check8"/>
            <w:r w:rsidR="00DD689C" w:rsidRPr="00844249">
              <w:rPr>
                <w:rFonts w:asciiTheme="minorHAnsi" w:hAnsiTheme="minorHAnsi" w:cstheme="minorHAnsi"/>
                <w:sz w:val="22"/>
                <w:szCs w:val="22"/>
              </w:rPr>
              <w:instrText xml:space="preserve"> FORMCHECKBOX </w:instrText>
            </w:r>
            <w:r w:rsidR="00DD689C" w:rsidRPr="00844249">
              <w:rPr>
                <w:rFonts w:asciiTheme="minorHAnsi" w:hAnsiTheme="minorHAnsi" w:cstheme="minorHAnsi"/>
                <w:sz w:val="22"/>
                <w:szCs w:val="22"/>
              </w:rPr>
            </w:r>
            <w:r w:rsidR="00DD689C" w:rsidRPr="00844249">
              <w:rPr>
                <w:rFonts w:asciiTheme="minorHAnsi" w:hAnsiTheme="minorHAnsi" w:cstheme="minorHAnsi"/>
                <w:sz w:val="22"/>
                <w:szCs w:val="22"/>
              </w:rPr>
              <w:fldChar w:fldCharType="end"/>
            </w:r>
            <w:bookmarkEnd w:id="2"/>
            <w:r w:rsidR="00DD689C" w:rsidRPr="00844249">
              <w:rPr>
                <w:rFonts w:asciiTheme="minorHAnsi" w:hAnsiTheme="minorHAnsi" w:cstheme="minorHAnsi"/>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5B38EF" w:rsidRDefault="005B38EF" w:rsidP="005B38EF">
            <w:pPr>
              <w:jc w:val="center"/>
              <w:rPr>
                <w:b/>
                <w:sz w:val="28"/>
                <w:szCs w:val="28"/>
              </w:rPr>
            </w:pPr>
          </w:p>
          <w:p w:rsidR="005B38EF" w:rsidRPr="00844249" w:rsidRDefault="005B38EF" w:rsidP="005B38EF">
            <w:pPr>
              <w:rPr>
                <w:rFonts w:ascii="Calibri" w:hAnsi="Calibri" w:cs="Calibri"/>
                <w:sz w:val="22"/>
                <w:szCs w:val="22"/>
              </w:rPr>
            </w:pPr>
            <w:r w:rsidRPr="00844249">
              <w:rPr>
                <w:rFonts w:ascii="Calibri" w:hAnsi="Calibri" w:cs="Calibri"/>
                <w:sz w:val="22"/>
                <w:szCs w:val="22"/>
              </w:rPr>
              <w:t>The current PMS/APMS/GMS contracts have a focus on practices engaging with the commissioning body to monitor activity, report issues to practice advisors and to make an overall assessment of the activity and financial performance. As the contracts are changing the CCG still sees this responsibility as a key function of practices, engaging with the CCG directly to manage performance of the main providers (e.g. NLAG) and wants to reward practices for active participation in this process.</w:t>
            </w:r>
          </w:p>
          <w:p w:rsidR="005B38EF" w:rsidRPr="00844249" w:rsidRDefault="005B38EF" w:rsidP="005B38EF">
            <w:pPr>
              <w:rPr>
                <w:b/>
                <w:sz w:val="22"/>
                <w:szCs w:val="22"/>
              </w:rPr>
            </w:pPr>
          </w:p>
          <w:p w:rsidR="005B38EF" w:rsidRPr="00844249" w:rsidRDefault="005B38EF" w:rsidP="005B38EF">
            <w:pPr>
              <w:rPr>
                <w:rFonts w:ascii="Calibri" w:hAnsi="Calibri" w:cs="Calibri"/>
                <w:sz w:val="22"/>
                <w:szCs w:val="22"/>
              </w:rPr>
            </w:pPr>
            <w:r w:rsidRPr="00844249">
              <w:rPr>
                <w:rFonts w:ascii="Calibri" w:hAnsi="Calibri" w:cs="Calibri"/>
                <w:sz w:val="22"/>
                <w:szCs w:val="22"/>
              </w:rPr>
              <w:t>Commencing Q3 2014</w:t>
            </w:r>
            <w:r w:rsidR="00844249">
              <w:rPr>
                <w:rFonts w:ascii="Calibri" w:hAnsi="Calibri" w:cs="Calibri"/>
                <w:sz w:val="22"/>
                <w:szCs w:val="22"/>
              </w:rPr>
              <w:t>/15</w:t>
            </w:r>
            <w:r w:rsidRPr="00844249">
              <w:rPr>
                <w:rFonts w:ascii="Calibri" w:hAnsi="Calibri" w:cs="Calibri"/>
                <w:sz w:val="22"/>
                <w:szCs w:val="22"/>
              </w:rPr>
              <w:t xml:space="preserve"> the PBC monitoring incentive scheme was </w:t>
            </w:r>
            <w:r w:rsidR="00844249">
              <w:rPr>
                <w:rFonts w:ascii="Calibri" w:hAnsi="Calibri" w:cs="Calibri"/>
                <w:sz w:val="22"/>
                <w:szCs w:val="22"/>
              </w:rPr>
              <w:t>launched, which awards</w:t>
            </w:r>
            <w:r w:rsidRPr="00844249">
              <w:rPr>
                <w:rFonts w:ascii="Calibri" w:hAnsi="Calibri" w:cs="Calibri"/>
                <w:sz w:val="22"/>
                <w:szCs w:val="22"/>
              </w:rPr>
              <w:t xml:space="preserve"> £1 per patient population to practices who monitor and engage with their activity, prescribing and financial data per a pre-defined assessment criteria. Additionally, 80p per patient population will be awarded to practices who achieve a balance position on the core elements of their budget at the end of FY 14/15.</w:t>
            </w:r>
          </w:p>
          <w:p w:rsidR="005B38EF" w:rsidRPr="00844249" w:rsidRDefault="005B38EF" w:rsidP="005B38EF">
            <w:pPr>
              <w:rPr>
                <w:rFonts w:ascii="Calibri" w:hAnsi="Calibri" w:cs="Calibri"/>
                <w:sz w:val="22"/>
                <w:szCs w:val="22"/>
              </w:rPr>
            </w:pPr>
          </w:p>
          <w:p w:rsidR="005B38EF" w:rsidRPr="00844249" w:rsidRDefault="005B38EF" w:rsidP="005B38EF">
            <w:pPr>
              <w:rPr>
                <w:rFonts w:ascii="Calibri" w:hAnsi="Calibri" w:cs="Calibri"/>
                <w:sz w:val="22"/>
                <w:szCs w:val="22"/>
              </w:rPr>
            </w:pPr>
            <w:r w:rsidRPr="00844249">
              <w:rPr>
                <w:rFonts w:ascii="Calibri" w:hAnsi="Calibri" w:cs="Calibri"/>
                <w:sz w:val="22"/>
                <w:szCs w:val="22"/>
              </w:rPr>
              <w:t xml:space="preserve">As we continue to evolve the incentive scheme to make it appropriate to the needs of the CCG, in 15/16 the CCG would like to </w:t>
            </w:r>
            <w:r w:rsidR="00844249">
              <w:rPr>
                <w:rFonts w:ascii="Calibri" w:hAnsi="Calibri" w:cs="Calibri"/>
                <w:sz w:val="22"/>
                <w:szCs w:val="22"/>
              </w:rPr>
              <w:t>see the scheme add further value</w:t>
            </w:r>
            <w:r w:rsidRPr="00844249">
              <w:rPr>
                <w:rFonts w:ascii="Calibri" w:hAnsi="Calibri" w:cs="Calibri"/>
                <w:sz w:val="22"/>
                <w:szCs w:val="22"/>
              </w:rPr>
              <w:t>, as feedback following Q3 performance management highlights a significant variation in the level of engagement which impacts on the beneficial outcomes to patients, practices and the CCG.</w:t>
            </w:r>
          </w:p>
          <w:p w:rsidR="005B38EF" w:rsidRPr="00844249" w:rsidRDefault="005B38EF" w:rsidP="005B38EF">
            <w:pPr>
              <w:rPr>
                <w:rFonts w:ascii="Calibri" w:hAnsi="Calibri" w:cs="Calibri"/>
                <w:sz w:val="22"/>
                <w:szCs w:val="22"/>
              </w:rPr>
            </w:pPr>
          </w:p>
          <w:p w:rsidR="005B38EF" w:rsidRPr="00844249" w:rsidRDefault="005B38EF" w:rsidP="005B38EF">
            <w:pPr>
              <w:rPr>
                <w:rFonts w:ascii="Calibri" w:hAnsi="Calibri" w:cs="Calibri"/>
                <w:sz w:val="22"/>
                <w:szCs w:val="22"/>
              </w:rPr>
            </w:pPr>
            <w:r w:rsidRPr="00844249">
              <w:rPr>
                <w:rFonts w:ascii="Calibri" w:hAnsi="Calibri" w:cs="Calibri"/>
                <w:sz w:val="22"/>
                <w:szCs w:val="22"/>
              </w:rPr>
              <w:t xml:space="preserve">The below format is proposed for the scheme in 2015/16, which will continue to be supported by the CCGs Practice Advisors and the Primary Care Team. The CCG will clearly define the dataset and the target for Practices prior to commencement. </w:t>
            </w:r>
          </w:p>
          <w:p w:rsidR="005B38EF" w:rsidRPr="00844249" w:rsidRDefault="005B38EF" w:rsidP="005B38EF">
            <w:pPr>
              <w:rPr>
                <w:rFonts w:ascii="Calibri" w:hAnsi="Calibri" w:cs="Calibri"/>
                <w:sz w:val="22"/>
                <w:szCs w:val="22"/>
              </w:rPr>
            </w:pPr>
          </w:p>
          <w:p w:rsidR="00D20E21" w:rsidRDefault="00D20E21" w:rsidP="005B38EF">
            <w:pPr>
              <w:numPr>
                <w:ilvl w:val="0"/>
                <w:numId w:val="25"/>
              </w:numPr>
              <w:jc w:val="both"/>
              <w:rPr>
                <w:rFonts w:ascii="Calibri" w:hAnsi="Calibri" w:cs="Calibri"/>
                <w:bCs/>
                <w:sz w:val="22"/>
                <w:szCs w:val="22"/>
              </w:rPr>
            </w:pPr>
            <w:r>
              <w:rPr>
                <w:rFonts w:ascii="Calibri" w:hAnsi="Calibri" w:cs="Calibri"/>
                <w:bCs/>
                <w:sz w:val="22"/>
                <w:szCs w:val="22"/>
              </w:rPr>
              <w:t>A proportion (tbd) of 90p</w:t>
            </w:r>
            <w:r w:rsidR="005B38EF" w:rsidRPr="00844249">
              <w:rPr>
                <w:rFonts w:ascii="Calibri" w:hAnsi="Calibri" w:cs="Calibri"/>
                <w:bCs/>
                <w:sz w:val="22"/>
                <w:szCs w:val="22"/>
              </w:rPr>
              <w:t xml:space="preserve"> per patient continues to be paid to practices who monitor and engage with their activity, prescribing and financial data as per the 2014/15 scheme.</w:t>
            </w:r>
          </w:p>
          <w:p w:rsidR="005B38EF" w:rsidRPr="00844249" w:rsidRDefault="00D20E21" w:rsidP="00D20E21">
            <w:pPr>
              <w:ind w:left="720"/>
              <w:jc w:val="both"/>
              <w:rPr>
                <w:rFonts w:ascii="Calibri" w:hAnsi="Calibri" w:cs="Calibri"/>
                <w:bCs/>
                <w:sz w:val="22"/>
                <w:szCs w:val="22"/>
              </w:rPr>
            </w:pPr>
            <w:r>
              <w:rPr>
                <w:rFonts w:ascii="Calibri" w:hAnsi="Calibri" w:cs="Calibri"/>
                <w:bCs/>
                <w:sz w:val="22"/>
                <w:szCs w:val="22"/>
              </w:rPr>
              <w:t xml:space="preserve">A proportion (tbd) of the 90p per patient will be paid to practices for engaging with a number of prescribing quality improvements/efficiencies which are currently being worked up by the Prescribing Triangle. </w:t>
            </w:r>
            <w:r w:rsidR="005B38EF" w:rsidRPr="00844249">
              <w:rPr>
                <w:rFonts w:ascii="Calibri" w:hAnsi="Calibri" w:cs="Calibri"/>
                <w:bCs/>
                <w:sz w:val="22"/>
                <w:szCs w:val="22"/>
              </w:rPr>
              <w:br/>
            </w:r>
          </w:p>
          <w:p w:rsidR="006A74AF" w:rsidRPr="00D20E21" w:rsidRDefault="005B38EF" w:rsidP="00B41D76">
            <w:pPr>
              <w:pStyle w:val="ListParagraph"/>
              <w:numPr>
                <w:ilvl w:val="0"/>
                <w:numId w:val="26"/>
              </w:numPr>
              <w:ind w:right="57"/>
              <w:jc w:val="both"/>
              <w:rPr>
                <w:rFonts w:asciiTheme="minorHAnsi" w:hAnsiTheme="minorHAnsi" w:cstheme="minorHAnsi"/>
                <w:sz w:val="22"/>
                <w:szCs w:val="22"/>
              </w:rPr>
            </w:pPr>
            <w:r w:rsidRPr="00844249">
              <w:rPr>
                <w:rFonts w:ascii="Calibri" w:hAnsi="Calibri" w:cs="Calibri"/>
                <w:bCs/>
                <w:sz w:val="22"/>
                <w:szCs w:val="22"/>
              </w:rPr>
              <w:t>Up to 90p per</w:t>
            </w:r>
            <w:r w:rsidRPr="00844249">
              <w:rPr>
                <w:sz w:val="22"/>
                <w:szCs w:val="22"/>
              </w:rPr>
              <w:t xml:space="preserve"> </w:t>
            </w:r>
            <w:r w:rsidRPr="00844249">
              <w:rPr>
                <w:rFonts w:ascii="Calibri" w:hAnsi="Calibri" w:cs="Calibri"/>
                <w:bCs/>
                <w:sz w:val="22"/>
                <w:szCs w:val="22"/>
              </w:rPr>
              <w:t>patient will be paid to practices for maintaining 2014/15 best quartile performance on outpatient 1st appointments per 1000 patients for all referrals sources, to all providers. All those outside the best quartile will be given an aspiration target for them to achieve by the end of 2015/16.  Achievement of the target will be determined for the practice by the CCG, and will be paid at the end of the FY.  The level of incentive will be scaled to delivery up to the maximum value of 90p per patient</w:t>
            </w:r>
            <w:r w:rsidR="00D20E21">
              <w:rPr>
                <w:rFonts w:ascii="Calibri" w:hAnsi="Calibri" w:cs="Calibri"/>
                <w:bCs/>
                <w:sz w:val="22"/>
                <w:szCs w:val="22"/>
              </w:rPr>
              <w:t xml:space="preserve">. </w:t>
            </w: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C32CFF" w:rsidRPr="00C32CFF" w:rsidRDefault="00C32CFF" w:rsidP="00C32CFF">
            <w:pPr>
              <w:rPr>
                <w:rFonts w:asciiTheme="minorHAnsi" w:hAnsiTheme="minorHAnsi" w:cstheme="minorHAnsi"/>
                <w:bCs/>
                <w:sz w:val="22"/>
                <w:szCs w:val="22"/>
              </w:rPr>
            </w:pPr>
            <w:r w:rsidRPr="00C32CFF">
              <w:rPr>
                <w:rFonts w:asciiTheme="minorHAnsi" w:hAnsiTheme="minorHAnsi" w:cstheme="minorHAnsi"/>
                <w:bCs/>
                <w:sz w:val="22"/>
                <w:szCs w:val="22"/>
              </w:rPr>
              <w:t>To improve the accountability of practices</w:t>
            </w:r>
            <w:r>
              <w:rPr>
                <w:rFonts w:asciiTheme="minorHAnsi" w:hAnsiTheme="minorHAnsi" w:cstheme="minorHAnsi"/>
                <w:bCs/>
                <w:sz w:val="22"/>
                <w:szCs w:val="22"/>
              </w:rPr>
              <w:t xml:space="preserve"> for the overall management of their patients. </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6A74AF" w:rsidRPr="00C32CFF" w:rsidRDefault="00C32CFF" w:rsidP="00C32CFF">
            <w:pPr>
              <w:pStyle w:val="ListParagraph"/>
              <w:numPr>
                <w:ilvl w:val="0"/>
                <w:numId w:val="26"/>
              </w:numPr>
              <w:jc w:val="both"/>
              <w:rPr>
                <w:rFonts w:asciiTheme="minorHAnsi" w:hAnsiTheme="minorHAnsi" w:cstheme="minorHAnsi"/>
                <w:bCs/>
                <w:sz w:val="22"/>
                <w:szCs w:val="22"/>
              </w:rPr>
            </w:pPr>
            <w:r w:rsidRPr="00C32CFF">
              <w:rPr>
                <w:rFonts w:asciiTheme="minorHAnsi" w:hAnsiTheme="minorHAnsi" w:cstheme="minorHAnsi"/>
                <w:bCs/>
                <w:sz w:val="22"/>
                <w:szCs w:val="22"/>
              </w:rPr>
              <w:t>Reduction in outpatient 1</w:t>
            </w:r>
            <w:r w:rsidRPr="00C32CFF">
              <w:rPr>
                <w:rFonts w:asciiTheme="minorHAnsi" w:hAnsiTheme="minorHAnsi" w:cstheme="minorHAnsi"/>
                <w:bCs/>
                <w:sz w:val="22"/>
                <w:szCs w:val="22"/>
                <w:vertAlign w:val="superscript"/>
              </w:rPr>
              <w:t>st</w:t>
            </w:r>
            <w:r w:rsidRPr="00C32CFF">
              <w:rPr>
                <w:rFonts w:asciiTheme="minorHAnsi" w:hAnsiTheme="minorHAnsi" w:cstheme="minorHAnsi"/>
                <w:bCs/>
                <w:sz w:val="22"/>
                <w:szCs w:val="22"/>
              </w:rPr>
              <w:t xml:space="preserve"> attendances;</w:t>
            </w:r>
          </w:p>
          <w:p w:rsidR="00C32CFF" w:rsidRPr="00C32CFF" w:rsidRDefault="00C32CFF" w:rsidP="00C32CFF">
            <w:pPr>
              <w:pStyle w:val="ListParagraph"/>
              <w:numPr>
                <w:ilvl w:val="0"/>
                <w:numId w:val="26"/>
              </w:numPr>
              <w:jc w:val="both"/>
              <w:rPr>
                <w:rFonts w:asciiTheme="minorHAnsi" w:hAnsiTheme="minorHAnsi" w:cstheme="minorHAnsi"/>
                <w:bCs/>
                <w:sz w:val="22"/>
                <w:szCs w:val="22"/>
              </w:rPr>
            </w:pPr>
            <w:r w:rsidRPr="00C32CFF">
              <w:rPr>
                <w:rFonts w:asciiTheme="minorHAnsi" w:hAnsiTheme="minorHAnsi" w:cstheme="minorHAnsi"/>
                <w:bCs/>
                <w:sz w:val="22"/>
                <w:szCs w:val="22"/>
              </w:rPr>
              <w:t>Improvements in prescribing efficiencies and quality;</w:t>
            </w:r>
          </w:p>
          <w:p w:rsidR="00C32CFF" w:rsidRPr="00C32CFF" w:rsidRDefault="00C32CFF" w:rsidP="00C32CFF">
            <w:pPr>
              <w:pStyle w:val="ListParagraph"/>
              <w:numPr>
                <w:ilvl w:val="0"/>
                <w:numId w:val="26"/>
              </w:numPr>
              <w:jc w:val="both"/>
              <w:rPr>
                <w:rFonts w:asciiTheme="minorHAnsi" w:hAnsiTheme="minorHAnsi" w:cstheme="minorHAnsi"/>
                <w:bCs/>
                <w:sz w:val="22"/>
                <w:szCs w:val="22"/>
              </w:rPr>
            </w:pPr>
            <w:r w:rsidRPr="00C32CFF">
              <w:rPr>
                <w:rFonts w:asciiTheme="minorHAnsi" w:hAnsiTheme="minorHAnsi" w:cstheme="minorHAnsi"/>
                <w:bCs/>
                <w:sz w:val="22"/>
                <w:szCs w:val="22"/>
              </w:rPr>
              <w:t xml:space="preserve">Reduction in antibiotic prescribing in line with Quality Premium requirements for 2015-16. </w:t>
            </w:r>
          </w:p>
          <w:p w:rsidR="006A74AF" w:rsidRDefault="006A74AF" w:rsidP="00585083">
            <w:pPr>
              <w:jc w:val="both"/>
              <w:rPr>
                <w:rFonts w:ascii="Arial" w:hAnsi="Arial" w:cs="Arial"/>
                <w:bCs/>
                <w:sz w:val="22"/>
                <w:szCs w:val="22"/>
              </w:rPr>
            </w:pP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2E19" w:rsidRPr="00752FD6" w:rsidTr="00D7033C">
        <w:trPr>
          <w:trHeight w:val="567"/>
        </w:trPr>
        <w:tc>
          <w:tcPr>
            <w:tcW w:w="10031" w:type="dxa"/>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844249" w:rsidRPr="00752FD6" w:rsidTr="00217F32">
        <w:trPr>
          <w:trHeight w:val="921"/>
        </w:trPr>
        <w:tc>
          <w:tcPr>
            <w:tcW w:w="10031" w:type="dxa"/>
            <w:shd w:val="clear" w:color="auto" w:fill="auto"/>
          </w:tcPr>
          <w:p w:rsidR="00844249" w:rsidRDefault="00844249" w:rsidP="009306C6">
            <w:pPr>
              <w:rPr>
                <w:rFonts w:ascii="Arial" w:hAnsi="Arial" w:cs="Arial"/>
                <w:bCs/>
                <w:sz w:val="22"/>
                <w:szCs w:val="22"/>
              </w:rPr>
            </w:pPr>
          </w:p>
          <w:p w:rsidR="00844249" w:rsidRPr="00410BAA" w:rsidRDefault="00844249" w:rsidP="00844249">
            <w:pPr>
              <w:rPr>
                <w:rFonts w:asciiTheme="minorHAnsi" w:hAnsiTheme="minorHAnsi" w:cstheme="minorHAnsi"/>
                <w:bCs/>
                <w:sz w:val="22"/>
                <w:szCs w:val="22"/>
              </w:rPr>
            </w:pPr>
            <w:r w:rsidRPr="00C32CFF">
              <w:rPr>
                <w:rFonts w:asciiTheme="minorHAnsi" w:hAnsiTheme="minorHAnsi" w:cstheme="minorHAnsi"/>
                <w:bCs/>
                <w:sz w:val="22"/>
                <w:szCs w:val="22"/>
              </w:rPr>
              <w:t>This report is for information only.</w:t>
            </w:r>
            <w:r w:rsidRPr="00410BAA">
              <w:rPr>
                <w:rFonts w:asciiTheme="minorHAnsi" w:hAnsiTheme="minorHAnsi" w:cstheme="minorHAnsi"/>
                <w:bCs/>
                <w:sz w:val="22"/>
                <w:szCs w:val="22"/>
              </w:rPr>
              <w:t xml:space="preserve"> </w:t>
            </w:r>
          </w:p>
          <w:p w:rsidR="00844249" w:rsidRPr="00752FD6" w:rsidRDefault="00844249" w:rsidP="009306C6">
            <w:pPr>
              <w:rPr>
                <w:rFonts w:ascii="Arial" w:hAnsi="Arial" w:cs="Arial"/>
                <w:bCs/>
                <w:sz w:val="22"/>
                <w:szCs w:val="22"/>
              </w:rPr>
            </w:pPr>
          </w:p>
        </w:tc>
      </w:tr>
    </w:tbl>
    <w:tbl>
      <w:tblPr>
        <w:tblpPr w:leftFromText="180" w:rightFromText="180" w:vertAnchor="text" w:horzAnchor="margin" w:tblpY="438"/>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D20E21" w:rsidRPr="00752FD6" w:rsidTr="00D20E21">
        <w:trPr>
          <w:trHeight w:val="822"/>
          <w:tblHeader/>
        </w:trPr>
        <w:tc>
          <w:tcPr>
            <w:tcW w:w="568" w:type="dxa"/>
            <w:shd w:val="clear" w:color="auto" w:fill="C0C0C0"/>
            <w:vAlign w:val="center"/>
          </w:tcPr>
          <w:p w:rsidR="00D20E21" w:rsidRPr="00752FD6" w:rsidRDefault="00D20E21" w:rsidP="00D20E21">
            <w:pPr>
              <w:spacing w:before="80" w:after="80"/>
              <w:jc w:val="center"/>
              <w:rPr>
                <w:rFonts w:ascii="Arial" w:hAnsi="Arial" w:cs="Arial"/>
                <w:b/>
                <w:sz w:val="22"/>
                <w:szCs w:val="22"/>
              </w:rPr>
            </w:pPr>
          </w:p>
        </w:tc>
        <w:tc>
          <w:tcPr>
            <w:tcW w:w="6520" w:type="dxa"/>
            <w:shd w:val="clear" w:color="auto" w:fill="C0C0C0"/>
            <w:vAlign w:val="center"/>
          </w:tcPr>
          <w:p w:rsidR="00D20E21" w:rsidRPr="00752FD6" w:rsidRDefault="00D20E21" w:rsidP="00D20E21">
            <w:pPr>
              <w:spacing w:before="80" w:after="80"/>
              <w:rPr>
                <w:rFonts w:ascii="Arial" w:hAnsi="Arial" w:cs="Arial"/>
                <w:b/>
                <w:sz w:val="22"/>
                <w:szCs w:val="22"/>
              </w:rPr>
            </w:pPr>
          </w:p>
        </w:tc>
        <w:tc>
          <w:tcPr>
            <w:tcW w:w="851" w:type="dxa"/>
            <w:shd w:val="clear" w:color="auto" w:fill="C0C0C0"/>
            <w:vAlign w:val="center"/>
          </w:tcPr>
          <w:p w:rsidR="00D20E21" w:rsidRPr="00752FD6" w:rsidRDefault="00D20E21" w:rsidP="00D20E21">
            <w:pPr>
              <w:spacing w:before="80" w:after="80"/>
              <w:jc w:val="center"/>
              <w:rPr>
                <w:rFonts w:ascii="Arial" w:hAnsi="Arial" w:cs="Arial"/>
                <w:b/>
                <w:sz w:val="22"/>
                <w:szCs w:val="22"/>
              </w:rPr>
            </w:pPr>
          </w:p>
          <w:p w:rsidR="00D20E21" w:rsidRDefault="00D20E21" w:rsidP="00D20E21">
            <w:pPr>
              <w:spacing w:before="80" w:after="80"/>
              <w:jc w:val="center"/>
              <w:rPr>
                <w:rFonts w:ascii="Arial" w:hAnsi="Arial" w:cs="Arial"/>
                <w:b/>
                <w:sz w:val="22"/>
                <w:szCs w:val="22"/>
              </w:rPr>
            </w:pPr>
            <w:r w:rsidRPr="00752FD6">
              <w:rPr>
                <w:rFonts w:ascii="Arial" w:hAnsi="Arial" w:cs="Arial"/>
                <w:b/>
                <w:sz w:val="22"/>
                <w:szCs w:val="22"/>
              </w:rPr>
              <w:t>Yes/</w:t>
            </w:r>
          </w:p>
          <w:p w:rsidR="00D20E21" w:rsidRPr="00752FD6" w:rsidRDefault="00D20E21" w:rsidP="00D20E21">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D20E21" w:rsidRPr="00752FD6" w:rsidRDefault="00D20E21" w:rsidP="00D20E21">
            <w:pPr>
              <w:spacing w:before="80" w:after="80"/>
              <w:jc w:val="center"/>
              <w:rPr>
                <w:rFonts w:ascii="Arial" w:hAnsi="Arial" w:cs="Arial"/>
                <w:b/>
                <w:sz w:val="22"/>
                <w:szCs w:val="22"/>
              </w:rPr>
            </w:pPr>
            <w:r w:rsidRPr="00752FD6">
              <w:rPr>
                <w:rFonts w:ascii="Arial" w:hAnsi="Arial" w:cs="Arial"/>
                <w:b/>
                <w:sz w:val="22"/>
                <w:szCs w:val="22"/>
              </w:rPr>
              <w:t>Comments</w:t>
            </w:r>
          </w:p>
        </w:tc>
      </w:tr>
      <w:tr w:rsidR="00D20E21" w:rsidRPr="00752FD6" w:rsidTr="00D20E21">
        <w:tc>
          <w:tcPr>
            <w:tcW w:w="568" w:type="dxa"/>
            <w:shd w:val="clear" w:color="auto" w:fill="auto"/>
          </w:tcPr>
          <w:p w:rsidR="00D20E21" w:rsidRPr="00752FD6" w:rsidRDefault="00D20E21" w:rsidP="00D20E21">
            <w:pPr>
              <w:spacing w:before="80" w:after="80"/>
              <w:rPr>
                <w:rFonts w:ascii="Arial" w:hAnsi="Arial" w:cs="Arial"/>
                <w:sz w:val="22"/>
                <w:szCs w:val="22"/>
              </w:rPr>
            </w:pPr>
          </w:p>
        </w:tc>
        <w:tc>
          <w:tcPr>
            <w:tcW w:w="6520" w:type="dxa"/>
            <w:shd w:val="clear" w:color="auto" w:fill="auto"/>
          </w:tcPr>
          <w:p w:rsidR="00D20E21" w:rsidRPr="00752FD6" w:rsidRDefault="00D20E21" w:rsidP="00D20E21">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D20E21" w:rsidRPr="00752FD6" w:rsidRDefault="00D20E21" w:rsidP="00D20E21">
            <w:pPr>
              <w:spacing w:before="80" w:after="80"/>
              <w:jc w:val="center"/>
              <w:rPr>
                <w:rFonts w:ascii="Arial" w:hAnsi="Arial" w:cs="Arial"/>
                <w:sz w:val="22"/>
                <w:szCs w:val="22"/>
              </w:rPr>
            </w:pPr>
          </w:p>
        </w:tc>
        <w:tc>
          <w:tcPr>
            <w:tcW w:w="2409" w:type="dxa"/>
            <w:shd w:val="clear" w:color="auto" w:fill="auto"/>
          </w:tcPr>
          <w:p w:rsidR="00D20E21" w:rsidRPr="00752FD6" w:rsidRDefault="00D20E21" w:rsidP="00D20E21">
            <w:pPr>
              <w:spacing w:before="80" w:after="80"/>
              <w:rPr>
                <w:rFonts w:ascii="Arial" w:hAnsi="Arial" w:cs="Arial"/>
                <w:sz w:val="22"/>
                <w:szCs w:val="22"/>
              </w:rPr>
            </w:pPr>
          </w:p>
        </w:tc>
      </w:tr>
      <w:tr w:rsidR="00D20E21" w:rsidRPr="00752FD6" w:rsidTr="00D20E21">
        <w:tc>
          <w:tcPr>
            <w:tcW w:w="568" w:type="dxa"/>
            <w:shd w:val="clear" w:color="auto" w:fill="auto"/>
          </w:tcPr>
          <w:p w:rsidR="00D20E21" w:rsidRPr="00752FD6" w:rsidRDefault="00D20E21" w:rsidP="00D20E21">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D20E21" w:rsidRPr="00752FD6" w:rsidRDefault="00D20E21" w:rsidP="00D20E21">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D20E21" w:rsidRPr="00752FD6" w:rsidRDefault="00D20E21" w:rsidP="00D20E21">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D20E21" w:rsidRPr="00752FD6" w:rsidRDefault="00D20E21" w:rsidP="00D20E21">
            <w:pPr>
              <w:spacing w:before="80" w:after="80"/>
              <w:rPr>
                <w:rFonts w:ascii="Arial" w:hAnsi="Arial" w:cs="Arial"/>
                <w:sz w:val="22"/>
                <w:szCs w:val="22"/>
              </w:rPr>
            </w:pPr>
          </w:p>
        </w:tc>
      </w:tr>
      <w:tr w:rsidR="00D20E21" w:rsidRPr="00752FD6" w:rsidTr="00D20E21">
        <w:tc>
          <w:tcPr>
            <w:tcW w:w="568" w:type="dxa"/>
            <w:shd w:val="clear" w:color="auto" w:fill="auto"/>
          </w:tcPr>
          <w:p w:rsidR="00D20E21" w:rsidRPr="00752FD6" w:rsidRDefault="00D20E21" w:rsidP="00D20E21">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D20E21" w:rsidRPr="00752FD6" w:rsidRDefault="00D20E21" w:rsidP="00D20E21">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D20E21" w:rsidRPr="00752FD6" w:rsidRDefault="00D20E21" w:rsidP="00D20E21">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D20E21" w:rsidRPr="00752FD6" w:rsidRDefault="00D20E21" w:rsidP="00D20E21">
            <w:pPr>
              <w:spacing w:before="80" w:after="80"/>
              <w:rPr>
                <w:rFonts w:ascii="Arial" w:hAnsi="Arial" w:cs="Arial"/>
                <w:sz w:val="22"/>
                <w:szCs w:val="22"/>
              </w:rPr>
            </w:pPr>
          </w:p>
        </w:tc>
      </w:tr>
      <w:tr w:rsidR="00D20E21" w:rsidRPr="00752FD6" w:rsidTr="00D20E21">
        <w:tc>
          <w:tcPr>
            <w:tcW w:w="568" w:type="dxa"/>
            <w:shd w:val="clear" w:color="auto" w:fill="auto"/>
          </w:tcPr>
          <w:p w:rsidR="00D20E21" w:rsidRPr="00752FD6" w:rsidRDefault="00D20E21" w:rsidP="00D20E21">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D20E21" w:rsidRPr="00752FD6" w:rsidRDefault="00D20E21" w:rsidP="00D20E21">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D20E21" w:rsidRPr="00752FD6" w:rsidRDefault="00D20E21" w:rsidP="00D20E21">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D20E21" w:rsidRPr="00752FD6" w:rsidRDefault="00D20E21" w:rsidP="00D20E21">
            <w:pPr>
              <w:spacing w:before="80" w:after="80"/>
              <w:rPr>
                <w:rFonts w:ascii="Arial" w:hAnsi="Arial" w:cs="Arial"/>
                <w:sz w:val="22"/>
                <w:szCs w:val="22"/>
              </w:rPr>
            </w:pPr>
          </w:p>
        </w:tc>
      </w:tr>
      <w:tr w:rsidR="00D20E21" w:rsidRPr="00752FD6" w:rsidTr="00D20E21">
        <w:tc>
          <w:tcPr>
            <w:tcW w:w="568" w:type="dxa"/>
            <w:shd w:val="clear" w:color="auto" w:fill="auto"/>
          </w:tcPr>
          <w:p w:rsidR="00D20E21" w:rsidRPr="00752FD6" w:rsidRDefault="00D20E21" w:rsidP="00D20E21">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D20E21" w:rsidRPr="00752FD6" w:rsidRDefault="00D20E21" w:rsidP="00D20E21">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D20E21" w:rsidRPr="00752FD6" w:rsidRDefault="00D20E21" w:rsidP="00D20E21">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D20E21" w:rsidRPr="00752FD6" w:rsidRDefault="00D20E21" w:rsidP="00D20E21">
            <w:pPr>
              <w:spacing w:before="80" w:after="80"/>
              <w:rPr>
                <w:rFonts w:ascii="Arial" w:hAnsi="Arial" w:cs="Arial"/>
                <w:sz w:val="22"/>
                <w:szCs w:val="22"/>
              </w:rPr>
            </w:pPr>
          </w:p>
        </w:tc>
      </w:tr>
      <w:tr w:rsidR="00D20E21" w:rsidRPr="00752FD6" w:rsidTr="00D20E21">
        <w:tc>
          <w:tcPr>
            <w:tcW w:w="568" w:type="dxa"/>
            <w:shd w:val="clear" w:color="auto" w:fill="auto"/>
          </w:tcPr>
          <w:p w:rsidR="00D20E21" w:rsidRPr="00752FD6" w:rsidRDefault="00D20E21" w:rsidP="00D20E21">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D20E21" w:rsidRPr="00752FD6" w:rsidRDefault="00D20E21" w:rsidP="00D20E21">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D20E21" w:rsidRPr="00752FD6" w:rsidRDefault="00D20E21" w:rsidP="00D20E21">
            <w:pPr>
              <w:spacing w:before="80" w:after="80"/>
              <w:jc w:val="center"/>
              <w:rPr>
                <w:rFonts w:ascii="Arial" w:hAnsi="Arial" w:cs="Arial"/>
                <w:sz w:val="22"/>
                <w:szCs w:val="22"/>
              </w:rPr>
            </w:pPr>
            <w:r>
              <w:rPr>
                <w:rFonts w:ascii="Arial" w:hAnsi="Arial" w:cs="Arial"/>
                <w:sz w:val="22"/>
                <w:szCs w:val="22"/>
              </w:rPr>
              <w:t>Yes</w:t>
            </w:r>
          </w:p>
        </w:tc>
        <w:tc>
          <w:tcPr>
            <w:tcW w:w="2409" w:type="dxa"/>
            <w:shd w:val="clear" w:color="auto" w:fill="auto"/>
          </w:tcPr>
          <w:p w:rsidR="00D20E21" w:rsidRPr="00752FD6" w:rsidRDefault="00D20E21" w:rsidP="00D20E21">
            <w:pPr>
              <w:spacing w:before="80" w:after="80"/>
              <w:rPr>
                <w:rFonts w:ascii="Arial" w:hAnsi="Arial" w:cs="Arial"/>
                <w:sz w:val="22"/>
                <w:szCs w:val="22"/>
              </w:rPr>
            </w:pPr>
          </w:p>
        </w:tc>
      </w:tr>
      <w:tr w:rsidR="00D20E21" w:rsidRPr="00752FD6" w:rsidTr="00D20E21">
        <w:tc>
          <w:tcPr>
            <w:tcW w:w="568" w:type="dxa"/>
            <w:shd w:val="clear" w:color="auto" w:fill="auto"/>
          </w:tcPr>
          <w:p w:rsidR="00D20E21" w:rsidRPr="00752FD6" w:rsidRDefault="00D20E21" w:rsidP="00D20E21">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D20E21" w:rsidRDefault="00D20E21" w:rsidP="00D20E21">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D20E21" w:rsidRPr="00752FD6" w:rsidRDefault="00F30F18" w:rsidP="00D20E21">
            <w:pPr>
              <w:spacing w:before="80" w:after="80"/>
              <w:rPr>
                <w:rFonts w:ascii="Arial" w:hAnsi="Arial" w:cs="Arial"/>
                <w:sz w:val="22"/>
                <w:szCs w:val="22"/>
              </w:rPr>
            </w:pPr>
            <w:hyperlink r:id="rId9" w:history="1">
              <w:r w:rsidR="00D20E21"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D20E21" w:rsidRPr="00752FD6" w:rsidRDefault="00D20E21" w:rsidP="00D20E21">
            <w:pPr>
              <w:spacing w:before="80" w:after="80"/>
              <w:jc w:val="center"/>
              <w:rPr>
                <w:rFonts w:ascii="Arial" w:hAnsi="Arial" w:cs="Arial"/>
                <w:sz w:val="22"/>
                <w:szCs w:val="22"/>
              </w:rPr>
            </w:pPr>
            <w:r>
              <w:rPr>
                <w:rFonts w:ascii="Arial" w:hAnsi="Arial" w:cs="Arial"/>
                <w:sz w:val="22"/>
                <w:szCs w:val="22"/>
              </w:rPr>
              <w:t>Yes</w:t>
            </w:r>
          </w:p>
        </w:tc>
        <w:tc>
          <w:tcPr>
            <w:tcW w:w="2409" w:type="dxa"/>
            <w:shd w:val="clear" w:color="auto" w:fill="auto"/>
          </w:tcPr>
          <w:p w:rsidR="00D20E21" w:rsidRPr="00752FD6" w:rsidRDefault="00D20E21" w:rsidP="00D20E21">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08" w:rsidRDefault="003D3E08">
      <w:r>
        <w:separator/>
      </w:r>
    </w:p>
  </w:endnote>
  <w:endnote w:type="continuationSeparator" w:id="0">
    <w:p w:rsidR="003D3E08" w:rsidRDefault="003D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08" w:rsidRDefault="003D3E08">
      <w:r>
        <w:separator/>
      </w:r>
    </w:p>
  </w:footnote>
  <w:footnote w:type="continuationSeparator" w:id="0">
    <w:p w:rsidR="003D3E08" w:rsidRDefault="003D3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25F569B"/>
    <w:multiLevelType w:val="hybridMultilevel"/>
    <w:tmpl w:val="56684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940B5"/>
    <w:multiLevelType w:val="hybridMultilevel"/>
    <w:tmpl w:val="24F2B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DD4741B"/>
    <w:multiLevelType w:val="hybridMultilevel"/>
    <w:tmpl w:val="0FB4C1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1">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0"/>
  </w:num>
  <w:num w:numId="4">
    <w:abstractNumId w:val="25"/>
  </w:num>
  <w:num w:numId="5">
    <w:abstractNumId w:val="17"/>
  </w:num>
  <w:num w:numId="6">
    <w:abstractNumId w:val="23"/>
  </w:num>
  <w:num w:numId="7">
    <w:abstractNumId w:val="3"/>
  </w:num>
  <w:num w:numId="8">
    <w:abstractNumId w:val="16"/>
  </w:num>
  <w:num w:numId="9">
    <w:abstractNumId w:val="20"/>
  </w:num>
  <w:num w:numId="10">
    <w:abstractNumId w:val="5"/>
  </w:num>
  <w:num w:numId="11">
    <w:abstractNumId w:val="9"/>
  </w:num>
  <w:num w:numId="12">
    <w:abstractNumId w:val="22"/>
  </w:num>
  <w:num w:numId="13">
    <w:abstractNumId w:val="13"/>
  </w:num>
  <w:num w:numId="14">
    <w:abstractNumId w:val="1"/>
  </w:num>
  <w:num w:numId="15">
    <w:abstractNumId w:val="15"/>
  </w:num>
  <w:num w:numId="16">
    <w:abstractNumId w:val="10"/>
  </w:num>
  <w:num w:numId="17">
    <w:abstractNumId w:val="19"/>
  </w:num>
  <w:num w:numId="18">
    <w:abstractNumId w:val="14"/>
  </w:num>
  <w:num w:numId="19">
    <w:abstractNumId w:val="24"/>
  </w:num>
  <w:num w:numId="20">
    <w:abstractNumId w:val="7"/>
  </w:num>
  <w:num w:numId="21">
    <w:abstractNumId w:val="6"/>
  </w:num>
  <w:num w:numId="22">
    <w:abstractNumId w:val="11"/>
  </w:num>
  <w:num w:numId="23">
    <w:abstractNumId w:val="4"/>
  </w:num>
  <w:num w:numId="24">
    <w:abstractNumId w:val="12"/>
  </w:num>
  <w:num w:numId="25">
    <w:abstractNumId w:val="18"/>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3BD7"/>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B38EF"/>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1646C"/>
    <w:rsid w:val="008254CA"/>
    <w:rsid w:val="00831338"/>
    <w:rsid w:val="00840F53"/>
    <w:rsid w:val="00841F6F"/>
    <w:rsid w:val="00844249"/>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32CFF"/>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0E21"/>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059BD"/>
    <w:rsid w:val="00F12864"/>
    <w:rsid w:val="00F30F18"/>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3709</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2011-06-01T15:50:00Z</cp:lastPrinted>
  <dcterms:created xsi:type="dcterms:W3CDTF">2015-04-21T08:03:00Z</dcterms:created>
  <dcterms:modified xsi:type="dcterms:W3CDTF">2015-04-21T08:03:00Z</dcterms:modified>
</cp:coreProperties>
</file>