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3BB" w:rsidRPr="00DD7564" w:rsidRDefault="00FE33BB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69035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4</w:t>
                            </w:r>
                            <w:bookmarkStart w:id="0" w:name="_GoBack"/>
                            <w:bookmarkEnd w:id="0"/>
                          </w:p>
                          <w:p w:rsidR="00FE33BB" w:rsidRDefault="00FE33BB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FE33BB" w:rsidRPr="00DD7564" w:rsidRDefault="00FE33BB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69035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4</w:t>
                      </w:r>
                      <w:bookmarkStart w:id="1" w:name="_GoBack"/>
                      <w:bookmarkEnd w:id="1"/>
                    </w:p>
                    <w:p w:rsidR="00FE33BB" w:rsidRDefault="00FE33BB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355">
        <w:rPr>
          <w:noProof/>
        </w:rPr>
        <w:t xml:space="preserve"> 4</w:t>
      </w:r>
    </w:p>
    <w:p w:rsidR="006A74AF" w:rsidRPr="006A74AF" w:rsidRDefault="007A1D3F" w:rsidP="007A1D3F">
      <w:pPr>
        <w:pStyle w:val="Header"/>
        <w:jc w:val="right"/>
        <w:rPr>
          <w:b/>
          <w:color w:val="365F91"/>
        </w:rPr>
      </w:pPr>
      <w:r>
        <w:rPr>
          <w:b/>
          <w:noProof/>
          <w:color w:val="365F91"/>
        </w:rPr>
        <w:drawing>
          <wp:inline distT="0" distB="0" distL="0" distR="0">
            <wp:extent cx="2540605" cy="656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CCG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542" cy="66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 w:rsidRPr="001A5053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 w:rsidRPr="001A5053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79676E" w:rsidP="00D760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Julie Wilson, Assistant Director Co-Commissioning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79676E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79676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February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1A5053" w:rsidRDefault="0079676E" w:rsidP="007A1D3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Terms of Reference – Review</w:t>
            </w:r>
          </w:p>
          <w:p w:rsidR="001A5053" w:rsidRPr="001A5053" w:rsidRDefault="001A5053" w:rsidP="007A1D3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1A5053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053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1A5053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2" w:name="Check4"/>
        <w:tc>
          <w:tcPr>
            <w:tcW w:w="8003" w:type="dxa"/>
            <w:shd w:val="clear" w:color="auto" w:fill="auto"/>
          </w:tcPr>
          <w:p w:rsidR="00DD689C" w:rsidRPr="001A5053" w:rsidRDefault="00150AC3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A5053">
              <w:rPr>
                <w:rFonts w:ascii="Arial" w:hAnsi="Arial" w:cs="Arial"/>
                <w:sz w:val="22"/>
                <w:szCs w:val="22"/>
              </w:rPr>
            </w:r>
            <w:r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1A5053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DD689C"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</w:r>
            <w:r w:rsidR="00DD689C"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DD689C" w:rsidRPr="001A5053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1A5053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Pr="001A5053" w:rsidRDefault="00DE47E9" w:rsidP="00D26686">
            <w:pPr>
              <w:rPr>
                <w:rFonts w:ascii="Arial" w:hAnsi="Arial" w:cs="Arial"/>
                <w:sz w:val="22"/>
                <w:szCs w:val="22"/>
              </w:rPr>
            </w:pPr>
            <w:r w:rsidRPr="001A50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A50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A5053">
              <w:rPr>
                <w:rFonts w:ascii="Arial" w:hAnsi="Arial" w:cs="Arial"/>
                <w:sz w:val="22"/>
                <w:szCs w:val="22"/>
              </w:rPr>
            </w:r>
            <w:r w:rsidRPr="001A50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26686" w:rsidRPr="001A5053">
              <w:rPr>
                <w:rFonts w:ascii="Arial" w:hAnsi="Arial" w:cs="Arial"/>
                <w:sz w:val="22"/>
                <w:szCs w:val="22"/>
              </w:rPr>
              <w:t xml:space="preserve"> Complies with latest CCG Strategy for Primary Medical Services</w:t>
            </w:r>
            <w:r w:rsidR="007A1D3F" w:rsidRPr="001A5053">
              <w:rPr>
                <w:rFonts w:ascii="Arial" w:hAnsi="Arial" w:cs="Arial"/>
                <w:sz w:val="22"/>
                <w:szCs w:val="22"/>
              </w:rPr>
              <w:t xml:space="preserve">, if  not, </w:t>
            </w:r>
            <w:r w:rsidR="00D26686" w:rsidRPr="001A5053">
              <w:rPr>
                <w:rFonts w:ascii="Arial" w:hAnsi="Arial" w:cs="Arial"/>
                <w:sz w:val="22"/>
                <w:szCs w:val="22"/>
              </w:rPr>
              <w:t>please give a brief reason why:</w:t>
            </w:r>
          </w:p>
          <w:p w:rsidR="009E3C5B" w:rsidRPr="001A5053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79676E" w:rsidP="00FE33B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This report has been prepared to bring to the attention of the </w:t>
            </w:r>
            <w:r w:rsidR="00005E3C">
              <w:rPr>
                <w:rFonts w:ascii="Arial" w:hAnsi="Arial" w:cs="Arial"/>
                <w:bCs/>
                <w:sz w:val="22"/>
                <w:szCs w:val="22"/>
              </w:rPr>
              <w:t xml:space="preserve">Joint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Co-Commissioning Committe</w:t>
            </w:r>
            <w:r w:rsidR="00AB0866">
              <w:rPr>
                <w:rFonts w:ascii="Arial" w:hAnsi="Arial" w:cs="Arial"/>
                <w:bCs/>
                <w:sz w:val="22"/>
                <w:szCs w:val="22"/>
              </w:rPr>
              <w:t>e a number of areas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within the current Terms of Reference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AB0866">
              <w:rPr>
                <w:rFonts w:ascii="Arial" w:hAnsi="Arial" w:cs="Arial"/>
                <w:bCs/>
                <w:sz w:val="22"/>
                <w:szCs w:val="22"/>
              </w:rPr>
              <w:t xml:space="preserve"> that require review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and to seek agreement on how best to </w:t>
            </w:r>
            <w:r w:rsidR="00AB0866">
              <w:rPr>
                <w:rFonts w:ascii="Arial" w:hAnsi="Arial" w:cs="Arial"/>
                <w:bCs/>
                <w:sz w:val="22"/>
                <w:szCs w:val="22"/>
              </w:rPr>
              <w:t>address them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It is also intended to remind members of the requirement to share the minutes within their respective organisations. 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79676E" w:rsidP="00AB08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E2E11" w:rsidRDefault="0079676E" w:rsidP="002E2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CCG has recently had an audit of the Co-Commissioning arrangements</w:t>
            </w:r>
            <w:r w:rsidR="004B2E99">
              <w:rPr>
                <w:rFonts w:ascii="Arial" w:hAnsi="Arial" w:cs="Arial"/>
                <w:sz w:val="22"/>
                <w:szCs w:val="22"/>
              </w:rPr>
              <w:t xml:space="preserve">. The </w:t>
            </w:r>
            <w:r>
              <w:rPr>
                <w:rFonts w:ascii="Arial" w:hAnsi="Arial" w:cs="Arial"/>
                <w:sz w:val="22"/>
                <w:szCs w:val="22"/>
              </w:rPr>
              <w:t xml:space="preserve">final report is due in March 2016, but there are a number of areas that have been fed back to the CCG </w:t>
            </w:r>
            <w:r w:rsidR="00AD0F9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AD0F95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AD0F95">
              <w:rPr>
                <w:rFonts w:ascii="Arial" w:hAnsi="Arial" w:cs="Arial"/>
                <w:sz w:val="22"/>
                <w:szCs w:val="22"/>
              </w:rPr>
              <w:t>ed</w:t>
            </w:r>
            <w:r>
              <w:rPr>
                <w:rFonts w:ascii="Arial" w:hAnsi="Arial" w:cs="Arial"/>
                <w:sz w:val="22"/>
                <w:szCs w:val="22"/>
              </w:rPr>
              <w:t xml:space="preserve"> quickly</w:t>
            </w:r>
            <w:r w:rsidR="004B2E99">
              <w:rPr>
                <w:rFonts w:ascii="Arial" w:hAnsi="Arial" w:cs="Arial"/>
                <w:sz w:val="22"/>
                <w:szCs w:val="22"/>
              </w:rPr>
              <w:t xml:space="preserve">, which </w:t>
            </w:r>
            <w:r>
              <w:rPr>
                <w:rFonts w:ascii="Arial" w:hAnsi="Arial" w:cs="Arial"/>
                <w:sz w:val="22"/>
                <w:szCs w:val="22"/>
              </w:rPr>
              <w:t xml:space="preserve">relate to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Committee.</w:t>
            </w:r>
            <w:r w:rsidR="004B2E99">
              <w:rPr>
                <w:rFonts w:ascii="Arial" w:hAnsi="Arial" w:cs="Arial"/>
                <w:sz w:val="22"/>
                <w:szCs w:val="22"/>
              </w:rPr>
              <w:t xml:space="preserve"> These are as follows:</w:t>
            </w:r>
          </w:p>
          <w:p w:rsidR="0079676E" w:rsidRDefault="0079676E" w:rsidP="002E2E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4BC3" w:rsidRPr="00444BC3" w:rsidRDefault="0079676E" w:rsidP="0079676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="00444BC3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="00444BC3">
              <w:rPr>
                <w:rFonts w:ascii="Arial" w:hAnsi="Arial" w:cs="Arial"/>
                <w:sz w:val="22"/>
                <w:szCs w:val="22"/>
              </w:rPr>
              <w:t xml:space="preserve"> state </w:t>
            </w:r>
            <w:r w:rsidR="00444BC3" w:rsidRPr="00444BC3">
              <w:rPr>
                <w:rFonts w:ascii="Arial" w:hAnsi="Arial" w:cs="Arial"/>
                <w:i/>
                <w:sz w:val="22"/>
                <w:szCs w:val="22"/>
              </w:rPr>
              <w:t xml:space="preserve">‘For matters that relate to the statutory responsibilities of NHS England, the Joint Committee shall reach decisions by a simple majority of votes cast by the members present, but the NHS England member shall have a vote equal to that of all other members (e.g. if 6 other member present the NHS England vote shall be counted as 6) plus a casting vote.’ </w:t>
            </w:r>
            <w:r w:rsidR="004B2E99">
              <w:rPr>
                <w:rFonts w:ascii="Arial" w:hAnsi="Arial" w:cs="Arial"/>
                <w:sz w:val="22"/>
                <w:szCs w:val="22"/>
              </w:rPr>
              <w:t>The members</w:t>
            </w:r>
            <w:r w:rsidR="00AB0866">
              <w:rPr>
                <w:rFonts w:ascii="Arial" w:hAnsi="Arial" w:cs="Arial"/>
                <w:sz w:val="22"/>
                <w:szCs w:val="22"/>
              </w:rPr>
              <w:t>hip list</w:t>
            </w:r>
            <w:r w:rsidR="004B2E99">
              <w:rPr>
                <w:rFonts w:ascii="Arial" w:hAnsi="Arial" w:cs="Arial"/>
                <w:sz w:val="22"/>
                <w:szCs w:val="22"/>
              </w:rPr>
              <w:t xml:space="preserve"> also states</w:t>
            </w:r>
            <w:r w:rsidR="00444B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866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444BC3">
              <w:rPr>
                <w:rFonts w:ascii="Arial" w:hAnsi="Arial" w:cs="Arial"/>
                <w:sz w:val="22"/>
                <w:szCs w:val="22"/>
              </w:rPr>
              <w:t xml:space="preserve">NHS England representative </w:t>
            </w:r>
            <w:r w:rsidR="004B2E99">
              <w:rPr>
                <w:rFonts w:ascii="Arial" w:hAnsi="Arial" w:cs="Arial"/>
                <w:sz w:val="22"/>
                <w:szCs w:val="22"/>
              </w:rPr>
              <w:t>(</w:t>
            </w:r>
            <w:r w:rsidR="00444BC3">
              <w:rPr>
                <w:rFonts w:ascii="Arial" w:hAnsi="Arial" w:cs="Arial"/>
                <w:sz w:val="22"/>
                <w:szCs w:val="22"/>
              </w:rPr>
              <w:t>with voting rights</w:t>
            </w:r>
            <w:r w:rsidR="004B2E99">
              <w:rPr>
                <w:rFonts w:ascii="Arial" w:hAnsi="Arial" w:cs="Arial"/>
                <w:sz w:val="22"/>
                <w:szCs w:val="22"/>
              </w:rPr>
              <w:t>)</w:t>
            </w:r>
            <w:r w:rsidR="00444BC3">
              <w:rPr>
                <w:rFonts w:ascii="Arial" w:hAnsi="Arial" w:cs="Arial"/>
                <w:sz w:val="22"/>
                <w:szCs w:val="22"/>
              </w:rPr>
              <w:t xml:space="preserve">, but the local decision has been to have two NHS England reps, both of whom have </w:t>
            </w:r>
            <w:r w:rsidR="00AB0866">
              <w:rPr>
                <w:rFonts w:ascii="Arial" w:hAnsi="Arial" w:cs="Arial"/>
                <w:sz w:val="22"/>
                <w:szCs w:val="22"/>
              </w:rPr>
              <w:t xml:space="preserve">been </w:t>
            </w:r>
            <w:r w:rsidR="00444BC3">
              <w:rPr>
                <w:rFonts w:ascii="Arial" w:hAnsi="Arial" w:cs="Arial"/>
                <w:sz w:val="22"/>
                <w:szCs w:val="22"/>
              </w:rPr>
              <w:t>voting</w:t>
            </w:r>
            <w:r w:rsidR="004B2E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866">
              <w:rPr>
                <w:rFonts w:ascii="Arial" w:hAnsi="Arial" w:cs="Arial"/>
                <w:sz w:val="22"/>
                <w:szCs w:val="22"/>
              </w:rPr>
              <w:t>thus far</w:t>
            </w:r>
            <w:r w:rsidR="00444BC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44BC3" w:rsidRPr="00444BC3" w:rsidRDefault="00444BC3" w:rsidP="00444BC3">
            <w:pPr>
              <w:pStyle w:val="ListParagraph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444BC3" w:rsidRPr="00444BC3" w:rsidRDefault="00444BC3" w:rsidP="00444BC3">
            <w:pPr>
              <w:pStyle w:val="ListParagraph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proposed</w:t>
            </w:r>
            <w:r w:rsidR="00005E3C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866">
              <w:rPr>
                <w:rFonts w:ascii="Arial" w:hAnsi="Arial" w:cs="Arial"/>
                <w:sz w:val="22"/>
                <w:szCs w:val="22"/>
              </w:rPr>
              <w:t xml:space="preserve">the Committee agrees </w:t>
            </w:r>
            <w:r w:rsidR="00005E3C">
              <w:rPr>
                <w:rFonts w:ascii="Arial" w:hAnsi="Arial" w:cs="Arial"/>
                <w:sz w:val="22"/>
                <w:szCs w:val="22"/>
              </w:rPr>
              <w:t xml:space="preserve">that there is only </w:t>
            </w:r>
            <w:r>
              <w:rPr>
                <w:rFonts w:ascii="Arial" w:hAnsi="Arial" w:cs="Arial"/>
                <w:sz w:val="22"/>
                <w:szCs w:val="22"/>
              </w:rPr>
              <w:t>one vot</w:t>
            </w:r>
            <w:r w:rsidR="00005E3C">
              <w:rPr>
                <w:rFonts w:ascii="Arial" w:hAnsi="Arial" w:cs="Arial"/>
                <w:sz w:val="22"/>
                <w:szCs w:val="22"/>
              </w:rPr>
              <w:t>ing 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for NHS England</w:t>
            </w:r>
            <w:r w:rsidR="00AB0866">
              <w:rPr>
                <w:rFonts w:ascii="Arial" w:hAnsi="Arial" w:cs="Arial"/>
                <w:sz w:val="22"/>
                <w:szCs w:val="22"/>
              </w:rPr>
              <w:t xml:space="preserve"> from now on</w:t>
            </w:r>
            <w:r w:rsidR="00075D19">
              <w:rPr>
                <w:rFonts w:ascii="Arial" w:hAnsi="Arial" w:cs="Arial"/>
                <w:sz w:val="22"/>
                <w:szCs w:val="22"/>
              </w:rPr>
              <w:t xml:space="preserve"> who will have a vote as per the </w:t>
            </w:r>
            <w:proofErr w:type="spellStart"/>
            <w:r w:rsidR="00075D19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="00075D19">
              <w:rPr>
                <w:rFonts w:ascii="Arial" w:hAnsi="Arial" w:cs="Arial"/>
                <w:sz w:val="22"/>
                <w:szCs w:val="22"/>
              </w:rPr>
              <w:t xml:space="preserve">; this represents </w:t>
            </w:r>
            <w:r w:rsidR="00AB0866">
              <w:rPr>
                <w:rFonts w:ascii="Arial" w:hAnsi="Arial" w:cs="Arial"/>
                <w:sz w:val="22"/>
                <w:szCs w:val="22"/>
              </w:rPr>
              <w:t xml:space="preserve">no change to the </w:t>
            </w:r>
            <w:proofErr w:type="spellStart"/>
            <w:r w:rsidR="00AB0866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B08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E3C">
              <w:rPr>
                <w:rFonts w:ascii="Arial" w:hAnsi="Arial" w:cs="Arial"/>
                <w:sz w:val="22"/>
                <w:szCs w:val="22"/>
              </w:rPr>
              <w:t>This would</w:t>
            </w:r>
            <w:r w:rsidR="00075D19">
              <w:rPr>
                <w:rFonts w:ascii="Arial" w:hAnsi="Arial" w:cs="Arial"/>
                <w:sz w:val="22"/>
                <w:szCs w:val="22"/>
              </w:rPr>
              <w:t>, however,</w:t>
            </w:r>
            <w:r w:rsidR="00005E3C">
              <w:rPr>
                <w:rFonts w:ascii="Arial" w:hAnsi="Arial" w:cs="Arial"/>
                <w:sz w:val="22"/>
                <w:szCs w:val="22"/>
              </w:rPr>
              <w:t xml:space="preserve"> require the two NHS England representatives to agree their vote </w:t>
            </w:r>
            <w:r w:rsidR="00005E3C">
              <w:rPr>
                <w:rFonts w:ascii="Arial" w:hAnsi="Arial" w:cs="Arial"/>
                <w:sz w:val="22"/>
                <w:szCs w:val="22"/>
              </w:rPr>
              <w:lastRenderedPageBreak/>
              <w:t xml:space="preserve">in advance of any decisions. </w:t>
            </w:r>
          </w:p>
          <w:p w:rsidR="00444BC3" w:rsidRPr="00444BC3" w:rsidRDefault="00444BC3" w:rsidP="00444BC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4596" w:rsidRPr="00444BC3" w:rsidRDefault="003C2001" w:rsidP="003E03E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also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state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that </w:t>
            </w:r>
            <w:r w:rsidRPr="003C2001">
              <w:rPr>
                <w:rFonts w:ascii="Arial" w:hAnsi="Arial" w:cs="Arial"/>
                <w:i/>
                <w:iCs/>
                <w:sz w:val="22"/>
                <w:szCs w:val="22"/>
              </w:rPr>
              <w:t>‘Individual members shall be responsible for ensuring the minutes are presented within their relevant organisations as appropriate’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Members are reminded to ensure that minutes are appropriately shared.</w:t>
            </w:r>
          </w:p>
          <w:p w:rsidR="00D76BFD" w:rsidRDefault="00D76BFD" w:rsidP="003E03E5">
            <w:pPr>
              <w:rPr>
                <w:rFonts w:ascii="Arial" w:hAnsi="Arial" w:cs="Arial"/>
                <w:sz w:val="23"/>
                <w:szCs w:val="23"/>
              </w:rPr>
            </w:pPr>
          </w:p>
          <w:p w:rsidR="00A467F0" w:rsidRDefault="00FE33BB" w:rsidP="00AB08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AB0866">
              <w:rPr>
                <w:rFonts w:ascii="Arial" w:hAnsi="Arial" w:cs="Arial"/>
                <w:bCs/>
                <w:sz w:val="22"/>
                <w:szCs w:val="22"/>
              </w:rPr>
              <w:t xml:space="preserve">primary care triangle lay member has recently resigned. This means that there is no longer a member to fulfil the role of ‘Community Representative from the CCG Accord Membership’. This was added as a local variation to the nationally agreed </w:t>
            </w:r>
            <w:proofErr w:type="spellStart"/>
            <w:r w:rsidR="00AB0866">
              <w:rPr>
                <w:rFonts w:ascii="Arial" w:hAnsi="Arial" w:cs="Arial"/>
                <w:bCs/>
                <w:sz w:val="22"/>
                <w:szCs w:val="22"/>
              </w:rPr>
              <w:t>ToR</w:t>
            </w:r>
            <w:proofErr w:type="spellEnd"/>
            <w:r w:rsidR="00AB0866">
              <w:rPr>
                <w:rFonts w:ascii="Arial" w:hAnsi="Arial" w:cs="Arial"/>
                <w:bCs/>
                <w:sz w:val="22"/>
                <w:szCs w:val="22"/>
              </w:rPr>
              <w:t>. It is proposed that as we already have lay membership representation x 2</w:t>
            </w:r>
            <w:r w:rsidR="00A450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45012" w:rsidRPr="00110DC5">
              <w:rPr>
                <w:rFonts w:ascii="Arial" w:hAnsi="Arial" w:cs="Arial"/>
                <w:bCs/>
                <w:sz w:val="22"/>
                <w:szCs w:val="22"/>
              </w:rPr>
              <w:t>(from CCG Governing Body and Health and Wellbeing Board)</w:t>
            </w:r>
            <w:r w:rsidR="00AB0866">
              <w:rPr>
                <w:rFonts w:ascii="Arial" w:hAnsi="Arial" w:cs="Arial"/>
                <w:bCs/>
                <w:sz w:val="22"/>
                <w:szCs w:val="22"/>
              </w:rPr>
              <w:t xml:space="preserve">, and have additionally invited </w:t>
            </w:r>
            <w:proofErr w:type="spellStart"/>
            <w:r w:rsidR="00AB0866">
              <w:rPr>
                <w:rFonts w:ascii="Arial" w:hAnsi="Arial" w:cs="Arial"/>
                <w:bCs/>
                <w:sz w:val="22"/>
                <w:szCs w:val="22"/>
              </w:rPr>
              <w:t>Healthwatch</w:t>
            </w:r>
            <w:proofErr w:type="spellEnd"/>
            <w:r w:rsidR="00AB0866">
              <w:rPr>
                <w:rFonts w:ascii="Arial" w:hAnsi="Arial" w:cs="Arial"/>
                <w:bCs/>
                <w:sz w:val="22"/>
                <w:szCs w:val="22"/>
              </w:rPr>
              <w:t xml:space="preserve"> to attend the meetings, it is not necessary to retain this additional role. </w:t>
            </w:r>
          </w:p>
          <w:p w:rsidR="00FE33BB" w:rsidRDefault="00FE33BB" w:rsidP="00AB086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33BB" w:rsidRPr="00752FD6" w:rsidRDefault="00FE33BB" w:rsidP="0043749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 addition, the role of ‘GP Lead for Primary Care Development in NELCCG’ will soon be vacated, as Dr Maliyil will take up the Chair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from April 2016. As Chair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48096C">
              <w:rPr>
                <w:rFonts w:ascii="Arial" w:hAnsi="Arial" w:cs="Arial"/>
                <w:bCs/>
                <w:sz w:val="22"/>
                <w:szCs w:val="22"/>
              </w:rPr>
              <w:t>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will remain on the Committee. It is currently unclear whether there will be a like for like replacement for the GP Lead for Primary Care, so it is proposed to invite the newly elected Vice Chair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to take up the </w:t>
            </w:r>
            <w:r w:rsidR="00437495">
              <w:rPr>
                <w:rFonts w:ascii="Arial" w:hAnsi="Arial" w:cs="Arial"/>
                <w:bCs/>
                <w:sz w:val="22"/>
                <w:szCs w:val="22"/>
              </w:rPr>
              <w:t>remaining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GP membership role, and amend the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to reflect this. </w:t>
            </w:r>
          </w:p>
        </w:tc>
      </w:tr>
      <w:tr w:rsidR="0079676E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79676E" w:rsidRDefault="0079676E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46E1F" w:rsidRPr="00752FD6" w:rsidTr="00483A50">
        <w:trPr>
          <w:trHeight w:val="2653"/>
        </w:trPr>
        <w:tc>
          <w:tcPr>
            <w:tcW w:w="10031" w:type="dxa"/>
            <w:shd w:val="clear" w:color="auto" w:fill="auto"/>
          </w:tcPr>
          <w:p w:rsidR="00A46E1F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6E1F" w:rsidRDefault="00A46E1F" w:rsidP="00A46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676E" w:rsidRDefault="00A467F0" w:rsidP="00D76B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6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Joint Co-Commissioning Committee is asked </w:t>
            </w:r>
            <w:r w:rsidR="0079676E">
              <w:rPr>
                <w:rFonts w:ascii="Arial" w:hAnsi="Arial" w:cs="Arial"/>
                <w:b/>
                <w:sz w:val="22"/>
                <w:szCs w:val="22"/>
              </w:rPr>
              <w:t>to:</w:t>
            </w:r>
          </w:p>
          <w:p w:rsidR="0079676E" w:rsidRDefault="0079676E" w:rsidP="00D76B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E3C" w:rsidRDefault="00005E3C" w:rsidP="003C200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05E3C">
              <w:rPr>
                <w:rFonts w:ascii="Arial" w:hAnsi="Arial" w:cs="Arial"/>
                <w:sz w:val="22"/>
                <w:szCs w:val="22"/>
              </w:rPr>
              <w:t>Clarify the voting arrangements for</w:t>
            </w:r>
            <w:r w:rsidR="003C2001" w:rsidRPr="00005E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5E3C">
              <w:rPr>
                <w:rFonts w:ascii="Arial" w:hAnsi="Arial" w:cs="Arial"/>
                <w:sz w:val="22"/>
                <w:szCs w:val="22"/>
              </w:rPr>
              <w:t xml:space="preserve">the two </w:t>
            </w:r>
            <w:r w:rsidR="003C2001" w:rsidRPr="00005E3C">
              <w:rPr>
                <w:rFonts w:ascii="Arial" w:hAnsi="Arial" w:cs="Arial"/>
                <w:sz w:val="22"/>
                <w:szCs w:val="22"/>
              </w:rPr>
              <w:t>NHS England members</w:t>
            </w:r>
            <w:r>
              <w:rPr>
                <w:rFonts w:ascii="Arial" w:hAnsi="Arial" w:cs="Arial"/>
                <w:sz w:val="22"/>
                <w:szCs w:val="22"/>
              </w:rPr>
              <w:t>, such that there is only one NHS England voting member</w:t>
            </w:r>
          </w:p>
          <w:p w:rsidR="00D76BFD" w:rsidRPr="00005E3C" w:rsidRDefault="003C2001" w:rsidP="003C2001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005E3C">
              <w:rPr>
                <w:rFonts w:ascii="Arial" w:hAnsi="Arial" w:cs="Arial"/>
                <w:sz w:val="22"/>
                <w:szCs w:val="22"/>
              </w:rPr>
              <w:t>Note the requirement for members to share minutes within their respective organisations</w:t>
            </w:r>
          </w:p>
          <w:p w:rsidR="00A46E1F" w:rsidRPr="0048096C" w:rsidRDefault="00AB0866" w:rsidP="001D2A5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96C">
              <w:rPr>
                <w:rFonts w:ascii="Arial" w:hAnsi="Arial" w:cs="Arial"/>
                <w:sz w:val="22"/>
                <w:szCs w:val="22"/>
              </w:rPr>
              <w:t xml:space="preserve">Agree to amend the </w:t>
            </w:r>
            <w:proofErr w:type="spellStart"/>
            <w:r w:rsidRPr="0048096C"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 w:rsidRPr="0048096C">
              <w:rPr>
                <w:rFonts w:ascii="Arial" w:hAnsi="Arial" w:cs="Arial"/>
                <w:sz w:val="22"/>
                <w:szCs w:val="22"/>
              </w:rPr>
              <w:t xml:space="preserve"> to remove the additional (locally agreed) lay member role</w:t>
            </w:r>
          </w:p>
          <w:p w:rsidR="00A467F0" w:rsidRPr="00BF62C4" w:rsidRDefault="0048096C" w:rsidP="00483A5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Agree to amend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replace ‘GP Lead for Primary Care Development in NELCCG’ to ‘Vice-Chair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’.</w:t>
            </w:r>
          </w:p>
        </w:tc>
      </w:tr>
    </w:tbl>
    <w:tbl>
      <w:tblPr>
        <w:tblpPr w:leftFromText="180" w:rightFromText="180" w:vertAnchor="text" w:horzAnchor="margin" w:tblpY="4050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092"/>
      </w:tblGrid>
      <w:tr w:rsidR="003C2001" w:rsidRPr="00752FD6" w:rsidTr="003C2001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001" w:rsidRDefault="003C2001" w:rsidP="003C200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092" w:type="dxa"/>
            <w:shd w:val="clear" w:color="auto" w:fill="C0C0C0"/>
            <w:vAlign w:val="center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3C2001" w:rsidRPr="00752FD6" w:rsidTr="003C2001">
        <w:tc>
          <w:tcPr>
            <w:tcW w:w="568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001" w:rsidRPr="00752FD6" w:rsidTr="003C2001">
        <w:tc>
          <w:tcPr>
            <w:tcW w:w="568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2001" w:rsidRPr="00752FD6" w:rsidTr="003C2001">
        <w:tc>
          <w:tcPr>
            <w:tcW w:w="568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2001" w:rsidRPr="00752FD6" w:rsidTr="003C2001">
        <w:tc>
          <w:tcPr>
            <w:tcW w:w="568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2001" w:rsidRPr="00752FD6" w:rsidTr="003C2001">
        <w:tc>
          <w:tcPr>
            <w:tcW w:w="568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092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C2001" w:rsidRPr="00752FD6" w:rsidTr="003C2001">
        <w:tc>
          <w:tcPr>
            <w:tcW w:w="568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092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001" w:rsidRPr="00752FD6" w:rsidTr="003C2001">
        <w:tc>
          <w:tcPr>
            <w:tcW w:w="568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3C2001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3C2001" w:rsidRPr="00752FD6" w:rsidRDefault="00690355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C2001" w:rsidRPr="00483A50">
                <w:rPr>
                  <w:rStyle w:val="Hyperlink"/>
                  <w:rFonts w:ascii="Arial" w:hAnsi="Arial" w:cs="Arial"/>
                  <w:sz w:val="16"/>
                  <w:szCs w:val="22"/>
                </w:rPr>
                <w:t>www.dh.gov.uk/en/Publicationsandstatistics/Publications/PublicationsPolicyAndGuidanc</w:t>
              </w:r>
              <w:r w:rsidR="003C2001" w:rsidRPr="00483A50">
                <w:rPr>
                  <w:rStyle w:val="Hyperlink"/>
                  <w:rFonts w:ascii="Arial" w:hAnsi="Arial" w:cs="Arial"/>
                  <w:sz w:val="16"/>
                  <w:szCs w:val="22"/>
                </w:rPr>
                <w:lastRenderedPageBreak/>
                <w:t>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</w:t>
            </w:r>
          </w:p>
        </w:tc>
        <w:tc>
          <w:tcPr>
            <w:tcW w:w="2092" w:type="dxa"/>
            <w:shd w:val="clear" w:color="auto" w:fill="auto"/>
          </w:tcPr>
          <w:p w:rsidR="003C2001" w:rsidRPr="00752FD6" w:rsidRDefault="003C2001" w:rsidP="003C200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p w:rsidR="008412C1" w:rsidRDefault="008412C1" w:rsidP="00D7033C">
      <w:pPr>
        <w:rPr>
          <w:rFonts w:ascii="Arial" w:hAnsi="Arial" w:cs="Arial"/>
          <w:b/>
          <w:bCs/>
          <w:sz w:val="22"/>
          <w:szCs w:val="22"/>
        </w:rPr>
      </w:pPr>
    </w:p>
    <w:p w:rsidR="008412C1" w:rsidRDefault="008412C1" w:rsidP="00D7033C">
      <w:pPr>
        <w:rPr>
          <w:rFonts w:ascii="Arial" w:hAnsi="Arial" w:cs="Arial"/>
          <w:b/>
          <w:bCs/>
          <w:sz w:val="22"/>
          <w:szCs w:val="22"/>
        </w:rPr>
      </w:pPr>
    </w:p>
    <w:p w:rsidR="00A605C4" w:rsidRPr="00A605C4" w:rsidRDefault="00A605C4" w:rsidP="00A605C4">
      <w:pPr>
        <w:rPr>
          <w:rFonts w:asciiTheme="minorHAnsi" w:hAnsiTheme="minorHAnsi" w:cstheme="minorHAnsi"/>
          <w:b/>
          <w:sz w:val="28"/>
          <w:szCs w:val="28"/>
        </w:rPr>
      </w:pPr>
    </w:p>
    <w:sectPr w:rsidR="00A605C4" w:rsidRPr="00A605C4" w:rsidSect="00DD75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BB" w:rsidRDefault="00FE33BB">
      <w:r>
        <w:separator/>
      </w:r>
    </w:p>
  </w:endnote>
  <w:endnote w:type="continuationSeparator" w:id="0">
    <w:p w:rsidR="00FE33BB" w:rsidRDefault="00F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BB" w:rsidRDefault="00FE3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BB" w:rsidRDefault="00FE33BB" w:rsidP="00DC3218">
    <w:pPr>
      <w:pStyle w:val="Footer"/>
      <w:jc w:val="right"/>
    </w:pPr>
    <w:r>
      <w:rPr>
        <w:noProof/>
      </w:rPr>
      <w:drawing>
        <wp:inline distT="0" distB="0" distL="0" distR="0" wp14:anchorId="0078F7A4" wp14:editId="3BC0EC53">
          <wp:extent cx="2658110" cy="353695"/>
          <wp:effectExtent l="0" t="0" r="889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370A43" wp14:editId="2191970A">
          <wp:extent cx="1036320" cy="8782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BB" w:rsidRDefault="00FE3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BB" w:rsidRDefault="00FE33BB">
      <w:r>
        <w:separator/>
      </w:r>
    </w:p>
  </w:footnote>
  <w:footnote w:type="continuationSeparator" w:id="0">
    <w:p w:rsidR="00FE33BB" w:rsidRDefault="00FE3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BB" w:rsidRDefault="00FE3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BB" w:rsidRDefault="00FE33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BB" w:rsidRDefault="00FE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958"/>
    <w:multiLevelType w:val="hybridMultilevel"/>
    <w:tmpl w:val="F88CA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50A04"/>
    <w:multiLevelType w:val="hybridMultilevel"/>
    <w:tmpl w:val="05A6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7608D0"/>
    <w:multiLevelType w:val="hybridMultilevel"/>
    <w:tmpl w:val="7DF48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7F297F"/>
    <w:multiLevelType w:val="hybridMultilevel"/>
    <w:tmpl w:val="D0EA4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C941C1"/>
    <w:multiLevelType w:val="hybridMultilevel"/>
    <w:tmpl w:val="49162182"/>
    <w:lvl w:ilvl="0" w:tplc="6302C1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51A70"/>
    <w:multiLevelType w:val="hybridMultilevel"/>
    <w:tmpl w:val="441A04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F01F8"/>
    <w:multiLevelType w:val="hybridMultilevel"/>
    <w:tmpl w:val="612A1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3668E"/>
    <w:multiLevelType w:val="hybridMultilevel"/>
    <w:tmpl w:val="262CE284"/>
    <w:lvl w:ilvl="0" w:tplc="EE2A4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33813"/>
    <w:multiLevelType w:val="hybridMultilevel"/>
    <w:tmpl w:val="21D8C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C1FDD"/>
    <w:multiLevelType w:val="hybridMultilevel"/>
    <w:tmpl w:val="125E2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2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8">
    <w:nsid w:val="55EC0826"/>
    <w:multiLevelType w:val="hybridMultilevel"/>
    <w:tmpl w:val="8B304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D3162"/>
    <w:multiLevelType w:val="hybridMultilevel"/>
    <w:tmpl w:val="EC24C39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205B6"/>
    <w:multiLevelType w:val="hybridMultilevel"/>
    <w:tmpl w:val="900C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753FB"/>
    <w:multiLevelType w:val="hybridMultilevel"/>
    <w:tmpl w:val="07849A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34"/>
  </w:num>
  <w:num w:numId="5">
    <w:abstractNumId w:val="25"/>
  </w:num>
  <w:num w:numId="6">
    <w:abstractNumId w:val="31"/>
  </w:num>
  <w:num w:numId="7">
    <w:abstractNumId w:val="4"/>
  </w:num>
  <w:num w:numId="8">
    <w:abstractNumId w:val="24"/>
  </w:num>
  <w:num w:numId="9">
    <w:abstractNumId w:val="27"/>
  </w:num>
  <w:num w:numId="10">
    <w:abstractNumId w:val="7"/>
  </w:num>
  <w:num w:numId="11">
    <w:abstractNumId w:val="14"/>
  </w:num>
  <w:num w:numId="12">
    <w:abstractNumId w:val="30"/>
  </w:num>
  <w:num w:numId="13">
    <w:abstractNumId w:val="20"/>
  </w:num>
  <w:num w:numId="14">
    <w:abstractNumId w:val="2"/>
  </w:num>
  <w:num w:numId="15">
    <w:abstractNumId w:val="23"/>
  </w:num>
  <w:num w:numId="16">
    <w:abstractNumId w:val="15"/>
  </w:num>
  <w:num w:numId="17">
    <w:abstractNumId w:val="26"/>
  </w:num>
  <w:num w:numId="18">
    <w:abstractNumId w:val="22"/>
  </w:num>
  <w:num w:numId="19">
    <w:abstractNumId w:val="32"/>
  </w:num>
  <w:num w:numId="20">
    <w:abstractNumId w:val="13"/>
  </w:num>
  <w:num w:numId="21">
    <w:abstractNumId w:val="11"/>
  </w:num>
  <w:num w:numId="22">
    <w:abstractNumId w:val="17"/>
  </w:num>
  <w:num w:numId="23">
    <w:abstractNumId w:val="5"/>
  </w:num>
  <w:num w:numId="24">
    <w:abstractNumId w:val="18"/>
  </w:num>
  <w:num w:numId="25">
    <w:abstractNumId w:val="35"/>
  </w:num>
  <w:num w:numId="26">
    <w:abstractNumId w:val="3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6"/>
  </w:num>
  <w:num w:numId="32">
    <w:abstractNumId w:val="0"/>
  </w:num>
  <w:num w:numId="33">
    <w:abstractNumId w:val="9"/>
  </w:num>
  <w:num w:numId="34">
    <w:abstractNumId w:val="8"/>
  </w:num>
  <w:num w:numId="35">
    <w:abstractNumId w:val="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05E3C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75D19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0DC5"/>
    <w:rsid w:val="00112B21"/>
    <w:rsid w:val="001154A6"/>
    <w:rsid w:val="00120909"/>
    <w:rsid w:val="001209C1"/>
    <w:rsid w:val="00124B07"/>
    <w:rsid w:val="00132B3D"/>
    <w:rsid w:val="00136A3D"/>
    <w:rsid w:val="00146F56"/>
    <w:rsid w:val="00150AC3"/>
    <w:rsid w:val="0015293E"/>
    <w:rsid w:val="00157D2B"/>
    <w:rsid w:val="00175527"/>
    <w:rsid w:val="00176D4A"/>
    <w:rsid w:val="00180D44"/>
    <w:rsid w:val="00185707"/>
    <w:rsid w:val="00190670"/>
    <w:rsid w:val="00192CB4"/>
    <w:rsid w:val="00193741"/>
    <w:rsid w:val="00197B68"/>
    <w:rsid w:val="001A4E90"/>
    <w:rsid w:val="001A5053"/>
    <w:rsid w:val="001B3A86"/>
    <w:rsid w:val="001B6258"/>
    <w:rsid w:val="001D2A55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954ED"/>
    <w:rsid w:val="002A3C39"/>
    <w:rsid w:val="002A3E34"/>
    <w:rsid w:val="002A4126"/>
    <w:rsid w:val="002A651D"/>
    <w:rsid w:val="002B63BC"/>
    <w:rsid w:val="002B6D47"/>
    <w:rsid w:val="002C17C1"/>
    <w:rsid w:val="002E26B9"/>
    <w:rsid w:val="002E2E11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8602B"/>
    <w:rsid w:val="00386A41"/>
    <w:rsid w:val="00394F30"/>
    <w:rsid w:val="003A03CB"/>
    <w:rsid w:val="003B0A06"/>
    <w:rsid w:val="003B626C"/>
    <w:rsid w:val="003C2001"/>
    <w:rsid w:val="003C6569"/>
    <w:rsid w:val="003D2887"/>
    <w:rsid w:val="003D3E08"/>
    <w:rsid w:val="003D489F"/>
    <w:rsid w:val="003E03E5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37495"/>
    <w:rsid w:val="00441E7A"/>
    <w:rsid w:val="00444BC3"/>
    <w:rsid w:val="00447394"/>
    <w:rsid w:val="00450490"/>
    <w:rsid w:val="00454EA5"/>
    <w:rsid w:val="00456662"/>
    <w:rsid w:val="00457AAE"/>
    <w:rsid w:val="00462810"/>
    <w:rsid w:val="00463941"/>
    <w:rsid w:val="00464A6D"/>
    <w:rsid w:val="00466602"/>
    <w:rsid w:val="00470C33"/>
    <w:rsid w:val="004756D3"/>
    <w:rsid w:val="00477196"/>
    <w:rsid w:val="0048096C"/>
    <w:rsid w:val="004822A5"/>
    <w:rsid w:val="00483A50"/>
    <w:rsid w:val="00490D15"/>
    <w:rsid w:val="00494EE4"/>
    <w:rsid w:val="004958B6"/>
    <w:rsid w:val="004A5EE0"/>
    <w:rsid w:val="004A75B1"/>
    <w:rsid w:val="004B29A9"/>
    <w:rsid w:val="004B2E99"/>
    <w:rsid w:val="004B4F56"/>
    <w:rsid w:val="004C0EC8"/>
    <w:rsid w:val="004C5FA2"/>
    <w:rsid w:val="004C677C"/>
    <w:rsid w:val="004C6F5C"/>
    <w:rsid w:val="004D0321"/>
    <w:rsid w:val="004D7118"/>
    <w:rsid w:val="004E1517"/>
    <w:rsid w:val="004E7A80"/>
    <w:rsid w:val="004F2E71"/>
    <w:rsid w:val="004F3209"/>
    <w:rsid w:val="004F64DF"/>
    <w:rsid w:val="005109BE"/>
    <w:rsid w:val="00517C3A"/>
    <w:rsid w:val="0052360E"/>
    <w:rsid w:val="00532C2C"/>
    <w:rsid w:val="00532EC4"/>
    <w:rsid w:val="00534510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C7FAD"/>
    <w:rsid w:val="005E01FA"/>
    <w:rsid w:val="005E4C50"/>
    <w:rsid w:val="005F0C84"/>
    <w:rsid w:val="005F11AA"/>
    <w:rsid w:val="005F195A"/>
    <w:rsid w:val="0060216B"/>
    <w:rsid w:val="00604967"/>
    <w:rsid w:val="00607C7F"/>
    <w:rsid w:val="006203A2"/>
    <w:rsid w:val="00623387"/>
    <w:rsid w:val="00625124"/>
    <w:rsid w:val="00635173"/>
    <w:rsid w:val="006468ED"/>
    <w:rsid w:val="006569A3"/>
    <w:rsid w:val="00657CC2"/>
    <w:rsid w:val="00664815"/>
    <w:rsid w:val="0067295A"/>
    <w:rsid w:val="00675C73"/>
    <w:rsid w:val="0068471B"/>
    <w:rsid w:val="0068496F"/>
    <w:rsid w:val="00690355"/>
    <w:rsid w:val="00691369"/>
    <w:rsid w:val="006919AB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4AE8"/>
    <w:rsid w:val="006D535E"/>
    <w:rsid w:val="006E2F1F"/>
    <w:rsid w:val="006F1162"/>
    <w:rsid w:val="006F45C7"/>
    <w:rsid w:val="006F5C8A"/>
    <w:rsid w:val="006F7B59"/>
    <w:rsid w:val="0070365F"/>
    <w:rsid w:val="00710714"/>
    <w:rsid w:val="00714C6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6C3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9676E"/>
    <w:rsid w:val="007A1CE6"/>
    <w:rsid w:val="007A1D3F"/>
    <w:rsid w:val="007A356A"/>
    <w:rsid w:val="007A4383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0D29"/>
    <w:rsid w:val="00831338"/>
    <w:rsid w:val="00840F53"/>
    <w:rsid w:val="008412C1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D76F0"/>
    <w:rsid w:val="008E204E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4596"/>
    <w:rsid w:val="009269E7"/>
    <w:rsid w:val="009306C6"/>
    <w:rsid w:val="00934782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290B"/>
    <w:rsid w:val="009B32B5"/>
    <w:rsid w:val="009C33D4"/>
    <w:rsid w:val="009D14DD"/>
    <w:rsid w:val="009D4815"/>
    <w:rsid w:val="009E0D79"/>
    <w:rsid w:val="009E1794"/>
    <w:rsid w:val="009E3C5B"/>
    <w:rsid w:val="009E7323"/>
    <w:rsid w:val="00A018C8"/>
    <w:rsid w:val="00A01B48"/>
    <w:rsid w:val="00A03A97"/>
    <w:rsid w:val="00A07A07"/>
    <w:rsid w:val="00A1183A"/>
    <w:rsid w:val="00A14275"/>
    <w:rsid w:val="00A17708"/>
    <w:rsid w:val="00A2083C"/>
    <w:rsid w:val="00A20848"/>
    <w:rsid w:val="00A31B98"/>
    <w:rsid w:val="00A35F42"/>
    <w:rsid w:val="00A40291"/>
    <w:rsid w:val="00A45012"/>
    <w:rsid w:val="00A45733"/>
    <w:rsid w:val="00A45F00"/>
    <w:rsid w:val="00A467F0"/>
    <w:rsid w:val="00A46E1F"/>
    <w:rsid w:val="00A531CD"/>
    <w:rsid w:val="00A54167"/>
    <w:rsid w:val="00A605C4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0866"/>
    <w:rsid w:val="00AB262D"/>
    <w:rsid w:val="00AB2796"/>
    <w:rsid w:val="00AC47AF"/>
    <w:rsid w:val="00AC7BB2"/>
    <w:rsid w:val="00AD0F95"/>
    <w:rsid w:val="00AD1126"/>
    <w:rsid w:val="00AD1C2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0627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1D76"/>
    <w:rsid w:val="00B74845"/>
    <w:rsid w:val="00B76561"/>
    <w:rsid w:val="00B76881"/>
    <w:rsid w:val="00B7767F"/>
    <w:rsid w:val="00B818F1"/>
    <w:rsid w:val="00B847DA"/>
    <w:rsid w:val="00B8770E"/>
    <w:rsid w:val="00B90280"/>
    <w:rsid w:val="00B93457"/>
    <w:rsid w:val="00B961A5"/>
    <w:rsid w:val="00B97B0B"/>
    <w:rsid w:val="00BA763E"/>
    <w:rsid w:val="00BB2DA4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2C4"/>
    <w:rsid w:val="00BF64D8"/>
    <w:rsid w:val="00C01BFB"/>
    <w:rsid w:val="00C053D3"/>
    <w:rsid w:val="00C0569D"/>
    <w:rsid w:val="00C05FA0"/>
    <w:rsid w:val="00C07D8B"/>
    <w:rsid w:val="00C20949"/>
    <w:rsid w:val="00C211B2"/>
    <w:rsid w:val="00C523B4"/>
    <w:rsid w:val="00C52D50"/>
    <w:rsid w:val="00C628C9"/>
    <w:rsid w:val="00C703B6"/>
    <w:rsid w:val="00C734A2"/>
    <w:rsid w:val="00C74EC1"/>
    <w:rsid w:val="00C7588E"/>
    <w:rsid w:val="00C85824"/>
    <w:rsid w:val="00C86CC4"/>
    <w:rsid w:val="00C965C4"/>
    <w:rsid w:val="00CA2CB6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57BA2"/>
    <w:rsid w:val="00D655CC"/>
    <w:rsid w:val="00D6660C"/>
    <w:rsid w:val="00D7033C"/>
    <w:rsid w:val="00D76098"/>
    <w:rsid w:val="00D76A89"/>
    <w:rsid w:val="00D76BFD"/>
    <w:rsid w:val="00D803BA"/>
    <w:rsid w:val="00D91037"/>
    <w:rsid w:val="00D921A3"/>
    <w:rsid w:val="00DA2D96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47E9"/>
    <w:rsid w:val="00DE6E0E"/>
    <w:rsid w:val="00DF00F8"/>
    <w:rsid w:val="00DF3185"/>
    <w:rsid w:val="00DF3E42"/>
    <w:rsid w:val="00E0729A"/>
    <w:rsid w:val="00E150F2"/>
    <w:rsid w:val="00E1783C"/>
    <w:rsid w:val="00E24870"/>
    <w:rsid w:val="00E2557D"/>
    <w:rsid w:val="00E30635"/>
    <w:rsid w:val="00E320A8"/>
    <w:rsid w:val="00E42F5E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0D5F"/>
    <w:rsid w:val="00F51B57"/>
    <w:rsid w:val="00F524C7"/>
    <w:rsid w:val="00F55731"/>
    <w:rsid w:val="00F55EFB"/>
    <w:rsid w:val="00F56366"/>
    <w:rsid w:val="00F6631C"/>
    <w:rsid w:val="00F768A3"/>
    <w:rsid w:val="00F76D98"/>
    <w:rsid w:val="00F8597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33BB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h.gov.uk/en/Publicationsandstatistics/Publications/PublicationsPolicyAndGuidance/DH_1136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6DF9-6D7A-485F-B284-DAF0C558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4254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11</cp:revision>
  <cp:lastPrinted>2011-06-01T15:50:00Z</cp:lastPrinted>
  <dcterms:created xsi:type="dcterms:W3CDTF">2016-02-03T17:28:00Z</dcterms:created>
  <dcterms:modified xsi:type="dcterms:W3CDTF">2016-02-08T13:13:00Z</dcterms:modified>
</cp:coreProperties>
</file>