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7E" w:rsidRPr="00EB717E" w:rsidRDefault="006D17C4" w:rsidP="00EB717E">
      <w:pPr>
        <w:spacing w:after="0" w:line="660" w:lineRule="exact"/>
        <w:jc w:val="center"/>
        <w:outlineLvl w:val="0"/>
        <w:rPr>
          <w:rFonts w:ascii="Arial" w:eastAsia="MS Mincho" w:hAnsi="Arial" w:cs="Arial"/>
          <w:b/>
          <w:sz w:val="28"/>
          <w:szCs w:val="28"/>
        </w:rPr>
      </w:pPr>
      <w:bookmarkStart w:id="0" w:name="_Toc343591381"/>
      <w:r w:rsidRPr="006D17C4">
        <w:rPr>
          <w:rFonts w:ascii="Arial" w:eastAsia="MS Mincho" w:hAnsi="Arial" w:cs="Arial"/>
          <w:b/>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-239395</wp:posOffset>
                </wp:positionH>
                <wp:positionV relativeFrom="paragraph">
                  <wp:posOffset>-257175</wp:posOffset>
                </wp:positionV>
                <wp:extent cx="1200150"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w="9525">
                          <a:solidFill>
                            <a:srgbClr val="000000"/>
                          </a:solidFill>
                          <a:miter lim="800000"/>
                          <a:headEnd/>
                          <a:tailEnd/>
                        </a:ln>
                      </wps:spPr>
                      <wps:txbx>
                        <w:txbxContent>
                          <w:p w:rsidR="006D17C4" w:rsidRDefault="006D17C4">
                            <w:r>
                              <w:t>Attachment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5pt;margin-top:-20.25pt;width:9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">
                <v:textbox>
                  <w:txbxContent>
                    <w:p w:rsidR="006D17C4" w:rsidRDefault="006D17C4">
                      <w:r>
                        <w:t>Attachment 9</w:t>
                      </w:r>
                    </w:p>
                  </w:txbxContent>
                </v:textbox>
              </v:shape>
            </w:pict>
          </mc:Fallback>
        </mc:AlternateContent>
      </w:r>
      <w:r w:rsidR="00EB717E" w:rsidRPr="00EB717E">
        <w:rPr>
          <w:rFonts w:ascii="Arial" w:eastAsia="MS Mincho" w:hAnsi="Arial" w:cs="Arial"/>
          <w:b/>
          <w:sz w:val="28"/>
          <w:szCs w:val="28"/>
        </w:rPr>
        <w:t>SCHEDULE 2 – THE SERVICES</w:t>
      </w:r>
      <w:bookmarkEnd w:id="0"/>
    </w:p>
    <w:p w:rsidR="00EB717E" w:rsidRPr="00EB717E" w:rsidRDefault="00EB717E" w:rsidP="00EB717E">
      <w:pPr>
        <w:spacing w:after="0" w:line="240" w:lineRule="auto"/>
        <w:jc w:val="center"/>
        <w:rPr>
          <w:rFonts w:ascii="Arial" w:eastAsia="MS Mincho" w:hAnsi="Arial" w:cs="Arial"/>
          <w:b/>
          <w:sz w:val="24"/>
          <w:szCs w:val="20"/>
          <w:lang w:val="en-US" w:eastAsia="ja-JP"/>
        </w:rPr>
      </w:pPr>
    </w:p>
    <w:p w:rsidR="00EB717E" w:rsidRPr="00EB717E" w:rsidRDefault="00EB717E" w:rsidP="00EB717E">
      <w:pPr>
        <w:numPr>
          <w:ilvl w:val="0"/>
          <w:numId w:val="1"/>
        </w:numPr>
        <w:spacing w:after="0" w:line="240" w:lineRule="auto"/>
        <w:contextualSpacing/>
        <w:jc w:val="center"/>
        <w:outlineLvl w:val="1"/>
        <w:rPr>
          <w:rFonts w:ascii="Arial" w:eastAsia="Times New Roman" w:hAnsi="Arial" w:cs="Arial"/>
          <w:b/>
          <w:sz w:val="24"/>
          <w:szCs w:val="24"/>
          <w:lang w:eastAsia="en-GB"/>
        </w:rPr>
      </w:pPr>
      <w:bookmarkStart w:id="1" w:name="_Toc343591382"/>
      <w:r w:rsidRPr="00EB717E">
        <w:rPr>
          <w:rFonts w:ascii="Arial" w:eastAsia="Times New Roman" w:hAnsi="Arial" w:cs="Arial"/>
          <w:b/>
          <w:sz w:val="24"/>
          <w:szCs w:val="24"/>
          <w:lang w:eastAsia="en-GB"/>
        </w:rPr>
        <w:t>Service Specifications</w:t>
      </w:r>
      <w:bookmarkEnd w:id="1"/>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roofErr w:type="gramStart"/>
      <w:r w:rsidRPr="00EB717E">
        <w:rPr>
          <w:rFonts w:ascii="Arial" w:eastAsia="MS Mincho" w:hAnsi="Arial" w:cs="Arial"/>
          <w:sz w:val="20"/>
          <w:szCs w:val="20"/>
          <w:lang w:val="en-US" w:eastAsia="ja-JP"/>
        </w:rPr>
        <w:t>Mandatory headings 1 – 4.</w:t>
      </w:r>
      <w:proofErr w:type="gramEnd"/>
      <w:r w:rsidRPr="00EB717E">
        <w:rPr>
          <w:rFonts w:ascii="Arial" w:eastAsia="MS Mincho" w:hAnsi="Arial" w:cs="Arial"/>
          <w:sz w:val="20"/>
          <w:szCs w:val="20"/>
          <w:lang w:val="en-US" w:eastAsia="ja-JP"/>
        </w:rPr>
        <w:t xml:space="preserve">  Mandatory but detail for local determination and agreement</w:t>
      </w:r>
      <w:bookmarkStart w:id="2" w:name="_GoBack"/>
      <w:bookmarkEnd w:id="2"/>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roofErr w:type="gramStart"/>
      <w:r w:rsidRPr="00EB717E">
        <w:rPr>
          <w:rFonts w:ascii="Arial" w:eastAsia="MS Mincho" w:hAnsi="Arial" w:cs="Arial"/>
          <w:sz w:val="20"/>
          <w:szCs w:val="20"/>
          <w:lang w:val="en-US" w:eastAsia="ja-JP"/>
        </w:rPr>
        <w:t>Optional headings 5-7.</w:t>
      </w:r>
      <w:proofErr w:type="gramEnd"/>
      <w:r w:rsidRPr="00EB717E">
        <w:rPr>
          <w:rFonts w:ascii="Arial" w:eastAsia="MS Mincho" w:hAnsi="Arial" w:cs="Arial"/>
          <w:sz w:val="20"/>
          <w:szCs w:val="20"/>
          <w:lang w:val="en-US" w:eastAsia="ja-JP"/>
        </w:rPr>
        <w:t xml:space="preserve">  </w:t>
      </w:r>
      <w:proofErr w:type="gramStart"/>
      <w:r w:rsidRPr="00EB717E">
        <w:rPr>
          <w:rFonts w:ascii="Arial" w:eastAsia="MS Mincho" w:hAnsi="Arial" w:cs="Arial"/>
          <w:sz w:val="20"/>
          <w:szCs w:val="20"/>
          <w:lang w:val="en-US" w:eastAsia="ja-JP"/>
        </w:rPr>
        <w:t>Optional to use, detail for local determination and agreement.</w:t>
      </w:r>
      <w:proofErr w:type="gramEnd"/>
    </w:p>
    <w:p w:rsidR="00EB717E" w:rsidRPr="00EB717E" w:rsidRDefault="00EB717E" w:rsidP="00EB717E">
      <w:pPr>
        <w:spacing w:after="0" w:line="240" w:lineRule="auto"/>
        <w:jc w:val="both"/>
        <w:rPr>
          <w:rFonts w:ascii="Arial" w:eastAsia="MS Mincho" w:hAnsi="Arial" w:cs="Arial"/>
          <w:sz w:val="20"/>
          <w:szCs w:val="20"/>
          <w:lang w:val="en-US" w:eastAsia="ja-JP"/>
        </w:rPr>
      </w:pPr>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r w:rsidRPr="00EB717E">
        <w:rPr>
          <w:rFonts w:ascii="Arial" w:eastAsia="MS Mincho" w:hAnsi="Arial" w:cs="Arial"/>
          <w:sz w:val="20"/>
          <w:szCs w:val="20"/>
          <w:lang w:val="en-US" w:eastAsia="ja-JP"/>
        </w:rPr>
        <w:t>All subheadings for local determination and agreement</w:t>
      </w:r>
    </w:p>
    <w:p w:rsidR="00EB717E" w:rsidRPr="00EB717E" w:rsidRDefault="00EB717E" w:rsidP="00EB717E">
      <w:pPr>
        <w:spacing w:after="0" w:line="240" w:lineRule="auto"/>
        <w:jc w:val="both"/>
        <w:rPr>
          <w:rFonts w:ascii="Arial" w:eastAsia="MS Mincho" w:hAnsi="Arial" w:cs="Arial"/>
          <w:sz w:val="20"/>
          <w:szCs w:val="20"/>
          <w:lang w:val="en-US" w:eastAsia="ja-JP"/>
        </w:rPr>
      </w:pPr>
    </w:p>
    <w:p w:rsidR="00EB717E" w:rsidRPr="00EB717E" w:rsidRDefault="00EB717E" w:rsidP="00EB717E">
      <w:pPr>
        <w:spacing w:after="0" w:line="240" w:lineRule="auto"/>
        <w:jc w:val="both"/>
        <w:rPr>
          <w:rFonts w:ascii="Arial" w:eastAsia="MS Mincho" w:hAnsi="Arial" w:cs="Arial"/>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53"/>
      </w:tblGrid>
      <w:tr w:rsidR="00EB717E" w:rsidRPr="00EB717E" w:rsidTr="005B3871">
        <w:tc>
          <w:tcPr>
            <w:tcW w:w="3261"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Service Specification No.</w:t>
            </w:r>
          </w:p>
        </w:tc>
        <w:tc>
          <w:tcPr>
            <w:tcW w:w="5153" w:type="dxa"/>
            <w:shd w:val="clear" w:color="auto" w:fill="auto"/>
          </w:tcPr>
          <w:p w:rsidR="00EB717E" w:rsidRDefault="009D39E4" w:rsidP="00EB717E">
            <w:pPr>
              <w:spacing w:after="0" w:line="240" w:lineRule="auto"/>
              <w:rPr>
                <w:rFonts w:ascii="Arial" w:eastAsia="MS Mincho" w:hAnsi="Arial" w:cs="Arial"/>
                <w:i/>
                <w:color w:val="FF0000"/>
                <w:sz w:val="20"/>
                <w:szCs w:val="20"/>
                <w:lang w:val="en-US" w:eastAsia="ja-JP"/>
              </w:rPr>
            </w:pPr>
            <w:r>
              <w:rPr>
                <w:rFonts w:ascii="Arial" w:eastAsia="MS Mincho" w:hAnsi="Arial" w:cs="Arial"/>
                <w:i/>
                <w:color w:val="FF0000"/>
                <w:sz w:val="20"/>
                <w:szCs w:val="20"/>
                <w:lang w:val="en-US" w:eastAsia="ja-JP"/>
              </w:rPr>
              <w:t>Draft Spec – V</w:t>
            </w:r>
            <w:r w:rsidR="00C4370A">
              <w:rPr>
                <w:rFonts w:ascii="Arial" w:eastAsia="MS Mincho" w:hAnsi="Arial" w:cs="Arial"/>
                <w:i/>
                <w:color w:val="FF0000"/>
                <w:sz w:val="20"/>
                <w:szCs w:val="20"/>
                <w:lang w:val="en-US" w:eastAsia="ja-JP"/>
              </w:rPr>
              <w:t xml:space="preserve">ersion </w:t>
            </w:r>
            <w:r w:rsidR="00FB6256" w:rsidRPr="00FB6256">
              <w:rPr>
                <w:rFonts w:ascii="Arial" w:eastAsia="MS Mincho" w:hAnsi="Arial" w:cs="Arial"/>
                <w:i/>
                <w:color w:val="FF0000"/>
                <w:sz w:val="20"/>
                <w:szCs w:val="20"/>
                <w:lang w:val="en-US" w:eastAsia="ja-JP"/>
              </w:rPr>
              <w:t>1</w:t>
            </w:r>
            <w:r w:rsidR="00A22F1E">
              <w:rPr>
                <w:rFonts w:ascii="Arial" w:eastAsia="MS Mincho" w:hAnsi="Arial" w:cs="Arial"/>
                <w:i/>
                <w:color w:val="FF0000"/>
                <w:sz w:val="20"/>
                <w:szCs w:val="20"/>
                <w:lang w:val="en-US" w:eastAsia="ja-JP"/>
              </w:rPr>
              <w:t xml:space="preserve">    </w:t>
            </w:r>
            <w:r w:rsidR="00FB6256">
              <w:rPr>
                <w:rFonts w:ascii="Arial" w:eastAsia="MS Mincho" w:hAnsi="Arial" w:cs="Arial"/>
                <w:i/>
                <w:color w:val="FF0000"/>
                <w:sz w:val="20"/>
                <w:szCs w:val="20"/>
                <w:lang w:val="en-US" w:eastAsia="ja-JP"/>
              </w:rPr>
              <w:t xml:space="preserve"> (13.07.15</w:t>
            </w:r>
            <w:r w:rsidR="00145E9E">
              <w:rPr>
                <w:rFonts w:ascii="Arial" w:eastAsia="MS Mincho" w:hAnsi="Arial" w:cs="Arial"/>
                <w:i/>
                <w:color w:val="FF0000"/>
                <w:sz w:val="20"/>
                <w:szCs w:val="20"/>
                <w:lang w:val="en-US" w:eastAsia="ja-JP"/>
              </w:rPr>
              <w:t xml:space="preserve"> - DW</w:t>
            </w:r>
            <w:r w:rsidR="00FB6256">
              <w:rPr>
                <w:rFonts w:ascii="Arial" w:eastAsia="MS Mincho" w:hAnsi="Arial" w:cs="Arial"/>
                <w:i/>
                <w:color w:val="FF0000"/>
                <w:sz w:val="20"/>
                <w:szCs w:val="20"/>
                <w:lang w:val="en-US" w:eastAsia="ja-JP"/>
              </w:rPr>
              <w:t>)</w:t>
            </w:r>
          </w:p>
          <w:p w:rsidR="00A22F1E" w:rsidRDefault="00A22F1E" w:rsidP="00EB717E">
            <w:pPr>
              <w:spacing w:after="0" w:line="240" w:lineRule="auto"/>
              <w:rPr>
                <w:rFonts w:ascii="Arial" w:eastAsia="MS Mincho" w:hAnsi="Arial" w:cs="Arial"/>
                <w:i/>
                <w:color w:val="FF0000"/>
                <w:sz w:val="20"/>
                <w:szCs w:val="20"/>
                <w:lang w:val="en-US" w:eastAsia="ja-JP"/>
              </w:rPr>
            </w:pPr>
            <w:r>
              <w:rPr>
                <w:rFonts w:ascii="Arial" w:eastAsia="MS Mincho" w:hAnsi="Arial" w:cs="Arial"/>
                <w:i/>
                <w:color w:val="FF0000"/>
                <w:sz w:val="20"/>
                <w:szCs w:val="20"/>
                <w:lang w:val="en-US" w:eastAsia="ja-JP"/>
              </w:rPr>
              <w:t xml:space="preserve">                     Version 1.1 (14.07.15 </w:t>
            </w:r>
            <w:r w:rsidR="00302C79">
              <w:rPr>
                <w:rFonts w:ascii="Arial" w:eastAsia="MS Mincho" w:hAnsi="Arial" w:cs="Arial"/>
                <w:i/>
                <w:color w:val="FF0000"/>
                <w:sz w:val="20"/>
                <w:szCs w:val="20"/>
                <w:lang w:val="en-US" w:eastAsia="ja-JP"/>
              </w:rPr>
              <w:t xml:space="preserve">- </w:t>
            </w:r>
            <w:r>
              <w:rPr>
                <w:rFonts w:ascii="Arial" w:eastAsia="MS Mincho" w:hAnsi="Arial" w:cs="Arial"/>
                <w:i/>
                <w:color w:val="FF0000"/>
                <w:sz w:val="20"/>
                <w:szCs w:val="20"/>
                <w:lang w:val="en-US" w:eastAsia="ja-JP"/>
              </w:rPr>
              <w:t>HB)</w:t>
            </w:r>
          </w:p>
          <w:p w:rsidR="009D39E4" w:rsidRDefault="009D39E4" w:rsidP="009D39E4">
            <w:pPr>
              <w:spacing w:after="0" w:line="240" w:lineRule="auto"/>
              <w:rPr>
                <w:rFonts w:ascii="Arial" w:eastAsia="MS Mincho" w:hAnsi="Arial" w:cs="Arial"/>
                <w:i/>
                <w:color w:val="FF0000"/>
                <w:sz w:val="20"/>
                <w:szCs w:val="20"/>
                <w:lang w:val="en-US" w:eastAsia="ja-JP"/>
              </w:rPr>
            </w:pPr>
            <w:r>
              <w:rPr>
                <w:rFonts w:ascii="Arial" w:eastAsia="MS Mincho" w:hAnsi="Arial" w:cs="Arial"/>
                <w:i/>
                <w:color w:val="FF0000"/>
                <w:sz w:val="20"/>
                <w:szCs w:val="20"/>
                <w:lang w:val="en-US" w:eastAsia="ja-JP"/>
              </w:rPr>
              <w:t xml:space="preserve">                     Version 1.2 (22.10.15 - T&amp;F Group)</w:t>
            </w:r>
          </w:p>
          <w:p w:rsidR="00EF66F4" w:rsidRDefault="00EF66F4" w:rsidP="009D39E4">
            <w:pPr>
              <w:spacing w:after="0" w:line="240" w:lineRule="auto"/>
              <w:rPr>
                <w:rFonts w:ascii="Arial" w:eastAsia="MS Mincho" w:hAnsi="Arial" w:cs="Arial"/>
                <w:i/>
                <w:color w:val="FF0000"/>
                <w:sz w:val="20"/>
                <w:szCs w:val="20"/>
                <w:lang w:val="en-US" w:eastAsia="ja-JP"/>
              </w:rPr>
            </w:pPr>
            <w:r>
              <w:rPr>
                <w:rFonts w:ascii="Arial" w:eastAsia="MS Mincho" w:hAnsi="Arial" w:cs="Arial"/>
                <w:i/>
                <w:color w:val="FF0000"/>
                <w:sz w:val="20"/>
                <w:szCs w:val="20"/>
                <w:lang w:val="en-US" w:eastAsia="ja-JP"/>
              </w:rPr>
              <w:t xml:space="preserve">                     Version 1.3 (11.11.15 – JH)</w:t>
            </w:r>
          </w:p>
          <w:p w:rsidR="00ED7018" w:rsidRPr="00FB6256" w:rsidRDefault="003D047E" w:rsidP="009D39E4">
            <w:pPr>
              <w:spacing w:after="0" w:line="240" w:lineRule="auto"/>
              <w:rPr>
                <w:rFonts w:ascii="Arial" w:eastAsia="MS Mincho" w:hAnsi="Arial" w:cs="Arial"/>
                <w:i/>
                <w:sz w:val="20"/>
                <w:szCs w:val="20"/>
                <w:lang w:val="en-US" w:eastAsia="ja-JP"/>
              </w:rPr>
            </w:pPr>
            <w:r>
              <w:rPr>
                <w:rFonts w:ascii="Arial" w:eastAsia="MS Mincho" w:hAnsi="Arial" w:cs="Arial"/>
                <w:i/>
                <w:color w:val="FF0000"/>
                <w:sz w:val="20"/>
                <w:szCs w:val="20"/>
                <w:lang w:val="en-US" w:eastAsia="ja-JP"/>
              </w:rPr>
              <w:t xml:space="preserve">                     Version 1.4 </w:t>
            </w:r>
            <w:r w:rsidR="00A71C64">
              <w:rPr>
                <w:rFonts w:ascii="Arial" w:eastAsia="MS Mincho" w:hAnsi="Arial" w:cs="Arial"/>
                <w:i/>
                <w:color w:val="FF0000"/>
                <w:sz w:val="20"/>
                <w:szCs w:val="20"/>
                <w:lang w:val="en-US" w:eastAsia="ja-JP"/>
              </w:rPr>
              <w:t>(09.12.14 – JW</w:t>
            </w:r>
            <w:r w:rsidR="001F651C">
              <w:rPr>
                <w:rFonts w:ascii="Arial" w:eastAsia="MS Mincho" w:hAnsi="Arial" w:cs="Arial"/>
                <w:i/>
                <w:color w:val="FF0000"/>
                <w:sz w:val="20"/>
                <w:szCs w:val="20"/>
                <w:lang w:val="en-US" w:eastAsia="ja-JP"/>
              </w:rPr>
              <w:t xml:space="preserve"> &amp; RE</w:t>
            </w:r>
            <w:r w:rsidR="00A71C64">
              <w:rPr>
                <w:rFonts w:ascii="Arial" w:eastAsia="MS Mincho" w:hAnsi="Arial" w:cs="Arial"/>
                <w:i/>
                <w:color w:val="FF0000"/>
                <w:sz w:val="20"/>
                <w:szCs w:val="20"/>
                <w:lang w:val="en-US" w:eastAsia="ja-JP"/>
              </w:rPr>
              <w:t>)</w:t>
            </w:r>
          </w:p>
        </w:tc>
      </w:tr>
      <w:tr w:rsidR="00EB717E" w:rsidRPr="00EB717E" w:rsidTr="005B3871">
        <w:tc>
          <w:tcPr>
            <w:tcW w:w="3261"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Service</w:t>
            </w:r>
          </w:p>
        </w:tc>
        <w:tc>
          <w:tcPr>
            <w:tcW w:w="5153" w:type="dxa"/>
            <w:shd w:val="clear" w:color="auto" w:fill="auto"/>
          </w:tcPr>
          <w:p w:rsidR="00EB717E" w:rsidRPr="001A1CE9" w:rsidRDefault="00CB4262" w:rsidP="0036620F">
            <w:pPr>
              <w:spacing w:after="0" w:line="240" w:lineRule="auto"/>
              <w:rPr>
                <w:rFonts w:ascii="Arial" w:eastAsia="MS Mincho" w:hAnsi="Arial" w:cs="Arial"/>
                <w:b/>
                <w:lang w:val="en-US" w:eastAsia="ja-JP"/>
              </w:rPr>
            </w:pPr>
            <w:r>
              <w:rPr>
                <w:rFonts w:ascii="Arial" w:eastAsia="MS Mincho" w:hAnsi="Arial" w:cs="Arial"/>
                <w:b/>
              </w:rPr>
              <w:t xml:space="preserve">Phlebotomy Service in </w:t>
            </w:r>
            <w:r w:rsidR="0036620F">
              <w:rPr>
                <w:rFonts w:ascii="Arial" w:eastAsia="MS Mincho" w:hAnsi="Arial" w:cs="Arial"/>
                <w:b/>
              </w:rPr>
              <w:t>Primary Care</w:t>
            </w:r>
            <w:r w:rsidR="006B7FC5" w:rsidRPr="001A1CE9">
              <w:rPr>
                <w:rFonts w:ascii="Arial" w:hAnsi="Arial" w:cs="Arial"/>
                <w:b/>
                <w:bCs/>
              </w:rPr>
              <w:br/>
            </w:r>
          </w:p>
        </w:tc>
      </w:tr>
      <w:tr w:rsidR="00EB717E" w:rsidRPr="00EB717E" w:rsidTr="005B3871">
        <w:tc>
          <w:tcPr>
            <w:tcW w:w="3261"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Commissioner Lead</w:t>
            </w:r>
          </w:p>
        </w:tc>
        <w:tc>
          <w:tcPr>
            <w:tcW w:w="5153" w:type="dxa"/>
            <w:shd w:val="clear" w:color="auto" w:fill="auto"/>
          </w:tcPr>
          <w:p w:rsidR="00EB717E" w:rsidRPr="00EB717E" w:rsidRDefault="006B7FC5"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NELCCG</w:t>
            </w:r>
          </w:p>
        </w:tc>
      </w:tr>
      <w:tr w:rsidR="00EB717E" w:rsidRPr="00EB717E" w:rsidTr="005B3871">
        <w:tc>
          <w:tcPr>
            <w:tcW w:w="3261"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Provider Lead</w:t>
            </w:r>
          </w:p>
        </w:tc>
        <w:tc>
          <w:tcPr>
            <w:tcW w:w="5153" w:type="dxa"/>
            <w:shd w:val="clear" w:color="auto" w:fill="auto"/>
          </w:tcPr>
          <w:p w:rsidR="00EB717E" w:rsidRPr="00EB717E" w:rsidRDefault="00EB717E" w:rsidP="00EB717E">
            <w:pPr>
              <w:spacing w:after="0" w:line="240" w:lineRule="auto"/>
              <w:rPr>
                <w:rFonts w:ascii="Arial" w:eastAsia="MS Mincho" w:hAnsi="Arial" w:cs="Arial"/>
                <w:sz w:val="20"/>
                <w:szCs w:val="20"/>
                <w:lang w:val="en-US" w:eastAsia="ja-JP"/>
              </w:rPr>
            </w:pPr>
          </w:p>
        </w:tc>
      </w:tr>
      <w:tr w:rsidR="00EB717E" w:rsidRPr="00EB717E" w:rsidTr="005B3871">
        <w:tc>
          <w:tcPr>
            <w:tcW w:w="3261"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Period</w:t>
            </w:r>
          </w:p>
        </w:tc>
        <w:tc>
          <w:tcPr>
            <w:tcW w:w="5153" w:type="dxa"/>
            <w:shd w:val="clear" w:color="auto" w:fill="auto"/>
          </w:tcPr>
          <w:p w:rsidR="00EB717E" w:rsidRPr="00EB717E" w:rsidRDefault="006B7FC5"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1</w:t>
            </w:r>
            <w:r>
              <w:rPr>
                <w:rFonts w:ascii="Arial" w:eastAsia="MS Mincho" w:hAnsi="Arial" w:cs="Arial"/>
                <w:sz w:val="20"/>
                <w:szCs w:val="20"/>
                <w:vertAlign w:val="superscript"/>
                <w:lang w:val="en-US" w:eastAsia="ja-JP"/>
              </w:rPr>
              <w:t xml:space="preserve">st </w:t>
            </w:r>
            <w:r w:rsidR="00CB4262">
              <w:rPr>
                <w:rFonts w:ascii="Arial" w:eastAsia="MS Mincho" w:hAnsi="Arial" w:cs="Arial"/>
                <w:sz w:val="20"/>
                <w:szCs w:val="20"/>
                <w:lang w:val="en-US" w:eastAsia="ja-JP"/>
              </w:rPr>
              <w:t>April 2016</w:t>
            </w:r>
            <w:r>
              <w:rPr>
                <w:rFonts w:ascii="Arial" w:eastAsia="MS Mincho" w:hAnsi="Arial" w:cs="Arial"/>
                <w:sz w:val="20"/>
                <w:szCs w:val="20"/>
                <w:lang w:val="en-US" w:eastAsia="ja-JP"/>
              </w:rPr>
              <w:t xml:space="preserve"> – 31</w:t>
            </w:r>
            <w:r w:rsidRPr="006B7FC5">
              <w:rPr>
                <w:rFonts w:ascii="Arial" w:eastAsia="MS Mincho" w:hAnsi="Arial" w:cs="Arial"/>
                <w:sz w:val="20"/>
                <w:szCs w:val="20"/>
                <w:vertAlign w:val="superscript"/>
                <w:lang w:val="en-US" w:eastAsia="ja-JP"/>
              </w:rPr>
              <w:t>st</w:t>
            </w:r>
            <w:r w:rsidR="00CB4262">
              <w:rPr>
                <w:rFonts w:ascii="Arial" w:eastAsia="MS Mincho" w:hAnsi="Arial" w:cs="Arial"/>
                <w:sz w:val="20"/>
                <w:szCs w:val="20"/>
                <w:lang w:val="en-US" w:eastAsia="ja-JP"/>
              </w:rPr>
              <w:t xml:space="preserve"> March 2019</w:t>
            </w:r>
          </w:p>
        </w:tc>
      </w:tr>
      <w:tr w:rsidR="00EB717E" w:rsidRPr="00EB717E" w:rsidTr="005B3871">
        <w:tc>
          <w:tcPr>
            <w:tcW w:w="3261"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Date of Review</w:t>
            </w:r>
          </w:p>
        </w:tc>
        <w:tc>
          <w:tcPr>
            <w:tcW w:w="5153" w:type="dxa"/>
            <w:shd w:val="clear" w:color="auto" w:fill="auto"/>
          </w:tcPr>
          <w:p w:rsidR="00EB717E" w:rsidRPr="00EB717E" w:rsidRDefault="005B3871"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 xml:space="preserve">To be completed by </w:t>
            </w:r>
            <w:r w:rsidR="00CB4262">
              <w:rPr>
                <w:rFonts w:ascii="Arial" w:eastAsia="MS Mincho" w:hAnsi="Arial" w:cs="Arial"/>
                <w:sz w:val="20"/>
                <w:szCs w:val="20"/>
                <w:lang w:val="en-US" w:eastAsia="ja-JP"/>
              </w:rPr>
              <w:t>April 2017</w:t>
            </w:r>
          </w:p>
        </w:tc>
      </w:tr>
    </w:tbl>
    <w:p w:rsidR="00EB717E" w:rsidRPr="00EB717E" w:rsidRDefault="00EB717E" w:rsidP="00EB717E">
      <w:pPr>
        <w:spacing w:after="0" w:line="240" w:lineRule="auto"/>
        <w:jc w:val="center"/>
        <w:rPr>
          <w:rFonts w:ascii="Arial" w:eastAsia="MS Mincho" w:hAnsi="Arial" w:cs="Arial"/>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EB717E" w:rsidRPr="00EB717E" w:rsidTr="00FB5573">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1.</w:t>
            </w:r>
            <w:r w:rsidRPr="00EB717E">
              <w:rPr>
                <w:rFonts w:ascii="Arial" w:eastAsia="MS Mincho" w:hAnsi="Arial" w:cs="Arial"/>
                <w:b/>
                <w:color w:val="F79646"/>
                <w:sz w:val="24"/>
                <w:szCs w:val="20"/>
                <w:lang w:val="en-US" w:eastAsia="ja-JP"/>
              </w:rPr>
              <w:tab/>
              <w:t>Population Needs</w:t>
            </w:r>
          </w:p>
        </w:tc>
      </w:tr>
      <w:tr w:rsidR="00EB717E" w:rsidRPr="00EB717E" w:rsidTr="00FB5573">
        <w:tc>
          <w:tcPr>
            <w:tcW w:w="8414" w:type="dxa"/>
            <w:shd w:val="clear" w:color="auto" w:fill="auto"/>
          </w:tcPr>
          <w:p w:rsidR="00EB717E" w:rsidRPr="00EB717E" w:rsidRDefault="00EB717E" w:rsidP="00EB717E">
            <w:pPr>
              <w:spacing w:after="0" w:line="240" w:lineRule="auto"/>
              <w:ind w:left="360"/>
              <w:rPr>
                <w:rFonts w:ascii="Arial" w:eastAsia="MS Mincho" w:hAnsi="Arial" w:cs="Arial"/>
                <w:color w:val="009966"/>
                <w:sz w:val="20"/>
                <w:szCs w:val="20"/>
                <w:lang w:val="en-US" w:eastAsia="ja-JP"/>
              </w:rPr>
            </w:pPr>
            <w:r w:rsidRPr="00EB717E">
              <w:rPr>
                <w:rFonts w:ascii="Arial" w:eastAsia="MS Mincho" w:hAnsi="Arial" w:cs="Arial"/>
                <w:color w:val="009966"/>
                <w:sz w:val="20"/>
                <w:szCs w:val="20"/>
                <w:lang w:val="en-US" w:eastAsia="ja-JP"/>
              </w:rPr>
              <w:tab/>
            </w:r>
          </w:p>
          <w:p w:rsidR="001A1CE9" w:rsidRPr="00AC36C0" w:rsidRDefault="001A1CE9" w:rsidP="00FB6256">
            <w:pPr>
              <w:numPr>
                <w:ilvl w:val="1"/>
                <w:numId w:val="15"/>
              </w:numPr>
              <w:spacing w:before="60" w:after="60"/>
              <w:rPr>
                <w:rFonts w:ascii="Arial" w:eastAsia="MS Mincho" w:hAnsi="Arial" w:cs="Arial"/>
                <w:b/>
                <w:sz w:val="20"/>
              </w:rPr>
            </w:pPr>
            <w:r w:rsidRPr="00AC36C0">
              <w:rPr>
                <w:rFonts w:ascii="Arial" w:eastAsia="MS Mincho" w:hAnsi="Arial" w:cs="Arial"/>
                <w:b/>
                <w:sz w:val="20"/>
              </w:rPr>
              <w:tab/>
              <w:t>National/local context and evidence base</w:t>
            </w:r>
          </w:p>
          <w:p w:rsidR="001A1CE9" w:rsidRPr="00AC36C0" w:rsidRDefault="001A1CE9" w:rsidP="00FB6256">
            <w:pPr>
              <w:spacing w:before="60" w:after="60"/>
              <w:rPr>
                <w:rFonts w:ascii="Arial" w:eastAsia="MS Mincho" w:hAnsi="Arial" w:cs="Arial"/>
                <w:b/>
                <w:sz w:val="20"/>
              </w:rPr>
            </w:pPr>
          </w:p>
          <w:p w:rsidR="00CB4262" w:rsidRDefault="00CB4262" w:rsidP="00FB6256">
            <w:pPr>
              <w:numPr>
                <w:ilvl w:val="2"/>
                <w:numId w:val="22"/>
              </w:numPr>
              <w:spacing w:after="0"/>
              <w:rPr>
                <w:rFonts w:ascii="Arial" w:eastAsia="MS Mincho" w:hAnsi="Arial" w:cs="Arial"/>
                <w:sz w:val="20"/>
                <w:szCs w:val="20"/>
                <w:lang w:eastAsia="en-GB"/>
              </w:rPr>
            </w:pPr>
            <w:r>
              <w:rPr>
                <w:rFonts w:ascii="Arial" w:eastAsia="MS Mincho" w:hAnsi="Arial" w:cs="Arial"/>
                <w:sz w:val="20"/>
                <w:szCs w:val="20"/>
                <w:lang w:eastAsia="en-GB"/>
              </w:rPr>
              <w:t xml:space="preserve">As chronic diseases are increasingly being managed in Primary Care the number of blood test required by Practices to monitor, diagnose and treat patients has risen. </w:t>
            </w:r>
            <w:r>
              <w:rPr>
                <w:rFonts w:ascii="Arial" w:eastAsia="MS Mincho" w:hAnsi="Arial" w:cs="Arial"/>
                <w:sz w:val="20"/>
                <w:szCs w:val="20"/>
                <w:lang w:eastAsia="en-GB"/>
              </w:rPr>
              <w:br/>
            </w:r>
          </w:p>
          <w:p w:rsidR="00CB4262" w:rsidRPr="00CB4262" w:rsidRDefault="00CB4262" w:rsidP="00FB6256">
            <w:pPr>
              <w:numPr>
                <w:ilvl w:val="2"/>
                <w:numId w:val="22"/>
              </w:numPr>
              <w:spacing w:after="0"/>
              <w:rPr>
                <w:rFonts w:ascii="Arial" w:eastAsia="MS Mincho" w:hAnsi="Arial" w:cs="Arial"/>
                <w:sz w:val="20"/>
                <w:szCs w:val="20"/>
                <w:lang w:eastAsia="en-GB"/>
              </w:rPr>
            </w:pPr>
            <w:r>
              <w:rPr>
                <w:rFonts w:ascii="Arial" w:eastAsia="MS Mincho" w:hAnsi="Arial" w:cs="Arial"/>
                <w:sz w:val="20"/>
                <w:szCs w:val="20"/>
                <w:lang w:eastAsia="en-GB"/>
              </w:rPr>
              <w:t xml:space="preserve">This service will provide a comprehensive Primary Care based phlebotomy service in North East Lincolnshire, using the skills and expertise of trained phlebotomists. This will relieve pressure on secondary care services enabling them to concentrate on an acute site service including wards and </w:t>
            </w:r>
            <w:r w:rsidR="00A160E9">
              <w:rPr>
                <w:rFonts w:ascii="Arial" w:eastAsia="MS Mincho" w:hAnsi="Arial" w:cs="Arial"/>
                <w:sz w:val="20"/>
                <w:szCs w:val="20"/>
                <w:lang w:eastAsia="en-GB"/>
              </w:rPr>
              <w:t xml:space="preserve">urgent </w:t>
            </w:r>
            <w:r>
              <w:rPr>
                <w:rFonts w:ascii="Arial" w:eastAsia="MS Mincho" w:hAnsi="Arial" w:cs="Arial"/>
                <w:sz w:val="20"/>
                <w:szCs w:val="20"/>
                <w:lang w:eastAsia="en-GB"/>
              </w:rPr>
              <w:t xml:space="preserve">out-patient services. </w:t>
            </w:r>
            <w:r w:rsidR="00FA1AA6">
              <w:rPr>
                <w:rFonts w:ascii="Arial" w:eastAsia="MS Mincho" w:hAnsi="Arial" w:cs="Arial"/>
                <w:sz w:val="20"/>
                <w:szCs w:val="20"/>
                <w:lang w:eastAsia="en-GB"/>
              </w:rPr>
              <w:t xml:space="preserve">It will also provide a much more convenient, and local service, for patients requiring blood tests. </w:t>
            </w:r>
          </w:p>
          <w:p w:rsidR="005C16A4" w:rsidRPr="00AB23E4" w:rsidRDefault="005C16A4" w:rsidP="00FB6256">
            <w:pPr>
              <w:spacing w:after="0"/>
              <w:ind w:left="720"/>
              <w:rPr>
                <w:rFonts w:ascii="Arial" w:eastAsia="MS Mincho" w:hAnsi="Arial" w:cs="Arial"/>
                <w:sz w:val="20"/>
                <w:szCs w:val="20"/>
                <w:lang w:eastAsia="en-GB"/>
              </w:rPr>
            </w:pPr>
          </w:p>
          <w:p w:rsidR="001A1CE9" w:rsidRPr="00AC36C0" w:rsidRDefault="001A1CE9" w:rsidP="00FB6256">
            <w:pPr>
              <w:numPr>
                <w:ilvl w:val="1"/>
                <w:numId w:val="15"/>
              </w:numPr>
              <w:spacing w:before="60" w:after="0"/>
              <w:ind w:left="720" w:hanging="720"/>
              <w:rPr>
                <w:rFonts w:ascii="Arial" w:eastAsia="MS Mincho" w:hAnsi="Arial" w:cs="Arial"/>
                <w:sz w:val="20"/>
              </w:rPr>
            </w:pPr>
            <w:r w:rsidRPr="00AC36C0">
              <w:rPr>
                <w:rFonts w:ascii="Arial" w:eastAsia="MS Mincho" w:hAnsi="Arial" w:cs="Arial"/>
                <w:b/>
                <w:sz w:val="20"/>
              </w:rPr>
              <w:t>GP Providers of Service</w:t>
            </w:r>
          </w:p>
          <w:p w:rsidR="001A1CE9" w:rsidRPr="00AC36C0" w:rsidRDefault="001A1CE9" w:rsidP="00FB6256">
            <w:pPr>
              <w:spacing w:after="0"/>
              <w:rPr>
                <w:rFonts w:ascii="Arial" w:eastAsia="MS Mincho" w:hAnsi="Arial" w:cs="Arial"/>
                <w:sz w:val="20"/>
              </w:rPr>
            </w:pPr>
          </w:p>
          <w:p w:rsidR="001A1CE9" w:rsidRPr="001F651C" w:rsidRDefault="001A1CE9" w:rsidP="00FB6256">
            <w:pPr>
              <w:keepNext/>
              <w:spacing w:after="0"/>
              <w:ind w:left="743" w:hanging="709"/>
              <w:jc w:val="both"/>
              <w:outlineLvl w:val="2"/>
              <w:rPr>
                <w:rFonts w:ascii="Arial" w:eastAsia="MS Mincho" w:hAnsi="Arial" w:cs="Arial"/>
                <w:sz w:val="20"/>
              </w:rPr>
            </w:pPr>
            <w:r w:rsidRPr="00AC36C0">
              <w:rPr>
                <w:rFonts w:ascii="Arial" w:eastAsia="MS Mincho" w:hAnsi="Arial" w:cs="Arial"/>
                <w:sz w:val="20"/>
              </w:rPr>
              <w:t xml:space="preserve">1.2.1   </w:t>
            </w:r>
            <w:r w:rsidRPr="001F651C">
              <w:rPr>
                <w:rFonts w:ascii="Arial" w:eastAsia="MS Mincho" w:hAnsi="Arial" w:cs="Arial"/>
                <w:sz w:val="20"/>
              </w:rPr>
              <w:t>All GP practices are expected to provide ‘essential’ and those additional services they are contracted to provide under GMS/PMS/APMS to all their patients.  The specification of this service is designed to cover the enhanced aspects of clinical care of the patient, all of which are beyond the scope of essential services.  No part of the specification by commission, omission or implication defines or redefines essential or additional services.</w:t>
            </w:r>
          </w:p>
          <w:p w:rsidR="00F745C9" w:rsidRPr="001F651C" w:rsidRDefault="00F745C9" w:rsidP="00FB6256">
            <w:pPr>
              <w:keepNext/>
              <w:spacing w:after="0"/>
              <w:ind w:left="743" w:hanging="709"/>
              <w:jc w:val="both"/>
              <w:outlineLvl w:val="2"/>
              <w:rPr>
                <w:rFonts w:ascii="Arial" w:eastAsia="MS Mincho" w:hAnsi="Arial" w:cs="Arial"/>
                <w:sz w:val="20"/>
              </w:rPr>
            </w:pPr>
          </w:p>
          <w:p w:rsidR="00FA1AA6" w:rsidRPr="001F651C" w:rsidRDefault="00FA1AA6" w:rsidP="00FB6256">
            <w:pPr>
              <w:keepNext/>
              <w:spacing w:after="0"/>
              <w:ind w:left="743" w:hanging="709"/>
              <w:jc w:val="both"/>
              <w:outlineLvl w:val="2"/>
              <w:rPr>
                <w:rFonts w:ascii="Arial" w:eastAsia="MS Mincho" w:hAnsi="Arial" w:cs="Arial"/>
                <w:sz w:val="20"/>
              </w:rPr>
            </w:pPr>
            <w:r w:rsidRPr="001F651C">
              <w:rPr>
                <w:rFonts w:ascii="Arial" w:eastAsia="MS Mincho" w:hAnsi="Arial" w:cs="Arial"/>
                <w:sz w:val="20"/>
              </w:rPr>
              <w:t xml:space="preserve">1.2.2  </w:t>
            </w:r>
            <w:r w:rsidR="00ED7018" w:rsidRPr="001F651C">
              <w:rPr>
                <w:rFonts w:ascii="Arial" w:eastAsia="MS Mincho" w:hAnsi="Arial" w:cs="Arial"/>
                <w:sz w:val="20"/>
              </w:rPr>
              <w:t xml:space="preserve">   C</w:t>
            </w:r>
            <w:r w:rsidR="00F745C9" w:rsidRPr="001F651C">
              <w:rPr>
                <w:rFonts w:ascii="Arial" w:eastAsia="MS Mincho" w:hAnsi="Arial" w:cs="Arial"/>
                <w:sz w:val="20"/>
              </w:rPr>
              <w:t xml:space="preserve">ommissioners </w:t>
            </w:r>
            <w:r w:rsidR="00513AAA" w:rsidRPr="001F651C">
              <w:rPr>
                <w:rFonts w:ascii="Arial" w:eastAsia="MS Mincho" w:hAnsi="Arial" w:cs="Arial"/>
                <w:sz w:val="20"/>
              </w:rPr>
              <w:t>encourage</w:t>
            </w:r>
            <w:r w:rsidR="00F745C9" w:rsidRPr="001F651C">
              <w:rPr>
                <w:rFonts w:ascii="Arial" w:eastAsia="MS Mincho" w:hAnsi="Arial" w:cs="Arial"/>
                <w:sz w:val="20"/>
              </w:rPr>
              <w:t xml:space="preserve"> </w:t>
            </w:r>
            <w:r w:rsidR="00AD5B55" w:rsidRPr="001F651C">
              <w:rPr>
                <w:rFonts w:ascii="Arial" w:eastAsia="MS Mincho" w:hAnsi="Arial" w:cs="Arial"/>
                <w:sz w:val="20"/>
              </w:rPr>
              <w:t>collaborative</w:t>
            </w:r>
            <w:r w:rsidR="00513AAA" w:rsidRPr="001F651C">
              <w:rPr>
                <w:rFonts w:ascii="Arial" w:eastAsia="MS Mincho" w:hAnsi="Arial" w:cs="Arial"/>
                <w:sz w:val="20"/>
              </w:rPr>
              <w:t xml:space="preserve"> provider services to deploy good principles of commissioning by</w:t>
            </w:r>
            <w:r w:rsidR="00A70EE1" w:rsidRPr="001F651C">
              <w:rPr>
                <w:rFonts w:ascii="Arial" w:eastAsia="MS Mincho" w:hAnsi="Arial" w:cs="Arial"/>
                <w:sz w:val="20"/>
              </w:rPr>
              <w:t xml:space="preserve"> improving access to patients through a</w:t>
            </w:r>
            <w:r w:rsidR="00F15A51" w:rsidRPr="001F651C">
              <w:rPr>
                <w:rFonts w:ascii="Arial" w:eastAsia="MS Mincho" w:hAnsi="Arial" w:cs="Arial"/>
                <w:sz w:val="20"/>
              </w:rPr>
              <w:t xml:space="preserve"> joined up delivery model including working together to share and make best use of resources. </w:t>
            </w:r>
            <w:r w:rsidR="00ED7018" w:rsidRPr="001F651C">
              <w:rPr>
                <w:rFonts w:ascii="Arial" w:eastAsia="MS Mincho" w:hAnsi="Arial" w:cs="Arial"/>
                <w:sz w:val="20"/>
              </w:rPr>
              <w:t xml:space="preserve">Whilst delivery of this service is offered at an individual practice level; the CCG is </w:t>
            </w:r>
            <w:r w:rsidR="00ED7018" w:rsidRPr="001F651C">
              <w:rPr>
                <w:rFonts w:ascii="Arial" w:eastAsia="MS Mincho" w:hAnsi="Arial" w:cs="Arial"/>
                <w:sz w:val="20"/>
              </w:rPr>
              <w:lastRenderedPageBreak/>
              <w:t xml:space="preserve">encouraging joint working by offering a higher payment rate for shared arrangements resulting in increased access for patients over longer hours. </w:t>
            </w:r>
            <w:r w:rsidR="00F15A51" w:rsidRPr="001F651C">
              <w:rPr>
                <w:rFonts w:ascii="Arial" w:eastAsia="MS Mincho" w:hAnsi="Arial" w:cs="Arial"/>
                <w:sz w:val="20"/>
              </w:rPr>
              <w:t xml:space="preserve"> </w:t>
            </w:r>
          </w:p>
          <w:p w:rsidR="00AF3F84" w:rsidRPr="001F651C" w:rsidRDefault="00AF3F84" w:rsidP="00FB6256">
            <w:pPr>
              <w:keepNext/>
              <w:spacing w:after="0"/>
              <w:ind w:left="743" w:hanging="709"/>
              <w:jc w:val="both"/>
              <w:outlineLvl w:val="2"/>
              <w:rPr>
                <w:rFonts w:ascii="Arial" w:eastAsia="MS Mincho" w:hAnsi="Arial" w:cs="Arial"/>
                <w:sz w:val="20"/>
              </w:rPr>
            </w:pPr>
          </w:p>
          <w:p w:rsidR="00AF3F84" w:rsidRPr="001F651C" w:rsidRDefault="00AD5B55" w:rsidP="00FB6256">
            <w:pPr>
              <w:keepNext/>
              <w:spacing w:after="0"/>
              <w:ind w:left="743" w:hanging="709"/>
              <w:jc w:val="both"/>
              <w:outlineLvl w:val="2"/>
              <w:rPr>
                <w:rFonts w:ascii="Arial" w:eastAsia="MS Mincho" w:hAnsi="Arial" w:cs="Arial"/>
                <w:sz w:val="20"/>
              </w:rPr>
            </w:pPr>
            <w:r w:rsidRPr="001F651C">
              <w:rPr>
                <w:rFonts w:ascii="Arial" w:eastAsia="MS Mincho" w:hAnsi="Arial" w:cs="Arial"/>
                <w:sz w:val="20"/>
              </w:rPr>
              <w:t>1.2.3</w:t>
            </w:r>
            <w:r w:rsidR="00AF3F84" w:rsidRPr="001F651C">
              <w:rPr>
                <w:rFonts w:ascii="Arial" w:eastAsia="MS Mincho" w:hAnsi="Arial" w:cs="Arial"/>
                <w:sz w:val="20"/>
              </w:rPr>
              <w:t xml:space="preserve">    The CCG wish this service to be available to all NEL patients. If a practice does not agree to deliver the service, they will be required to refer their patients to another Primary Care provider who will undertake this service on their behalf. </w:t>
            </w:r>
            <w:r w:rsidR="00A71C64" w:rsidRPr="001F651C">
              <w:rPr>
                <w:rFonts w:ascii="Arial" w:eastAsia="MS Mincho" w:hAnsi="Arial" w:cs="Arial"/>
                <w:sz w:val="20"/>
              </w:rPr>
              <w:t xml:space="preserve">We would expect there to be an inter-practice agreement to cover this.  </w:t>
            </w:r>
          </w:p>
          <w:p w:rsidR="00F745C9" w:rsidRPr="00AC36C0" w:rsidRDefault="00F745C9" w:rsidP="00E95AE3">
            <w:pPr>
              <w:keepNext/>
              <w:spacing w:after="0"/>
              <w:ind w:left="743" w:hanging="709"/>
              <w:jc w:val="both"/>
              <w:outlineLvl w:val="2"/>
              <w:rPr>
                <w:rFonts w:ascii="Arial" w:eastAsia="Times New Roman" w:hAnsi="Arial" w:cs="Arial"/>
                <w:b/>
                <w:bCs/>
                <w:sz w:val="20"/>
              </w:rPr>
            </w:pPr>
          </w:p>
          <w:p w:rsidR="00EB717E" w:rsidRPr="00EB717E" w:rsidRDefault="00EB717E" w:rsidP="00EB717E">
            <w:pPr>
              <w:spacing w:after="0" w:line="240" w:lineRule="auto"/>
              <w:rPr>
                <w:rFonts w:ascii="Arial" w:eastAsia="MS Mincho" w:hAnsi="Arial" w:cs="Arial"/>
                <w:color w:val="009966"/>
                <w:sz w:val="20"/>
                <w:szCs w:val="20"/>
                <w:lang w:val="en-US" w:eastAsia="ja-JP"/>
              </w:rPr>
            </w:pPr>
          </w:p>
        </w:tc>
      </w:tr>
      <w:tr w:rsidR="00EB717E" w:rsidRPr="00EB717E" w:rsidTr="00FB5573">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2.</w:t>
            </w:r>
            <w:r w:rsidRPr="00EB717E">
              <w:rPr>
                <w:rFonts w:ascii="Arial" w:eastAsia="MS Mincho" w:hAnsi="Arial" w:cs="Arial"/>
                <w:b/>
                <w:color w:val="F79646"/>
                <w:sz w:val="24"/>
                <w:szCs w:val="20"/>
                <w:lang w:val="en-US" w:eastAsia="ja-JP"/>
              </w:rPr>
              <w:tab/>
              <w:t>Outcomes</w:t>
            </w:r>
          </w:p>
        </w:tc>
      </w:tr>
      <w:tr w:rsidR="00EB717E" w:rsidRPr="00EB717E" w:rsidTr="00FB5573">
        <w:tc>
          <w:tcPr>
            <w:tcW w:w="8414" w:type="dxa"/>
            <w:shd w:val="clear" w:color="auto" w:fill="FFFFFF"/>
          </w:tcPr>
          <w:p w:rsidR="00EB717E" w:rsidRPr="00B90F9B" w:rsidRDefault="00EB717E" w:rsidP="00EB717E">
            <w:pPr>
              <w:spacing w:after="0"/>
              <w:rPr>
                <w:rFonts w:ascii="Arial" w:eastAsia="MS Mincho" w:hAnsi="Arial" w:cs="Arial"/>
                <w:b/>
                <w:sz w:val="20"/>
                <w:szCs w:val="20"/>
                <w:lang w:val="en-US" w:eastAsia="ja-JP"/>
              </w:rPr>
            </w:pPr>
          </w:p>
          <w:p w:rsidR="00EB717E" w:rsidRDefault="00EB717E" w:rsidP="00EB717E">
            <w:pPr>
              <w:spacing w:after="0"/>
              <w:rPr>
                <w:rFonts w:ascii="Arial" w:eastAsia="MS Mincho" w:hAnsi="Arial" w:cs="Arial"/>
                <w:b/>
                <w:sz w:val="20"/>
                <w:szCs w:val="20"/>
                <w:u w:val="single"/>
                <w:lang w:val="en-US" w:eastAsia="ja-JP"/>
              </w:rPr>
            </w:pPr>
            <w:r w:rsidRPr="00B90F9B">
              <w:rPr>
                <w:rFonts w:ascii="Arial" w:eastAsia="MS Mincho" w:hAnsi="Arial" w:cs="Arial"/>
                <w:b/>
                <w:sz w:val="20"/>
                <w:szCs w:val="20"/>
                <w:lang w:val="en-US" w:eastAsia="ja-JP"/>
              </w:rPr>
              <w:t>2.1</w:t>
            </w:r>
            <w:r w:rsidRPr="00B90F9B">
              <w:rPr>
                <w:rFonts w:ascii="Arial" w:eastAsia="MS Mincho" w:hAnsi="Arial" w:cs="Arial"/>
                <w:b/>
                <w:sz w:val="20"/>
                <w:szCs w:val="20"/>
                <w:lang w:val="en-US" w:eastAsia="ja-JP"/>
              </w:rPr>
              <w:tab/>
            </w:r>
            <w:r w:rsidRPr="00B90F9B">
              <w:rPr>
                <w:rFonts w:ascii="Arial" w:eastAsia="MS Mincho" w:hAnsi="Arial" w:cs="Arial"/>
                <w:b/>
                <w:sz w:val="20"/>
                <w:szCs w:val="20"/>
                <w:u w:val="single"/>
                <w:lang w:val="en-US" w:eastAsia="ja-JP"/>
              </w:rPr>
              <w:t>NHS Outcomes Framework Domains &amp; Indicators</w:t>
            </w:r>
            <w:r w:rsidR="003D047E">
              <w:rPr>
                <w:rFonts w:ascii="Arial" w:eastAsia="MS Mincho" w:hAnsi="Arial" w:cs="Arial"/>
                <w:b/>
                <w:sz w:val="20"/>
                <w:szCs w:val="20"/>
                <w:u w:val="single"/>
                <w:lang w:val="en-US" w:eastAsia="ja-JP"/>
              </w:rPr>
              <w:br/>
            </w:r>
          </w:p>
          <w:p w:rsidR="003D047E" w:rsidRPr="00B90F9B" w:rsidRDefault="003D047E" w:rsidP="00EB717E">
            <w:pPr>
              <w:spacing w:after="0"/>
              <w:rPr>
                <w:rFonts w:ascii="Arial" w:eastAsia="MS Mincho" w:hAnsi="Arial" w:cs="Arial"/>
                <w:b/>
                <w:sz w:val="20"/>
                <w:szCs w:val="20"/>
                <w:lang w:val="en-US" w:eastAsia="ja-JP"/>
              </w:rPr>
            </w:pPr>
          </w:p>
          <w:p w:rsidR="00EB717E" w:rsidRPr="003D047E" w:rsidRDefault="003D047E" w:rsidP="00EB717E">
            <w:pPr>
              <w:spacing w:after="0"/>
              <w:rPr>
                <w:rFonts w:ascii="Arial" w:eastAsia="MS Mincho" w:hAnsi="Arial" w:cs="Arial"/>
                <w:sz w:val="20"/>
                <w:szCs w:val="20"/>
                <w:lang w:val="en-US" w:eastAsia="ja-JP"/>
              </w:rPr>
            </w:pPr>
            <w:r w:rsidRPr="003D047E">
              <w:rPr>
                <w:rFonts w:ascii="Arial" w:eastAsia="MS Mincho" w:hAnsi="Arial" w:cs="Arial"/>
                <w:sz w:val="20"/>
                <w:szCs w:val="20"/>
                <w:lang w:val="en-US" w:eastAsia="ja-JP"/>
              </w:rPr>
              <w:t>This service relates to the following NHS Outcomes Framework Domains and Indicators:</w:t>
            </w:r>
            <w:r w:rsidRPr="003D047E">
              <w:rPr>
                <w:rFonts w:ascii="Arial" w:eastAsia="MS Mincho" w:hAnsi="Arial" w:cs="Arial"/>
                <w:sz w:val="20"/>
                <w:szCs w:val="20"/>
                <w:lang w:val="en-US" w:eastAsia="ja-JP"/>
              </w:rPr>
              <w:br/>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B90F9B" w:rsidRPr="00B90F9B" w:rsidTr="00FB5573">
              <w:tc>
                <w:tcPr>
                  <w:tcW w:w="1276"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Domain 1</w:t>
                  </w:r>
                </w:p>
              </w:tc>
              <w:tc>
                <w:tcPr>
                  <w:tcW w:w="5528"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Preventing people from dying prematurely</w:t>
                  </w:r>
                </w:p>
              </w:tc>
              <w:tc>
                <w:tcPr>
                  <w:tcW w:w="641"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p>
              </w:tc>
            </w:tr>
            <w:tr w:rsidR="00B90F9B" w:rsidRPr="00B90F9B" w:rsidTr="00FB5573">
              <w:tc>
                <w:tcPr>
                  <w:tcW w:w="1276"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Domain 2</w:t>
                  </w:r>
                </w:p>
              </w:tc>
              <w:tc>
                <w:tcPr>
                  <w:tcW w:w="5528"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Enhancing quality of life for people with long-term conditions</w:t>
                  </w:r>
                </w:p>
              </w:tc>
              <w:tc>
                <w:tcPr>
                  <w:tcW w:w="641" w:type="dxa"/>
                  <w:shd w:val="clear" w:color="auto" w:fill="auto"/>
                </w:tcPr>
                <w:p w:rsidR="0028265C" w:rsidRPr="00B90F9B" w:rsidRDefault="006C3F5A"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x</w:t>
                  </w:r>
                </w:p>
              </w:tc>
            </w:tr>
            <w:tr w:rsidR="00B90F9B" w:rsidRPr="00B90F9B" w:rsidTr="00FB5573">
              <w:tc>
                <w:tcPr>
                  <w:tcW w:w="1276"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Domain 3</w:t>
                  </w:r>
                </w:p>
              </w:tc>
              <w:tc>
                <w:tcPr>
                  <w:tcW w:w="5528"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Helping people to recover from episodes of ill-health or following injury</w:t>
                  </w:r>
                </w:p>
              </w:tc>
              <w:tc>
                <w:tcPr>
                  <w:tcW w:w="641" w:type="dxa"/>
                  <w:shd w:val="clear" w:color="auto" w:fill="auto"/>
                </w:tcPr>
                <w:p w:rsidR="00EB717E" w:rsidRPr="00B90F9B" w:rsidRDefault="006C3F5A"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x</w:t>
                  </w:r>
                </w:p>
              </w:tc>
            </w:tr>
            <w:tr w:rsidR="00B90F9B" w:rsidRPr="00B90F9B" w:rsidTr="00FB5573">
              <w:tc>
                <w:tcPr>
                  <w:tcW w:w="1276"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Domain 4</w:t>
                  </w:r>
                </w:p>
              </w:tc>
              <w:tc>
                <w:tcPr>
                  <w:tcW w:w="5528"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Ensuring people have a positive experience of care</w:t>
                  </w:r>
                </w:p>
              </w:tc>
              <w:tc>
                <w:tcPr>
                  <w:tcW w:w="641" w:type="dxa"/>
                  <w:shd w:val="clear" w:color="auto" w:fill="auto"/>
                </w:tcPr>
                <w:p w:rsidR="00EB717E" w:rsidRPr="00B90F9B" w:rsidRDefault="00B90F9B"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x</w:t>
                  </w:r>
                </w:p>
              </w:tc>
            </w:tr>
            <w:tr w:rsidR="00B90F9B" w:rsidRPr="00B90F9B" w:rsidTr="00FB5573">
              <w:tc>
                <w:tcPr>
                  <w:tcW w:w="1276"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Domain 5</w:t>
                  </w:r>
                </w:p>
              </w:tc>
              <w:tc>
                <w:tcPr>
                  <w:tcW w:w="5528"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r w:rsidRPr="00B90F9B">
                    <w:rPr>
                      <w:rFonts w:ascii="Arial" w:eastAsia="Times New Roman" w:hAnsi="Arial" w:cs="Arial"/>
                      <w:b/>
                      <w:sz w:val="20"/>
                      <w:szCs w:val="20"/>
                      <w:lang w:val="en-US" w:eastAsia="en-GB"/>
                    </w:rPr>
                    <w:t>Treating and caring for people in safe environment and protecting them from avoidable harm</w:t>
                  </w:r>
                </w:p>
              </w:tc>
              <w:tc>
                <w:tcPr>
                  <w:tcW w:w="641" w:type="dxa"/>
                  <w:shd w:val="clear" w:color="auto" w:fill="auto"/>
                </w:tcPr>
                <w:p w:rsidR="00EB717E" w:rsidRPr="00B90F9B" w:rsidRDefault="00EB717E" w:rsidP="00EB717E">
                  <w:pPr>
                    <w:spacing w:after="0"/>
                    <w:rPr>
                      <w:rFonts w:ascii="Arial" w:eastAsia="Times New Roman" w:hAnsi="Arial" w:cs="Arial"/>
                      <w:b/>
                      <w:sz w:val="20"/>
                      <w:szCs w:val="20"/>
                      <w:lang w:val="en-US" w:eastAsia="en-GB"/>
                    </w:rPr>
                  </w:pPr>
                </w:p>
              </w:tc>
            </w:tr>
          </w:tbl>
          <w:p w:rsidR="00EB717E" w:rsidRPr="00EB717E" w:rsidRDefault="00EB717E" w:rsidP="00EB717E">
            <w:pPr>
              <w:spacing w:after="0"/>
              <w:rPr>
                <w:rFonts w:ascii="Arial" w:eastAsia="MS Mincho" w:hAnsi="Arial" w:cs="Arial"/>
                <w:b/>
                <w:color w:val="00B050"/>
                <w:sz w:val="20"/>
                <w:szCs w:val="20"/>
                <w:lang w:val="en-US" w:eastAsia="ja-JP"/>
              </w:rPr>
            </w:pPr>
          </w:p>
          <w:p w:rsidR="00EB717E" w:rsidRPr="00EB717E" w:rsidRDefault="00EB717E" w:rsidP="00EB717E">
            <w:pPr>
              <w:spacing w:after="0"/>
              <w:rPr>
                <w:rFonts w:ascii="Arial" w:eastAsia="MS Mincho" w:hAnsi="Arial" w:cs="Arial"/>
                <w:b/>
                <w:color w:val="F79646"/>
                <w:sz w:val="20"/>
                <w:szCs w:val="20"/>
                <w:lang w:val="en-US" w:eastAsia="ja-JP"/>
              </w:rPr>
            </w:pPr>
          </w:p>
        </w:tc>
      </w:tr>
      <w:tr w:rsidR="00EB717E" w:rsidRPr="00EB717E" w:rsidTr="00FB5573">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p>
        </w:tc>
      </w:tr>
      <w:tr w:rsidR="00EB717E" w:rsidRPr="00EB717E" w:rsidTr="00FB5573">
        <w:tc>
          <w:tcPr>
            <w:tcW w:w="8414" w:type="dxa"/>
            <w:shd w:val="clear" w:color="auto" w:fill="auto"/>
          </w:tcPr>
          <w:p w:rsidR="00F26A59" w:rsidRDefault="00F26A59" w:rsidP="00F26A59">
            <w:pPr>
              <w:spacing w:after="0" w:line="240" w:lineRule="auto"/>
              <w:ind w:left="743"/>
              <w:rPr>
                <w:rFonts w:ascii="Arial" w:eastAsia="MS Mincho" w:hAnsi="Arial" w:cs="Arial"/>
                <w:b/>
                <w:sz w:val="20"/>
                <w:szCs w:val="24"/>
                <w:lang w:eastAsia="en-GB"/>
              </w:rPr>
            </w:pPr>
          </w:p>
          <w:p w:rsidR="00997A08" w:rsidRPr="00AC36C0" w:rsidRDefault="00997A08" w:rsidP="00FB6256">
            <w:pPr>
              <w:numPr>
                <w:ilvl w:val="1"/>
                <w:numId w:val="25"/>
              </w:numPr>
              <w:spacing w:after="0"/>
              <w:ind w:left="743" w:hanging="709"/>
              <w:rPr>
                <w:rFonts w:ascii="Arial" w:eastAsia="MS Mincho" w:hAnsi="Arial" w:cs="Arial"/>
                <w:b/>
                <w:sz w:val="20"/>
                <w:szCs w:val="24"/>
                <w:lang w:eastAsia="en-GB"/>
              </w:rPr>
            </w:pPr>
            <w:r w:rsidRPr="00AC36C0">
              <w:rPr>
                <w:rFonts w:ascii="Arial" w:eastAsia="MS Mincho" w:hAnsi="Arial" w:cs="Arial"/>
                <w:b/>
                <w:sz w:val="20"/>
                <w:szCs w:val="24"/>
                <w:lang w:eastAsia="en-GB"/>
              </w:rPr>
              <w:t>Aims and objectives of service</w:t>
            </w:r>
          </w:p>
          <w:p w:rsidR="00997A08" w:rsidRPr="00AC36C0" w:rsidRDefault="00997A08" w:rsidP="00FB6256">
            <w:pPr>
              <w:spacing w:after="0"/>
              <w:rPr>
                <w:rFonts w:ascii="Arial" w:eastAsia="Calibri" w:hAnsi="Arial" w:cs="Arial"/>
                <w:b/>
                <w:sz w:val="20"/>
              </w:rPr>
            </w:pPr>
          </w:p>
          <w:p w:rsidR="00997A08" w:rsidRPr="00AC36C0" w:rsidRDefault="00997A08" w:rsidP="00FB6256">
            <w:pPr>
              <w:numPr>
                <w:ilvl w:val="2"/>
                <w:numId w:val="25"/>
              </w:numPr>
              <w:tabs>
                <w:tab w:val="left" w:pos="743"/>
              </w:tabs>
              <w:spacing w:after="0"/>
              <w:rPr>
                <w:rFonts w:ascii="Arial" w:eastAsia="MS Mincho" w:hAnsi="Arial" w:cs="Arial"/>
                <w:bCs/>
                <w:sz w:val="20"/>
                <w:szCs w:val="24"/>
                <w:lang w:eastAsia="en-GB"/>
              </w:rPr>
            </w:pPr>
            <w:r w:rsidRPr="00AC36C0">
              <w:rPr>
                <w:rFonts w:ascii="Arial" w:eastAsia="MS Mincho" w:hAnsi="Arial" w:cs="Arial"/>
                <w:bCs/>
                <w:sz w:val="20"/>
                <w:szCs w:val="24"/>
                <w:lang w:eastAsia="en-GB"/>
              </w:rPr>
              <w:t xml:space="preserve">The aims of this service are to reduce the number of patient visits to hospital by undertaking </w:t>
            </w:r>
            <w:r w:rsidR="006C3F5A">
              <w:rPr>
                <w:rFonts w:ascii="Arial" w:eastAsia="MS Mincho" w:hAnsi="Arial" w:cs="Arial"/>
                <w:bCs/>
                <w:sz w:val="20"/>
                <w:szCs w:val="24"/>
                <w:lang w:eastAsia="en-GB"/>
              </w:rPr>
              <w:t>phlebotomy services</w:t>
            </w:r>
            <w:r w:rsidRPr="00AC36C0">
              <w:rPr>
                <w:rFonts w:ascii="Arial" w:eastAsia="MS Mincho" w:hAnsi="Arial" w:cs="Arial"/>
                <w:bCs/>
                <w:sz w:val="20"/>
                <w:szCs w:val="24"/>
                <w:lang w:eastAsia="en-GB"/>
              </w:rPr>
              <w:t xml:space="preserve"> in primary care thereby:</w:t>
            </w:r>
          </w:p>
          <w:p w:rsidR="00997A08" w:rsidRPr="00AC36C0" w:rsidRDefault="00997A08" w:rsidP="00FB6256">
            <w:pPr>
              <w:numPr>
                <w:ilvl w:val="0"/>
                <w:numId w:val="24"/>
              </w:numPr>
              <w:tabs>
                <w:tab w:val="left" w:pos="1310"/>
              </w:tabs>
              <w:spacing w:after="0"/>
              <w:ind w:left="1310"/>
              <w:rPr>
                <w:rFonts w:ascii="Arial" w:eastAsia="MS Mincho" w:hAnsi="Arial" w:cs="Arial"/>
                <w:bCs/>
                <w:sz w:val="20"/>
                <w:szCs w:val="24"/>
                <w:lang w:eastAsia="en-GB"/>
              </w:rPr>
            </w:pPr>
            <w:r>
              <w:rPr>
                <w:rFonts w:ascii="Arial" w:eastAsia="MS Mincho" w:hAnsi="Arial" w:cs="Arial"/>
                <w:bCs/>
                <w:sz w:val="20"/>
                <w:szCs w:val="24"/>
                <w:lang w:eastAsia="en-GB"/>
              </w:rPr>
              <w:t>I</w:t>
            </w:r>
            <w:r w:rsidRPr="00AC36C0">
              <w:rPr>
                <w:rFonts w:ascii="Arial" w:eastAsia="MS Mincho" w:hAnsi="Arial" w:cs="Arial"/>
                <w:bCs/>
                <w:sz w:val="20"/>
                <w:szCs w:val="24"/>
                <w:lang w:eastAsia="en-GB"/>
              </w:rPr>
              <w:t>mproving the patient experience;</w:t>
            </w:r>
          </w:p>
          <w:p w:rsidR="00997A08" w:rsidRPr="00AC36C0" w:rsidRDefault="00997A08" w:rsidP="00FB6256">
            <w:pPr>
              <w:numPr>
                <w:ilvl w:val="0"/>
                <w:numId w:val="24"/>
              </w:numPr>
              <w:tabs>
                <w:tab w:val="left" w:pos="1310"/>
              </w:tabs>
              <w:spacing w:after="0"/>
              <w:ind w:left="1310"/>
              <w:rPr>
                <w:rFonts w:ascii="Arial" w:eastAsia="MS Mincho" w:hAnsi="Arial" w:cs="Arial"/>
                <w:bCs/>
                <w:sz w:val="20"/>
                <w:szCs w:val="24"/>
                <w:lang w:eastAsia="en-GB"/>
              </w:rPr>
            </w:pPr>
            <w:r>
              <w:rPr>
                <w:rFonts w:ascii="Arial" w:eastAsia="MS Mincho" w:hAnsi="Arial" w:cs="Arial"/>
                <w:bCs/>
                <w:sz w:val="20"/>
                <w:szCs w:val="24"/>
                <w:lang w:eastAsia="en-GB"/>
              </w:rPr>
              <w:t>P</w:t>
            </w:r>
            <w:r w:rsidRPr="00AC36C0">
              <w:rPr>
                <w:rFonts w:ascii="Arial" w:eastAsia="MS Mincho" w:hAnsi="Arial" w:cs="Arial"/>
                <w:bCs/>
                <w:sz w:val="20"/>
                <w:szCs w:val="24"/>
                <w:lang w:eastAsia="en-GB"/>
              </w:rPr>
              <w:t>roviding more local, convenient and accessible services;</w:t>
            </w:r>
          </w:p>
          <w:p w:rsidR="00997A08" w:rsidRPr="00AC36C0" w:rsidRDefault="00997A08" w:rsidP="00FB6256">
            <w:pPr>
              <w:numPr>
                <w:ilvl w:val="0"/>
                <w:numId w:val="24"/>
              </w:numPr>
              <w:tabs>
                <w:tab w:val="left" w:pos="1310"/>
              </w:tabs>
              <w:spacing w:after="0"/>
              <w:ind w:left="1310"/>
              <w:rPr>
                <w:rFonts w:ascii="Arial" w:eastAsia="MS Mincho" w:hAnsi="Arial" w:cs="Arial"/>
                <w:bCs/>
                <w:sz w:val="20"/>
                <w:szCs w:val="24"/>
                <w:lang w:eastAsia="en-GB"/>
              </w:rPr>
            </w:pPr>
            <w:r>
              <w:rPr>
                <w:rFonts w:ascii="Arial" w:eastAsia="MS Mincho" w:hAnsi="Arial" w:cs="Arial"/>
                <w:bCs/>
                <w:sz w:val="20"/>
                <w:szCs w:val="24"/>
                <w:lang w:eastAsia="en-GB"/>
              </w:rPr>
              <w:t>E</w:t>
            </w:r>
            <w:r w:rsidRPr="00AC36C0">
              <w:rPr>
                <w:rFonts w:ascii="Arial" w:eastAsia="MS Mincho" w:hAnsi="Arial" w:cs="Arial"/>
                <w:bCs/>
                <w:sz w:val="20"/>
                <w:szCs w:val="24"/>
                <w:lang w:eastAsia="en-GB"/>
              </w:rPr>
              <w:t>ncouraging closer working between prima</w:t>
            </w:r>
            <w:r w:rsidR="006C3F5A">
              <w:rPr>
                <w:rFonts w:ascii="Arial" w:eastAsia="MS Mincho" w:hAnsi="Arial" w:cs="Arial"/>
                <w:bCs/>
                <w:sz w:val="20"/>
                <w:szCs w:val="24"/>
                <w:lang w:eastAsia="en-GB"/>
              </w:rPr>
              <w:t>ry and secondary care providers, l</w:t>
            </w:r>
            <w:r w:rsidRPr="00AC36C0">
              <w:rPr>
                <w:rFonts w:ascii="Arial" w:eastAsia="MS Mincho" w:hAnsi="Arial" w:cs="Arial"/>
                <w:bCs/>
                <w:sz w:val="20"/>
                <w:szCs w:val="24"/>
                <w:lang w:eastAsia="en-GB"/>
              </w:rPr>
              <w:t xml:space="preserve">eading to the provision of more </w:t>
            </w:r>
            <w:r w:rsidR="001F651C">
              <w:rPr>
                <w:rFonts w:ascii="Arial" w:eastAsia="MS Mincho" w:hAnsi="Arial" w:cs="Arial"/>
                <w:bCs/>
                <w:sz w:val="20"/>
                <w:szCs w:val="24"/>
                <w:lang w:eastAsia="en-GB"/>
              </w:rPr>
              <w:t>collaborative services;</w:t>
            </w:r>
          </w:p>
          <w:p w:rsidR="00997A08" w:rsidRPr="00AC36C0" w:rsidRDefault="00997A08" w:rsidP="00FB6256">
            <w:pPr>
              <w:numPr>
                <w:ilvl w:val="0"/>
                <w:numId w:val="24"/>
              </w:numPr>
              <w:tabs>
                <w:tab w:val="left" w:pos="1310"/>
              </w:tabs>
              <w:spacing w:after="0"/>
              <w:ind w:left="1310"/>
              <w:rPr>
                <w:rFonts w:ascii="Arial" w:eastAsia="MS Mincho" w:hAnsi="Arial" w:cs="Arial"/>
                <w:bCs/>
                <w:sz w:val="20"/>
                <w:szCs w:val="24"/>
                <w:lang w:eastAsia="en-GB"/>
              </w:rPr>
            </w:pPr>
            <w:r w:rsidRPr="00AC36C0">
              <w:rPr>
                <w:rFonts w:ascii="Arial" w:eastAsia="MS Mincho" w:hAnsi="Arial" w:cs="Arial"/>
                <w:bCs/>
                <w:sz w:val="20"/>
                <w:szCs w:val="24"/>
                <w:lang w:eastAsia="en-GB"/>
              </w:rPr>
              <w:t>Ensuring the most cost-effective use of NHS resources</w:t>
            </w:r>
            <w:r>
              <w:rPr>
                <w:rFonts w:ascii="Arial" w:eastAsia="MS Mincho" w:hAnsi="Arial" w:cs="Arial"/>
                <w:bCs/>
                <w:sz w:val="20"/>
                <w:szCs w:val="24"/>
                <w:lang w:eastAsia="en-GB"/>
              </w:rPr>
              <w:t>.</w:t>
            </w:r>
          </w:p>
          <w:p w:rsidR="00997A08" w:rsidRPr="00AC36C0" w:rsidRDefault="00997A08" w:rsidP="00FB6256">
            <w:pPr>
              <w:spacing w:after="0"/>
              <w:rPr>
                <w:rFonts w:ascii="Arial" w:eastAsia="Calibri" w:hAnsi="Arial" w:cs="Arial"/>
                <w:sz w:val="20"/>
              </w:rPr>
            </w:pPr>
          </w:p>
          <w:p w:rsidR="00997A08" w:rsidRDefault="00997A08" w:rsidP="00FB6256">
            <w:pPr>
              <w:spacing w:after="0"/>
              <w:rPr>
                <w:rFonts w:ascii="Arial" w:eastAsia="Calibri" w:hAnsi="Arial" w:cs="Arial"/>
                <w:b/>
                <w:sz w:val="20"/>
              </w:rPr>
            </w:pPr>
            <w:r w:rsidRPr="009575A8">
              <w:rPr>
                <w:rFonts w:ascii="Arial" w:eastAsia="Calibri" w:hAnsi="Arial" w:cs="Arial"/>
                <w:b/>
                <w:sz w:val="20"/>
              </w:rPr>
              <w:t>3.2</w:t>
            </w:r>
            <w:r w:rsidRPr="009575A8">
              <w:rPr>
                <w:rFonts w:ascii="Arial" w:eastAsia="Calibri" w:hAnsi="Arial" w:cs="Arial"/>
                <w:b/>
                <w:sz w:val="20"/>
              </w:rPr>
              <w:tab/>
              <w:t>Service description/care pathway</w:t>
            </w:r>
          </w:p>
          <w:p w:rsidR="009575A8" w:rsidRDefault="009575A8" w:rsidP="00FB6256">
            <w:pPr>
              <w:spacing w:after="0"/>
              <w:rPr>
                <w:rFonts w:ascii="Arial" w:eastAsia="Calibri" w:hAnsi="Arial" w:cs="Arial"/>
                <w:b/>
                <w:sz w:val="20"/>
              </w:rPr>
            </w:pPr>
          </w:p>
          <w:p w:rsidR="009575A8" w:rsidRDefault="009575A8" w:rsidP="00FB6256">
            <w:pPr>
              <w:spacing w:after="0"/>
              <w:ind w:left="743" w:hanging="743"/>
              <w:rPr>
                <w:rFonts w:ascii="Arial" w:eastAsia="Calibri" w:hAnsi="Arial" w:cs="Arial"/>
                <w:sz w:val="20"/>
              </w:rPr>
            </w:pPr>
            <w:r w:rsidRPr="009575A8">
              <w:rPr>
                <w:rFonts w:ascii="Arial" w:eastAsia="Calibri" w:hAnsi="Arial" w:cs="Arial"/>
                <w:sz w:val="20"/>
              </w:rPr>
              <w:t>3.2.1</w:t>
            </w:r>
            <w:r>
              <w:rPr>
                <w:rFonts w:ascii="Arial" w:eastAsia="Calibri" w:hAnsi="Arial" w:cs="Arial"/>
                <w:sz w:val="20"/>
              </w:rPr>
              <w:t xml:space="preserve">      The provider will be required to provide the </w:t>
            </w:r>
            <w:r w:rsidR="00652E8A">
              <w:rPr>
                <w:rFonts w:ascii="Arial" w:eastAsia="Calibri" w:hAnsi="Arial" w:cs="Arial"/>
                <w:sz w:val="20"/>
              </w:rPr>
              <w:t>following phlebotomy service primarily to adults, and only children in the event that the phlebotomist has the appropriate qualification (see exclusions)</w:t>
            </w:r>
            <w:r w:rsidR="00640E3E">
              <w:rPr>
                <w:rFonts w:ascii="Arial" w:eastAsia="Calibri" w:hAnsi="Arial" w:cs="Arial"/>
                <w:sz w:val="20"/>
              </w:rPr>
              <w:t xml:space="preserve">: </w:t>
            </w:r>
          </w:p>
          <w:p w:rsidR="009575A8" w:rsidRPr="00723CA1" w:rsidRDefault="009575A8" w:rsidP="00FB6256">
            <w:pPr>
              <w:spacing w:after="0"/>
              <w:ind w:left="885" w:firstLine="141"/>
              <w:rPr>
                <w:rFonts w:ascii="Arial" w:eastAsia="Calibri" w:hAnsi="Arial" w:cs="Arial"/>
                <w:sz w:val="20"/>
              </w:rPr>
            </w:pPr>
            <w:r>
              <w:rPr>
                <w:rFonts w:ascii="Arial" w:eastAsia="Calibri" w:hAnsi="Arial" w:cs="Arial"/>
                <w:sz w:val="20"/>
              </w:rPr>
              <w:t xml:space="preserve">-    </w:t>
            </w:r>
            <w:r w:rsidR="00F26A59">
              <w:rPr>
                <w:rFonts w:ascii="Arial" w:eastAsia="Calibri" w:hAnsi="Arial" w:cs="Arial"/>
                <w:sz w:val="20"/>
              </w:rPr>
              <w:t xml:space="preserve">Take blood samples </w:t>
            </w:r>
            <w:r w:rsidRPr="00723CA1">
              <w:rPr>
                <w:rFonts w:ascii="Arial" w:eastAsia="Calibri" w:hAnsi="Arial" w:cs="Arial"/>
                <w:sz w:val="20"/>
              </w:rPr>
              <w:t>as required, based on medical need.</w:t>
            </w:r>
          </w:p>
          <w:p w:rsidR="009575A8" w:rsidRPr="00723CA1" w:rsidRDefault="009575A8" w:rsidP="00652E8A">
            <w:pPr>
              <w:spacing w:after="0"/>
              <w:ind w:left="1310" w:hanging="284"/>
              <w:rPr>
                <w:rFonts w:ascii="Arial" w:eastAsia="Calibri" w:hAnsi="Arial" w:cs="Arial"/>
                <w:sz w:val="20"/>
              </w:rPr>
            </w:pPr>
            <w:r w:rsidRPr="00723CA1">
              <w:rPr>
                <w:rFonts w:ascii="Arial" w:eastAsia="Calibri" w:hAnsi="Arial" w:cs="Arial"/>
                <w:sz w:val="20"/>
              </w:rPr>
              <w:t>-    Provide the service at an appropriate</w:t>
            </w:r>
            <w:r w:rsidR="00652E8A">
              <w:rPr>
                <w:rFonts w:ascii="Arial" w:eastAsia="Calibri" w:hAnsi="Arial" w:cs="Arial"/>
                <w:sz w:val="20"/>
              </w:rPr>
              <w:t xml:space="preserve"> time, location and environment suitable to meet patients’ needs. </w:t>
            </w:r>
          </w:p>
          <w:p w:rsidR="009575A8" w:rsidRDefault="009575A8" w:rsidP="00FB6256">
            <w:pPr>
              <w:spacing w:after="0"/>
              <w:ind w:left="1310" w:hanging="284"/>
              <w:rPr>
                <w:rFonts w:ascii="Arial" w:eastAsia="Calibri" w:hAnsi="Arial" w:cs="Arial"/>
                <w:sz w:val="20"/>
              </w:rPr>
            </w:pPr>
            <w:r w:rsidRPr="00723CA1">
              <w:rPr>
                <w:rFonts w:ascii="Arial" w:eastAsia="Calibri" w:hAnsi="Arial" w:cs="Arial"/>
                <w:sz w:val="20"/>
              </w:rPr>
              <w:t>-    Provide the equipment necessary to deliver the service. This includes      ensuring that the equipment meets the requirements of the local laboratory service.</w:t>
            </w:r>
          </w:p>
          <w:p w:rsidR="009575A8" w:rsidRDefault="009575A8" w:rsidP="00FB6256">
            <w:pPr>
              <w:spacing w:after="0"/>
              <w:ind w:left="1310" w:hanging="284"/>
              <w:rPr>
                <w:rFonts w:ascii="Arial" w:eastAsia="Calibri" w:hAnsi="Arial" w:cs="Arial"/>
                <w:sz w:val="20"/>
              </w:rPr>
            </w:pPr>
            <w:r>
              <w:rPr>
                <w:rFonts w:ascii="Arial" w:eastAsia="Calibri" w:hAnsi="Arial" w:cs="Arial"/>
                <w:sz w:val="20"/>
              </w:rPr>
              <w:t xml:space="preserve">-   Record blood tests on practice clinical systems which must be </w:t>
            </w:r>
            <w:r w:rsidR="00640E3E">
              <w:rPr>
                <w:rFonts w:ascii="Arial" w:eastAsia="Calibri" w:hAnsi="Arial" w:cs="Arial"/>
                <w:sz w:val="20"/>
              </w:rPr>
              <w:t xml:space="preserve">auditable. The following coding in </w:t>
            </w:r>
            <w:r w:rsidR="00F26A59">
              <w:rPr>
                <w:rFonts w:ascii="Arial" w:eastAsia="Calibri" w:hAnsi="Arial" w:cs="Arial"/>
                <w:sz w:val="20"/>
              </w:rPr>
              <w:t xml:space="preserve">the </w:t>
            </w:r>
            <w:r w:rsidR="00640E3E">
              <w:rPr>
                <w:rFonts w:ascii="Arial" w:eastAsia="Calibri" w:hAnsi="Arial" w:cs="Arial"/>
                <w:sz w:val="20"/>
              </w:rPr>
              <w:t>practices’ clinical system should be used:</w:t>
            </w:r>
            <w:r w:rsidR="00640E3E">
              <w:rPr>
                <w:rFonts w:ascii="Arial" w:eastAsia="Calibri" w:hAnsi="Arial" w:cs="Arial"/>
                <w:sz w:val="20"/>
              </w:rPr>
              <w:br/>
            </w:r>
            <w:r w:rsidR="00640E3E" w:rsidRPr="00640E3E">
              <w:rPr>
                <w:rFonts w:ascii="Arial" w:eastAsia="Calibri" w:hAnsi="Arial" w:cs="Arial"/>
                <w:b/>
                <w:sz w:val="20"/>
              </w:rPr>
              <w:t>System 1</w:t>
            </w:r>
            <w:r w:rsidR="00640E3E">
              <w:rPr>
                <w:rFonts w:ascii="Arial" w:eastAsia="Calibri" w:hAnsi="Arial" w:cs="Arial"/>
                <w:sz w:val="20"/>
              </w:rPr>
              <w:br/>
            </w:r>
            <w:r w:rsidR="00640E3E">
              <w:rPr>
                <w:rFonts w:ascii="Arial" w:eastAsia="Calibri" w:hAnsi="Arial" w:cs="Arial"/>
                <w:sz w:val="20"/>
              </w:rPr>
              <w:lastRenderedPageBreak/>
              <w:t>Practice Based Phlebotomy: 9N2S</w:t>
            </w:r>
            <w:r w:rsidR="00640E3E">
              <w:rPr>
                <w:rFonts w:ascii="Arial" w:eastAsia="Calibri" w:hAnsi="Arial" w:cs="Arial"/>
                <w:sz w:val="20"/>
              </w:rPr>
              <w:br/>
              <w:t xml:space="preserve">Community Based Phlebotomy: </w:t>
            </w:r>
            <w:proofErr w:type="spellStart"/>
            <w:r w:rsidR="00640E3E">
              <w:rPr>
                <w:rFonts w:ascii="Arial" w:eastAsia="Calibri" w:hAnsi="Arial" w:cs="Arial"/>
                <w:sz w:val="20"/>
              </w:rPr>
              <w:t>XaMFi</w:t>
            </w:r>
            <w:proofErr w:type="spellEnd"/>
            <w:r w:rsidR="00640E3E">
              <w:rPr>
                <w:rFonts w:ascii="Arial" w:eastAsia="Calibri" w:hAnsi="Arial" w:cs="Arial"/>
                <w:sz w:val="20"/>
              </w:rPr>
              <w:br/>
            </w:r>
            <w:r w:rsidR="00640E3E" w:rsidRPr="00640E3E">
              <w:rPr>
                <w:rFonts w:ascii="Arial" w:eastAsia="Calibri" w:hAnsi="Arial" w:cs="Arial"/>
                <w:b/>
                <w:sz w:val="20"/>
              </w:rPr>
              <w:t>EMIS</w:t>
            </w:r>
            <w:r w:rsidR="00640E3E">
              <w:rPr>
                <w:rFonts w:ascii="Arial" w:eastAsia="Calibri" w:hAnsi="Arial" w:cs="Arial"/>
                <w:b/>
                <w:sz w:val="20"/>
              </w:rPr>
              <w:br/>
            </w:r>
            <w:r w:rsidR="00521156">
              <w:rPr>
                <w:rFonts w:ascii="Arial" w:eastAsia="Calibri" w:hAnsi="Arial" w:cs="Arial"/>
                <w:sz w:val="20"/>
              </w:rPr>
              <w:t>Practice Based Phlebotomy: 41D0</w:t>
            </w:r>
            <w:r w:rsidR="00640E3E">
              <w:rPr>
                <w:rFonts w:ascii="Arial" w:eastAsia="Calibri" w:hAnsi="Arial" w:cs="Arial"/>
                <w:sz w:val="20"/>
              </w:rPr>
              <w:br/>
              <w:t xml:space="preserve">Community Based Phlebotomy: </w:t>
            </w:r>
            <w:r w:rsidR="00521156">
              <w:rPr>
                <w:rFonts w:ascii="Arial" w:eastAsia="Calibri" w:hAnsi="Arial" w:cs="Arial"/>
                <w:sz w:val="20"/>
              </w:rPr>
              <w:t>8Hll (</w:t>
            </w:r>
            <w:r w:rsidR="00652E8A">
              <w:rPr>
                <w:rFonts w:ascii="Arial" w:eastAsia="Calibri" w:hAnsi="Arial" w:cs="Arial"/>
                <w:sz w:val="20"/>
              </w:rPr>
              <w:t xml:space="preserve">2 x </w:t>
            </w:r>
            <w:r w:rsidR="00521156">
              <w:rPr>
                <w:rFonts w:ascii="Arial" w:eastAsia="Calibri" w:hAnsi="Arial" w:cs="Arial"/>
                <w:sz w:val="20"/>
              </w:rPr>
              <w:t>lower case L)</w:t>
            </w:r>
          </w:p>
          <w:p w:rsidR="009575A8" w:rsidRDefault="009575A8" w:rsidP="00FB6256">
            <w:pPr>
              <w:spacing w:after="0"/>
              <w:ind w:left="1310" w:hanging="284"/>
              <w:rPr>
                <w:rFonts w:ascii="Arial" w:eastAsia="Calibri" w:hAnsi="Arial" w:cs="Arial"/>
                <w:sz w:val="20"/>
              </w:rPr>
            </w:pPr>
            <w:r>
              <w:rPr>
                <w:rFonts w:ascii="Arial" w:eastAsia="Calibri" w:hAnsi="Arial" w:cs="Arial"/>
                <w:sz w:val="20"/>
              </w:rPr>
              <w:t xml:space="preserve">-   Offer a phlebotomy appointment </w:t>
            </w:r>
            <w:r w:rsidR="00652E8A">
              <w:rPr>
                <w:rFonts w:ascii="Arial" w:eastAsia="Calibri" w:hAnsi="Arial" w:cs="Arial"/>
                <w:sz w:val="20"/>
              </w:rPr>
              <w:t>on the</w:t>
            </w:r>
            <w:r w:rsidR="007626D2">
              <w:rPr>
                <w:rFonts w:ascii="Arial" w:eastAsia="Calibri" w:hAnsi="Arial" w:cs="Arial"/>
                <w:sz w:val="20"/>
              </w:rPr>
              <w:t xml:space="preserve"> same day (wherever possible) </w:t>
            </w:r>
            <w:r w:rsidR="00652E8A">
              <w:rPr>
                <w:rFonts w:ascii="Arial" w:eastAsia="Calibri" w:hAnsi="Arial" w:cs="Arial"/>
                <w:sz w:val="20"/>
              </w:rPr>
              <w:t>50</w:t>
            </w:r>
            <w:r>
              <w:rPr>
                <w:rFonts w:ascii="Arial" w:eastAsia="Calibri" w:hAnsi="Arial" w:cs="Arial"/>
                <w:sz w:val="20"/>
              </w:rPr>
              <w:t xml:space="preserve">% of the time. </w:t>
            </w:r>
            <w:r w:rsidR="00652E8A">
              <w:rPr>
                <w:rFonts w:ascii="Arial" w:eastAsia="Calibri" w:hAnsi="Arial" w:cs="Arial"/>
                <w:sz w:val="20"/>
              </w:rPr>
              <w:t xml:space="preserve">100% of patients </w:t>
            </w:r>
            <w:r w:rsidR="007626D2">
              <w:rPr>
                <w:rFonts w:ascii="Arial" w:eastAsia="Calibri" w:hAnsi="Arial" w:cs="Arial"/>
                <w:sz w:val="20"/>
              </w:rPr>
              <w:t>should be</w:t>
            </w:r>
            <w:r w:rsidR="00652E8A">
              <w:rPr>
                <w:rFonts w:ascii="Arial" w:eastAsia="Calibri" w:hAnsi="Arial" w:cs="Arial"/>
                <w:sz w:val="20"/>
              </w:rPr>
              <w:t xml:space="preserve"> offered a phlebotomy appointment within 3 working days.  </w:t>
            </w:r>
          </w:p>
          <w:p w:rsidR="009575A8" w:rsidRDefault="009575A8" w:rsidP="00FB6256">
            <w:pPr>
              <w:spacing w:after="0"/>
              <w:ind w:left="1310" w:hanging="284"/>
              <w:rPr>
                <w:rFonts w:ascii="Arial" w:eastAsia="Calibri" w:hAnsi="Arial" w:cs="Arial"/>
                <w:sz w:val="20"/>
              </w:rPr>
            </w:pPr>
            <w:r>
              <w:rPr>
                <w:rFonts w:ascii="Arial" w:eastAsia="Calibri" w:hAnsi="Arial" w:cs="Arial"/>
                <w:sz w:val="20"/>
              </w:rPr>
              <w:t>-   Provide the patient with information re</w:t>
            </w:r>
            <w:r w:rsidR="000938E7">
              <w:rPr>
                <w:rFonts w:ascii="Arial" w:eastAsia="Calibri" w:hAnsi="Arial" w:cs="Arial"/>
                <w:sz w:val="20"/>
              </w:rPr>
              <w:t>garding what their blood test is</w:t>
            </w:r>
            <w:r>
              <w:rPr>
                <w:rFonts w:ascii="Arial" w:eastAsia="Calibri" w:hAnsi="Arial" w:cs="Arial"/>
                <w:sz w:val="20"/>
              </w:rPr>
              <w:t xml:space="preserve"> for, how to get the results of their test, </w:t>
            </w:r>
            <w:r w:rsidR="002C30EA">
              <w:rPr>
                <w:rFonts w:ascii="Arial" w:eastAsia="Calibri" w:hAnsi="Arial" w:cs="Arial"/>
                <w:sz w:val="20"/>
              </w:rPr>
              <w:t xml:space="preserve">how long they have to wait for the results and who to contact in case of queries. </w:t>
            </w:r>
          </w:p>
          <w:p w:rsidR="00997A08" w:rsidRPr="00784CA3" w:rsidRDefault="00997A08" w:rsidP="00FB6256">
            <w:pPr>
              <w:spacing w:after="0"/>
              <w:ind w:left="1500"/>
              <w:rPr>
                <w:rFonts w:ascii="Arial" w:eastAsia="Calibri" w:hAnsi="Arial" w:cs="Arial"/>
                <w:sz w:val="20"/>
              </w:rPr>
            </w:pPr>
            <w:r w:rsidRPr="00784CA3">
              <w:rPr>
                <w:rFonts w:ascii="Arial" w:eastAsia="Calibri" w:hAnsi="Arial" w:cs="Arial"/>
                <w:b/>
                <w:sz w:val="20"/>
              </w:rPr>
              <w:tab/>
            </w:r>
            <w:r w:rsidRPr="00784CA3">
              <w:rPr>
                <w:rFonts w:ascii="Arial" w:eastAsia="Calibri" w:hAnsi="Arial" w:cs="Arial"/>
                <w:b/>
                <w:sz w:val="20"/>
              </w:rPr>
              <w:tab/>
            </w:r>
            <w:r w:rsidRPr="00784CA3">
              <w:rPr>
                <w:rFonts w:ascii="Arial" w:eastAsia="Calibri" w:hAnsi="Arial" w:cs="Arial"/>
                <w:b/>
                <w:sz w:val="20"/>
              </w:rPr>
              <w:tab/>
            </w:r>
          </w:p>
          <w:p w:rsidR="00997A08" w:rsidRPr="00AC36C0" w:rsidRDefault="00997A08" w:rsidP="00FB6256">
            <w:pPr>
              <w:spacing w:after="0"/>
              <w:rPr>
                <w:rFonts w:ascii="Arial" w:eastAsia="Calibri" w:hAnsi="Arial" w:cs="Arial"/>
                <w:b/>
                <w:sz w:val="20"/>
              </w:rPr>
            </w:pPr>
            <w:r>
              <w:rPr>
                <w:rFonts w:ascii="Arial" w:eastAsia="Calibri" w:hAnsi="Arial" w:cs="Arial"/>
                <w:b/>
                <w:sz w:val="20"/>
              </w:rPr>
              <w:t>3.3</w:t>
            </w:r>
            <w:r w:rsidRPr="00AC36C0">
              <w:rPr>
                <w:rFonts w:ascii="Arial" w:eastAsia="Calibri" w:hAnsi="Arial" w:cs="Arial"/>
                <w:b/>
                <w:sz w:val="20"/>
              </w:rPr>
              <w:tab/>
              <w:t>Population covered</w:t>
            </w:r>
          </w:p>
          <w:p w:rsidR="00997A08" w:rsidRPr="00AC36C0" w:rsidRDefault="00997A08" w:rsidP="00FB6256">
            <w:pPr>
              <w:spacing w:after="0"/>
              <w:rPr>
                <w:rFonts w:ascii="Arial" w:eastAsia="Calibri" w:hAnsi="Arial" w:cs="Arial"/>
                <w:sz w:val="20"/>
              </w:rPr>
            </w:pPr>
          </w:p>
          <w:p w:rsidR="00997A08" w:rsidRPr="00AC36C0" w:rsidRDefault="00997A08" w:rsidP="00FB6256">
            <w:pPr>
              <w:spacing w:after="0"/>
              <w:ind w:left="743" w:hanging="743"/>
              <w:rPr>
                <w:rFonts w:ascii="Arial" w:eastAsia="Calibri" w:hAnsi="Arial" w:cs="Arial"/>
                <w:sz w:val="20"/>
              </w:rPr>
            </w:pPr>
            <w:r>
              <w:rPr>
                <w:rFonts w:ascii="Arial" w:eastAsia="Calibri" w:hAnsi="Arial" w:cs="Arial"/>
                <w:sz w:val="20"/>
              </w:rPr>
              <w:t>3.3</w:t>
            </w:r>
            <w:r w:rsidRPr="00AC36C0">
              <w:rPr>
                <w:rFonts w:ascii="Arial" w:eastAsia="Calibri" w:hAnsi="Arial" w:cs="Arial"/>
                <w:sz w:val="20"/>
              </w:rPr>
              <w:t xml:space="preserve">.1     Patients registered with a GP practice that is a member of </w:t>
            </w:r>
            <w:r w:rsidR="000938E7">
              <w:rPr>
                <w:rFonts w:ascii="Arial" w:eastAsia="Calibri" w:hAnsi="Arial" w:cs="Arial"/>
                <w:sz w:val="20"/>
              </w:rPr>
              <w:t xml:space="preserve">North East Lincolnshire </w:t>
            </w:r>
            <w:r>
              <w:rPr>
                <w:rFonts w:ascii="Arial" w:eastAsia="Calibri" w:hAnsi="Arial" w:cs="Arial"/>
                <w:sz w:val="20"/>
              </w:rPr>
              <w:t xml:space="preserve">Clinical Commissioning Group. </w:t>
            </w:r>
          </w:p>
          <w:p w:rsidR="00997A08" w:rsidRPr="00AC36C0" w:rsidRDefault="00997A08" w:rsidP="00FB6256">
            <w:pPr>
              <w:spacing w:after="0"/>
              <w:rPr>
                <w:rFonts w:ascii="Arial" w:eastAsia="Calibri" w:hAnsi="Arial" w:cs="Arial"/>
                <w:sz w:val="20"/>
              </w:rPr>
            </w:pPr>
          </w:p>
          <w:p w:rsidR="00997A08" w:rsidRDefault="00997A08" w:rsidP="00FB6256">
            <w:pPr>
              <w:spacing w:after="0"/>
              <w:rPr>
                <w:rFonts w:ascii="Arial" w:eastAsia="Calibri" w:hAnsi="Arial" w:cs="Arial"/>
                <w:b/>
                <w:sz w:val="20"/>
              </w:rPr>
            </w:pPr>
            <w:r w:rsidRPr="00736773">
              <w:rPr>
                <w:rFonts w:ascii="Arial" w:eastAsia="Calibri" w:hAnsi="Arial" w:cs="Arial"/>
                <w:b/>
                <w:sz w:val="20"/>
              </w:rPr>
              <w:t>3.4</w:t>
            </w:r>
            <w:r w:rsidRPr="00736773">
              <w:rPr>
                <w:rFonts w:ascii="Arial" w:eastAsia="Calibri" w:hAnsi="Arial" w:cs="Arial"/>
                <w:b/>
                <w:sz w:val="20"/>
              </w:rPr>
              <w:tab/>
              <w:t>Any acceptance and exclusion criteria and thresholds</w:t>
            </w:r>
          </w:p>
          <w:p w:rsidR="004D1115" w:rsidRDefault="004D1115" w:rsidP="00FB6256">
            <w:pPr>
              <w:spacing w:after="0"/>
              <w:rPr>
                <w:rFonts w:ascii="Arial" w:eastAsia="Calibri" w:hAnsi="Arial" w:cs="Arial"/>
                <w:b/>
                <w:sz w:val="20"/>
              </w:rPr>
            </w:pPr>
          </w:p>
          <w:p w:rsidR="004D1115" w:rsidRPr="003E3336" w:rsidRDefault="004D1115" w:rsidP="00FB6256">
            <w:pPr>
              <w:spacing w:after="0"/>
              <w:rPr>
                <w:rFonts w:ascii="Arial" w:eastAsia="Calibri" w:hAnsi="Arial" w:cs="Arial"/>
                <w:sz w:val="20"/>
              </w:rPr>
            </w:pPr>
            <w:r w:rsidRPr="003E3336">
              <w:rPr>
                <w:rFonts w:ascii="Arial" w:eastAsia="Calibri" w:hAnsi="Arial" w:cs="Arial"/>
                <w:sz w:val="20"/>
              </w:rPr>
              <w:t xml:space="preserve">3.4.1    </w:t>
            </w:r>
            <w:r w:rsidR="003E3336">
              <w:rPr>
                <w:rFonts w:ascii="Arial" w:eastAsia="Calibri" w:hAnsi="Arial" w:cs="Arial"/>
                <w:sz w:val="20"/>
              </w:rPr>
              <w:t xml:space="preserve"> </w:t>
            </w:r>
            <w:r w:rsidRPr="003E3336">
              <w:rPr>
                <w:rFonts w:ascii="Arial" w:eastAsia="Calibri" w:hAnsi="Arial" w:cs="Arial"/>
                <w:sz w:val="20"/>
                <w:u w:val="single"/>
              </w:rPr>
              <w:t>Inclusions</w:t>
            </w:r>
            <w:r w:rsidR="003E3336" w:rsidRPr="003E3336">
              <w:rPr>
                <w:rFonts w:ascii="Arial" w:eastAsia="Calibri" w:hAnsi="Arial" w:cs="Arial"/>
                <w:sz w:val="20"/>
                <w:u w:val="single"/>
              </w:rPr>
              <w:br/>
            </w:r>
            <w:r w:rsidR="003E3336" w:rsidRPr="003E3336">
              <w:rPr>
                <w:rFonts w:ascii="Arial" w:eastAsia="Calibri" w:hAnsi="Arial" w:cs="Arial"/>
                <w:sz w:val="20"/>
              </w:rPr>
              <w:t xml:space="preserve">             Patients requiring </w:t>
            </w:r>
            <w:r w:rsidR="00F26A59">
              <w:rPr>
                <w:rFonts w:ascii="Arial" w:eastAsia="Calibri" w:hAnsi="Arial" w:cs="Arial"/>
                <w:sz w:val="20"/>
              </w:rPr>
              <w:t xml:space="preserve">practice based </w:t>
            </w:r>
            <w:r w:rsidR="003E3336" w:rsidRPr="003E3336">
              <w:rPr>
                <w:rFonts w:ascii="Arial" w:eastAsia="Calibri" w:hAnsi="Arial" w:cs="Arial"/>
                <w:sz w:val="20"/>
              </w:rPr>
              <w:t>phlebotomy services.</w:t>
            </w:r>
          </w:p>
          <w:p w:rsidR="00736773" w:rsidRDefault="00736773" w:rsidP="00FB6256">
            <w:pPr>
              <w:spacing w:after="0"/>
              <w:ind w:left="743" w:hanging="709"/>
              <w:rPr>
                <w:rFonts w:ascii="Arial" w:eastAsia="Calibri" w:hAnsi="Arial" w:cs="Arial"/>
                <w:b/>
                <w:sz w:val="20"/>
              </w:rPr>
            </w:pPr>
          </w:p>
          <w:p w:rsidR="00A160E9" w:rsidRDefault="004D1115" w:rsidP="00FB6256">
            <w:pPr>
              <w:spacing w:after="0"/>
              <w:ind w:left="743" w:hanging="709"/>
              <w:rPr>
                <w:rFonts w:ascii="Arial" w:eastAsia="Calibri" w:hAnsi="Arial" w:cs="Arial"/>
                <w:sz w:val="20"/>
              </w:rPr>
            </w:pPr>
            <w:r>
              <w:rPr>
                <w:rFonts w:ascii="Arial" w:eastAsia="Calibri" w:hAnsi="Arial" w:cs="Arial"/>
                <w:sz w:val="20"/>
              </w:rPr>
              <w:t>3.4.2</w:t>
            </w:r>
            <w:r w:rsidR="00736773">
              <w:rPr>
                <w:rFonts w:ascii="Arial" w:eastAsia="Calibri" w:hAnsi="Arial" w:cs="Arial"/>
                <w:sz w:val="20"/>
              </w:rPr>
              <w:t xml:space="preserve">    </w:t>
            </w:r>
            <w:r>
              <w:rPr>
                <w:rFonts w:ascii="Arial" w:eastAsia="Calibri" w:hAnsi="Arial" w:cs="Arial"/>
                <w:sz w:val="20"/>
              </w:rPr>
              <w:t xml:space="preserve"> </w:t>
            </w:r>
            <w:r w:rsidR="00736773">
              <w:rPr>
                <w:rFonts w:ascii="Arial" w:eastAsia="Calibri" w:hAnsi="Arial" w:cs="Arial"/>
                <w:sz w:val="20"/>
                <w:u w:val="single"/>
              </w:rPr>
              <w:t>Exclusions</w:t>
            </w:r>
            <w:r w:rsidR="00736773">
              <w:rPr>
                <w:rFonts w:ascii="Arial" w:eastAsia="Calibri" w:hAnsi="Arial" w:cs="Arial"/>
                <w:sz w:val="20"/>
                <w:u w:val="single"/>
              </w:rPr>
              <w:br/>
            </w:r>
            <w:r w:rsidR="00736773">
              <w:rPr>
                <w:rFonts w:ascii="Arial" w:eastAsia="Calibri" w:hAnsi="Arial" w:cs="Arial"/>
                <w:sz w:val="20"/>
              </w:rPr>
              <w:t>Patients on a second</w:t>
            </w:r>
            <w:r w:rsidR="00A22F1E">
              <w:rPr>
                <w:rFonts w:ascii="Arial" w:eastAsia="Calibri" w:hAnsi="Arial" w:cs="Arial"/>
                <w:sz w:val="20"/>
              </w:rPr>
              <w:t xml:space="preserve">ary care 2WW/urgent pathway where a blood test is deemed clinically appropriate on the same day. </w:t>
            </w:r>
            <w:r w:rsidR="00A22F1E">
              <w:rPr>
                <w:rFonts w:ascii="Arial" w:eastAsia="Calibri" w:hAnsi="Arial" w:cs="Arial"/>
                <w:sz w:val="20"/>
              </w:rPr>
              <w:br/>
              <w:t>Patients within a secondary care outpatient clinic where a blood test is deemed clinically appropriate on the same day.</w:t>
            </w:r>
            <w:r w:rsidR="00A22F1E">
              <w:rPr>
                <w:rFonts w:ascii="Arial" w:eastAsia="Calibri" w:hAnsi="Arial" w:cs="Arial"/>
                <w:sz w:val="20"/>
              </w:rPr>
              <w:br/>
              <w:t>Patients under the care of Accident &amp; Emergency.</w:t>
            </w:r>
            <w:r w:rsidR="00A22F1E">
              <w:rPr>
                <w:rFonts w:ascii="Arial" w:eastAsia="Calibri" w:hAnsi="Arial" w:cs="Arial"/>
                <w:sz w:val="20"/>
              </w:rPr>
              <w:br/>
              <w:t xml:space="preserve">Inpatients. </w:t>
            </w:r>
            <w:r w:rsidR="00A22F1E">
              <w:rPr>
                <w:rFonts w:ascii="Arial" w:eastAsia="Calibri" w:hAnsi="Arial" w:cs="Arial"/>
                <w:sz w:val="20"/>
              </w:rPr>
              <w:br/>
            </w:r>
            <w:r w:rsidR="00736773">
              <w:rPr>
                <w:rFonts w:ascii="Arial" w:eastAsia="Calibri" w:hAnsi="Arial" w:cs="Arial"/>
                <w:sz w:val="20"/>
              </w:rPr>
              <w:t xml:space="preserve">Patients from whom </w:t>
            </w:r>
            <w:proofErr w:type="spellStart"/>
            <w:r w:rsidR="00736773">
              <w:rPr>
                <w:rFonts w:ascii="Arial" w:eastAsia="Calibri" w:hAnsi="Arial" w:cs="Arial"/>
                <w:sz w:val="20"/>
              </w:rPr>
              <w:t>venopuncture</w:t>
            </w:r>
            <w:proofErr w:type="spellEnd"/>
            <w:r w:rsidR="00736773">
              <w:rPr>
                <w:rFonts w:ascii="Arial" w:eastAsia="Calibri" w:hAnsi="Arial" w:cs="Arial"/>
                <w:sz w:val="20"/>
              </w:rPr>
              <w:t xml:space="preserve"> is difficult.</w:t>
            </w:r>
            <w:r w:rsidR="00736773">
              <w:rPr>
                <w:rFonts w:ascii="Arial" w:eastAsia="Calibri" w:hAnsi="Arial" w:cs="Arial"/>
                <w:sz w:val="20"/>
              </w:rPr>
              <w:br/>
              <w:t xml:space="preserve">Children aged </w:t>
            </w:r>
            <w:proofErr w:type="gramStart"/>
            <w:r w:rsidR="00736773">
              <w:rPr>
                <w:rFonts w:ascii="Arial" w:eastAsia="Calibri" w:hAnsi="Arial" w:cs="Arial"/>
                <w:sz w:val="20"/>
              </w:rPr>
              <w:t>under</w:t>
            </w:r>
            <w:proofErr w:type="gramEnd"/>
            <w:r w:rsidR="00736773">
              <w:rPr>
                <w:rFonts w:ascii="Arial" w:eastAsia="Calibri" w:hAnsi="Arial" w:cs="Arial"/>
                <w:sz w:val="20"/>
              </w:rPr>
              <w:t xml:space="preserve"> 16 years of age unless the phlebotomist is suitably trained,                                otherwise the child should be referred to the Children’s Community Nursing service.</w:t>
            </w:r>
            <w:r w:rsidR="00F26A59">
              <w:rPr>
                <w:rFonts w:ascii="Arial" w:eastAsia="Calibri" w:hAnsi="Arial" w:cs="Arial"/>
                <w:sz w:val="20"/>
              </w:rPr>
              <w:br/>
            </w:r>
            <w:r w:rsidR="00A22F1E">
              <w:rPr>
                <w:rFonts w:ascii="Arial" w:eastAsia="Calibri" w:hAnsi="Arial" w:cs="Arial"/>
                <w:sz w:val="20"/>
              </w:rPr>
              <w:t xml:space="preserve">Patients who choose to attend secondary care for blood sampling procedure. </w:t>
            </w:r>
            <w:r w:rsidR="00F26A59">
              <w:rPr>
                <w:rFonts w:ascii="Arial" w:eastAsia="Calibri" w:hAnsi="Arial" w:cs="Arial"/>
                <w:sz w:val="20"/>
              </w:rPr>
              <w:t xml:space="preserve"> </w:t>
            </w:r>
            <w:r w:rsidR="00736773">
              <w:rPr>
                <w:rFonts w:ascii="Arial" w:eastAsia="Calibri" w:hAnsi="Arial" w:cs="Arial"/>
                <w:sz w:val="20"/>
              </w:rPr>
              <w:t xml:space="preserve"> </w:t>
            </w:r>
          </w:p>
          <w:p w:rsidR="00663739" w:rsidRDefault="00663739" w:rsidP="00FB6256">
            <w:pPr>
              <w:spacing w:after="0"/>
              <w:ind w:left="743" w:hanging="709"/>
              <w:rPr>
                <w:rFonts w:ascii="Arial" w:eastAsia="Calibri" w:hAnsi="Arial" w:cs="Arial"/>
                <w:sz w:val="20"/>
              </w:rPr>
            </w:pPr>
          </w:p>
          <w:p w:rsidR="00663739" w:rsidRPr="000D4535" w:rsidRDefault="00663739" w:rsidP="00663739">
            <w:pPr>
              <w:spacing w:after="0"/>
              <w:ind w:left="743"/>
              <w:rPr>
                <w:rFonts w:ascii="Arial" w:eastAsia="Calibri" w:hAnsi="Arial" w:cs="Arial"/>
                <w:sz w:val="20"/>
              </w:rPr>
            </w:pPr>
            <w:r w:rsidRPr="000D4535">
              <w:rPr>
                <w:rFonts w:ascii="Arial" w:eastAsia="Calibri" w:hAnsi="Arial" w:cs="Arial"/>
                <w:sz w:val="20"/>
              </w:rPr>
              <w:t xml:space="preserve">In the event that Primary Care send a patient to Hospital for phlebotomy, the patient will be required to take with them request from their GP detailing the reason why </w:t>
            </w:r>
            <w:r w:rsidR="00F15A51" w:rsidRPr="000D4535">
              <w:rPr>
                <w:rFonts w:ascii="Arial" w:eastAsia="Calibri" w:hAnsi="Arial" w:cs="Arial"/>
                <w:sz w:val="20"/>
              </w:rPr>
              <w:t xml:space="preserve">the reason why the phlebotomy was not able to be performed in Primary Care, and why the patient requires the </w:t>
            </w:r>
            <w:r w:rsidR="001F651C">
              <w:rPr>
                <w:rFonts w:ascii="Arial" w:eastAsia="Calibri" w:hAnsi="Arial" w:cs="Arial"/>
                <w:sz w:val="20"/>
              </w:rPr>
              <w:t xml:space="preserve">blood sampling </w:t>
            </w:r>
            <w:r w:rsidR="00F15A51" w:rsidRPr="000D4535">
              <w:rPr>
                <w:rFonts w:ascii="Arial" w:eastAsia="Calibri" w:hAnsi="Arial" w:cs="Arial"/>
                <w:sz w:val="20"/>
              </w:rPr>
              <w:t xml:space="preserve">procedure at </w:t>
            </w:r>
            <w:r w:rsidR="001F651C">
              <w:rPr>
                <w:rFonts w:ascii="Arial" w:eastAsia="Calibri" w:hAnsi="Arial" w:cs="Arial"/>
                <w:sz w:val="20"/>
              </w:rPr>
              <w:t xml:space="preserve">the </w:t>
            </w:r>
            <w:r w:rsidR="00F15A51" w:rsidRPr="000D4535">
              <w:rPr>
                <w:rFonts w:ascii="Arial" w:eastAsia="Calibri" w:hAnsi="Arial" w:cs="Arial"/>
                <w:sz w:val="20"/>
              </w:rPr>
              <w:t>Hospital</w:t>
            </w:r>
            <w:r w:rsidRPr="000D4535">
              <w:rPr>
                <w:rFonts w:ascii="Arial" w:eastAsia="Calibri" w:hAnsi="Arial" w:cs="Arial"/>
                <w:sz w:val="20"/>
              </w:rPr>
              <w:t xml:space="preserve"> </w:t>
            </w:r>
          </w:p>
          <w:p w:rsidR="00997A08" w:rsidRPr="00AC36C0" w:rsidRDefault="00997A08" w:rsidP="00997A08">
            <w:pPr>
              <w:spacing w:after="0"/>
              <w:rPr>
                <w:rFonts w:ascii="Arial" w:eastAsia="Calibri" w:hAnsi="Arial" w:cs="Arial"/>
                <w:sz w:val="20"/>
              </w:rPr>
            </w:pPr>
          </w:p>
          <w:p w:rsidR="00C46DE6" w:rsidRDefault="00997A08" w:rsidP="00FB6256">
            <w:pPr>
              <w:spacing w:after="0"/>
              <w:rPr>
                <w:rFonts w:ascii="Arial" w:eastAsia="MS Mincho" w:hAnsi="Arial" w:cs="Arial"/>
                <w:b/>
                <w:sz w:val="20"/>
                <w:szCs w:val="24"/>
                <w:lang w:eastAsia="en-GB"/>
              </w:rPr>
            </w:pPr>
            <w:r>
              <w:rPr>
                <w:rFonts w:ascii="Arial" w:eastAsia="MS Mincho" w:hAnsi="Arial" w:cs="Arial"/>
                <w:b/>
                <w:sz w:val="20"/>
                <w:szCs w:val="24"/>
                <w:lang w:eastAsia="en-GB"/>
              </w:rPr>
              <w:t>3.5</w:t>
            </w:r>
            <w:r w:rsidRPr="00AC36C0">
              <w:rPr>
                <w:rFonts w:ascii="Arial" w:eastAsia="MS Mincho" w:hAnsi="Arial" w:cs="Arial"/>
                <w:b/>
                <w:sz w:val="20"/>
                <w:szCs w:val="24"/>
                <w:lang w:eastAsia="en-GB"/>
              </w:rPr>
              <w:t xml:space="preserve">     </w:t>
            </w:r>
            <w:r>
              <w:rPr>
                <w:rFonts w:ascii="Arial" w:eastAsia="MS Mincho" w:hAnsi="Arial" w:cs="Arial"/>
                <w:b/>
                <w:sz w:val="20"/>
                <w:szCs w:val="24"/>
                <w:lang w:eastAsia="en-GB"/>
              </w:rPr>
              <w:t xml:space="preserve">  </w:t>
            </w:r>
            <w:r w:rsidRPr="00AC36C0">
              <w:rPr>
                <w:rFonts w:ascii="Arial" w:eastAsia="MS Mincho" w:hAnsi="Arial" w:cs="Arial"/>
                <w:b/>
                <w:sz w:val="20"/>
                <w:szCs w:val="24"/>
                <w:lang w:eastAsia="en-GB"/>
              </w:rPr>
              <w:t xml:space="preserve"> Interdependence with other services/providers</w:t>
            </w:r>
          </w:p>
          <w:p w:rsidR="00C46DE6" w:rsidRDefault="00C46DE6" w:rsidP="00FB6256">
            <w:pPr>
              <w:spacing w:after="0"/>
              <w:rPr>
                <w:rFonts w:ascii="Arial" w:eastAsia="MS Mincho" w:hAnsi="Arial" w:cs="Arial"/>
                <w:b/>
                <w:sz w:val="20"/>
                <w:szCs w:val="24"/>
                <w:lang w:eastAsia="en-GB"/>
              </w:rPr>
            </w:pPr>
          </w:p>
          <w:p w:rsidR="00C46DE6" w:rsidRPr="00C46DE6" w:rsidRDefault="00C46DE6" w:rsidP="00FB6256">
            <w:pPr>
              <w:spacing w:after="0"/>
              <w:ind w:left="743" w:hanging="709"/>
              <w:rPr>
                <w:rFonts w:ascii="Arial" w:eastAsia="MS Mincho" w:hAnsi="Arial" w:cs="Arial"/>
                <w:b/>
                <w:sz w:val="20"/>
                <w:szCs w:val="24"/>
                <w:lang w:eastAsia="en-GB"/>
              </w:rPr>
            </w:pPr>
            <w:r w:rsidRPr="00C46DE6">
              <w:rPr>
                <w:rFonts w:ascii="Arial" w:eastAsia="MS Mincho" w:hAnsi="Arial" w:cs="Arial"/>
                <w:sz w:val="20"/>
                <w:szCs w:val="24"/>
                <w:lang w:eastAsia="en-GB"/>
              </w:rPr>
              <w:t>3.5.1</w:t>
            </w:r>
            <w:r>
              <w:rPr>
                <w:rFonts w:ascii="Arial" w:eastAsia="MS Mincho" w:hAnsi="Arial" w:cs="Arial"/>
                <w:sz w:val="20"/>
                <w:szCs w:val="24"/>
                <w:lang w:eastAsia="en-GB"/>
              </w:rPr>
              <w:t xml:space="preserve">     </w:t>
            </w:r>
            <w:r w:rsidRPr="00C46DE6">
              <w:rPr>
                <w:rFonts w:ascii="Arial" w:hAnsi="Arial" w:cs="Arial"/>
                <w:sz w:val="20"/>
              </w:rPr>
              <w:t xml:space="preserve">Seamless </w:t>
            </w:r>
            <w:r>
              <w:rPr>
                <w:rFonts w:ascii="Arial" w:hAnsi="Arial" w:cs="Arial"/>
                <w:sz w:val="20"/>
              </w:rPr>
              <w:t>s</w:t>
            </w:r>
            <w:r w:rsidRPr="006A6742">
              <w:rPr>
                <w:rFonts w:ascii="Arial" w:hAnsi="Arial" w:cs="Arial"/>
                <w:sz w:val="20"/>
              </w:rPr>
              <w:t>ervice delivery is dependent on building and maintaining effective working relationships</w:t>
            </w:r>
            <w:r>
              <w:rPr>
                <w:rFonts w:ascii="Arial" w:hAnsi="Arial" w:cs="Arial"/>
                <w:sz w:val="20"/>
              </w:rPr>
              <w:t xml:space="preserve"> including the development of robust communication and liaison mechanisms. S</w:t>
            </w:r>
            <w:r w:rsidRPr="006A6742">
              <w:rPr>
                <w:rFonts w:ascii="Arial" w:hAnsi="Arial" w:cs="Arial"/>
                <w:sz w:val="20"/>
              </w:rPr>
              <w:t xml:space="preserve">taff </w:t>
            </w:r>
            <w:r>
              <w:rPr>
                <w:rFonts w:ascii="Arial" w:hAnsi="Arial" w:cs="Arial"/>
                <w:sz w:val="20"/>
              </w:rPr>
              <w:t xml:space="preserve">are therefore required </w:t>
            </w:r>
            <w:r w:rsidRPr="006A6742">
              <w:rPr>
                <w:rFonts w:ascii="Arial" w:hAnsi="Arial" w:cs="Arial"/>
                <w:sz w:val="20"/>
              </w:rPr>
              <w:t xml:space="preserve">to </w:t>
            </w:r>
            <w:r>
              <w:rPr>
                <w:rFonts w:ascii="Arial" w:hAnsi="Arial" w:cs="Arial"/>
                <w:sz w:val="20"/>
              </w:rPr>
              <w:t xml:space="preserve">establish and maintain effective key stakeholder relationships by </w:t>
            </w:r>
            <w:r w:rsidRPr="006A6742">
              <w:rPr>
                <w:rFonts w:ascii="Arial" w:hAnsi="Arial" w:cs="Arial"/>
                <w:sz w:val="20"/>
              </w:rPr>
              <w:t>work</w:t>
            </w:r>
            <w:r>
              <w:rPr>
                <w:rFonts w:ascii="Arial" w:hAnsi="Arial" w:cs="Arial"/>
                <w:sz w:val="20"/>
              </w:rPr>
              <w:t>ing</w:t>
            </w:r>
            <w:r w:rsidRPr="006A6742">
              <w:rPr>
                <w:rFonts w:ascii="Arial" w:hAnsi="Arial" w:cs="Arial"/>
                <w:sz w:val="20"/>
              </w:rPr>
              <w:t xml:space="preserve"> closely with the following key services/staff groups:</w:t>
            </w:r>
          </w:p>
          <w:p w:rsidR="00997A08" w:rsidRPr="00AC36C0" w:rsidRDefault="00997A08" w:rsidP="00FB6256">
            <w:pPr>
              <w:spacing w:after="0"/>
              <w:ind w:left="743"/>
              <w:rPr>
                <w:rFonts w:ascii="Arial" w:eastAsia="Calibri" w:hAnsi="Arial" w:cs="Arial"/>
                <w:sz w:val="20"/>
              </w:rPr>
            </w:pPr>
            <w:r>
              <w:rPr>
                <w:rFonts w:ascii="Arial" w:eastAsia="Calibri" w:hAnsi="Arial" w:cs="Arial"/>
                <w:sz w:val="20"/>
              </w:rPr>
              <w:br/>
            </w:r>
            <w:r w:rsidRPr="00AC36C0">
              <w:rPr>
                <w:rFonts w:ascii="Arial" w:eastAsia="Calibri" w:hAnsi="Arial" w:cs="Arial"/>
                <w:sz w:val="20"/>
              </w:rPr>
              <w:t>North Lincolnshire and Goole NHS Foundation Trust</w:t>
            </w:r>
          </w:p>
          <w:p w:rsidR="00997A08" w:rsidRDefault="002C30EA" w:rsidP="00FB6256">
            <w:pPr>
              <w:spacing w:after="0"/>
              <w:ind w:left="743"/>
              <w:rPr>
                <w:rFonts w:ascii="Arial" w:eastAsia="Calibri" w:hAnsi="Arial" w:cs="Arial"/>
                <w:sz w:val="20"/>
              </w:rPr>
            </w:pPr>
            <w:r>
              <w:rPr>
                <w:rFonts w:ascii="Arial" w:eastAsia="Calibri" w:hAnsi="Arial" w:cs="Arial"/>
                <w:sz w:val="20"/>
              </w:rPr>
              <w:t>All North East Lincolnshire CCG Practices</w:t>
            </w:r>
          </w:p>
          <w:p w:rsidR="00736773" w:rsidRDefault="00736773" w:rsidP="00FB6256">
            <w:pPr>
              <w:spacing w:after="0"/>
              <w:ind w:left="743"/>
              <w:rPr>
                <w:rFonts w:ascii="Arial" w:eastAsia="Calibri" w:hAnsi="Arial" w:cs="Arial"/>
                <w:sz w:val="20"/>
              </w:rPr>
            </w:pPr>
            <w:r>
              <w:rPr>
                <w:rFonts w:ascii="Arial" w:eastAsia="Calibri" w:hAnsi="Arial" w:cs="Arial"/>
                <w:sz w:val="20"/>
              </w:rPr>
              <w:t>Children’s Community Nursing Service</w:t>
            </w:r>
          </w:p>
          <w:p w:rsidR="00FB6256" w:rsidRPr="00AC36C0" w:rsidRDefault="00FB6256" w:rsidP="00FB6256">
            <w:pPr>
              <w:spacing w:after="0"/>
              <w:ind w:left="743"/>
              <w:rPr>
                <w:rFonts w:ascii="Arial" w:eastAsia="Calibri" w:hAnsi="Arial" w:cs="Arial"/>
                <w:sz w:val="20"/>
              </w:rPr>
            </w:pPr>
            <w:r>
              <w:rPr>
                <w:rFonts w:ascii="Arial" w:eastAsia="Calibri" w:hAnsi="Arial" w:cs="Arial"/>
                <w:sz w:val="20"/>
              </w:rPr>
              <w:t>District/Community Nursing Teams</w:t>
            </w:r>
          </w:p>
          <w:p w:rsidR="00EA4E65" w:rsidRDefault="00A12E37" w:rsidP="00EA4E65">
            <w:pPr>
              <w:spacing w:after="0" w:line="240" w:lineRule="auto"/>
              <w:jc w:val="both"/>
              <w:rPr>
                <w:rFonts w:ascii="Arial" w:hAnsi="Arial" w:cs="Arial"/>
                <w:b/>
                <w:sz w:val="20"/>
                <w:szCs w:val="20"/>
              </w:rPr>
            </w:pPr>
            <w:r>
              <w:rPr>
                <w:rFonts w:ascii="Arial" w:eastAsia="MS Mincho" w:hAnsi="Arial" w:cs="Arial"/>
                <w:sz w:val="20"/>
              </w:rPr>
              <w:br/>
            </w:r>
          </w:p>
          <w:p w:rsidR="00EA4E65" w:rsidRDefault="00EA4E65" w:rsidP="003C3597">
            <w:pPr>
              <w:spacing w:after="0" w:line="240" w:lineRule="auto"/>
              <w:jc w:val="both"/>
              <w:rPr>
                <w:rFonts w:ascii="Arial" w:hAnsi="Arial" w:cs="Arial"/>
                <w:b/>
                <w:sz w:val="20"/>
                <w:szCs w:val="20"/>
              </w:rPr>
            </w:pPr>
            <w:r w:rsidRPr="005549C3">
              <w:rPr>
                <w:rFonts w:ascii="Arial" w:hAnsi="Arial" w:cs="Arial"/>
                <w:b/>
                <w:sz w:val="20"/>
                <w:szCs w:val="20"/>
              </w:rPr>
              <w:t xml:space="preserve">3.6       </w:t>
            </w:r>
            <w:r>
              <w:rPr>
                <w:rFonts w:ascii="Arial" w:hAnsi="Arial" w:cs="Arial"/>
                <w:b/>
                <w:sz w:val="20"/>
                <w:szCs w:val="20"/>
              </w:rPr>
              <w:t xml:space="preserve"> </w:t>
            </w:r>
            <w:r w:rsidRPr="005549C3">
              <w:rPr>
                <w:rFonts w:ascii="Arial" w:hAnsi="Arial" w:cs="Arial"/>
                <w:b/>
                <w:sz w:val="20"/>
                <w:szCs w:val="20"/>
              </w:rPr>
              <w:t xml:space="preserve">Equality &amp; Diversity </w:t>
            </w:r>
          </w:p>
          <w:p w:rsidR="003C3597" w:rsidRDefault="003C3597" w:rsidP="003C3597">
            <w:pPr>
              <w:spacing w:after="0" w:line="240" w:lineRule="auto"/>
              <w:jc w:val="both"/>
              <w:rPr>
                <w:rFonts w:ascii="Arial" w:hAnsi="Arial" w:cs="Arial"/>
                <w:b/>
                <w:sz w:val="20"/>
                <w:szCs w:val="20"/>
              </w:rPr>
            </w:pPr>
          </w:p>
          <w:p w:rsidR="00EA4E65" w:rsidRPr="005549C3" w:rsidRDefault="00EA4E65" w:rsidP="00EA4E65">
            <w:pPr>
              <w:spacing w:line="240" w:lineRule="auto"/>
              <w:ind w:left="743" w:hanging="709"/>
              <w:jc w:val="both"/>
              <w:rPr>
                <w:rFonts w:ascii="Arial" w:hAnsi="Arial" w:cs="Arial"/>
                <w:sz w:val="20"/>
                <w:szCs w:val="20"/>
              </w:rPr>
            </w:pPr>
            <w:r>
              <w:rPr>
                <w:rFonts w:ascii="Arial" w:hAnsi="Arial" w:cs="Arial"/>
                <w:sz w:val="20"/>
                <w:szCs w:val="20"/>
              </w:rPr>
              <w:t xml:space="preserve">3.6.1   </w:t>
            </w:r>
            <w:r w:rsidRPr="005549C3">
              <w:rPr>
                <w:rFonts w:ascii="Arial" w:hAnsi="Arial" w:cs="Arial"/>
                <w:sz w:val="20"/>
                <w:szCs w:val="20"/>
              </w:rPr>
              <w:t xml:space="preserve">The service will adhere to all national and local legislation and practice guidance with reference to equality and diversity. </w:t>
            </w:r>
          </w:p>
          <w:p w:rsidR="00EA4E65" w:rsidRPr="005549C3" w:rsidRDefault="00EA4E65" w:rsidP="00EA4E65">
            <w:pPr>
              <w:spacing w:line="240" w:lineRule="auto"/>
              <w:ind w:left="743"/>
              <w:rPr>
                <w:rFonts w:ascii="Arial" w:hAnsi="Arial" w:cs="Arial"/>
                <w:sz w:val="20"/>
                <w:szCs w:val="20"/>
              </w:rPr>
            </w:pPr>
            <w:r w:rsidRPr="005549C3">
              <w:rPr>
                <w:rFonts w:ascii="Arial" w:hAnsi="Arial" w:cs="Arial"/>
                <w:sz w:val="20"/>
                <w:szCs w:val="20"/>
              </w:rPr>
              <w:t xml:space="preserve">This includes ensuring the service complies with the Public Sector Equality Duty </w:t>
            </w:r>
            <w:r>
              <w:rPr>
                <w:rFonts w:ascii="Arial" w:hAnsi="Arial" w:cs="Arial"/>
                <w:sz w:val="20"/>
                <w:szCs w:val="20"/>
              </w:rPr>
              <w:t xml:space="preserve">– more information available at: </w:t>
            </w:r>
            <w:r>
              <w:rPr>
                <w:rFonts w:ascii="Arial" w:hAnsi="Arial" w:cs="Arial"/>
                <w:sz w:val="20"/>
                <w:szCs w:val="20"/>
              </w:rPr>
              <w:br/>
            </w:r>
            <w:hyperlink r:id="rId9" w:history="1">
              <w:r w:rsidRPr="005549C3">
                <w:rPr>
                  <w:rStyle w:val="Hyperlink"/>
                  <w:rFonts w:ascii="Arial" w:hAnsi="Arial" w:cs="Arial"/>
                  <w:sz w:val="20"/>
                  <w:szCs w:val="20"/>
                </w:rPr>
                <w:t>http://www.equalityhumanrights.com/advice-and-guidance/public-sector-equality-duty/introduction-to-the-equality-duty/</w:t>
              </w:r>
            </w:hyperlink>
          </w:p>
          <w:p w:rsidR="00EA4E65" w:rsidRPr="005549C3" w:rsidRDefault="00EA4E65" w:rsidP="00EA4E65">
            <w:pPr>
              <w:spacing w:line="240" w:lineRule="auto"/>
              <w:ind w:left="743"/>
              <w:jc w:val="both"/>
              <w:rPr>
                <w:rFonts w:ascii="Arial" w:hAnsi="Arial" w:cs="Arial"/>
                <w:sz w:val="20"/>
                <w:szCs w:val="20"/>
              </w:rPr>
            </w:pPr>
            <w:r w:rsidRPr="005549C3">
              <w:rPr>
                <w:rFonts w:ascii="Arial" w:hAnsi="Arial" w:cs="Arial"/>
                <w:sz w:val="20"/>
                <w:szCs w:val="20"/>
              </w:rPr>
              <w:t xml:space="preserve">In particular the provider must ensure they have paid due regard to the Equality Act 2010 and can evidence, that they meet the needs </w:t>
            </w:r>
            <w:proofErr w:type="gramStart"/>
            <w:r w:rsidRPr="005549C3">
              <w:rPr>
                <w:rFonts w:ascii="Arial" w:hAnsi="Arial" w:cs="Arial"/>
                <w:sz w:val="20"/>
                <w:szCs w:val="20"/>
              </w:rPr>
              <w:t>of</w:t>
            </w:r>
            <w:proofErr w:type="gramEnd"/>
            <w:r w:rsidRPr="005549C3">
              <w:rPr>
                <w:rFonts w:ascii="Arial" w:hAnsi="Arial" w:cs="Arial"/>
                <w:sz w:val="20"/>
                <w:szCs w:val="20"/>
              </w:rPr>
              <w:t xml:space="preserve"> those covered by the requirements of the protected characteristics.</w:t>
            </w:r>
          </w:p>
          <w:p w:rsidR="00EA4E65" w:rsidRPr="00672B95" w:rsidRDefault="00EA4E65" w:rsidP="00EA4E65">
            <w:pPr>
              <w:spacing w:line="240" w:lineRule="auto"/>
              <w:ind w:left="743"/>
              <w:jc w:val="both"/>
              <w:rPr>
                <w:rFonts w:ascii="Arial" w:hAnsi="Arial" w:cs="Arial"/>
                <w:sz w:val="20"/>
                <w:szCs w:val="20"/>
              </w:rPr>
            </w:pPr>
            <w:r w:rsidRPr="005549C3">
              <w:rPr>
                <w:rFonts w:ascii="Arial" w:hAnsi="Arial" w:cs="Arial"/>
                <w:sz w:val="20"/>
                <w:szCs w:val="20"/>
              </w:rPr>
              <w:t xml:space="preserve">Further information about the Equality Act 2010 and key supporting documents for reference can be accessed at </w:t>
            </w:r>
            <w:hyperlink r:id="rId10" w:tooltip="http://www.equalityhumanrights.com/" w:history="1">
              <w:r w:rsidRPr="005549C3">
                <w:rPr>
                  <w:rStyle w:val="Hyperlink"/>
                  <w:rFonts w:ascii="Arial" w:hAnsi="Arial" w:cs="Arial"/>
                  <w:b/>
                  <w:bCs/>
                  <w:sz w:val="20"/>
                  <w:szCs w:val="20"/>
                </w:rPr>
                <w:t>www.equalityhumanrights.com</w:t>
              </w:r>
            </w:hyperlink>
            <w:r w:rsidRPr="005549C3">
              <w:rPr>
                <w:rFonts w:ascii="Arial" w:hAnsi="Arial" w:cs="Arial"/>
                <w:b/>
                <w:bCs/>
                <w:sz w:val="20"/>
                <w:szCs w:val="20"/>
                <w:u w:val="single"/>
              </w:rPr>
              <w:t xml:space="preserve"> </w:t>
            </w:r>
          </w:p>
          <w:p w:rsidR="003C3597" w:rsidRDefault="00EA4E65" w:rsidP="003C3597">
            <w:pPr>
              <w:tabs>
                <w:tab w:val="num" w:pos="1800"/>
              </w:tabs>
              <w:spacing w:after="0" w:line="240" w:lineRule="auto"/>
              <w:ind w:left="743"/>
              <w:contextualSpacing/>
              <w:jc w:val="both"/>
              <w:rPr>
                <w:rFonts w:ascii="Arial" w:hAnsi="Arial" w:cs="Arial"/>
                <w:spacing w:val="-2"/>
                <w:sz w:val="20"/>
                <w:szCs w:val="20"/>
              </w:rPr>
            </w:pPr>
            <w:r w:rsidRPr="005549C3">
              <w:rPr>
                <w:rFonts w:ascii="Arial" w:hAnsi="Arial" w:cs="Arial"/>
                <w:spacing w:val="-2"/>
                <w:sz w:val="20"/>
                <w:szCs w:val="20"/>
              </w:rPr>
              <w:t>The provider must ensure that there is an equality impact assessment completed for the service agreed with commissioners prior to contract commencement to ensure equity of access, support and outcomes; and where there are barriers to put in place an action plan to resolve them.</w:t>
            </w:r>
          </w:p>
          <w:p w:rsidR="00FB6256" w:rsidRPr="003C3597" w:rsidRDefault="00FB6256" w:rsidP="003C3597">
            <w:pPr>
              <w:tabs>
                <w:tab w:val="num" w:pos="1800"/>
              </w:tabs>
              <w:spacing w:after="0" w:line="240" w:lineRule="auto"/>
              <w:ind w:left="743"/>
              <w:contextualSpacing/>
              <w:jc w:val="both"/>
              <w:rPr>
                <w:rFonts w:ascii="Arial" w:hAnsi="Arial" w:cs="Arial"/>
                <w:sz w:val="20"/>
              </w:rPr>
            </w:pPr>
          </w:p>
          <w:p w:rsidR="00EB717E" w:rsidRPr="00EB717E" w:rsidRDefault="00EB717E" w:rsidP="00EB717E">
            <w:pPr>
              <w:spacing w:after="0" w:line="240" w:lineRule="auto"/>
              <w:rPr>
                <w:rFonts w:ascii="Arial" w:eastAsia="MS Mincho" w:hAnsi="Arial" w:cs="Arial"/>
                <w:sz w:val="20"/>
                <w:szCs w:val="20"/>
                <w:lang w:val="en-US" w:eastAsia="ja-JP"/>
              </w:rPr>
            </w:pPr>
          </w:p>
        </w:tc>
      </w:tr>
      <w:tr w:rsidR="00EB717E" w:rsidRPr="00EB717E" w:rsidTr="00FB5573">
        <w:tc>
          <w:tcPr>
            <w:tcW w:w="8414" w:type="dxa"/>
            <w:shd w:val="clear" w:color="auto" w:fill="595959"/>
          </w:tcPr>
          <w:p w:rsidR="00EB717E" w:rsidRPr="00EB717E" w:rsidRDefault="00763257" w:rsidP="00EB717E">
            <w:pPr>
              <w:spacing w:after="0"/>
              <w:rPr>
                <w:rFonts w:ascii="Arial" w:eastAsia="MS Mincho" w:hAnsi="Arial" w:cs="Arial"/>
                <w:b/>
                <w:color w:val="F79646"/>
                <w:sz w:val="24"/>
                <w:szCs w:val="20"/>
                <w:lang w:val="en-US" w:eastAsia="ja-JP"/>
              </w:rPr>
            </w:pPr>
            <w:r>
              <w:rPr>
                <w:rFonts w:ascii="Arial" w:eastAsia="MS Mincho" w:hAnsi="Arial" w:cs="Arial"/>
                <w:b/>
                <w:color w:val="F79646"/>
                <w:sz w:val="24"/>
                <w:szCs w:val="20"/>
                <w:lang w:val="en-US" w:eastAsia="ja-JP"/>
              </w:rPr>
              <w:lastRenderedPageBreak/>
              <w:t>4.       Applicable Service Standards</w:t>
            </w:r>
          </w:p>
        </w:tc>
      </w:tr>
      <w:tr w:rsidR="00EB717E" w:rsidRPr="00EB717E" w:rsidTr="00FB5573">
        <w:tc>
          <w:tcPr>
            <w:tcW w:w="8414" w:type="dxa"/>
            <w:shd w:val="clear" w:color="auto" w:fill="auto"/>
          </w:tcPr>
          <w:p w:rsidR="00D727F6" w:rsidRPr="00D727F6" w:rsidRDefault="00D727F6" w:rsidP="00D727F6">
            <w:pPr>
              <w:spacing w:after="0" w:line="240" w:lineRule="auto"/>
              <w:ind w:left="394"/>
              <w:rPr>
                <w:rFonts w:ascii="Arial" w:eastAsia="MS Mincho" w:hAnsi="Arial" w:cs="Arial"/>
                <w:b/>
                <w:sz w:val="20"/>
                <w:szCs w:val="20"/>
                <w:lang w:val="en-US" w:eastAsia="ja-JP"/>
              </w:rPr>
            </w:pPr>
          </w:p>
          <w:p w:rsidR="00A12E37" w:rsidRPr="00AC36C0" w:rsidRDefault="00A12E37" w:rsidP="00A12E37">
            <w:pPr>
              <w:spacing w:after="0"/>
              <w:rPr>
                <w:rFonts w:ascii="Arial" w:eastAsia="Calibri" w:hAnsi="Arial" w:cs="Arial"/>
                <w:b/>
                <w:sz w:val="20"/>
              </w:rPr>
            </w:pPr>
            <w:r w:rsidRPr="00AC36C0">
              <w:rPr>
                <w:rFonts w:ascii="Arial" w:eastAsia="Calibri" w:hAnsi="Arial" w:cs="Arial"/>
                <w:b/>
                <w:sz w:val="20"/>
              </w:rPr>
              <w:t>4.1</w:t>
            </w:r>
            <w:r w:rsidRPr="00AC36C0">
              <w:rPr>
                <w:rFonts w:ascii="Arial" w:eastAsia="Calibri" w:hAnsi="Arial" w:cs="Arial"/>
                <w:b/>
                <w:sz w:val="20"/>
              </w:rPr>
              <w:tab/>
              <w:t>Applicable national standards (</w:t>
            </w:r>
            <w:proofErr w:type="spellStart"/>
            <w:r w:rsidRPr="00AC36C0">
              <w:rPr>
                <w:rFonts w:ascii="Arial" w:eastAsia="Calibri" w:hAnsi="Arial" w:cs="Arial"/>
                <w:b/>
                <w:sz w:val="20"/>
              </w:rPr>
              <w:t>eg</w:t>
            </w:r>
            <w:proofErr w:type="spellEnd"/>
            <w:r w:rsidRPr="00AC36C0">
              <w:rPr>
                <w:rFonts w:ascii="Arial" w:eastAsia="Calibri" w:hAnsi="Arial" w:cs="Arial"/>
                <w:b/>
                <w:sz w:val="20"/>
              </w:rPr>
              <w:t xml:space="preserve"> NICE)</w:t>
            </w:r>
          </w:p>
          <w:p w:rsidR="00A12E37" w:rsidRPr="00AC36C0" w:rsidRDefault="00A12E37" w:rsidP="00A12E37">
            <w:pPr>
              <w:spacing w:after="0"/>
              <w:rPr>
                <w:rFonts w:ascii="Arial" w:eastAsia="Calibri" w:hAnsi="Arial" w:cs="Arial"/>
                <w:sz w:val="20"/>
              </w:rPr>
            </w:pPr>
          </w:p>
          <w:p w:rsidR="00A12E37" w:rsidRPr="00AC36C0" w:rsidRDefault="00A12E37" w:rsidP="00A12E37">
            <w:pPr>
              <w:spacing w:after="0"/>
              <w:ind w:left="743" w:hanging="743"/>
              <w:rPr>
                <w:rFonts w:ascii="Arial" w:eastAsia="Calibri" w:hAnsi="Arial" w:cs="Arial"/>
                <w:sz w:val="20"/>
              </w:rPr>
            </w:pPr>
            <w:r w:rsidRPr="00AC36C0">
              <w:rPr>
                <w:rFonts w:ascii="Arial" w:eastAsia="Calibri" w:hAnsi="Arial" w:cs="Arial"/>
                <w:sz w:val="20"/>
              </w:rPr>
              <w:t>4.1,1     As stated in paragraphs SC2 (Regulatory Requirements) and SC3 (Service Standards) the Provider is required to adhere to all national standards as issued from time to time by any relevant Regulatory and Statutory bodies including guidance issued by appropriate competent bodies (</w:t>
            </w:r>
            <w:proofErr w:type="spellStart"/>
            <w:r w:rsidRPr="00AC36C0">
              <w:rPr>
                <w:rFonts w:ascii="Arial" w:eastAsia="Calibri" w:hAnsi="Arial" w:cs="Arial"/>
                <w:sz w:val="20"/>
              </w:rPr>
              <w:t>eg</w:t>
            </w:r>
            <w:proofErr w:type="spellEnd"/>
            <w:r w:rsidRPr="00AC36C0">
              <w:rPr>
                <w:rFonts w:ascii="Arial" w:eastAsia="Calibri" w:hAnsi="Arial" w:cs="Arial"/>
                <w:sz w:val="20"/>
              </w:rPr>
              <w:t xml:space="preserve"> Royal Colleges). </w:t>
            </w:r>
          </w:p>
          <w:p w:rsidR="00A12E37" w:rsidRPr="00AC36C0" w:rsidRDefault="00A12E37" w:rsidP="00A12E37">
            <w:pPr>
              <w:spacing w:after="0"/>
              <w:rPr>
                <w:rFonts w:ascii="Arial" w:eastAsia="Calibri" w:hAnsi="Arial" w:cs="Arial"/>
                <w:sz w:val="20"/>
              </w:rPr>
            </w:pPr>
          </w:p>
          <w:p w:rsidR="00A12E37" w:rsidRDefault="00A12E37" w:rsidP="00A12E37">
            <w:pPr>
              <w:spacing w:after="0"/>
              <w:rPr>
                <w:rFonts w:ascii="Arial" w:eastAsia="Calibri" w:hAnsi="Arial" w:cs="Arial"/>
                <w:b/>
                <w:sz w:val="20"/>
              </w:rPr>
            </w:pPr>
            <w:r w:rsidRPr="00AC36C0">
              <w:rPr>
                <w:rFonts w:ascii="Arial" w:eastAsia="Calibri" w:hAnsi="Arial" w:cs="Arial"/>
                <w:b/>
                <w:sz w:val="20"/>
              </w:rPr>
              <w:t>4.2</w:t>
            </w:r>
            <w:r w:rsidRPr="00AC36C0">
              <w:rPr>
                <w:rFonts w:ascii="Arial" w:eastAsia="Calibri" w:hAnsi="Arial" w:cs="Arial"/>
                <w:b/>
                <w:sz w:val="20"/>
              </w:rPr>
              <w:tab/>
              <w:t>Applicable local standards</w:t>
            </w:r>
          </w:p>
          <w:p w:rsidR="00A12E37" w:rsidRPr="00AC36C0" w:rsidRDefault="00A12E37" w:rsidP="00A12E37">
            <w:pPr>
              <w:spacing w:after="0"/>
              <w:rPr>
                <w:rFonts w:ascii="Arial" w:eastAsia="Calibri" w:hAnsi="Arial" w:cs="Arial"/>
                <w:b/>
                <w:sz w:val="20"/>
              </w:rPr>
            </w:pPr>
          </w:p>
          <w:p w:rsidR="00EB717E" w:rsidRPr="00EB717E" w:rsidRDefault="00A12E37" w:rsidP="00A12E37">
            <w:pPr>
              <w:spacing w:after="0" w:line="240" w:lineRule="auto"/>
              <w:ind w:left="743" w:hanging="743"/>
              <w:rPr>
                <w:rFonts w:ascii="Arial" w:eastAsia="MS Mincho" w:hAnsi="Arial" w:cs="Arial"/>
                <w:sz w:val="20"/>
                <w:szCs w:val="20"/>
                <w:lang w:val="en-US" w:eastAsia="ja-JP"/>
              </w:rPr>
            </w:pPr>
            <w:r w:rsidRPr="00AC36C0">
              <w:rPr>
                <w:rFonts w:ascii="Arial" w:eastAsia="Calibri" w:hAnsi="Arial" w:cs="Arial"/>
                <w:sz w:val="20"/>
              </w:rPr>
              <w:t>4.2.1      There are no local quality standards in addition to the requirements pertaining to facilities and staff competencies and as set in the General Conditions</w:t>
            </w:r>
            <w:r>
              <w:rPr>
                <w:rFonts w:ascii="Arial" w:eastAsia="Calibri" w:hAnsi="Arial" w:cs="Arial"/>
                <w:sz w:val="20"/>
              </w:rPr>
              <w:t>.</w:t>
            </w:r>
            <w:r>
              <w:rPr>
                <w:rFonts w:ascii="Arial" w:eastAsia="Calibri" w:hAnsi="Arial" w:cs="Arial"/>
                <w:sz w:val="20"/>
              </w:rPr>
              <w:br/>
            </w:r>
          </w:p>
        </w:tc>
      </w:tr>
      <w:tr w:rsidR="00EB717E" w:rsidRPr="00EB717E" w:rsidTr="00FB5573">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5.</w:t>
            </w:r>
            <w:r w:rsidRPr="00EB717E">
              <w:rPr>
                <w:rFonts w:ascii="Arial" w:eastAsia="MS Mincho" w:hAnsi="Arial" w:cs="Arial"/>
                <w:b/>
                <w:color w:val="F79646"/>
                <w:sz w:val="24"/>
                <w:szCs w:val="20"/>
                <w:lang w:val="en-US" w:eastAsia="ja-JP"/>
              </w:rPr>
              <w:tab/>
              <w:t>Applicable quality requirements and CQUIN goals</w:t>
            </w:r>
          </w:p>
        </w:tc>
      </w:tr>
      <w:tr w:rsidR="00790BB7" w:rsidRPr="00EB717E" w:rsidTr="00FB5573">
        <w:tc>
          <w:tcPr>
            <w:tcW w:w="8414" w:type="dxa"/>
            <w:shd w:val="clear" w:color="auto" w:fill="auto"/>
          </w:tcPr>
          <w:p w:rsidR="00790BB7" w:rsidRPr="00AC36C0" w:rsidRDefault="00790BB7" w:rsidP="00D3023F">
            <w:pPr>
              <w:spacing w:after="0"/>
              <w:rPr>
                <w:rFonts w:ascii="Arial" w:eastAsia="Calibri" w:hAnsi="Arial" w:cs="Arial"/>
                <w:sz w:val="20"/>
              </w:rPr>
            </w:pPr>
          </w:p>
          <w:p w:rsidR="00790BB7" w:rsidRPr="00AC36C0" w:rsidRDefault="00790BB7" w:rsidP="00790BB7">
            <w:pPr>
              <w:numPr>
                <w:ilvl w:val="1"/>
                <w:numId w:val="3"/>
              </w:numPr>
              <w:spacing w:after="0" w:line="240" w:lineRule="auto"/>
              <w:ind w:left="743" w:hanging="743"/>
              <w:rPr>
                <w:rFonts w:ascii="Arial" w:eastAsia="MS Mincho" w:hAnsi="Arial" w:cs="Arial"/>
                <w:b/>
                <w:sz w:val="20"/>
                <w:lang w:eastAsia="en-GB"/>
              </w:rPr>
            </w:pPr>
            <w:r w:rsidRPr="00AC36C0">
              <w:rPr>
                <w:rFonts w:ascii="Arial" w:eastAsia="MS Mincho" w:hAnsi="Arial" w:cs="Arial"/>
                <w:b/>
                <w:sz w:val="20"/>
                <w:lang w:eastAsia="en-GB"/>
              </w:rPr>
              <w:t>Applicable quality requirements (See Schedule 4 Parts A-D)</w:t>
            </w:r>
          </w:p>
          <w:p w:rsidR="00790BB7" w:rsidRPr="00AC36C0" w:rsidRDefault="00790BB7" w:rsidP="00FB6256">
            <w:pPr>
              <w:rPr>
                <w:rFonts w:ascii="Arial" w:eastAsia="Calibri" w:hAnsi="Arial" w:cs="Arial"/>
                <w:b/>
                <w:sz w:val="20"/>
              </w:rPr>
            </w:pPr>
          </w:p>
          <w:p w:rsidR="00A8024E" w:rsidRPr="00A8024E" w:rsidRDefault="00790BB7" w:rsidP="00FB6256">
            <w:pPr>
              <w:numPr>
                <w:ilvl w:val="2"/>
                <w:numId w:val="3"/>
              </w:numPr>
              <w:spacing w:after="0"/>
              <w:rPr>
                <w:rFonts w:ascii="Arial" w:eastAsia="MS Mincho" w:hAnsi="Arial" w:cs="Arial"/>
                <w:sz w:val="20"/>
                <w:szCs w:val="20"/>
                <w:lang w:eastAsia="en-GB"/>
              </w:rPr>
            </w:pPr>
            <w:r w:rsidRPr="00A8024E">
              <w:rPr>
                <w:rFonts w:ascii="Arial" w:eastAsia="MS Mincho" w:hAnsi="Arial" w:cs="Arial"/>
                <w:sz w:val="20"/>
                <w:szCs w:val="20"/>
                <w:lang w:eastAsia="en-GB"/>
              </w:rPr>
              <w:t>The Provider will develop and follow a standard operating policy for provision of this service</w:t>
            </w:r>
            <w:r w:rsidR="00BA6DF5" w:rsidRPr="00A8024E">
              <w:rPr>
                <w:rFonts w:ascii="Arial" w:eastAsia="MS Mincho" w:hAnsi="Arial" w:cs="Arial"/>
                <w:sz w:val="20"/>
                <w:szCs w:val="20"/>
                <w:lang w:eastAsia="en-GB"/>
              </w:rPr>
              <w:t>.</w:t>
            </w:r>
            <w:r w:rsidR="00A8024E" w:rsidRPr="00A8024E">
              <w:rPr>
                <w:rFonts w:ascii="Arial" w:eastAsia="MS Mincho" w:hAnsi="Arial" w:cs="Arial"/>
                <w:sz w:val="20"/>
                <w:szCs w:val="20"/>
                <w:lang w:eastAsia="en-GB"/>
              </w:rPr>
              <w:br/>
            </w:r>
          </w:p>
          <w:p w:rsidR="00790BB7" w:rsidRPr="00A8024E" w:rsidRDefault="00A8024E" w:rsidP="00FB6256">
            <w:pPr>
              <w:numPr>
                <w:ilvl w:val="2"/>
                <w:numId w:val="3"/>
              </w:numPr>
              <w:spacing w:after="0"/>
              <w:rPr>
                <w:rFonts w:ascii="Arial" w:eastAsia="MS Mincho" w:hAnsi="Arial" w:cs="Arial"/>
                <w:sz w:val="20"/>
                <w:szCs w:val="20"/>
                <w:lang w:eastAsia="en-GB"/>
              </w:rPr>
            </w:pPr>
            <w:r w:rsidRPr="00A07A8D">
              <w:rPr>
                <w:rFonts w:ascii="Arial" w:hAnsi="Arial" w:cs="Arial"/>
                <w:sz w:val="20"/>
                <w:szCs w:val="20"/>
              </w:rPr>
              <w:t xml:space="preserve">The CCG will work with the acute providers to identify when patients are </w:t>
            </w:r>
            <w:r w:rsidR="0036620F" w:rsidRPr="00A07A8D">
              <w:rPr>
                <w:rFonts w:ascii="Arial" w:hAnsi="Arial" w:cs="Arial"/>
                <w:sz w:val="20"/>
                <w:szCs w:val="20"/>
              </w:rPr>
              <w:t>accessing their phlebotomy services</w:t>
            </w:r>
            <w:r w:rsidRPr="00A07A8D">
              <w:rPr>
                <w:rFonts w:ascii="Arial" w:hAnsi="Arial" w:cs="Arial"/>
                <w:sz w:val="20"/>
                <w:szCs w:val="20"/>
              </w:rPr>
              <w:t xml:space="preserve">. In the event of this, any </w:t>
            </w:r>
            <w:r w:rsidR="00FA1AA6" w:rsidRPr="00A07A8D">
              <w:rPr>
                <w:rFonts w:ascii="Arial" w:hAnsi="Arial" w:cs="Arial"/>
                <w:sz w:val="20"/>
                <w:szCs w:val="20"/>
              </w:rPr>
              <w:t xml:space="preserve">inappropriate </w:t>
            </w:r>
            <w:r w:rsidR="0036620F" w:rsidRPr="00A07A8D">
              <w:rPr>
                <w:rFonts w:ascii="Arial" w:hAnsi="Arial" w:cs="Arial"/>
                <w:sz w:val="20"/>
                <w:szCs w:val="20"/>
              </w:rPr>
              <w:t xml:space="preserve">acute </w:t>
            </w:r>
            <w:r w:rsidRPr="00A07A8D">
              <w:rPr>
                <w:rFonts w:ascii="Arial" w:hAnsi="Arial" w:cs="Arial"/>
                <w:sz w:val="20"/>
                <w:szCs w:val="20"/>
              </w:rPr>
              <w:t>charge relating to this service will be charged against the Practices enhanced services payment for reimbursement.</w:t>
            </w:r>
            <w:r w:rsidRPr="00A8024E">
              <w:rPr>
                <w:rFonts w:ascii="Arial" w:hAnsi="Arial" w:cs="Arial"/>
                <w:sz w:val="20"/>
                <w:szCs w:val="20"/>
              </w:rPr>
              <w:t xml:space="preserve"> </w:t>
            </w:r>
            <w:r w:rsidR="00BA6DF5" w:rsidRPr="00A8024E">
              <w:rPr>
                <w:rFonts w:ascii="Arial" w:eastAsia="MS Mincho" w:hAnsi="Arial" w:cs="Arial"/>
                <w:sz w:val="20"/>
                <w:szCs w:val="20"/>
                <w:lang w:eastAsia="en-GB"/>
              </w:rPr>
              <w:br/>
            </w:r>
          </w:p>
          <w:p w:rsidR="00BA6DF5" w:rsidRPr="00A8024E" w:rsidRDefault="00BA6DF5" w:rsidP="00FB6256">
            <w:pPr>
              <w:numPr>
                <w:ilvl w:val="2"/>
                <w:numId w:val="3"/>
              </w:numPr>
              <w:spacing w:after="0"/>
              <w:rPr>
                <w:rFonts w:ascii="Arial" w:eastAsia="MS Mincho" w:hAnsi="Arial" w:cs="Arial"/>
                <w:sz w:val="20"/>
                <w:szCs w:val="20"/>
                <w:lang w:eastAsia="en-GB"/>
              </w:rPr>
            </w:pPr>
            <w:r w:rsidRPr="00A8024E">
              <w:rPr>
                <w:rFonts w:ascii="Arial" w:eastAsia="MS Mincho" w:hAnsi="Arial" w:cs="Arial"/>
                <w:sz w:val="20"/>
                <w:szCs w:val="20"/>
                <w:lang w:eastAsia="en-GB"/>
              </w:rPr>
              <w:t>The Provider will inform the CCG on an annual basis (no later than the 31</w:t>
            </w:r>
            <w:r w:rsidRPr="00A8024E">
              <w:rPr>
                <w:rFonts w:ascii="Arial" w:eastAsia="MS Mincho" w:hAnsi="Arial" w:cs="Arial"/>
                <w:sz w:val="20"/>
                <w:szCs w:val="20"/>
                <w:vertAlign w:val="superscript"/>
                <w:lang w:eastAsia="en-GB"/>
              </w:rPr>
              <w:t>st</w:t>
            </w:r>
            <w:r w:rsidRPr="00A8024E">
              <w:rPr>
                <w:rFonts w:ascii="Arial" w:eastAsia="MS Mincho" w:hAnsi="Arial" w:cs="Arial"/>
                <w:sz w:val="20"/>
                <w:szCs w:val="20"/>
                <w:lang w:eastAsia="en-GB"/>
              </w:rPr>
              <w:t xml:space="preserve"> January) of their intention to continue delivery of the service for the following financial year.  </w:t>
            </w:r>
          </w:p>
          <w:p w:rsidR="00790BB7" w:rsidRPr="00AC36C0" w:rsidRDefault="00790BB7" w:rsidP="001E136B">
            <w:pPr>
              <w:spacing w:after="0" w:line="240" w:lineRule="auto"/>
              <w:ind w:left="743"/>
              <w:rPr>
                <w:rFonts w:ascii="Arial" w:eastAsia="Calibri" w:hAnsi="Arial" w:cs="Arial"/>
                <w:sz w:val="20"/>
              </w:rPr>
            </w:pPr>
          </w:p>
        </w:tc>
      </w:tr>
      <w:tr w:rsidR="00790BB7" w:rsidRPr="00EB717E" w:rsidTr="00FB5573">
        <w:tc>
          <w:tcPr>
            <w:tcW w:w="8414" w:type="dxa"/>
            <w:shd w:val="clear" w:color="auto" w:fill="595959"/>
          </w:tcPr>
          <w:p w:rsidR="00790BB7" w:rsidRPr="00EB717E" w:rsidRDefault="00790BB7" w:rsidP="00102E9D">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6.</w:t>
            </w:r>
            <w:r w:rsidRPr="00EB717E">
              <w:rPr>
                <w:rFonts w:ascii="Arial" w:eastAsia="MS Mincho" w:hAnsi="Arial" w:cs="Arial"/>
                <w:b/>
                <w:color w:val="F79646"/>
                <w:sz w:val="24"/>
                <w:szCs w:val="20"/>
                <w:lang w:val="en-US" w:eastAsia="ja-JP"/>
              </w:rPr>
              <w:tab/>
            </w:r>
            <w:r w:rsidR="00102E9D">
              <w:rPr>
                <w:rFonts w:ascii="Arial" w:eastAsia="MS Mincho" w:hAnsi="Arial" w:cs="Arial"/>
                <w:b/>
                <w:color w:val="F79646"/>
                <w:sz w:val="24"/>
                <w:szCs w:val="20"/>
                <w:lang w:val="en-US" w:eastAsia="ja-JP"/>
              </w:rPr>
              <w:t>Corporate and Clinical Governance</w:t>
            </w:r>
          </w:p>
        </w:tc>
      </w:tr>
      <w:tr w:rsidR="00790BB7" w:rsidRPr="00EB717E" w:rsidTr="00FB5573">
        <w:tc>
          <w:tcPr>
            <w:tcW w:w="8414" w:type="dxa"/>
            <w:shd w:val="clear" w:color="auto" w:fill="auto"/>
          </w:tcPr>
          <w:p w:rsidR="00790BB7" w:rsidRPr="00EB717E" w:rsidRDefault="00790BB7" w:rsidP="00EB717E">
            <w:pPr>
              <w:spacing w:after="0" w:line="240" w:lineRule="auto"/>
              <w:rPr>
                <w:rFonts w:ascii="Arial" w:eastAsia="MS Mincho" w:hAnsi="Arial" w:cs="Arial"/>
                <w:sz w:val="20"/>
                <w:szCs w:val="20"/>
                <w:lang w:val="en-US" w:eastAsia="ja-JP"/>
              </w:rPr>
            </w:pPr>
          </w:p>
          <w:p w:rsidR="00102E9D" w:rsidRDefault="00102E9D" w:rsidP="00FB6256">
            <w:pPr>
              <w:spacing w:after="0"/>
              <w:rPr>
                <w:rFonts w:ascii="Arial" w:hAnsi="Arial" w:cs="Arial"/>
                <w:b/>
                <w:color w:val="009966"/>
                <w:sz w:val="20"/>
              </w:rPr>
            </w:pPr>
            <w:r>
              <w:rPr>
                <w:rFonts w:ascii="Arial" w:hAnsi="Arial" w:cs="Arial"/>
                <w:b/>
                <w:sz w:val="20"/>
              </w:rPr>
              <w:lastRenderedPageBreak/>
              <w:t>6.1</w:t>
            </w:r>
            <w:r>
              <w:rPr>
                <w:rFonts w:ascii="Arial" w:hAnsi="Arial" w:cs="Arial"/>
                <w:b/>
                <w:sz w:val="20"/>
              </w:rPr>
              <w:tab/>
              <w:t>Responsibilities of the provider</w:t>
            </w:r>
          </w:p>
          <w:p w:rsidR="00102E9D" w:rsidRDefault="00102E9D" w:rsidP="00FB6256">
            <w:pPr>
              <w:spacing w:after="0"/>
              <w:rPr>
                <w:rFonts w:ascii="Arial" w:hAnsi="Arial" w:cs="Arial"/>
                <w:b/>
                <w:color w:val="009966"/>
                <w:sz w:val="20"/>
              </w:rPr>
            </w:pPr>
          </w:p>
          <w:p w:rsidR="00102E9D" w:rsidRDefault="00102E9D" w:rsidP="00FB6256">
            <w:pPr>
              <w:ind w:firstLine="743"/>
              <w:jc w:val="both"/>
              <w:rPr>
                <w:rFonts w:ascii="Arial" w:hAnsi="Arial" w:cs="Arial"/>
                <w:sz w:val="20"/>
              </w:rPr>
            </w:pPr>
            <w:r>
              <w:rPr>
                <w:rFonts w:ascii="Arial" w:hAnsi="Arial" w:cs="Arial"/>
                <w:sz w:val="20"/>
              </w:rPr>
              <w:t>The Provider will:</w:t>
            </w:r>
          </w:p>
          <w:p w:rsidR="00102E9D"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Apply the principles of sound clinical and corporate governance;</w:t>
            </w:r>
          </w:p>
          <w:p w:rsidR="00102E9D" w:rsidRPr="00A71C64"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 xml:space="preserve">Actively support all employees to promote openness, honesty, probity, accountability, </w:t>
            </w:r>
            <w:r w:rsidRPr="00A71C64">
              <w:rPr>
                <w:rFonts w:ascii="Arial" w:hAnsi="Arial" w:cs="Arial"/>
                <w:sz w:val="20"/>
              </w:rPr>
              <w:t>and the economic, efficient and effective use of resources;</w:t>
            </w:r>
          </w:p>
          <w:p w:rsidR="00102E9D"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Undertake systematic risk assessment and risk management to meet requirements monitored by Care Quality Commission;</w:t>
            </w:r>
          </w:p>
          <w:p w:rsidR="00102E9D"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 xml:space="preserve">Ensure financial management achieves economy, effectiveness, efficiency, probity </w:t>
            </w:r>
          </w:p>
          <w:p w:rsidR="00102E9D" w:rsidRDefault="00102E9D" w:rsidP="00FB6256">
            <w:pPr>
              <w:ind w:left="1146"/>
              <w:contextualSpacing/>
              <w:jc w:val="both"/>
              <w:rPr>
                <w:rFonts w:ascii="Arial" w:hAnsi="Arial" w:cs="Arial"/>
                <w:sz w:val="20"/>
              </w:rPr>
            </w:pPr>
            <w:r>
              <w:rPr>
                <w:rFonts w:ascii="Arial" w:hAnsi="Arial" w:cs="Arial"/>
                <w:sz w:val="20"/>
              </w:rPr>
              <w:t>and accountability in the use of resources;</w:t>
            </w:r>
          </w:p>
          <w:p w:rsidR="00102E9D"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Challenge discrimination, promote equality and respect human rights;</w:t>
            </w:r>
          </w:p>
          <w:p w:rsidR="00102E9D"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Develop, implement and adhere to quality standards and protocols;</w:t>
            </w:r>
          </w:p>
          <w:p w:rsidR="00102E9D" w:rsidRDefault="00102E9D" w:rsidP="00FB6256">
            <w:pPr>
              <w:numPr>
                <w:ilvl w:val="0"/>
                <w:numId w:val="11"/>
              </w:numPr>
              <w:spacing w:after="0"/>
              <w:ind w:left="1146" w:hanging="426"/>
              <w:contextualSpacing/>
              <w:jc w:val="both"/>
              <w:rPr>
                <w:rFonts w:ascii="Arial" w:hAnsi="Arial" w:cs="Arial"/>
                <w:sz w:val="20"/>
              </w:rPr>
            </w:pPr>
            <w:r>
              <w:rPr>
                <w:rFonts w:ascii="Arial" w:hAnsi="Arial" w:cs="Arial"/>
                <w:sz w:val="20"/>
              </w:rPr>
              <w:t>Ensure all interventions carried out will be shared with the patients’ registered GP as well as with the patient and/or carer.</w:t>
            </w:r>
          </w:p>
          <w:p w:rsidR="00102E9D" w:rsidRDefault="00102E9D" w:rsidP="00FB6256">
            <w:pPr>
              <w:spacing w:after="0"/>
              <w:ind w:left="426"/>
              <w:contextualSpacing/>
              <w:jc w:val="both"/>
              <w:rPr>
                <w:rFonts w:ascii="Arial" w:hAnsi="Arial" w:cs="Arial"/>
                <w:sz w:val="20"/>
              </w:rPr>
            </w:pPr>
          </w:p>
          <w:p w:rsidR="00102E9D" w:rsidRDefault="00102E9D" w:rsidP="00FB6256">
            <w:pPr>
              <w:ind w:left="743"/>
              <w:jc w:val="both"/>
              <w:rPr>
                <w:rFonts w:ascii="Arial" w:hAnsi="Arial" w:cs="Arial"/>
                <w:sz w:val="20"/>
              </w:rPr>
            </w:pPr>
            <w:r>
              <w:rPr>
                <w:rFonts w:ascii="Arial" w:hAnsi="Arial" w:cs="Arial"/>
                <w:sz w:val="20"/>
              </w:rPr>
              <w:t>The Provider will ensure that:</w:t>
            </w:r>
          </w:p>
          <w:p w:rsidR="00102E9D" w:rsidRDefault="00102E9D" w:rsidP="00FB6256">
            <w:pPr>
              <w:numPr>
                <w:ilvl w:val="0"/>
                <w:numId w:val="12"/>
              </w:numPr>
              <w:spacing w:after="0"/>
              <w:ind w:left="1146" w:hanging="426"/>
              <w:contextualSpacing/>
              <w:jc w:val="both"/>
              <w:rPr>
                <w:rFonts w:ascii="Arial" w:hAnsi="Arial" w:cs="Arial"/>
                <w:sz w:val="20"/>
              </w:rPr>
            </w:pPr>
            <w:r>
              <w:rPr>
                <w:rFonts w:ascii="Arial" w:hAnsi="Arial" w:cs="Arial"/>
                <w:sz w:val="20"/>
              </w:rPr>
              <w:t>Clinical care and treatment are carried out under supervision and leadership, at appropriately regular intervals, expected to be at least quarterly;</w:t>
            </w:r>
          </w:p>
          <w:p w:rsidR="00102E9D" w:rsidRPr="00A71C64" w:rsidRDefault="00102E9D" w:rsidP="00FB6256">
            <w:pPr>
              <w:numPr>
                <w:ilvl w:val="0"/>
                <w:numId w:val="12"/>
              </w:numPr>
              <w:spacing w:after="0"/>
              <w:ind w:left="1146" w:hanging="426"/>
              <w:contextualSpacing/>
              <w:jc w:val="both"/>
              <w:rPr>
                <w:rFonts w:ascii="Arial" w:hAnsi="Arial" w:cs="Arial"/>
                <w:sz w:val="20"/>
              </w:rPr>
            </w:pPr>
            <w:r>
              <w:rPr>
                <w:rFonts w:ascii="Arial" w:hAnsi="Arial" w:cs="Arial"/>
                <w:sz w:val="20"/>
              </w:rPr>
              <w:t>Clinicians continuously update skills and techniques relevant to their clinical work and</w:t>
            </w:r>
            <w:r w:rsidR="00A71C64">
              <w:rPr>
                <w:rFonts w:ascii="Arial" w:hAnsi="Arial" w:cs="Arial"/>
                <w:sz w:val="20"/>
              </w:rPr>
              <w:t xml:space="preserve"> </w:t>
            </w:r>
            <w:r w:rsidRPr="00A71C64">
              <w:rPr>
                <w:rFonts w:ascii="Arial" w:hAnsi="Arial" w:cs="Arial"/>
                <w:sz w:val="20"/>
              </w:rPr>
              <w:t>maintain relevant professional registration;</w:t>
            </w:r>
          </w:p>
          <w:p w:rsidR="00102E9D" w:rsidRDefault="00102E9D" w:rsidP="00FB6256">
            <w:pPr>
              <w:numPr>
                <w:ilvl w:val="0"/>
                <w:numId w:val="12"/>
              </w:numPr>
              <w:spacing w:after="0"/>
              <w:ind w:left="1146" w:hanging="426"/>
              <w:contextualSpacing/>
              <w:jc w:val="both"/>
              <w:rPr>
                <w:rFonts w:ascii="Arial" w:hAnsi="Arial" w:cs="Arial"/>
                <w:sz w:val="20"/>
              </w:rPr>
            </w:pPr>
            <w:r>
              <w:rPr>
                <w:rFonts w:ascii="Arial" w:hAnsi="Arial" w:cs="Arial"/>
                <w:sz w:val="20"/>
              </w:rPr>
              <w:t xml:space="preserve">Clinicians participate in regular clinical audit and reviews of clinical services, with relevant partners (this could be GP Practice, Intermediate Tier, </w:t>
            </w:r>
            <w:proofErr w:type="gramStart"/>
            <w:r>
              <w:rPr>
                <w:rFonts w:ascii="Arial" w:hAnsi="Arial" w:cs="Arial"/>
                <w:sz w:val="20"/>
              </w:rPr>
              <w:t>Secondary</w:t>
            </w:r>
            <w:proofErr w:type="gramEnd"/>
            <w:r>
              <w:rPr>
                <w:rFonts w:ascii="Arial" w:hAnsi="Arial" w:cs="Arial"/>
                <w:sz w:val="20"/>
              </w:rPr>
              <w:t xml:space="preserve"> Care).</w:t>
            </w:r>
          </w:p>
          <w:p w:rsidR="00102E9D" w:rsidRDefault="00102E9D" w:rsidP="00FB6256">
            <w:pPr>
              <w:spacing w:after="0"/>
              <w:rPr>
                <w:rFonts w:ascii="Arial" w:hAnsi="Arial" w:cs="Arial"/>
                <w:color w:val="009966"/>
                <w:sz w:val="20"/>
              </w:rPr>
            </w:pPr>
          </w:p>
          <w:p w:rsidR="00102E9D" w:rsidRDefault="00102E9D" w:rsidP="00FB6256">
            <w:pPr>
              <w:spacing w:after="0"/>
              <w:rPr>
                <w:rFonts w:ascii="Arial" w:hAnsi="Arial" w:cs="Arial"/>
                <w:b/>
                <w:sz w:val="20"/>
              </w:rPr>
            </w:pPr>
            <w:r>
              <w:rPr>
                <w:rFonts w:ascii="Arial" w:hAnsi="Arial" w:cs="Arial"/>
                <w:sz w:val="20"/>
              </w:rPr>
              <w:t xml:space="preserve"> </w:t>
            </w:r>
            <w:r>
              <w:rPr>
                <w:rFonts w:ascii="Arial" w:hAnsi="Arial" w:cs="Arial"/>
                <w:b/>
                <w:sz w:val="20"/>
              </w:rPr>
              <w:t>6.2</w:t>
            </w:r>
            <w:r>
              <w:rPr>
                <w:rFonts w:ascii="Arial" w:hAnsi="Arial" w:cs="Arial"/>
                <w:b/>
                <w:sz w:val="20"/>
              </w:rPr>
              <w:tab/>
              <w:t>Safeguarding Adults</w:t>
            </w:r>
          </w:p>
          <w:p w:rsidR="00102E9D" w:rsidRDefault="00102E9D" w:rsidP="00FB6256">
            <w:pPr>
              <w:spacing w:after="0"/>
              <w:rPr>
                <w:rFonts w:ascii="Arial" w:hAnsi="Arial" w:cs="Arial"/>
                <w:sz w:val="20"/>
              </w:rPr>
            </w:pPr>
          </w:p>
          <w:p w:rsidR="00102E9D" w:rsidRDefault="00102E9D" w:rsidP="00FB6256">
            <w:pPr>
              <w:ind w:left="743"/>
              <w:jc w:val="both"/>
              <w:rPr>
                <w:rFonts w:ascii="Arial" w:hAnsi="Arial" w:cs="Arial"/>
                <w:sz w:val="20"/>
              </w:rPr>
            </w:pPr>
            <w:r>
              <w:rPr>
                <w:rFonts w:ascii="Arial" w:hAnsi="Arial" w:cs="Arial"/>
                <w:sz w:val="20"/>
              </w:rPr>
              <w:t>The provider has a duty to work within the Adult Safeguarding Policy and Procedure Framework, until statutory legislation is in place.</w:t>
            </w:r>
          </w:p>
          <w:p w:rsidR="00102E9D" w:rsidRPr="0028051F" w:rsidRDefault="00102E9D" w:rsidP="00FB6256">
            <w:pPr>
              <w:rPr>
                <w:rFonts w:ascii="Arial" w:hAnsi="Arial" w:cs="Arial"/>
                <w:b/>
                <w:bCs/>
                <w:sz w:val="20"/>
                <w:szCs w:val="20"/>
              </w:rPr>
            </w:pPr>
            <w:r>
              <w:rPr>
                <w:rFonts w:ascii="Arial" w:hAnsi="Arial" w:cs="Arial"/>
                <w:b/>
                <w:sz w:val="20"/>
              </w:rPr>
              <w:t>6.3</w:t>
            </w:r>
            <w:r>
              <w:rPr>
                <w:rFonts w:ascii="Arial" w:hAnsi="Arial" w:cs="Arial"/>
                <w:b/>
                <w:sz w:val="20"/>
              </w:rPr>
              <w:tab/>
            </w:r>
            <w:r>
              <w:rPr>
                <w:rFonts w:ascii="Arial" w:hAnsi="Arial" w:cs="Arial"/>
                <w:b/>
                <w:bCs/>
                <w:sz w:val="20"/>
                <w:szCs w:val="20"/>
              </w:rPr>
              <w:t>Safeguarding and Promoting Children's and Vulnerable Adult’s W</w:t>
            </w:r>
            <w:r w:rsidRPr="0028051F">
              <w:rPr>
                <w:rFonts w:ascii="Arial" w:hAnsi="Arial" w:cs="Arial"/>
                <w:b/>
                <w:bCs/>
                <w:sz w:val="20"/>
                <w:szCs w:val="20"/>
              </w:rPr>
              <w:t>elfare</w:t>
            </w:r>
          </w:p>
          <w:p w:rsidR="00102E9D" w:rsidRPr="0028051F" w:rsidRDefault="00102E9D" w:rsidP="00FB6256">
            <w:pPr>
              <w:ind w:left="743"/>
              <w:jc w:val="both"/>
              <w:rPr>
                <w:rFonts w:ascii="Arial" w:hAnsi="Arial" w:cs="Arial"/>
                <w:sz w:val="20"/>
                <w:szCs w:val="20"/>
              </w:rPr>
            </w:pPr>
            <w:r w:rsidRPr="0028051F">
              <w:rPr>
                <w:rFonts w:ascii="Arial" w:hAnsi="Arial" w:cs="Arial"/>
                <w:sz w:val="20"/>
                <w:szCs w:val="20"/>
              </w:rPr>
              <w:t>All staff working with children, young people and vulnerable adults will have been recruited in line with North East Lincolnshire Local Safeguarding Board Standards for Safer Recruitment 2013 and will be subject to an enhanced DBS check, in line with DBS Guidance 2014. Staff will have quarterly (as a minimum) safeguarding supervision.</w:t>
            </w:r>
          </w:p>
          <w:p w:rsidR="00102E9D" w:rsidRPr="0028051F" w:rsidRDefault="00102E9D" w:rsidP="00FB6256">
            <w:pPr>
              <w:ind w:left="743"/>
              <w:jc w:val="both"/>
              <w:rPr>
                <w:rFonts w:ascii="Arial" w:hAnsi="Arial" w:cs="Arial"/>
                <w:sz w:val="20"/>
                <w:szCs w:val="20"/>
              </w:rPr>
            </w:pPr>
            <w:r w:rsidRPr="0028051F">
              <w:rPr>
                <w:rFonts w:ascii="Arial" w:hAnsi="Arial" w:cs="Arial"/>
                <w:sz w:val="20"/>
                <w:szCs w:val="20"/>
              </w:rPr>
              <w:t>The provider or any subcontractor will comply with the</w:t>
            </w:r>
            <w:r w:rsidRPr="0028051F">
              <w:rPr>
                <w:rFonts w:ascii="Arial" w:hAnsi="Arial" w:cs="Arial"/>
                <w:caps/>
              </w:rPr>
              <w:t xml:space="preserve"> </w:t>
            </w:r>
            <w:r w:rsidRPr="0028051F">
              <w:rPr>
                <w:rFonts w:ascii="Arial" w:hAnsi="Arial" w:cs="Arial"/>
                <w:sz w:val="20"/>
                <w:szCs w:val="20"/>
              </w:rPr>
              <w:t>North East Lincolnshire Contractual Service Agreements for Safeguarding Children (appended to this specification), and the local inter-agency local safeguarding children’s board. In addition, it is expected that their internal procedures comply with section 11 duties and LSCB multi agency guidelines and procedures, and the Safeguarding Adults Procedures and the Practice guidelines. These guidelines relate to the protection of all vulnerable adults residing within North East Lincolnshire. The broad definition of a "vulnerable adult", is a person (aged 18+) who is or may be in need of community care services by reason of mental or other disability , age or illness; and who is or may  be unable to take care of him/herself, or unable to protect him or herself against significant harm or exploitation.</w:t>
            </w:r>
          </w:p>
          <w:p w:rsidR="00102E9D" w:rsidRPr="0028051F" w:rsidRDefault="00102E9D" w:rsidP="00FB6256">
            <w:pPr>
              <w:ind w:left="743"/>
              <w:jc w:val="both"/>
              <w:rPr>
                <w:rFonts w:ascii="Arial" w:hAnsi="Arial" w:cs="Arial"/>
                <w:sz w:val="20"/>
                <w:szCs w:val="20"/>
              </w:rPr>
            </w:pPr>
            <w:r w:rsidRPr="0028051F">
              <w:rPr>
                <w:rFonts w:ascii="Arial" w:hAnsi="Arial" w:cs="Arial"/>
                <w:sz w:val="20"/>
                <w:szCs w:val="20"/>
              </w:rPr>
              <w:t xml:space="preserve">Organisations will need to have a child protection policy and vulnerable adult </w:t>
            </w:r>
            <w:r w:rsidRPr="0028051F">
              <w:rPr>
                <w:rFonts w:ascii="Arial" w:hAnsi="Arial" w:cs="Arial"/>
                <w:sz w:val="20"/>
                <w:szCs w:val="20"/>
              </w:rPr>
              <w:lastRenderedPageBreak/>
              <w:t>protection policy in place that informs staff and/or volunteers about the requirements regarding safeguarding children, you</w:t>
            </w:r>
            <w:r>
              <w:rPr>
                <w:rFonts w:ascii="Arial" w:hAnsi="Arial" w:cs="Arial"/>
                <w:sz w:val="20"/>
                <w:szCs w:val="20"/>
              </w:rPr>
              <w:t>ng people and vulnerable adults. Included within this is the expectation</w:t>
            </w:r>
            <w:r w:rsidRPr="0028051F">
              <w:rPr>
                <w:rFonts w:ascii="Arial" w:hAnsi="Arial" w:cs="Arial"/>
                <w:sz w:val="20"/>
                <w:szCs w:val="20"/>
              </w:rPr>
              <w:t xml:space="preserve"> regarding their behaviour and conduct,  which needs to be in line with their professional code of conduct, as </w:t>
            </w:r>
            <w:r>
              <w:rPr>
                <w:rFonts w:ascii="Arial" w:hAnsi="Arial" w:cs="Arial"/>
                <w:sz w:val="20"/>
                <w:szCs w:val="20"/>
              </w:rPr>
              <w:t>well as LSCB and LSAB guidance detailing</w:t>
            </w:r>
            <w:r w:rsidRPr="0028051F">
              <w:rPr>
                <w:rFonts w:ascii="Arial" w:hAnsi="Arial" w:cs="Arial"/>
                <w:sz w:val="20"/>
                <w:szCs w:val="20"/>
              </w:rPr>
              <w:t xml:space="preserve"> what to do if they are worried about a child, young person or vulnerable adult. Organisations will operate in line with Managing Allegations against people who work with children procedures, </w:t>
            </w:r>
            <w:r>
              <w:rPr>
                <w:rFonts w:ascii="Arial" w:hAnsi="Arial" w:cs="Arial"/>
                <w:sz w:val="20"/>
                <w:szCs w:val="20"/>
              </w:rPr>
              <w:t>and whistle blowing procedures.</w:t>
            </w:r>
          </w:p>
          <w:p w:rsidR="00102E9D" w:rsidRPr="0028051F" w:rsidRDefault="00102E9D" w:rsidP="00FB6256">
            <w:pPr>
              <w:ind w:left="743"/>
              <w:jc w:val="both"/>
              <w:rPr>
                <w:rFonts w:ascii="Arial" w:hAnsi="Arial" w:cs="Arial"/>
                <w:sz w:val="20"/>
                <w:szCs w:val="20"/>
              </w:rPr>
            </w:pPr>
            <w:r w:rsidRPr="0028051F">
              <w:rPr>
                <w:rFonts w:ascii="Arial" w:hAnsi="Arial" w:cs="Arial"/>
                <w:sz w:val="20"/>
                <w:szCs w:val="20"/>
              </w:rPr>
              <w:t>We require that all staff are trained in compliance with the requirements of Working Together guidance (</w:t>
            </w:r>
            <w:proofErr w:type="spellStart"/>
            <w:r w:rsidRPr="0028051F">
              <w:rPr>
                <w:rFonts w:ascii="Arial" w:hAnsi="Arial" w:cs="Arial"/>
                <w:sz w:val="20"/>
                <w:szCs w:val="20"/>
              </w:rPr>
              <w:t>DfE</w:t>
            </w:r>
            <w:proofErr w:type="spellEnd"/>
            <w:r w:rsidRPr="0028051F">
              <w:rPr>
                <w:rFonts w:ascii="Arial" w:hAnsi="Arial" w:cs="Arial"/>
                <w:sz w:val="20"/>
                <w:szCs w:val="20"/>
              </w:rPr>
              <w:t>, 2013), to ensure that they understand what safeguarding children and young people is, what the requirements are through statute around safeguarding children and what to do if they were worried about a child or young person.</w:t>
            </w:r>
          </w:p>
          <w:p w:rsidR="00102E9D" w:rsidRDefault="00102E9D" w:rsidP="00FB6256">
            <w:pPr>
              <w:ind w:left="743"/>
              <w:jc w:val="both"/>
              <w:rPr>
                <w:rFonts w:ascii="Arial" w:hAnsi="Arial" w:cs="Arial"/>
                <w:sz w:val="20"/>
                <w:szCs w:val="20"/>
              </w:rPr>
            </w:pPr>
            <w:r w:rsidRPr="0028051F">
              <w:rPr>
                <w:rFonts w:ascii="Arial" w:hAnsi="Arial" w:cs="Arial"/>
                <w:sz w:val="20"/>
                <w:szCs w:val="20"/>
              </w:rPr>
              <w:t xml:space="preserve">We also require that all staff </w:t>
            </w:r>
            <w:proofErr w:type="gramStart"/>
            <w:r w:rsidRPr="0028051F">
              <w:rPr>
                <w:rFonts w:ascii="Arial" w:hAnsi="Arial" w:cs="Arial"/>
                <w:sz w:val="20"/>
                <w:szCs w:val="20"/>
              </w:rPr>
              <w:t>are</w:t>
            </w:r>
            <w:proofErr w:type="gramEnd"/>
            <w:r w:rsidRPr="0028051F">
              <w:rPr>
                <w:rFonts w:ascii="Arial" w:hAnsi="Arial" w:cs="Arial"/>
                <w:sz w:val="20"/>
                <w:szCs w:val="20"/>
              </w:rPr>
              <w:t xml:space="preserve"> trained to the appropriate level of the ADASS National Training Standards Framework for Safeguarding Vulnerable Adults, with all staff completing at least level one awareness.</w:t>
            </w:r>
          </w:p>
          <w:p w:rsidR="00102E9D" w:rsidRDefault="00102E9D" w:rsidP="00FB6256">
            <w:pPr>
              <w:ind w:left="743"/>
              <w:jc w:val="both"/>
              <w:rPr>
                <w:rFonts w:ascii="Arial" w:hAnsi="Arial" w:cs="Arial"/>
                <w:sz w:val="20"/>
                <w:szCs w:val="20"/>
              </w:rPr>
            </w:pPr>
            <w:r>
              <w:rPr>
                <w:rFonts w:ascii="Arial" w:hAnsi="Arial" w:cs="Arial"/>
                <w:sz w:val="20"/>
                <w:szCs w:val="20"/>
              </w:rPr>
              <w:t xml:space="preserve">The provider must also comply with any requests for safeguarding audits that may be submitted by, or on behalf of the commissioner from time to time.  Furthermore, the provider must work with the Safeguarding Team to resolve any safeguarding issues following referrals. </w:t>
            </w:r>
          </w:p>
          <w:p w:rsidR="00102E9D" w:rsidRDefault="00102E9D" w:rsidP="00FB6256">
            <w:pPr>
              <w:ind w:left="743"/>
              <w:jc w:val="both"/>
              <w:rPr>
                <w:rFonts w:ascii="Arial" w:hAnsi="Arial" w:cs="Arial"/>
                <w:sz w:val="20"/>
                <w:szCs w:val="20"/>
              </w:rPr>
            </w:pPr>
            <w:r w:rsidRPr="0028051F">
              <w:rPr>
                <w:rFonts w:ascii="Arial" w:hAnsi="Arial" w:cs="Arial"/>
                <w:sz w:val="20"/>
                <w:szCs w:val="20"/>
              </w:rPr>
              <w:t xml:space="preserve">Safeguarding must be a core part of each of the four levels of service right through from universal services education about protective behaviours, to working as part of a team providing high intensity services where required. </w:t>
            </w:r>
          </w:p>
          <w:p w:rsidR="00102E9D" w:rsidRPr="006A532D" w:rsidRDefault="00102E9D" w:rsidP="00FB6256">
            <w:pPr>
              <w:ind w:left="743"/>
              <w:jc w:val="both"/>
              <w:rPr>
                <w:rFonts w:ascii="Calibri" w:hAnsi="Calibri" w:cs="Calibri"/>
                <w:color w:val="0000FF" w:themeColor="hyperlink"/>
                <w:u w:val="single"/>
              </w:rPr>
            </w:pPr>
            <w:r>
              <w:rPr>
                <w:rFonts w:ascii="Arial" w:hAnsi="Arial" w:cs="Arial"/>
                <w:sz w:val="20"/>
                <w:szCs w:val="20"/>
              </w:rPr>
              <w:t xml:space="preserve">Assistance with Safeguarding Vulnerable Adult issues may be obtained from the Safeguarding Team within Focus by calling 01472 232244 or by email at </w:t>
            </w:r>
            <w:r>
              <w:rPr>
                <w:rFonts w:ascii="Arial" w:hAnsi="Arial" w:cs="Arial"/>
                <w:sz w:val="20"/>
                <w:szCs w:val="20"/>
                <w:u w:val="single"/>
              </w:rPr>
              <w:t>focus.</w:t>
            </w:r>
            <w:hyperlink r:id="rId11" w:history="1">
              <w:r>
                <w:rPr>
                  <w:rStyle w:val="Hyperlink"/>
                  <w:rFonts w:ascii="Arial" w:hAnsi="Arial" w:cs="Arial"/>
                  <w:sz w:val="20"/>
                  <w:szCs w:val="20"/>
                </w:rPr>
                <w:t>safeguardingadultsreferrals@nhs.net</w:t>
              </w:r>
            </w:hyperlink>
          </w:p>
          <w:p w:rsidR="00102E9D" w:rsidRDefault="00102E9D" w:rsidP="00FB6256">
            <w:pPr>
              <w:spacing w:after="0"/>
              <w:ind w:left="743"/>
              <w:rPr>
                <w:rFonts w:ascii="Arial" w:hAnsi="Arial" w:cs="Arial"/>
                <w:b/>
                <w:sz w:val="20"/>
              </w:rPr>
            </w:pPr>
            <w:r>
              <w:rPr>
                <w:rFonts w:ascii="Arial" w:hAnsi="Arial" w:cs="Arial"/>
                <w:sz w:val="20"/>
              </w:rPr>
              <w:t xml:space="preserve">The provider has a duty to work within the safeguarding legislation set out in The Children Act (2004) and the accompanying statutory guidance Working Together to Safeguard Children (2013). </w:t>
            </w:r>
          </w:p>
          <w:p w:rsidR="00102E9D" w:rsidRDefault="00102E9D" w:rsidP="00FB6256">
            <w:pPr>
              <w:spacing w:after="0"/>
              <w:rPr>
                <w:rFonts w:ascii="Arial" w:hAnsi="Arial" w:cs="Arial"/>
                <w:sz w:val="20"/>
              </w:rPr>
            </w:pPr>
          </w:p>
          <w:p w:rsidR="00102E9D" w:rsidRDefault="00102E9D" w:rsidP="00FB6256">
            <w:pPr>
              <w:spacing w:after="0"/>
              <w:rPr>
                <w:rFonts w:ascii="Arial" w:hAnsi="Arial" w:cs="Arial"/>
                <w:b/>
                <w:sz w:val="20"/>
              </w:rPr>
            </w:pPr>
            <w:r>
              <w:rPr>
                <w:rFonts w:ascii="Arial" w:hAnsi="Arial" w:cs="Arial"/>
                <w:b/>
                <w:sz w:val="20"/>
              </w:rPr>
              <w:t>6.4</w:t>
            </w:r>
            <w:r>
              <w:rPr>
                <w:rFonts w:ascii="Arial" w:hAnsi="Arial" w:cs="Arial"/>
                <w:b/>
                <w:sz w:val="20"/>
              </w:rPr>
              <w:tab/>
              <w:t>Complaints Policy</w:t>
            </w:r>
          </w:p>
          <w:p w:rsidR="00102E9D" w:rsidRDefault="00102E9D" w:rsidP="00FB6256">
            <w:pPr>
              <w:spacing w:after="0"/>
              <w:rPr>
                <w:rFonts w:ascii="Arial" w:hAnsi="Arial" w:cs="Arial"/>
                <w:sz w:val="20"/>
              </w:rPr>
            </w:pPr>
          </w:p>
          <w:p w:rsidR="00102E9D" w:rsidRDefault="00102E9D" w:rsidP="00FB6256">
            <w:pPr>
              <w:ind w:left="743" w:right="360"/>
              <w:contextualSpacing/>
              <w:jc w:val="both"/>
              <w:rPr>
                <w:rFonts w:ascii="Arial" w:hAnsi="Arial" w:cs="Arial"/>
                <w:sz w:val="20"/>
              </w:rPr>
            </w:pPr>
            <w:r>
              <w:rPr>
                <w:rFonts w:ascii="Arial" w:hAnsi="Arial" w:cs="Arial"/>
                <w:sz w:val="20"/>
              </w:rPr>
              <w:t>The service is expected to operate and promote an effective complaints policy in line with the Local Authority Social Services and National Health Service Complaints (England) Regulations 2009 for users of its services or their representatives.   Any person wishing to make a complaint has the right to complain either to the provider or the commissioner (in this case NELCCG).  All complaints correspondence should be acknowledged within three working days and responded to in writing within a timescale agreed with the complainant.  If the complainant is not satisfied after receiving the written response they have the right to refer their complaint to either the Local Government Ombudsman (for Complaints about Adult Social Care) or the Parliamentary Health Service Ombudsman (for complaints about health services).   Providers are required to provide a quarterly report to the Commissioner detailing all complaints received, The procedure should aim to meet the following objectives:</w:t>
            </w:r>
          </w:p>
          <w:p w:rsidR="00102E9D" w:rsidRDefault="00102E9D" w:rsidP="00FB6256">
            <w:pPr>
              <w:ind w:right="360"/>
              <w:contextualSpacing/>
              <w:jc w:val="both"/>
              <w:rPr>
                <w:rFonts w:ascii="Arial" w:hAnsi="Arial" w:cs="Arial"/>
                <w:sz w:val="20"/>
              </w:rPr>
            </w:pP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 xml:space="preserve">Be well publicised; </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Be consistent;</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Be easy to access, simple to understand and use;</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lastRenderedPageBreak/>
              <w:t>Be fair and impartial to staff and complainants alike;</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 xml:space="preserve">Ensure that the care of patients will not be adversely affected if they or their advocate make a complaint; </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Ensure that rights to confidentiality and privacy are respected;</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Provide a thorough and effective mechanism for resolving complaints and satisfying the concerns of the complainant;</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Provide answers or explanations promptly and within agreed time limits;</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Keep the complainant or their representative informed of progress;</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Enable lessons learnt to be used, and evidenced, to improve the quality of services to patients;</w:t>
            </w:r>
          </w:p>
          <w:p w:rsidR="00102E9D" w:rsidRDefault="00102E9D" w:rsidP="00FB6256">
            <w:pPr>
              <w:numPr>
                <w:ilvl w:val="0"/>
                <w:numId w:val="13"/>
              </w:numPr>
              <w:spacing w:after="0"/>
              <w:ind w:left="1260" w:right="360" w:hanging="540"/>
              <w:contextualSpacing/>
              <w:jc w:val="both"/>
              <w:rPr>
                <w:rFonts w:ascii="Arial" w:hAnsi="Arial" w:cs="Arial"/>
                <w:sz w:val="20"/>
              </w:rPr>
            </w:pPr>
            <w:r>
              <w:rPr>
                <w:rFonts w:ascii="Arial" w:hAnsi="Arial" w:cs="Arial"/>
                <w:sz w:val="20"/>
              </w:rPr>
              <w:t>Regularly review the complaints procedure and amend if found to be lacking in any respect.</w:t>
            </w:r>
          </w:p>
          <w:p w:rsidR="00102E9D" w:rsidRDefault="00102E9D" w:rsidP="00FB6256">
            <w:pPr>
              <w:spacing w:after="0"/>
              <w:rPr>
                <w:rFonts w:ascii="Arial" w:eastAsia="MS Mincho" w:hAnsi="Arial" w:cs="Arial"/>
                <w:sz w:val="20"/>
                <w:szCs w:val="20"/>
                <w:lang w:val="en-US" w:eastAsia="ja-JP"/>
              </w:rPr>
            </w:pPr>
          </w:p>
          <w:p w:rsidR="00102E9D" w:rsidRDefault="00102E9D" w:rsidP="00FB6256">
            <w:pPr>
              <w:spacing w:after="0"/>
              <w:rPr>
                <w:rFonts w:ascii="Arial" w:eastAsia="MS Mincho" w:hAnsi="Arial" w:cs="Arial"/>
                <w:b/>
                <w:sz w:val="20"/>
                <w:szCs w:val="20"/>
                <w:lang w:val="en-US" w:eastAsia="ja-JP"/>
              </w:rPr>
            </w:pPr>
            <w:r>
              <w:rPr>
                <w:rFonts w:ascii="Arial" w:eastAsia="MS Mincho" w:hAnsi="Arial" w:cs="Arial"/>
                <w:b/>
                <w:sz w:val="20"/>
                <w:szCs w:val="20"/>
                <w:lang w:val="en-US" w:eastAsia="ja-JP"/>
              </w:rPr>
              <w:t>6.5         Providers Premises</w:t>
            </w:r>
          </w:p>
          <w:p w:rsidR="00102E9D" w:rsidRPr="00EB717E" w:rsidRDefault="00102E9D" w:rsidP="00FB6256">
            <w:pPr>
              <w:spacing w:after="0"/>
              <w:rPr>
                <w:rFonts w:ascii="Arial" w:eastAsia="MS Mincho" w:hAnsi="Arial" w:cs="Arial"/>
                <w:sz w:val="20"/>
                <w:szCs w:val="20"/>
                <w:lang w:val="en-US" w:eastAsia="ja-JP"/>
              </w:rPr>
            </w:pPr>
          </w:p>
          <w:p w:rsidR="00102E9D" w:rsidRPr="007A50EE" w:rsidRDefault="00102E9D" w:rsidP="00FB6256">
            <w:pPr>
              <w:spacing w:after="0"/>
              <w:ind w:left="743"/>
              <w:rPr>
                <w:rFonts w:ascii="Arial" w:eastAsia="MS Mincho" w:hAnsi="Arial" w:cs="Arial"/>
                <w:sz w:val="20"/>
                <w:szCs w:val="20"/>
                <w:lang w:val="en-US" w:eastAsia="ja-JP"/>
              </w:rPr>
            </w:pPr>
            <w:r w:rsidRPr="007A50EE">
              <w:rPr>
                <w:rFonts w:ascii="Arial" w:eastAsia="MS Mincho" w:hAnsi="Arial" w:cs="Arial"/>
                <w:sz w:val="20"/>
                <w:szCs w:val="20"/>
                <w:lang w:val="en-US" w:eastAsia="ja-JP"/>
              </w:rPr>
              <w:t>The Provider’s Premises are located at:</w:t>
            </w:r>
          </w:p>
          <w:p w:rsidR="00102E9D" w:rsidRDefault="00102E9D" w:rsidP="00FB6256">
            <w:pPr>
              <w:spacing w:after="0"/>
              <w:ind w:left="743"/>
              <w:rPr>
                <w:rFonts w:ascii="Arial" w:eastAsia="MS Mincho" w:hAnsi="Arial" w:cs="Arial"/>
                <w:sz w:val="20"/>
                <w:szCs w:val="20"/>
                <w:lang w:val="en-US" w:eastAsia="ja-JP"/>
              </w:rPr>
            </w:pPr>
          </w:p>
          <w:p w:rsidR="00102E9D" w:rsidRDefault="00102E9D" w:rsidP="00FB6256">
            <w:pPr>
              <w:spacing w:after="0"/>
              <w:ind w:left="743"/>
              <w:rPr>
                <w:rFonts w:ascii="Arial" w:eastAsia="MS Mincho" w:hAnsi="Arial" w:cs="Arial"/>
                <w:sz w:val="20"/>
                <w:szCs w:val="20"/>
                <w:lang w:val="en-US" w:eastAsia="ja-JP"/>
              </w:rPr>
            </w:pPr>
            <w:r w:rsidRPr="00825EAF">
              <w:rPr>
                <w:rFonts w:ascii="Arial" w:eastAsia="MS Mincho" w:hAnsi="Arial" w:cs="Arial"/>
                <w:sz w:val="20"/>
                <w:szCs w:val="20"/>
                <w:lang w:val="en-US" w:eastAsia="ja-JP"/>
              </w:rPr>
              <w:t>TBC</w:t>
            </w:r>
          </w:p>
          <w:p w:rsidR="00102E9D" w:rsidRDefault="00102E9D" w:rsidP="00FB6256">
            <w:pPr>
              <w:spacing w:after="0"/>
              <w:ind w:left="743"/>
              <w:rPr>
                <w:rFonts w:ascii="Arial" w:eastAsia="MS Mincho" w:hAnsi="Arial" w:cs="Arial"/>
                <w:sz w:val="20"/>
                <w:szCs w:val="20"/>
                <w:lang w:val="en-US" w:eastAsia="ja-JP"/>
              </w:rPr>
            </w:pPr>
          </w:p>
          <w:p w:rsidR="00790BB7" w:rsidRPr="008E707A" w:rsidRDefault="00102E9D" w:rsidP="00FB6256">
            <w:pPr>
              <w:ind w:left="743"/>
              <w:rPr>
                <w:rFonts w:ascii="Arial" w:hAnsi="Arial" w:cs="Arial"/>
                <w:sz w:val="20"/>
                <w:szCs w:val="20"/>
              </w:rPr>
            </w:pPr>
            <w:r>
              <w:rPr>
                <w:rFonts w:ascii="Arial" w:hAnsi="Arial" w:cs="Arial"/>
                <w:sz w:val="20"/>
                <w:szCs w:val="20"/>
              </w:rPr>
              <w:t>The provider’s premises</w:t>
            </w:r>
            <w:r w:rsidRPr="00095825">
              <w:rPr>
                <w:rFonts w:ascii="Arial" w:hAnsi="Arial" w:cs="Arial"/>
                <w:sz w:val="20"/>
                <w:szCs w:val="20"/>
              </w:rPr>
              <w:t xml:space="preserve"> should be accessible by patients in line with the requirements of the Disability Discrimination Act.</w:t>
            </w:r>
          </w:p>
        </w:tc>
      </w:tr>
      <w:tr w:rsidR="00790BB7" w:rsidRPr="00EB717E" w:rsidTr="00FB5573">
        <w:tc>
          <w:tcPr>
            <w:tcW w:w="8414" w:type="dxa"/>
            <w:shd w:val="clear" w:color="auto" w:fill="009966"/>
          </w:tcPr>
          <w:p w:rsidR="00790BB7" w:rsidRPr="00EB717E" w:rsidRDefault="00790BB7" w:rsidP="00EB717E">
            <w:pPr>
              <w:spacing w:after="0"/>
              <w:rPr>
                <w:rFonts w:ascii="Arial" w:eastAsia="MS Mincho" w:hAnsi="Arial" w:cs="Arial"/>
                <w:b/>
                <w:color w:val="FFFFFF"/>
                <w:sz w:val="24"/>
                <w:szCs w:val="20"/>
                <w:lang w:val="en-US" w:eastAsia="ja-JP"/>
              </w:rPr>
            </w:pPr>
            <w:r w:rsidRPr="00EB717E">
              <w:rPr>
                <w:rFonts w:ascii="Arial" w:eastAsia="MS Mincho" w:hAnsi="Arial" w:cs="Arial"/>
                <w:b/>
                <w:color w:val="FFFFFF"/>
                <w:sz w:val="24"/>
                <w:szCs w:val="20"/>
                <w:lang w:val="en-US" w:eastAsia="ja-JP"/>
              </w:rPr>
              <w:lastRenderedPageBreak/>
              <w:t>7.</w:t>
            </w:r>
            <w:r w:rsidRPr="00EB717E">
              <w:rPr>
                <w:rFonts w:ascii="Arial" w:eastAsia="MS Mincho" w:hAnsi="Arial" w:cs="Arial"/>
                <w:b/>
                <w:color w:val="FFFFFF"/>
                <w:sz w:val="24"/>
                <w:szCs w:val="20"/>
                <w:lang w:val="en-US" w:eastAsia="ja-JP"/>
              </w:rPr>
              <w:tab/>
              <w:t>Individual Service User Placement</w:t>
            </w:r>
          </w:p>
        </w:tc>
      </w:tr>
      <w:tr w:rsidR="00790BB7" w:rsidRPr="00EB717E" w:rsidTr="00FB5573">
        <w:tc>
          <w:tcPr>
            <w:tcW w:w="8414" w:type="dxa"/>
            <w:shd w:val="clear" w:color="auto" w:fill="auto"/>
          </w:tcPr>
          <w:p w:rsidR="00790BB7" w:rsidRPr="00EB717E" w:rsidRDefault="00790BB7" w:rsidP="00EB717E">
            <w:pPr>
              <w:spacing w:after="0" w:line="240" w:lineRule="auto"/>
              <w:rPr>
                <w:rFonts w:ascii="Arial" w:eastAsia="MS Mincho" w:hAnsi="Arial" w:cs="Arial"/>
                <w:sz w:val="20"/>
                <w:szCs w:val="20"/>
                <w:lang w:val="en-US" w:eastAsia="ja-JP"/>
              </w:rPr>
            </w:pPr>
          </w:p>
          <w:p w:rsidR="00790BB7" w:rsidRPr="00EB717E" w:rsidRDefault="00790BB7"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N/A</w:t>
            </w:r>
          </w:p>
        </w:tc>
      </w:tr>
    </w:tbl>
    <w:p w:rsidR="0028265C" w:rsidRDefault="0028265C" w:rsidP="009550E1">
      <w:pPr>
        <w:spacing w:line="240" w:lineRule="auto"/>
        <w:rPr>
          <w:rFonts w:ascii="Arial" w:eastAsia="MS Mincho" w:hAnsi="Arial" w:cs="Arial"/>
          <w:sz w:val="20"/>
          <w:szCs w:val="20"/>
          <w:lang w:val="en-US" w:eastAsia="ja-JP"/>
        </w:rPr>
      </w:pPr>
    </w:p>
    <w:p w:rsidR="0028265C" w:rsidRDefault="0028265C">
      <w:pPr>
        <w:rPr>
          <w:rFonts w:ascii="Arial" w:eastAsia="MS Mincho" w:hAnsi="Arial" w:cs="Arial"/>
          <w:sz w:val="20"/>
          <w:szCs w:val="20"/>
          <w:lang w:val="en-US" w:eastAsia="ja-JP"/>
        </w:rPr>
      </w:pPr>
      <w:r>
        <w:rPr>
          <w:rFonts w:ascii="Arial" w:eastAsia="MS Mincho" w:hAnsi="Arial" w:cs="Arial"/>
          <w:sz w:val="20"/>
          <w:szCs w:val="20"/>
          <w:lang w:val="en-US" w:eastAsia="ja-JP"/>
        </w:rPr>
        <w:br w:type="page"/>
      </w:r>
    </w:p>
    <w:p w:rsidR="0028265C" w:rsidRDefault="0028265C" w:rsidP="0028265C">
      <w:pPr>
        <w:spacing w:after="0"/>
        <w:jc w:val="center"/>
        <w:rPr>
          <w:rFonts w:ascii="Arial" w:hAnsi="Arial" w:cs="Arial"/>
          <w:sz w:val="20"/>
        </w:rPr>
      </w:pPr>
      <w:r>
        <w:rPr>
          <w:rFonts w:ascii="Arial" w:hAnsi="Arial" w:cs="Arial"/>
          <w:b/>
          <w:szCs w:val="24"/>
        </w:rPr>
        <w:lastRenderedPageBreak/>
        <w:t>SCHEDULE 3 – PAYMENT</w:t>
      </w:r>
    </w:p>
    <w:p w:rsidR="0028265C" w:rsidRDefault="0028265C" w:rsidP="0028265C">
      <w:pPr>
        <w:spacing w:after="0"/>
        <w:jc w:val="center"/>
        <w:rPr>
          <w:rFonts w:ascii="Arial" w:hAnsi="Arial" w:cs="Arial"/>
          <w:b/>
          <w:sz w:val="24"/>
          <w:szCs w:val="24"/>
        </w:rPr>
      </w:pPr>
    </w:p>
    <w:p w:rsidR="0028265C" w:rsidRDefault="0028265C" w:rsidP="0028265C">
      <w:pPr>
        <w:pStyle w:val="ListParagraph"/>
        <w:numPr>
          <w:ilvl w:val="0"/>
          <w:numId w:val="27"/>
        </w:numPr>
        <w:spacing w:after="0" w:line="240" w:lineRule="auto"/>
        <w:contextualSpacing w:val="0"/>
        <w:jc w:val="center"/>
        <w:rPr>
          <w:rFonts w:ascii="Arial" w:hAnsi="Arial" w:cs="Arial"/>
          <w:b/>
          <w:szCs w:val="24"/>
        </w:rPr>
      </w:pPr>
      <w:r>
        <w:rPr>
          <w:rFonts w:ascii="Arial" w:hAnsi="Arial" w:cs="Arial"/>
          <w:b/>
        </w:rPr>
        <w:t>Permitted Variations to Tariff, Non-Tariff Prices and Other Payment Arrangements</w:t>
      </w:r>
    </w:p>
    <w:p w:rsidR="0028265C" w:rsidRDefault="0028265C" w:rsidP="0028265C">
      <w:pPr>
        <w:jc w:val="center"/>
        <w:rPr>
          <w:rFonts w:ascii="Arial" w:hAnsi="Arial" w:cs="Arial"/>
          <w:b/>
        </w:rPr>
      </w:pPr>
    </w:p>
    <w:p w:rsidR="0028265C" w:rsidRDefault="0028265C" w:rsidP="0028265C">
      <w:pPr>
        <w:rPr>
          <w:rFonts w:ascii="Arial" w:hAnsi="Arial" w:cs="Arial"/>
          <w:b/>
        </w:rPr>
      </w:pPr>
      <w:r>
        <w:rPr>
          <w:rFonts w:ascii="Arial" w:hAnsi="Arial" w:cs="Arial"/>
          <w:b/>
        </w:rPr>
        <w:t xml:space="preserve">Table 1: </w:t>
      </w:r>
      <w:r>
        <w:rPr>
          <w:rFonts w:ascii="Arial" w:hAnsi="Arial" w:cs="Arial"/>
          <w:b/>
        </w:rPr>
        <w:tab/>
        <w:t>Non-Tariff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7"/>
        <w:gridCol w:w="2809"/>
        <w:gridCol w:w="2776"/>
      </w:tblGrid>
      <w:tr w:rsidR="0028265C" w:rsidTr="0074589B">
        <w:tc>
          <w:tcPr>
            <w:tcW w:w="3649" w:type="dxa"/>
            <w:tcBorders>
              <w:top w:val="single" w:sz="4" w:space="0" w:color="auto"/>
              <w:left w:val="single" w:sz="4" w:space="0" w:color="auto"/>
              <w:bottom w:val="single" w:sz="4" w:space="0" w:color="auto"/>
              <w:right w:val="single" w:sz="4" w:space="0" w:color="auto"/>
            </w:tcBorders>
            <w:shd w:val="clear" w:color="auto" w:fill="9CC2E5"/>
            <w:hideMark/>
          </w:tcPr>
          <w:p w:rsidR="0028265C" w:rsidRDefault="0028265C">
            <w:pPr>
              <w:spacing w:after="0"/>
              <w:rPr>
                <w:rFonts w:ascii="Arial" w:hAnsi="Arial" w:cs="Arial"/>
                <w:b/>
                <w:sz w:val="24"/>
                <w:szCs w:val="24"/>
                <w:lang w:val="en-US" w:eastAsia="ja-JP"/>
              </w:rPr>
            </w:pPr>
            <w:r>
              <w:rPr>
                <w:rFonts w:ascii="Arial" w:hAnsi="Arial" w:cs="Arial"/>
                <w:b/>
                <w:szCs w:val="24"/>
              </w:rPr>
              <w:t xml:space="preserve">Service Description </w:t>
            </w:r>
          </w:p>
        </w:tc>
        <w:tc>
          <w:tcPr>
            <w:tcW w:w="2813" w:type="dxa"/>
            <w:tcBorders>
              <w:top w:val="single" w:sz="4" w:space="0" w:color="auto"/>
              <w:left w:val="single" w:sz="4" w:space="0" w:color="auto"/>
              <w:bottom w:val="single" w:sz="4" w:space="0" w:color="auto"/>
              <w:right w:val="single" w:sz="4" w:space="0" w:color="auto"/>
            </w:tcBorders>
            <w:shd w:val="clear" w:color="auto" w:fill="9CC2E5"/>
            <w:hideMark/>
          </w:tcPr>
          <w:p w:rsidR="0028265C" w:rsidRDefault="0028265C">
            <w:pPr>
              <w:spacing w:after="0"/>
              <w:rPr>
                <w:rFonts w:ascii="Arial" w:hAnsi="Arial" w:cs="Arial"/>
                <w:b/>
                <w:sz w:val="24"/>
                <w:szCs w:val="24"/>
                <w:lang w:val="en-US" w:eastAsia="ja-JP"/>
              </w:rPr>
            </w:pPr>
            <w:r>
              <w:rPr>
                <w:rFonts w:ascii="Arial" w:hAnsi="Arial" w:cs="Arial"/>
                <w:b/>
                <w:szCs w:val="24"/>
              </w:rPr>
              <w:t>Currency</w:t>
            </w:r>
          </w:p>
        </w:tc>
        <w:tc>
          <w:tcPr>
            <w:tcW w:w="2780" w:type="dxa"/>
            <w:tcBorders>
              <w:top w:val="single" w:sz="4" w:space="0" w:color="auto"/>
              <w:left w:val="single" w:sz="4" w:space="0" w:color="auto"/>
              <w:bottom w:val="single" w:sz="4" w:space="0" w:color="auto"/>
              <w:right w:val="single" w:sz="4" w:space="0" w:color="auto"/>
            </w:tcBorders>
            <w:shd w:val="clear" w:color="auto" w:fill="9CC2E5"/>
          </w:tcPr>
          <w:p w:rsidR="0028265C" w:rsidRDefault="0028265C">
            <w:pPr>
              <w:spacing w:after="0"/>
              <w:rPr>
                <w:rFonts w:ascii="Arial" w:hAnsi="Arial" w:cs="Arial"/>
                <w:b/>
                <w:sz w:val="24"/>
                <w:szCs w:val="24"/>
                <w:lang w:val="en-US" w:eastAsia="ja-JP"/>
              </w:rPr>
            </w:pPr>
            <w:r>
              <w:rPr>
                <w:rFonts w:ascii="Arial" w:hAnsi="Arial" w:cs="Arial"/>
                <w:b/>
                <w:szCs w:val="24"/>
              </w:rPr>
              <w:t>Price</w:t>
            </w:r>
          </w:p>
          <w:p w:rsidR="0028265C" w:rsidRDefault="0028265C">
            <w:pPr>
              <w:spacing w:after="0"/>
              <w:rPr>
                <w:rFonts w:ascii="Arial" w:hAnsi="Arial" w:cs="Arial"/>
                <w:b/>
                <w:sz w:val="24"/>
                <w:szCs w:val="24"/>
                <w:lang w:val="en-US" w:eastAsia="ja-JP"/>
              </w:rPr>
            </w:pPr>
          </w:p>
        </w:tc>
      </w:tr>
      <w:tr w:rsidR="0074589B" w:rsidTr="0074589B">
        <w:trPr>
          <w:trHeight w:val="1193"/>
        </w:trPr>
        <w:tc>
          <w:tcPr>
            <w:tcW w:w="0" w:type="auto"/>
            <w:vMerge w:val="restart"/>
            <w:tcBorders>
              <w:top w:val="single" w:sz="4" w:space="0" w:color="auto"/>
              <w:left w:val="single" w:sz="4" w:space="0" w:color="auto"/>
              <w:right w:val="single" w:sz="4" w:space="0" w:color="auto"/>
            </w:tcBorders>
            <w:vAlign w:val="center"/>
            <w:hideMark/>
          </w:tcPr>
          <w:p w:rsidR="0074589B" w:rsidRDefault="0074589B">
            <w:pPr>
              <w:spacing w:after="0"/>
              <w:rPr>
                <w:rFonts w:ascii="Arial" w:hAnsi="Arial" w:cs="Arial"/>
                <w:b/>
                <w:sz w:val="20"/>
                <w:lang w:val="en-US" w:eastAsia="ja-JP"/>
              </w:rPr>
            </w:pPr>
            <w:r>
              <w:rPr>
                <w:rFonts w:ascii="Arial" w:hAnsi="Arial" w:cs="Arial"/>
                <w:b/>
                <w:sz w:val="20"/>
                <w:lang w:val="en-US" w:eastAsia="ja-JP"/>
              </w:rPr>
              <w:t>Phlebotomy Service in Primary Care</w:t>
            </w:r>
          </w:p>
        </w:tc>
        <w:tc>
          <w:tcPr>
            <w:tcW w:w="2813" w:type="dxa"/>
            <w:tcBorders>
              <w:top w:val="single" w:sz="4" w:space="0" w:color="auto"/>
              <w:left w:val="single" w:sz="4" w:space="0" w:color="auto"/>
              <w:bottom w:val="single" w:sz="4" w:space="0" w:color="auto"/>
              <w:right w:val="single" w:sz="4" w:space="0" w:color="auto"/>
            </w:tcBorders>
            <w:vAlign w:val="center"/>
            <w:hideMark/>
          </w:tcPr>
          <w:p w:rsidR="0074589B" w:rsidRPr="0074589B" w:rsidRDefault="0074589B">
            <w:pPr>
              <w:autoSpaceDE w:val="0"/>
              <w:autoSpaceDN w:val="0"/>
              <w:adjustRightInd w:val="0"/>
              <w:spacing w:after="0"/>
              <w:rPr>
                <w:rFonts w:ascii="Arial" w:hAnsi="Arial" w:cs="Arial"/>
                <w:b/>
                <w:color w:val="000000"/>
                <w:sz w:val="20"/>
                <w:lang w:val="en-US" w:eastAsia="ja-JP"/>
              </w:rPr>
            </w:pPr>
            <w:r w:rsidRPr="0074589B">
              <w:rPr>
                <w:rFonts w:ascii="Arial" w:hAnsi="Arial" w:cs="Arial"/>
                <w:b/>
                <w:color w:val="000000"/>
                <w:sz w:val="20"/>
                <w:lang w:val="en-US" w:eastAsia="ja-JP"/>
              </w:rPr>
              <w:t>Level 1</w:t>
            </w:r>
          </w:p>
          <w:p w:rsidR="0074589B" w:rsidRPr="000938E7" w:rsidRDefault="0074589B">
            <w:pPr>
              <w:autoSpaceDE w:val="0"/>
              <w:autoSpaceDN w:val="0"/>
              <w:adjustRightInd w:val="0"/>
              <w:spacing w:after="0"/>
              <w:rPr>
                <w:rFonts w:ascii="Arial" w:hAnsi="Arial" w:cs="Arial"/>
                <w:color w:val="000000"/>
                <w:sz w:val="20"/>
                <w:lang w:val="en-US" w:eastAsia="ja-JP"/>
              </w:rPr>
            </w:pPr>
            <w:r w:rsidRPr="000938E7">
              <w:rPr>
                <w:rFonts w:ascii="Arial" w:hAnsi="Arial" w:cs="Arial"/>
                <w:color w:val="000000"/>
                <w:sz w:val="20"/>
                <w:lang w:val="en-US" w:eastAsia="ja-JP"/>
              </w:rPr>
              <w:t>Blood Sampling Procedure</w:t>
            </w:r>
            <w:r w:rsidRPr="000938E7">
              <w:rPr>
                <w:rFonts w:ascii="Arial" w:hAnsi="Arial" w:cs="Arial"/>
                <w:color w:val="000000"/>
                <w:sz w:val="20"/>
                <w:lang w:val="en-US" w:eastAsia="ja-JP"/>
              </w:rPr>
              <w:br/>
              <w:t xml:space="preserve">Service Delivery </w:t>
            </w:r>
            <w:r w:rsidR="000938E7">
              <w:rPr>
                <w:rFonts w:ascii="Arial" w:hAnsi="Arial" w:cs="Arial"/>
                <w:color w:val="000000"/>
                <w:sz w:val="20"/>
                <w:lang w:val="en-US" w:eastAsia="ja-JP"/>
              </w:rPr>
              <w:t xml:space="preserve">from 9am to </w:t>
            </w:r>
            <w:r w:rsidRPr="000938E7">
              <w:rPr>
                <w:rFonts w:ascii="Arial" w:hAnsi="Arial" w:cs="Arial"/>
                <w:color w:val="000000"/>
                <w:sz w:val="20"/>
                <w:lang w:val="en-US" w:eastAsia="ja-JP"/>
              </w:rPr>
              <w:t>4pm</w:t>
            </w:r>
            <w:r w:rsidR="000938E7">
              <w:rPr>
                <w:rFonts w:ascii="Arial" w:hAnsi="Arial" w:cs="Arial"/>
                <w:color w:val="000000"/>
                <w:sz w:val="20"/>
                <w:lang w:val="en-US" w:eastAsia="ja-JP"/>
              </w:rPr>
              <w:t xml:space="preserve">. </w:t>
            </w:r>
          </w:p>
        </w:tc>
        <w:tc>
          <w:tcPr>
            <w:tcW w:w="2780" w:type="dxa"/>
            <w:tcBorders>
              <w:top w:val="single" w:sz="4" w:space="0" w:color="auto"/>
              <w:left w:val="single" w:sz="4" w:space="0" w:color="auto"/>
              <w:right w:val="single" w:sz="4" w:space="0" w:color="auto"/>
            </w:tcBorders>
          </w:tcPr>
          <w:p w:rsidR="0074589B" w:rsidRDefault="0074589B" w:rsidP="0074589B">
            <w:pPr>
              <w:spacing w:after="0"/>
              <w:jc w:val="center"/>
              <w:rPr>
                <w:rFonts w:ascii="Arial" w:hAnsi="Arial" w:cs="Arial"/>
                <w:b/>
                <w:sz w:val="20"/>
                <w:lang w:val="en-US" w:eastAsia="ja-JP"/>
              </w:rPr>
            </w:pPr>
            <w:r>
              <w:rPr>
                <w:rFonts w:ascii="Arial" w:hAnsi="Arial" w:cs="Arial"/>
                <w:b/>
                <w:sz w:val="20"/>
                <w:szCs w:val="20"/>
                <w:lang w:val="en-US" w:eastAsia="ja-JP"/>
              </w:rPr>
              <w:br/>
            </w:r>
            <w:r w:rsidR="00A71C64">
              <w:rPr>
                <w:rFonts w:ascii="Arial" w:hAnsi="Arial" w:cs="Arial"/>
                <w:b/>
                <w:sz w:val="20"/>
                <w:lang w:val="en-US" w:eastAsia="ja-JP"/>
              </w:rPr>
              <w:t>£1.00</w:t>
            </w:r>
            <w:r>
              <w:rPr>
                <w:rFonts w:ascii="Arial" w:hAnsi="Arial" w:cs="Arial"/>
                <w:b/>
                <w:sz w:val="20"/>
                <w:lang w:val="en-US" w:eastAsia="ja-JP"/>
              </w:rPr>
              <w:t xml:space="preserve"> per head of population</w:t>
            </w:r>
          </w:p>
        </w:tc>
      </w:tr>
      <w:tr w:rsidR="0074589B" w:rsidTr="0074589B">
        <w:trPr>
          <w:trHeight w:val="1192"/>
        </w:trPr>
        <w:tc>
          <w:tcPr>
            <w:tcW w:w="0" w:type="auto"/>
            <w:vMerge/>
            <w:tcBorders>
              <w:left w:val="single" w:sz="4" w:space="0" w:color="auto"/>
              <w:bottom w:val="single" w:sz="4" w:space="0" w:color="auto"/>
              <w:right w:val="single" w:sz="4" w:space="0" w:color="auto"/>
            </w:tcBorders>
            <w:vAlign w:val="center"/>
          </w:tcPr>
          <w:p w:rsidR="0074589B" w:rsidRDefault="0074589B">
            <w:pPr>
              <w:spacing w:after="0"/>
              <w:rPr>
                <w:rFonts w:ascii="Arial" w:hAnsi="Arial" w:cs="Arial"/>
                <w:b/>
                <w:sz w:val="20"/>
                <w:lang w:val="en-US" w:eastAsia="ja-JP"/>
              </w:rPr>
            </w:pPr>
          </w:p>
        </w:tc>
        <w:tc>
          <w:tcPr>
            <w:tcW w:w="2813" w:type="dxa"/>
            <w:tcBorders>
              <w:top w:val="single" w:sz="4" w:space="0" w:color="auto"/>
              <w:left w:val="single" w:sz="4" w:space="0" w:color="auto"/>
              <w:right w:val="single" w:sz="4" w:space="0" w:color="auto"/>
            </w:tcBorders>
            <w:vAlign w:val="center"/>
          </w:tcPr>
          <w:p w:rsidR="0074589B" w:rsidRPr="0074589B" w:rsidRDefault="0074589B">
            <w:pPr>
              <w:autoSpaceDE w:val="0"/>
              <w:autoSpaceDN w:val="0"/>
              <w:adjustRightInd w:val="0"/>
              <w:spacing w:after="0"/>
              <w:rPr>
                <w:rFonts w:ascii="Arial" w:hAnsi="Arial" w:cs="Arial"/>
                <w:b/>
                <w:color w:val="000000"/>
                <w:sz w:val="20"/>
                <w:lang w:val="en-US" w:eastAsia="ja-JP"/>
              </w:rPr>
            </w:pPr>
            <w:r w:rsidRPr="0074589B">
              <w:rPr>
                <w:rFonts w:ascii="Arial" w:hAnsi="Arial" w:cs="Arial"/>
                <w:b/>
                <w:color w:val="000000"/>
                <w:sz w:val="20"/>
                <w:lang w:val="en-US" w:eastAsia="ja-JP"/>
              </w:rPr>
              <w:t>Level 2</w:t>
            </w:r>
          </w:p>
          <w:p w:rsidR="0074589B" w:rsidRPr="000938E7" w:rsidRDefault="0074589B">
            <w:pPr>
              <w:autoSpaceDE w:val="0"/>
              <w:autoSpaceDN w:val="0"/>
              <w:adjustRightInd w:val="0"/>
              <w:spacing w:after="0"/>
              <w:rPr>
                <w:rFonts w:ascii="Arial" w:hAnsi="Arial" w:cs="Arial"/>
                <w:color w:val="000000"/>
                <w:sz w:val="20"/>
                <w:lang w:val="en-US" w:eastAsia="ja-JP"/>
              </w:rPr>
            </w:pPr>
            <w:r w:rsidRPr="000938E7">
              <w:rPr>
                <w:rFonts w:ascii="Arial" w:hAnsi="Arial" w:cs="Arial"/>
                <w:color w:val="000000"/>
                <w:sz w:val="20"/>
                <w:lang w:val="en-US" w:eastAsia="ja-JP"/>
              </w:rPr>
              <w:t>Blood Sampling Procedure</w:t>
            </w:r>
            <w:r w:rsidRPr="000938E7">
              <w:rPr>
                <w:rFonts w:ascii="Arial" w:hAnsi="Arial" w:cs="Arial"/>
                <w:color w:val="000000"/>
                <w:sz w:val="20"/>
                <w:lang w:val="en-US" w:eastAsia="ja-JP"/>
              </w:rPr>
              <w:br/>
              <w:t xml:space="preserve">Service Delivery less than </w:t>
            </w:r>
            <w:r w:rsidR="000938E7">
              <w:rPr>
                <w:rFonts w:ascii="Arial" w:hAnsi="Arial" w:cs="Arial"/>
                <w:color w:val="000000"/>
                <w:sz w:val="20"/>
                <w:lang w:val="en-US" w:eastAsia="ja-JP"/>
              </w:rPr>
              <w:t xml:space="preserve">between 9am to </w:t>
            </w:r>
            <w:r w:rsidRPr="000938E7">
              <w:rPr>
                <w:rFonts w:ascii="Arial" w:hAnsi="Arial" w:cs="Arial"/>
                <w:color w:val="000000"/>
                <w:sz w:val="20"/>
                <w:lang w:val="en-US" w:eastAsia="ja-JP"/>
              </w:rPr>
              <w:t>4pm</w:t>
            </w:r>
            <w:r w:rsidR="000938E7">
              <w:rPr>
                <w:rFonts w:ascii="Arial" w:hAnsi="Arial" w:cs="Arial"/>
                <w:color w:val="000000"/>
                <w:sz w:val="20"/>
                <w:lang w:val="en-US" w:eastAsia="ja-JP"/>
              </w:rPr>
              <w:t>.</w:t>
            </w:r>
          </w:p>
        </w:tc>
        <w:tc>
          <w:tcPr>
            <w:tcW w:w="2780" w:type="dxa"/>
            <w:tcBorders>
              <w:left w:val="single" w:sz="4" w:space="0" w:color="auto"/>
              <w:right w:val="single" w:sz="4" w:space="0" w:color="auto"/>
            </w:tcBorders>
          </w:tcPr>
          <w:p w:rsidR="0074589B" w:rsidRDefault="0074589B" w:rsidP="00F529BE">
            <w:pPr>
              <w:spacing w:after="0"/>
              <w:jc w:val="center"/>
              <w:rPr>
                <w:rFonts w:ascii="Arial" w:hAnsi="Arial" w:cs="Arial"/>
                <w:b/>
                <w:sz w:val="20"/>
                <w:szCs w:val="20"/>
                <w:lang w:val="en-US" w:eastAsia="ja-JP"/>
              </w:rPr>
            </w:pPr>
          </w:p>
          <w:p w:rsidR="0074589B" w:rsidRPr="0074589B" w:rsidRDefault="00A71C64" w:rsidP="00F529BE">
            <w:pPr>
              <w:spacing w:after="0"/>
              <w:jc w:val="center"/>
              <w:rPr>
                <w:rFonts w:ascii="Arial" w:hAnsi="Arial" w:cs="Arial"/>
                <w:b/>
                <w:sz w:val="20"/>
                <w:szCs w:val="20"/>
                <w:lang w:val="en-US" w:eastAsia="ja-JP"/>
              </w:rPr>
            </w:pPr>
            <w:r>
              <w:rPr>
                <w:rFonts w:ascii="Arial" w:hAnsi="Arial" w:cs="Arial"/>
                <w:b/>
                <w:sz w:val="20"/>
                <w:szCs w:val="20"/>
                <w:lang w:val="en-US" w:eastAsia="ja-JP"/>
              </w:rPr>
              <w:t>£0.50</w:t>
            </w:r>
            <w:r w:rsidR="0074589B">
              <w:rPr>
                <w:rFonts w:ascii="Arial" w:hAnsi="Arial" w:cs="Arial"/>
                <w:b/>
                <w:sz w:val="20"/>
                <w:szCs w:val="20"/>
                <w:lang w:val="en-US" w:eastAsia="ja-JP"/>
              </w:rPr>
              <w:t xml:space="preserve"> per head of population </w:t>
            </w:r>
          </w:p>
        </w:tc>
      </w:tr>
    </w:tbl>
    <w:p w:rsidR="0028265C" w:rsidRDefault="0028265C" w:rsidP="0028265C">
      <w:pPr>
        <w:spacing w:after="0"/>
        <w:rPr>
          <w:rFonts w:ascii="Arial" w:hAnsi="Arial" w:cs="Arial"/>
          <w:b/>
          <w:szCs w:val="24"/>
          <w:lang w:val="en-US" w:eastAsia="ja-JP"/>
        </w:rPr>
      </w:pPr>
    </w:p>
    <w:p w:rsidR="00395488" w:rsidRPr="00102E9D" w:rsidRDefault="006D17C4" w:rsidP="009550E1">
      <w:pPr>
        <w:spacing w:line="240" w:lineRule="auto"/>
        <w:rPr>
          <w:rFonts w:ascii="Arial" w:eastAsia="MS Mincho" w:hAnsi="Arial" w:cs="Arial"/>
          <w:sz w:val="20"/>
          <w:szCs w:val="20"/>
          <w:lang w:val="en-US" w:eastAsia="ja-JP"/>
        </w:rPr>
      </w:pPr>
    </w:p>
    <w:sectPr w:rsidR="00395488" w:rsidRPr="00102E9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1A" w:rsidRDefault="00BF071A" w:rsidP="006B7FC5">
      <w:pPr>
        <w:spacing w:after="0" w:line="240" w:lineRule="auto"/>
      </w:pPr>
      <w:r>
        <w:separator/>
      </w:r>
    </w:p>
  </w:endnote>
  <w:endnote w:type="continuationSeparator" w:id="0">
    <w:p w:rsidR="00BF071A" w:rsidRDefault="00BF071A" w:rsidP="006B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C5" w:rsidRDefault="006B7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C5" w:rsidRDefault="006B7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C5" w:rsidRDefault="006B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1A" w:rsidRDefault="00BF071A" w:rsidP="006B7FC5">
      <w:pPr>
        <w:spacing w:after="0" w:line="240" w:lineRule="auto"/>
      </w:pPr>
      <w:r>
        <w:separator/>
      </w:r>
    </w:p>
  </w:footnote>
  <w:footnote w:type="continuationSeparator" w:id="0">
    <w:p w:rsidR="00BF071A" w:rsidRDefault="00BF071A" w:rsidP="006B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C5" w:rsidRDefault="006B7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12387"/>
      <w:docPartObj>
        <w:docPartGallery w:val="Watermarks"/>
        <w:docPartUnique/>
      </w:docPartObj>
    </w:sdtPr>
    <w:sdtEndPr/>
    <w:sdtContent>
      <w:p w:rsidR="006B7FC5" w:rsidRDefault="006D17C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C5" w:rsidRDefault="006B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944108"/>
    <w:lvl w:ilvl="0">
      <w:numFmt w:val="decimal"/>
      <w:lvlText w:val="*"/>
      <w:lvlJc w:val="left"/>
      <w:pPr>
        <w:ind w:left="0" w:firstLine="0"/>
      </w:pPr>
    </w:lvl>
  </w:abstractNum>
  <w:abstractNum w:abstractNumId="1">
    <w:nsid w:val="08694713"/>
    <w:multiLevelType w:val="multilevel"/>
    <w:tmpl w:val="28DA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78705C"/>
    <w:multiLevelType w:val="multilevel"/>
    <w:tmpl w:val="A240F85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4D2A7A"/>
    <w:multiLevelType w:val="multilevel"/>
    <w:tmpl w:val="7B46CB1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818C5"/>
    <w:multiLevelType w:val="hybridMultilevel"/>
    <w:tmpl w:val="C0E0D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692F5B"/>
    <w:multiLevelType w:val="hybridMultilevel"/>
    <w:tmpl w:val="E0663D4E"/>
    <w:lvl w:ilvl="0" w:tplc="BE3201A4">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1ABD02FB"/>
    <w:multiLevelType w:val="multilevel"/>
    <w:tmpl w:val="29E21FE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57E0A5A"/>
    <w:multiLevelType w:val="hybridMultilevel"/>
    <w:tmpl w:val="CB2E23A4"/>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DB7748C"/>
    <w:multiLevelType w:val="hybridMultilevel"/>
    <w:tmpl w:val="626AFB3E"/>
    <w:lvl w:ilvl="0" w:tplc="08090001">
      <w:start w:val="1"/>
      <w:numFmt w:val="bullet"/>
      <w:lvlText w:val=""/>
      <w:lvlJc w:val="left"/>
      <w:pPr>
        <w:ind w:left="1080" w:hanging="360"/>
      </w:pPr>
      <w:rPr>
        <w:rFonts w:ascii="Symbol" w:hAnsi="Symbol" w:hint="default"/>
      </w:rPr>
    </w:lvl>
    <w:lvl w:ilvl="1" w:tplc="FED48E08">
      <w:numFmt w:val="bullet"/>
      <w:lvlText w:val="•"/>
      <w:lvlJc w:val="left"/>
      <w:pPr>
        <w:ind w:left="1800" w:hanging="360"/>
      </w:pPr>
      <w:rPr>
        <w:rFonts w:ascii="Arial" w:eastAsia="MS Mincho"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95597A"/>
    <w:multiLevelType w:val="multilevel"/>
    <w:tmpl w:val="4524E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8F1A99"/>
    <w:multiLevelType w:val="hybridMultilevel"/>
    <w:tmpl w:val="101C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04CFA"/>
    <w:multiLevelType w:val="hybridMultilevel"/>
    <w:tmpl w:val="D1DED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6D20AF"/>
    <w:multiLevelType w:val="multilevel"/>
    <w:tmpl w:val="AE904D88"/>
    <w:lvl w:ilvl="0">
      <w:start w:val="1"/>
      <w:numFmt w:val="decimal"/>
      <w:lvlText w:val="%1"/>
      <w:lvlJc w:val="left"/>
      <w:pPr>
        <w:ind w:left="360" w:hanging="360"/>
      </w:pPr>
      <w:rPr>
        <w:rFonts w:hint="default"/>
      </w:rPr>
    </w:lvl>
    <w:lvl w:ilvl="1">
      <w:start w:val="10"/>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3B072BA"/>
    <w:multiLevelType w:val="hybridMultilevel"/>
    <w:tmpl w:val="242618C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5">
    <w:nsid w:val="4D58605B"/>
    <w:multiLevelType w:val="hybridMultilevel"/>
    <w:tmpl w:val="890890D8"/>
    <w:lvl w:ilvl="0" w:tplc="A2201A54">
      <w:start w:val="1"/>
      <w:numFmt w:val="upp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6">
    <w:nsid w:val="4E124278"/>
    <w:multiLevelType w:val="multilevel"/>
    <w:tmpl w:val="E90AC4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F181BBF"/>
    <w:multiLevelType w:val="hybridMultilevel"/>
    <w:tmpl w:val="60528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6363F5"/>
    <w:multiLevelType w:val="hybridMultilevel"/>
    <w:tmpl w:val="FA1EE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93810"/>
    <w:multiLevelType w:val="multilevel"/>
    <w:tmpl w:val="E168112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F0B7A78"/>
    <w:multiLevelType w:val="multilevel"/>
    <w:tmpl w:val="28DA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FA52D5"/>
    <w:multiLevelType w:val="hybridMultilevel"/>
    <w:tmpl w:val="EE80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801DCB"/>
    <w:multiLevelType w:val="multilevel"/>
    <w:tmpl w:val="7B46CB1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nsid w:val="66535A7A"/>
    <w:multiLevelType w:val="hybridMultilevel"/>
    <w:tmpl w:val="A4B2C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F57211"/>
    <w:multiLevelType w:val="hybridMultilevel"/>
    <w:tmpl w:val="6966CD26"/>
    <w:lvl w:ilvl="0" w:tplc="08090001">
      <w:start w:val="1"/>
      <w:numFmt w:val="bullet"/>
      <w:lvlText w:val=""/>
      <w:lvlJc w:val="left"/>
      <w:pPr>
        <w:ind w:left="2092" w:hanging="360"/>
      </w:pPr>
      <w:rPr>
        <w:rFonts w:ascii="Symbol" w:hAnsi="Symbol" w:hint="default"/>
      </w:rPr>
    </w:lvl>
    <w:lvl w:ilvl="1" w:tplc="08090003" w:tentative="1">
      <w:start w:val="1"/>
      <w:numFmt w:val="bullet"/>
      <w:lvlText w:val="o"/>
      <w:lvlJc w:val="left"/>
      <w:pPr>
        <w:ind w:left="2812" w:hanging="360"/>
      </w:pPr>
      <w:rPr>
        <w:rFonts w:ascii="Courier New" w:hAnsi="Courier New" w:cs="Courier New" w:hint="default"/>
      </w:rPr>
    </w:lvl>
    <w:lvl w:ilvl="2" w:tplc="08090005" w:tentative="1">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cs="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cs="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25">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460D80"/>
    <w:multiLevelType w:val="hybridMultilevel"/>
    <w:tmpl w:val="68AAB7FA"/>
    <w:lvl w:ilvl="0" w:tplc="3C8AEF50">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5"/>
  </w:num>
  <w:num w:numId="4">
    <w:abstractNumId w:val="11"/>
  </w:num>
  <w:num w:numId="5">
    <w:abstractNumId w:val="18"/>
  </w:num>
  <w:num w:numId="6">
    <w:abstractNumId w:val="7"/>
  </w:num>
  <w:num w:numId="7">
    <w:abstractNumId w:val="23"/>
  </w:num>
  <w:num w:numId="8">
    <w:abstractNumId w:val="12"/>
  </w:num>
  <w:num w:numId="9">
    <w:abstractNumId w:val="19"/>
  </w:num>
  <w:num w:numId="10">
    <w:abstractNumId w:val="2"/>
  </w:num>
  <w:num w:numId="11">
    <w:abstractNumId w:val="17"/>
  </w:num>
  <w:num w:numId="12">
    <w:abstractNumId w:val="5"/>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22"/>
  </w:num>
  <w:num w:numId="15">
    <w:abstractNumId w:val="20"/>
  </w:num>
  <w:num w:numId="16">
    <w:abstractNumId w:val="14"/>
  </w:num>
  <w:num w:numId="17">
    <w:abstractNumId w:val="15"/>
  </w:num>
  <w:num w:numId="18">
    <w:abstractNumId w:val="24"/>
  </w:num>
  <w:num w:numId="19">
    <w:abstractNumId w:val="9"/>
  </w:num>
  <w:num w:numId="20">
    <w:abstractNumId w:val="3"/>
  </w:num>
  <w:num w:numId="21">
    <w:abstractNumId w:val="13"/>
  </w:num>
  <w:num w:numId="22">
    <w:abstractNumId w:val="1"/>
  </w:num>
  <w:num w:numId="23">
    <w:abstractNumId w:val="6"/>
  </w:num>
  <w:num w:numId="24">
    <w:abstractNumId w:val="26"/>
  </w:num>
  <w:num w:numId="25">
    <w:abstractNumId w:val="16"/>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7E"/>
    <w:rsid w:val="000938E7"/>
    <w:rsid w:val="000D4535"/>
    <w:rsid w:val="00102E9D"/>
    <w:rsid w:val="00127E33"/>
    <w:rsid w:val="00145E9E"/>
    <w:rsid w:val="001A1CE9"/>
    <w:rsid w:val="001E136B"/>
    <w:rsid w:val="001F651C"/>
    <w:rsid w:val="002507DE"/>
    <w:rsid w:val="0028265C"/>
    <w:rsid w:val="002C30EA"/>
    <w:rsid w:val="00302C79"/>
    <w:rsid w:val="0036620F"/>
    <w:rsid w:val="00393FD0"/>
    <w:rsid w:val="003C3597"/>
    <w:rsid w:val="003D047E"/>
    <w:rsid w:val="003E3336"/>
    <w:rsid w:val="004D1115"/>
    <w:rsid w:val="00513AAA"/>
    <w:rsid w:val="00521156"/>
    <w:rsid w:val="00564941"/>
    <w:rsid w:val="0059609E"/>
    <w:rsid w:val="005B3871"/>
    <w:rsid w:val="005C16A4"/>
    <w:rsid w:val="005D6A6F"/>
    <w:rsid w:val="005F4A2D"/>
    <w:rsid w:val="00612305"/>
    <w:rsid w:val="00640E3E"/>
    <w:rsid w:val="00652E8A"/>
    <w:rsid w:val="00663739"/>
    <w:rsid w:val="006818B5"/>
    <w:rsid w:val="00687A1C"/>
    <w:rsid w:val="006B7FC5"/>
    <w:rsid w:val="006C2A60"/>
    <w:rsid w:val="006C3F5A"/>
    <w:rsid w:val="006D17C4"/>
    <w:rsid w:val="006D5B67"/>
    <w:rsid w:val="00723CA1"/>
    <w:rsid w:val="00736773"/>
    <w:rsid w:val="0074589B"/>
    <w:rsid w:val="007626D2"/>
    <w:rsid w:val="00763257"/>
    <w:rsid w:val="00784CA3"/>
    <w:rsid w:val="00790BB7"/>
    <w:rsid w:val="00825EAF"/>
    <w:rsid w:val="008E707A"/>
    <w:rsid w:val="009550E1"/>
    <w:rsid w:val="009575A8"/>
    <w:rsid w:val="00997A08"/>
    <w:rsid w:val="009D39E4"/>
    <w:rsid w:val="00A07A8D"/>
    <w:rsid w:val="00A12E37"/>
    <w:rsid w:val="00A160E9"/>
    <w:rsid w:val="00A22F1E"/>
    <w:rsid w:val="00A70EE1"/>
    <w:rsid w:val="00A71C64"/>
    <w:rsid w:val="00A8024E"/>
    <w:rsid w:val="00AB23E4"/>
    <w:rsid w:val="00AD5B55"/>
    <w:rsid w:val="00AF3F84"/>
    <w:rsid w:val="00B21EE7"/>
    <w:rsid w:val="00B90F9B"/>
    <w:rsid w:val="00BA6DF5"/>
    <w:rsid w:val="00BB1F34"/>
    <w:rsid w:val="00BD095D"/>
    <w:rsid w:val="00BF071A"/>
    <w:rsid w:val="00C4370A"/>
    <w:rsid w:val="00C46DE6"/>
    <w:rsid w:val="00C72D3C"/>
    <w:rsid w:val="00C811D0"/>
    <w:rsid w:val="00CA336C"/>
    <w:rsid w:val="00CB4262"/>
    <w:rsid w:val="00CE72EF"/>
    <w:rsid w:val="00D727F6"/>
    <w:rsid w:val="00D93B36"/>
    <w:rsid w:val="00D94882"/>
    <w:rsid w:val="00E02BF7"/>
    <w:rsid w:val="00E44633"/>
    <w:rsid w:val="00E93C7A"/>
    <w:rsid w:val="00E95AE3"/>
    <w:rsid w:val="00EA4E65"/>
    <w:rsid w:val="00EB717E"/>
    <w:rsid w:val="00ED7018"/>
    <w:rsid w:val="00EF66F4"/>
    <w:rsid w:val="00F1002A"/>
    <w:rsid w:val="00F13555"/>
    <w:rsid w:val="00F15A51"/>
    <w:rsid w:val="00F26A59"/>
    <w:rsid w:val="00F32257"/>
    <w:rsid w:val="00F529BE"/>
    <w:rsid w:val="00F7041B"/>
    <w:rsid w:val="00F745C9"/>
    <w:rsid w:val="00FA1AA6"/>
    <w:rsid w:val="00FB6256"/>
    <w:rsid w:val="00FC7081"/>
    <w:rsid w:val="00FD3044"/>
    <w:rsid w:val="00FE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C5"/>
  </w:style>
  <w:style w:type="paragraph" w:styleId="Footer">
    <w:name w:val="footer"/>
    <w:basedOn w:val="Normal"/>
    <w:link w:val="FooterChar"/>
    <w:uiPriority w:val="99"/>
    <w:unhideWhenUsed/>
    <w:rsid w:val="006B7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C5"/>
  </w:style>
  <w:style w:type="paragraph" w:styleId="ListParagraph">
    <w:name w:val="List Paragraph"/>
    <w:basedOn w:val="Normal"/>
    <w:uiPriority w:val="99"/>
    <w:qFormat/>
    <w:rsid w:val="00E44633"/>
    <w:pPr>
      <w:ind w:left="720"/>
      <w:contextualSpacing/>
    </w:pPr>
  </w:style>
  <w:style w:type="character" w:styleId="Hyperlink">
    <w:name w:val="Hyperlink"/>
    <w:basedOn w:val="DefaultParagraphFont"/>
    <w:uiPriority w:val="99"/>
    <w:unhideWhenUsed/>
    <w:rsid w:val="00EA4E65"/>
    <w:rPr>
      <w:color w:val="0000FF" w:themeColor="hyperlink"/>
      <w:u w:val="single"/>
    </w:rPr>
  </w:style>
  <w:style w:type="character" w:styleId="CommentReference">
    <w:name w:val="annotation reference"/>
    <w:basedOn w:val="DefaultParagraphFont"/>
    <w:uiPriority w:val="99"/>
    <w:semiHidden/>
    <w:unhideWhenUsed/>
    <w:rsid w:val="00612305"/>
    <w:rPr>
      <w:sz w:val="16"/>
      <w:szCs w:val="16"/>
    </w:rPr>
  </w:style>
  <w:style w:type="paragraph" w:styleId="CommentText">
    <w:name w:val="annotation text"/>
    <w:basedOn w:val="Normal"/>
    <w:link w:val="CommentTextChar"/>
    <w:uiPriority w:val="99"/>
    <w:semiHidden/>
    <w:unhideWhenUsed/>
    <w:rsid w:val="00612305"/>
    <w:pPr>
      <w:spacing w:line="240" w:lineRule="auto"/>
    </w:pPr>
    <w:rPr>
      <w:sz w:val="20"/>
      <w:szCs w:val="20"/>
    </w:rPr>
  </w:style>
  <w:style w:type="character" w:customStyle="1" w:styleId="CommentTextChar">
    <w:name w:val="Comment Text Char"/>
    <w:basedOn w:val="DefaultParagraphFont"/>
    <w:link w:val="CommentText"/>
    <w:uiPriority w:val="99"/>
    <w:semiHidden/>
    <w:rsid w:val="00612305"/>
    <w:rPr>
      <w:sz w:val="20"/>
      <w:szCs w:val="20"/>
    </w:rPr>
  </w:style>
  <w:style w:type="paragraph" w:styleId="CommentSubject">
    <w:name w:val="annotation subject"/>
    <w:basedOn w:val="CommentText"/>
    <w:next w:val="CommentText"/>
    <w:link w:val="CommentSubjectChar"/>
    <w:uiPriority w:val="99"/>
    <w:semiHidden/>
    <w:unhideWhenUsed/>
    <w:rsid w:val="00612305"/>
    <w:rPr>
      <w:b/>
      <w:bCs/>
    </w:rPr>
  </w:style>
  <w:style w:type="character" w:customStyle="1" w:styleId="CommentSubjectChar">
    <w:name w:val="Comment Subject Char"/>
    <w:basedOn w:val="CommentTextChar"/>
    <w:link w:val="CommentSubject"/>
    <w:uiPriority w:val="99"/>
    <w:semiHidden/>
    <w:rsid w:val="00612305"/>
    <w:rPr>
      <w:b/>
      <w:bCs/>
      <w:sz w:val="20"/>
      <w:szCs w:val="20"/>
    </w:rPr>
  </w:style>
  <w:style w:type="paragraph" w:styleId="BalloonText">
    <w:name w:val="Balloon Text"/>
    <w:basedOn w:val="Normal"/>
    <w:link w:val="BalloonTextChar"/>
    <w:uiPriority w:val="99"/>
    <w:semiHidden/>
    <w:unhideWhenUsed/>
    <w:rsid w:val="0061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C5"/>
  </w:style>
  <w:style w:type="paragraph" w:styleId="Footer">
    <w:name w:val="footer"/>
    <w:basedOn w:val="Normal"/>
    <w:link w:val="FooterChar"/>
    <w:uiPriority w:val="99"/>
    <w:unhideWhenUsed/>
    <w:rsid w:val="006B7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C5"/>
  </w:style>
  <w:style w:type="paragraph" w:styleId="ListParagraph">
    <w:name w:val="List Paragraph"/>
    <w:basedOn w:val="Normal"/>
    <w:uiPriority w:val="99"/>
    <w:qFormat/>
    <w:rsid w:val="00E44633"/>
    <w:pPr>
      <w:ind w:left="720"/>
      <w:contextualSpacing/>
    </w:pPr>
  </w:style>
  <w:style w:type="character" w:styleId="Hyperlink">
    <w:name w:val="Hyperlink"/>
    <w:basedOn w:val="DefaultParagraphFont"/>
    <w:uiPriority w:val="99"/>
    <w:unhideWhenUsed/>
    <w:rsid w:val="00EA4E65"/>
    <w:rPr>
      <w:color w:val="0000FF" w:themeColor="hyperlink"/>
      <w:u w:val="single"/>
    </w:rPr>
  </w:style>
  <w:style w:type="character" w:styleId="CommentReference">
    <w:name w:val="annotation reference"/>
    <w:basedOn w:val="DefaultParagraphFont"/>
    <w:uiPriority w:val="99"/>
    <w:semiHidden/>
    <w:unhideWhenUsed/>
    <w:rsid w:val="00612305"/>
    <w:rPr>
      <w:sz w:val="16"/>
      <w:szCs w:val="16"/>
    </w:rPr>
  </w:style>
  <w:style w:type="paragraph" w:styleId="CommentText">
    <w:name w:val="annotation text"/>
    <w:basedOn w:val="Normal"/>
    <w:link w:val="CommentTextChar"/>
    <w:uiPriority w:val="99"/>
    <w:semiHidden/>
    <w:unhideWhenUsed/>
    <w:rsid w:val="00612305"/>
    <w:pPr>
      <w:spacing w:line="240" w:lineRule="auto"/>
    </w:pPr>
    <w:rPr>
      <w:sz w:val="20"/>
      <w:szCs w:val="20"/>
    </w:rPr>
  </w:style>
  <w:style w:type="character" w:customStyle="1" w:styleId="CommentTextChar">
    <w:name w:val="Comment Text Char"/>
    <w:basedOn w:val="DefaultParagraphFont"/>
    <w:link w:val="CommentText"/>
    <w:uiPriority w:val="99"/>
    <w:semiHidden/>
    <w:rsid w:val="00612305"/>
    <w:rPr>
      <w:sz w:val="20"/>
      <w:szCs w:val="20"/>
    </w:rPr>
  </w:style>
  <w:style w:type="paragraph" w:styleId="CommentSubject">
    <w:name w:val="annotation subject"/>
    <w:basedOn w:val="CommentText"/>
    <w:next w:val="CommentText"/>
    <w:link w:val="CommentSubjectChar"/>
    <w:uiPriority w:val="99"/>
    <w:semiHidden/>
    <w:unhideWhenUsed/>
    <w:rsid w:val="00612305"/>
    <w:rPr>
      <w:b/>
      <w:bCs/>
    </w:rPr>
  </w:style>
  <w:style w:type="character" w:customStyle="1" w:styleId="CommentSubjectChar">
    <w:name w:val="Comment Subject Char"/>
    <w:basedOn w:val="CommentTextChar"/>
    <w:link w:val="CommentSubject"/>
    <w:uiPriority w:val="99"/>
    <w:semiHidden/>
    <w:rsid w:val="00612305"/>
    <w:rPr>
      <w:b/>
      <w:bCs/>
      <w:sz w:val="20"/>
      <w:szCs w:val="20"/>
    </w:rPr>
  </w:style>
  <w:style w:type="paragraph" w:styleId="BalloonText">
    <w:name w:val="Balloon Text"/>
    <w:basedOn w:val="Normal"/>
    <w:link w:val="BalloonTextChar"/>
    <w:uiPriority w:val="99"/>
    <w:semiHidden/>
    <w:unhideWhenUsed/>
    <w:rsid w:val="0061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55758">
      <w:bodyDiv w:val="1"/>
      <w:marLeft w:val="0"/>
      <w:marRight w:val="0"/>
      <w:marTop w:val="0"/>
      <w:marBottom w:val="0"/>
      <w:divBdr>
        <w:top w:val="none" w:sz="0" w:space="0" w:color="auto"/>
        <w:left w:val="none" w:sz="0" w:space="0" w:color="auto"/>
        <w:bottom w:val="none" w:sz="0" w:space="0" w:color="auto"/>
        <w:right w:val="none" w:sz="0" w:space="0" w:color="auto"/>
      </w:divBdr>
    </w:div>
    <w:div w:id="17161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adultsreferrals@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qualityhumanright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qualityhumanrights.com/advice-and-guidance/public-sector-equality-duty/introduction-to-the-equality-du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3718-CF2D-4F6E-AE21-551FFCF1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Brown</dc:creator>
  <cp:lastModifiedBy>Karen Stamp</cp:lastModifiedBy>
  <cp:revision>10</cp:revision>
  <cp:lastPrinted>2015-10-22T08:14:00Z</cp:lastPrinted>
  <dcterms:created xsi:type="dcterms:W3CDTF">2015-12-09T10:37:00Z</dcterms:created>
  <dcterms:modified xsi:type="dcterms:W3CDTF">2016-02-08T13:16:00Z</dcterms:modified>
</cp:coreProperties>
</file>