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6EF" w:rsidRPr="00DD7564" w:rsidRDefault="009D36EF" w:rsidP="00DD689C">
                            <w:pPr>
                              <w:rPr>
                                <w:rFonts w:ascii="Arial" w:hAnsi="Arial" w:cs="Arial"/>
                                <w:sz w:val="32"/>
                                <w:szCs w:val="32"/>
                              </w:rPr>
                            </w:pPr>
                            <w:r>
                              <w:rPr>
                                <w:rFonts w:ascii="Arial" w:hAnsi="Arial" w:cs="Arial"/>
                                <w:sz w:val="32"/>
                                <w:szCs w:val="32"/>
                              </w:rPr>
                              <w:t xml:space="preserve">Attachment </w:t>
                            </w:r>
                            <w:r w:rsidR="00C31650">
                              <w:rPr>
                                <w:rFonts w:ascii="Arial" w:hAnsi="Arial" w:cs="Arial"/>
                                <w:sz w:val="32"/>
                                <w:szCs w:val="32"/>
                              </w:rPr>
                              <w:t>12</w:t>
                            </w:r>
                            <w:bookmarkStart w:id="0" w:name="_GoBack"/>
                            <w:bookmarkEnd w:id="0"/>
                          </w:p>
                          <w:p w:rsidR="009D36EF" w:rsidRDefault="009D36EF"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D36EF" w:rsidRPr="00DD7564" w:rsidRDefault="009D36EF" w:rsidP="00DD689C">
                      <w:pPr>
                        <w:rPr>
                          <w:rFonts w:ascii="Arial" w:hAnsi="Arial" w:cs="Arial"/>
                          <w:sz w:val="32"/>
                          <w:szCs w:val="32"/>
                        </w:rPr>
                      </w:pPr>
                      <w:r>
                        <w:rPr>
                          <w:rFonts w:ascii="Arial" w:hAnsi="Arial" w:cs="Arial"/>
                          <w:sz w:val="32"/>
                          <w:szCs w:val="32"/>
                        </w:rPr>
                        <w:t xml:space="preserve">Attachment </w:t>
                      </w:r>
                      <w:r w:rsidR="00C31650">
                        <w:rPr>
                          <w:rFonts w:ascii="Arial" w:hAnsi="Arial" w:cs="Arial"/>
                          <w:sz w:val="32"/>
                          <w:szCs w:val="32"/>
                        </w:rPr>
                        <w:t>12</w:t>
                      </w:r>
                      <w:bookmarkStart w:id="1" w:name="_GoBack"/>
                      <w:bookmarkEnd w:id="1"/>
                    </w:p>
                    <w:p w:rsidR="009D36EF" w:rsidRDefault="009D36EF"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554F1A"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C31650">
        <w:trPr>
          <w:trHeight w:val="557"/>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554F1A" w:rsidP="00BC5CEC">
            <w:pPr>
              <w:rPr>
                <w:rFonts w:ascii="Arial" w:hAnsi="Arial" w:cs="Arial"/>
                <w:bCs/>
                <w:sz w:val="22"/>
                <w:szCs w:val="22"/>
              </w:rPr>
            </w:pPr>
            <w:r>
              <w:rPr>
                <w:rFonts w:ascii="Arial" w:hAnsi="Arial" w:cs="Arial"/>
                <w:bCs/>
                <w:sz w:val="22"/>
                <w:szCs w:val="22"/>
              </w:rPr>
              <w:t>16</w:t>
            </w:r>
            <w:r w:rsidRPr="00554F1A">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554F1A" w:rsidRPr="006F65E5" w:rsidRDefault="00554F1A" w:rsidP="00554F1A">
            <w:pPr>
              <w:pStyle w:val="ListParagraph"/>
              <w:ind w:left="0" w:hanging="43"/>
              <w:rPr>
                <w:rFonts w:ascii="Arial" w:hAnsi="Arial" w:cs="Arial"/>
                <w:b/>
                <w:bCs/>
              </w:rPr>
            </w:pPr>
            <w:r>
              <w:rPr>
                <w:rFonts w:ascii="Arial" w:hAnsi="Arial" w:cs="Arial"/>
                <w:b/>
                <w:bCs/>
              </w:rPr>
              <w:t>Local Quality Scheme</w:t>
            </w:r>
          </w:p>
          <w:p w:rsidR="00DD689C" w:rsidRPr="00752FD6" w:rsidRDefault="00DD689C" w:rsidP="000F233C">
            <w:pPr>
              <w:pStyle w:val="ListParagraph"/>
              <w:ind w:left="0" w:hanging="43"/>
              <w:rPr>
                <w:rFonts w:ascii="Arial" w:hAnsi="Arial" w:cs="Arial"/>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554F1A"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554F1A"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554F1A" w:rsidRDefault="00554F1A" w:rsidP="00554F1A">
            <w:pPr>
              <w:rPr>
                <w:rFonts w:ascii="Calibri" w:hAnsi="Calibri" w:cs="Calibri"/>
                <w:bCs/>
                <w:sz w:val="22"/>
                <w:szCs w:val="22"/>
              </w:rPr>
            </w:pPr>
            <w:r>
              <w:rPr>
                <w:rFonts w:ascii="Calibri" w:hAnsi="Calibri" w:cs="Calibri"/>
                <w:bCs/>
                <w:sz w:val="22"/>
                <w:szCs w:val="22"/>
              </w:rPr>
              <w:t xml:space="preserve">This report has been prepared to update the </w:t>
            </w:r>
            <w:r w:rsidR="005E0C41">
              <w:rPr>
                <w:rFonts w:ascii="Calibri" w:hAnsi="Calibri" w:cs="Calibri"/>
                <w:bCs/>
                <w:sz w:val="22"/>
                <w:szCs w:val="22"/>
              </w:rPr>
              <w:t xml:space="preserve">Joint </w:t>
            </w:r>
            <w:r>
              <w:rPr>
                <w:rFonts w:ascii="Calibri" w:hAnsi="Calibri" w:cs="Calibri"/>
                <w:bCs/>
                <w:sz w:val="22"/>
                <w:szCs w:val="22"/>
              </w:rPr>
              <w:t xml:space="preserve">Co-Commissioning Committee regarding plans for the annual review of the ‘PBC Incentive Scheme’. The proposal is to review and revise the existing scheme, so that the 2016/17 scheme has a greater emphasis on quality of care, and is more targeted at specific areas of variation in practice. In recognition of the shift of emphasis, it would become known as a local quality improvement scheme. The </w:t>
            </w:r>
            <w:r w:rsidR="005E0C41">
              <w:rPr>
                <w:rFonts w:ascii="Calibri" w:hAnsi="Calibri" w:cs="Calibri"/>
                <w:bCs/>
                <w:sz w:val="22"/>
                <w:szCs w:val="22"/>
              </w:rPr>
              <w:t xml:space="preserve">Joint </w:t>
            </w:r>
            <w:r>
              <w:rPr>
                <w:rFonts w:ascii="Calibri" w:hAnsi="Calibri" w:cs="Calibri"/>
                <w:bCs/>
                <w:sz w:val="22"/>
                <w:szCs w:val="22"/>
              </w:rPr>
              <w:t xml:space="preserve">Co-Commissioning Committee is asked to note the progress so far, </w:t>
            </w:r>
            <w:r w:rsidR="00EF388C">
              <w:rPr>
                <w:rFonts w:ascii="Calibri" w:hAnsi="Calibri" w:cs="Calibri"/>
                <w:bCs/>
                <w:sz w:val="22"/>
                <w:szCs w:val="22"/>
              </w:rPr>
              <w:t xml:space="preserve">suggest any potential additional areas, </w:t>
            </w:r>
            <w:r>
              <w:rPr>
                <w:rFonts w:ascii="Calibri" w:hAnsi="Calibri" w:cs="Calibri"/>
                <w:bCs/>
                <w:sz w:val="22"/>
                <w:szCs w:val="22"/>
              </w:rPr>
              <w:t>and endorse the approach. The final scheme will be presented back to the Committee for approval at the next meeting in April 2016.</w:t>
            </w:r>
          </w:p>
          <w:p w:rsidR="006A74AF" w:rsidRPr="00752FD6" w:rsidRDefault="006A74AF" w:rsidP="00554F1A">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Pr="00554F1A" w:rsidRDefault="00554F1A" w:rsidP="00B41D76">
            <w:pPr>
              <w:rPr>
                <w:rFonts w:ascii="Calibri" w:hAnsi="Calibri" w:cs="Calibri"/>
                <w:bCs/>
                <w:sz w:val="22"/>
                <w:szCs w:val="22"/>
              </w:rPr>
            </w:pPr>
            <w:r w:rsidRPr="00554F1A">
              <w:rPr>
                <w:rFonts w:ascii="Calibri" w:hAnsi="Calibri" w:cs="Calibri"/>
                <w:bCs/>
                <w:sz w:val="22"/>
                <w:szCs w:val="22"/>
              </w:rPr>
              <w:t>The proposed quality scheme would support the local strategy</w:t>
            </w:r>
            <w:r>
              <w:rPr>
                <w:rFonts w:ascii="Calibri" w:hAnsi="Calibri" w:cs="Calibri"/>
                <w:bCs/>
                <w:sz w:val="22"/>
                <w:szCs w:val="22"/>
              </w:rPr>
              <w:t>.</w:t>
            </w:r>
            <w:r w:rsidRPr="00554F1A">
              <w:rPr>
                <w:rFonts w:ascii="Calibri" w:hAnsi="Calibri" w:cs="Calibri"/>
                <w:bCs/>
                <w:sz w:val="22"/>
                <w:szCs w:val="22"/>
              </w:rPr>
              <w:t xml:space="preserve">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EF388C" w:rsidRDefault="00554F1A" w:rsidP="00EF388C">
            <w:pPr>
              <w:tabs>
                <w:tab w:val="left" w:pos="743"/>
              </w:tabs>
              <w:spacing w:line="276" w:lineRule="auto"/>
              <w:rPr>
                <w:rFonts w:ascii="Calibri" w:hAnsi="Calibri" w:cs="Calibri"/>
                <w:bCs/>
                <w:sz w:val="22"/>
                <w:szCs w:val="22"/>
              </w:rPr>
            </w:pPr>
            <w:r>
              <w:rPr>
                <w:rFonts w:ascii="Calibri" w:hAnsi="Calibri" w:cs="Calibri"/>
                <w:bCs/>
                <w:sz w:val="22"/>
                <w:szCs w:val="22"/>
              </w:rPr>
              <w:t>The intention is to select some new areas for inclusion within the quality scheme that would have the most impact in terms of quality of care and improved outcomes for the local population, in addition to focusing on reducing variation and improving consistency of approach. A task and finish group has already been established to progress</w:t>
            </w:r>
            <w:r w:rsidR="00DB47D2">
              <w:rPr>
                <w:rFonts w:ascii="Calibri" w:hAnsi="Calibri" w:cs="Calibri"/>
                <w:bCs/>
                <w:sz w:val="22"/>
                <w:szCs w:val="22"/>
              </w:rPr>
              <w:t xml:space="preserve"> </w:t>
            </w:r>
            <w:r>
              <w:rPr>
                <w:rFonts w:ascii="Calibri" w:hAnsi="Calibri" w:cs="Calibri"/>
                <w:bCs/>
                <w:sz w:val="22"/>
                <w:szCs w:val="22"/>
              </w:rPr>
              <w:t>work on the develop</w:t>
            </w:r>
            <w:r w:rsidR="00EF388C">
              <w:rPr>
                <w:rFonts w:ascii="Calibri" w:hAnsi="Calibri" w:cs="Calibri"/>
                <w:bCs/>
                <w:sz w:val="22"/>
                <w:szCs w:val="22"/>
              </w:rPr>
              <w:t>ment</w:t>
            </w:r>
            <w:r w:rsidR="00DB47D2">
              <w:rPr>
                <w:rFonts w:ascii="Calibri" w:hAnsi="Calibri" w:cs="Calibri"/>
                <w:bCs/>
                <w:sz w:val="22"/>
                <w:szCs w:val="22"/>
              </w:rPr>
              <w:t xml:space="preserve"> of the scheme</w:t>
            </w:r>
            <w:r w:rsidR="00EF388C">
              <w:rPr>
                <w:rFonts w:ascii="Calibri" w:hAnsi="Calibri" w:cs="Calibri"/>
                <w:bCs/>
                <w:sz w:val="22"/>
                <w:szCs w:val="22"/>
              </w:rPr>
              <w:t>. Membership of the task</w:t>
            </w:r>
            <w:r w:rsidR="00DB47D2">
              <w:rPr>
                <w:rFonts w:ascii="Calibri" w:hAnsi="Calibri" w:cs="Calibri"/>
                <w:bCs/>
                <w:sz w:val="22"/>
                <w:szCs w:val="22"/>
              </w:rPr>
              <w:t xml:space="preserve"> and</w:t>
            </w:r>
            <w:r w:rsidR="00EF388C">
              <w:rPr>
                <w:rFonts w:ascii="Calibri" w:hAnsi="Calibri" w:cs="Calibri"/>
                <w:bCs/>
                <w:sz w:val="22"/>
                <w:szCs w:val="22"/>
              </w:rPr>
              <w:t xml:space="preserve"> finish group includes Community rep, GP, Practice Managers, CCG Nursing and Quality rep, CCG commissioning and service redesign reps and CCG finance rep.</w:t>
            </w:r>
          </w:p>
          <w:p w:rsidR="00EF388C" w:rsidRDefault="00EF388C" w:rsidP="00EF388C">
            <w:pPr>
              <w:tabs>
                <w:tab w:val="left" w:pos="743"/>
              </w:tabs>
              <w:spacing w:line="276" w:lineRule="auto"/>
              <w:rPr>
                <w:rFonts w:ascii="Calibri" w:hAnsi="Calibri" w:cs="Calibri"/>
                <w:bCs/>
                <w:sz w:val="22"/>
                <w:szCs w:val="22"/>
              </w:rPr>
            </w:pPr>
          </w:p>
          <w:p w:rsidR="00554F1A" w:rsidRPr="00EF388C" w:rsidRDefault="00EF388C" w:rsidP="00EF388C">
            <w:pPr>
              <w:tabs>
                <w:tab w:val="left" w:pos="743"/>
              </w:tabs>
              <w:spacing w:line="276" w:lineRule="auto"/>
              <w:rPr>
                <w:rFonts w:ascii="Calibri" w:hAnsi="Calibri" w:cs="Calibri"/>
                <w:bCs/>
                <w:sz w:val="22"/>
                <w:szCs w:val="22"/>
              </w:rPr>
            </w:pPr>
            <w:r>
              <w:rPr>
                <w:rFonts w:ascii="Calibri" w:hAnsi="Calibri" w:cs="Calibri"/>
                <w:bCs/>
                <w:sz w:val="22"/>
                <w:szCs w:val="22"/>
              </w:rPr>
              <w:t xml:space="preserve">The task and finish group considered a list of potential areas that </w:t>
            </w:r>
            <w:r w:rsidR="009D36EF">
              <w:rPr>
                <w:rFonts w:ascii="Calibri" w:hAnsi="Calibri" w:cs="Calibri"/>
                <w:bCs/>
                <w:sz w:val="22"/>
                <w:szCs w:val="22"/>
              </w:rPr>
              <w:t xml:space="preserve">had been collated following discussions at various groups and/or committees. </w:t>
            </w:r>
            <w:r w:rsidR="00554F1A" w:rsidRPr="00EF388C">
              <w:rPr>
                <w:rFonts w:ascii="Calibri" w:hAnsi="Calibri" w:cs="Calibri"/>
                <w:bCs/>
                <w:sz w:val="22"/>
                <w:szCs w:val="22"/>
              </w:rPr>
              <w:t xml:space="preserve">The list of </w:t>
            </w:r>
            <w:r w:rsidR="009D36EF" w:rsidRPr="009D36EF">
              <w:rPr>
                <w:rFonts w:ascii="Calibri" w:hAnsi="Calibri" w:cs="Calibri"/>
                <w:bCs/>
                <w:sz w:val="22"/>
                <w:szCs w:val="22"/>
              </w:rPr>
              <w:t>proposed</w:t>
            </w:r>
            <w:r w:rsidR="009D36EF">
              <w:rPr>
                <w:rFonts w:ascii="Calibri" w:hAnsi="Calibri" w:cs="Calibri"/>
                <w:b/>
                <w:bCs/>
                <w:i/>
                <w:sz w:val="22"/>
                <w:szCs w:val="22"/>
              </w:rPr>
              <w:t xml:space="preserve"> </w:t>
            </w:r>
            <w:r w:rsidR="00554F1A" w:rsidRPr="00EF388C">
              <w:rPr>
                <w:rFonts w:ascii="Calibri" w:hAnsi="Calibri" w:cs="Calibri"/>
                <w:bCs/>
                <w:sz w:val="22"/>
                <w:szCs w:val="22"/>
              </w:rPr>
              <w:t xml:space="preserve">areas </w:t>
            </w:r>
            <w:r w:rsidR="009D36EF">
              <w:rPr>
                <w:rFonts w:ascii="Calibri" w:hAnsi="Calibri" w:cs="Calibri"/>
                <w:bCs/>
                <w:sz w:val="22"/>
                <w:szCs w:val="22"/>
              </w:rPr>
              <w:t>that are being worked up in more detail are:</w:t>
            </w:r>
          </w:p>
          <w:p w:rsidR="00554F1A" w:rsidRDefault="00554F1A" w:rsidP="00554F1A">
            <w:pPr>
              <w:tabs>
                <w:tab w:val="left" w:pos="743"/>
              </w:tabs>
              <w:spacing w:line="276" w:lineRule="auto"/>
              <w:rPr>
                <w:rFonts w:ascii="Calibri" w:hAnsi="Calibri" w:cs="Calibri"/>
                <w:bCs/>
                <w:sz w:val="22"/>
                <w:szCs w:val="22"/>
              </w:rPr>
            </w:pPr>
          </w:p>
          <w:p w:rsidR="00554F1A" w:rsidRDefault="00554F1A" w:rsidP="00554F1A">
            <w:pPr>
              <w:numPr>
                <w:ilvl w:val="0"/>
                <w:numId w:val="25"/>
              </w:numPr>
              <w:spacing w:after="200" w:line="276" w:lineRule="auto"/>
              <w:rPr>
                <w:rFonts w:ascii="Calibri" w:eastAsia="Calibri" w:hAnsi="Calibri"/>
                <w:sz w:val="22"/>
                <w:szCs w:val="22"/>
                <w:lang w:eastAsia="en-US"/>
              </w:rPr>
            </w:pPr>
            <w:r w:rsidRPr="003E7D63">
              <w:rPr>
                <w:rFonts w:ascii="Calibri" w:eastAsia="Calibri" w:hAnsi="Calibri"/>
                <w:sz w:val="22"/>
                <w:szCs w:val="22"/>
                <w:lang w:eastAsia="en-US"/>
              </w:rPr>
              <w:t xml:space="preserve">Pre-diabetes registers – some practices </w:t>
            </w:r>
            <w:r>
              <w:rPr>
                <w:rFonts w:ascii="Calibri" w:eastAsia="Calibri" w:hAnsi="Calibri"/>
                <w:sz w:val="22"/>
                <w:szCs w:val="22"/>
                <w:lang w:eastAsia="en-US"/>
              </w:rPr>
              <w:t xml:space="preserve">have these, </w:t>
            </w:r>
            <w:r w:rsidRPr="003E7D63">
              <w:rPr>
                <w:rFonts w:ascii="Calibri" w:eastAsia="Calibri" w:hAnsi="Calibri"/>
                <w:sz w:val="22"/>
                <w:szCs w:val="22"/>
                <w:lang w:eastAsia="en-US"/>
              </w:rPr>
              <w:t xml:space="preserve">some </w:t>
            </w:r>
            <w:r>
              <w:rPr>
                <w:rFonts w:ascii="Calibri" w:eastAsia="Calibri" w:hAnsi="Calibri"/>
                <w:sz w:val="22"/>
                <w:szCs w:val="22"/>
                <w:lang w:eastAsia="en-US"/>
              </w:rPr>
              <w:t xml:space="preserve">do </w:t>
            </w:r>
            <w:r w:rsidRPr="003E7D63">
              <w:rPr>
                <w:rFonts w:ascii="Calibri" w:eastAsia="Calibri" w:hAnsi="Calibri"/>
                <w:sz w:val="22"/>
                <w:szCs w:val="22"/>
                <w:lang w:eastAsia="en-US"/>
              </w:rPr>
              <w:t xml:space="preserve">not. </w:t>
            </w:r>
            <w:r>
              <w:rPr>
                <w:rFonts w:ascii="Calibri" w:eastAsia="Calibri" w:hAnsi="Calibri"/>
                <w:sz w:val="22"/>
                <w:szCs w:val="22"/>
                <w:lang w:eastAsia="en-US"/>
              </w:rPr>
              <w:t xml:space="preserve">A </w:t>
            </w:r>
            <w:r w:rsidRPr="003E7D63">
              <w:rPr>
                <w:rFonts w:ascii="Calibri" w:eastAsia="Calibri" w:hAnsi="Calibri"/>
                <w:sz w:val="22"/>
                <w:szCs w:val="22"/>
                <w:lang w:eastAsia="en-US"/>
              </w:rPr>
              <w:t xml:space="preserve">QOF indicator </w:t>
            </w:r>
            <w:r>
              <w:rPr>
                <w:rFonts w:ascii="Calibri" w:eastAsia="Calibri" w:hAnsi="Calibri"/>
                <w:sz w:val="22"/>
                <w:szCs w:val="22"/>
                <w:lang w:eastAsia="en-US"/>
              </w:rPr>
              <w:t xml:space="preserve">on this is being </w:t>
            </w:r>
            <w:r>
              <w:rPr>
                <w:rFonts w:ascii="Calibri" w:eastAsia="Calibri" w:hAnsi="Calibri"/>
                <w:sz w:val="22"/>
                <w:szCs w:val="22"/>
                <w:lang w:eastAsia="en-US"/>
              </w:rPr>
              <w:lastRenderedPageBreak/>
              <w:t xml:space="preserve">developed but </w:t>
            </w:r>
            <w:r w:rsidR="003A70C5">
              <w:rPr>
                <w:rFonts w:ascii="Calibri" w:eastAsia="Calibri" w:hAnsi="Calibri"/>
                <w:sz w:val="22"/>
                <w:szCs w:val="22"/>
                <w:lang w:eastAsia="en-US"/>
              </w:rPr>
              <w:t xml:space="preserve">is </w:t>
            </w:r>
            <w:r>
              <w:rPr>
                <w:rFonts w:ascii="Calibri" w:eastAsia="Calibri" w:hAnsi="Calibri"/>
                <w:sz w:val="22"/>
                <w:szCs w:val="22"/>
                <w:lang w:eastAsia="en-US"/>
              </w:rPr>
              <w:t>un</w:t>
            </w:r>
            <w:r w:rsidRPr="003E7D63">
              <w:rPr>
                <w:rFonts w:ascii="Calibri" w:eastAsia="Calibri" w:hAnsi="Calibri"/>
                <w:sz w:val="22"/>
                <w:szCs w:val="22"/>
                <w:lang w:eastAsia="en-US"/>
              </w:rPr>
              <w:t xml:space="preserve">likely </w:t>
            </w:r>
            <w:r>
              <w:rPr>
                <w:rFonts w:ascii="Calibri" w:eastAsia="Calibri" w:hAnsi="Calibri"/>
                <w:sz w:val="22"/>
                <w:szCs w:val="22"/>
                <w:lang w:eastAsia="en-US"/>
              </w:rPr>
              <w:t xml:space="preserve">to be brought into effect </w:t>
            </w:r>
            <w:r w:rsidR="003A70C5">
              <w:rPr>
                <w:rFonts w:ascii="Calibri" w:eastAsia="Calibri" w:hAnsi="Calibri"/>
                <w:sz w:val="22"/>
                <w:szCs w:val="22"/>
                <w:lang w:eastAsia="en-US"/>
              </w:rPr>
              <w:t xml:space="preserve">for </w:t>
            </w:r>
            <w:r>
              <w:rPr>
                <w:rFonts w:ascii="Calibri" w:eastAsia="Calibri" w:hAnsi="Calibri"/>
                <w:sz w:val="22"/>
                <w:szCs w:val="22"/>
                <w:lang w:eastAsia="en-US"/>
              </w:rPr>
              <w:t xml:space="preserve">at least </w:t>
            </w:r>
            <w:r w:rsidRPr="003E7D63">
              <w:rPr>
                <w:rFonts w:ascii="Calibri" w:eastAsia="Calibri" w:hAnsi="Calibri"/>
                <w:sz w:val="22"/>
                <w:szCs w:val="22"/>
                <w:lang w:eastAsia="en-US"/>
              </w:rPr>
              <w:t>2 years</w:t>
            </w:r>
            <w:r>
              <w:rPr>
                <w:rFonts w:ascii="Calibri" w:eastAsia="Calibri" w:hAnsi="Calibri"/>
                <w:sz w:val="22"/>
                <w:szCs w:val="22"/>
                <w:lang w:eastAsia="en-US"/>
              </w:rPr>
              <w:t>. The CCG has an opportunity to get ahead of the curve on this and improve the outcomes for patients at risk of diabetes.</w:t>
            </w:r>
            <w:r w:rsidR="003A70C5">
              <w:rPr>
                <w:rFonts w:ascii="Calibri" w:eastAsia="Calibri" w:hAnsi="Calibri"/>
                <w:sz w:val="22"/>
                <w:szCs w:val="22"/>
                <w:lang w:eastAsia="en-US"/>
              </w:rPr>
              <w:t xml:space="preserve"> This would support the fact that the CCG has been accepted on to the First Wave of the National Diabetes Prevention Programme</w:t>
            </w:r>
          </w:p>
          <w:p w:rsidR="00554F1A" w:rsidRDefault="00554F1A" w:rsidP="00554F1A">
            <w:pPr>
              <w:numPr>
                <w:ilvl w:val="0"/>
                <w:numId w:val="25"/>
              </w:numPr>
              <w:spacing w:after="200" w:line="276" w:lineRule="auto"/>
              <w:rPr>
                <w:rFonts w:ascii="Calibri" w:eastAsia="Calibri" w:hAnsi="Calibri"/>
                <w:sz w:val="22"/>
                <w:szCs w:val="22"/>
                <w:lang w:eastAsia="en-US"/>
              </w:rPr>
            </w:pPr>
            <w:r w:rsidRPr="003E7D63">
              <w:rPr>
                <w:rFonts w:ascii="Calibri" w:eastAsia="Calibri" w:hAnsi="Calibri"/>
                <w:sz w:val="22"/>
                <w:szCs w:val="22"/>
                <w:lang w:eastAsia="en-US"/>
              </w:rPr>
              <w:t xml:space="preserve">Targeting variation in </w:t>
            </w:r>
            <w:r>
              <w:rPr>
                <w:rFonts w:ascii="Calibri" w:eastAsia="Calibri" w:hAnsi="Calibri"/>
                <w:sz w:val="22"/>
                <w:szCs w:val="22"/>
                <w:lang w:eastAsia="en-US"/>
              </w:rPr>
              <w:t xml:space="preserve">the management of other </w:t>
            </w:r>
            <w:r w:rsidRPr="003E7D63">
              <w:rPr>
                <w:rFonts w:ascii="Calibri" w:eastAsia="Calibri" w:hAnsi="Calibri"/>
                <w:sz w:val="22"/>
                <w:szCs w:val="22"/>
                <w:lang w:eastAsia="en-US"/>
              </w:rPr>
              <w:t>chronic disease</w:t>
            </w:r>
            <w:r>
              <w:rPr>
                <w:rFonts w:ascii="Calibri" w:eastAsia="Calibri" w:hAnsi="Calibri"/>
                <w:sz w:val="22"/>
                <w:szCs w:val="22"/>
                <w:lang w:eastAsia="en-US"/>
              </w:rPr>
              <w:t>s</w:t>
            </w:r>
          </w:p>
          <w:p w:rsidR="00BA61A4" w:rsidRPr="00BA61A4" w:rsidRDefault="00BA61A4" w:rsidP="00BA61A4">
            <w:pPr>
              <w:numPr>
                <w:ilvl w:val="0"/>
                <w:numId w:val="25"/>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A patient experience measure – the community rep will be engaging with Patient Participation Groups to identify potential </w:t>
            </w:r>
            <w:r w:rsidR="00854177">
              <w:rPr>
                <w:rFonts w:ascii="Calibri" w:eastAsia="Calibri" w:hAnsi="Calibri"/>
                <w:sz w:val="22"/>
                <w:szCs w:val="22"/>
                <w:lang w:eastAsia="en-US"/>
              </w:rPr>
              <w:t>areas for inclusion</w:t>
            </w:r>
          </w:p>
          <w:p w:rsidR="00554F1A" w:rsidRDefault="00554F1A" w:rsidP="00554F1A">
            <w:pPr>
              <w:numPr>
                <w:ilvl w:val="0"/>
                <w:numId w:val="25"/>
              </w:numPr>
              <w:spacing w:after="200" w:line="276" w:lineRule="auto"/>
              <w:rPr>
                <w:rFonts w:ascii="Calibri" w:eastAsia="Calibri" w:hAnsi="Calibri"/>
                <w:sz w:val="22"/>
                <w:szCs w:val="22"/>
                <w:lang w:eastAsia="en-US"/>
              </w:rPr>
            </w:pPr>
            <w:r>
              <w:rPr>
                <w:rFonts w:ascii="Calibri" w:eastAsia="Calibri" w:hAnsi="Calibri"/>
                <w:sz w:val="22"/>
                <w:szCs w:val="22"/>
                <w:lang w:eastAsia="en-US"/>
              </w:rPr>
              <w:t>M</w:t>
            </w:r>
            <w:r w:rsidRPr="003E7D63">
              <w:rPr>
                <w:rFonts w:ascii="Calibri" w:eastAsia="Calibri" w:hAnsi="Calibri"/>
                <w:sz w:val="22"/>
                <w:szCs w:val="22"/>
                <w:lang w:eastAsia="en-US"/>
              </w:rPr>
              <w:t xml:space="preserve">ore specific </w:t>
            </w:r>
            <w:r>
              <w:rPr>
                <w:rFonts w:ascii="Calibri" w:eastAsia="Calibri" w:hAnsi="Calibri"/>
                <w:sz w:val="22"/>
                <w:szCs w:val="22"/>
                <w:lang w:eastAsia="en-US"/>
              </w:rPr>
              <w:t xml:space="preserve">focus </w:t>
            </w:r>
            <w:r w:rsidRPr="003E7D63">
              <w:rPr>
                <w:rFonts w:ascii="Calibri" w:eastAsia="Calibri" w:hAnsi="Calibri"/>
                <w:sz w:val="22"/>
                <w:szCs w:val="22"/>
                <w:lang w:eastAsia="en-US"/>
              </w:rPr>
              <w:t>on</w:t>
            </w:r>
            <w:r w:rsidR="003A70C5">
              <w:rPr>
                <w:rFonts w:ascii="Calibri" w:eastAsia="Calibri" w:hAnsi="Calibri"/>
                <w:sz w:val="22"/>
                <w:szCs w:val="22"/>
                <w:lang w:eastAsia="en-US"/>
              </w:rPr>
              <w:t xml:space="preserve"> the appropriate prescribing of</w:t>
            </w:r>
            <w:r w:rsidRPr="003E7D63">
              <w:rPr>
                <w:rFonts w:ascii="Calibri" w:eastAsia="Calibri" w:hAnsi="Calibri"/>
                <w:sz w:val="22"/>
                <w:szCs w:val="22"/>
                <w:lang w:eastAsia="en-US"/>
              </w:rPr>
              <w:t xml:space="preserve"> broad spectrum antibiotics</w:t>
            </w:r>
          </w:p>
          <w:p w:rsidR="003A70C5" w:rsidRPr="003E7D63" w:rsidRDefault="003A70C5" w:rsidP="00554F1A">
            <w:pPr>
              <w:numPr>
                <w:ilvl w:val="0"/>
                <w:numId w:val="25"/>
              </w:numPr>
              <w:spacing w:after="200" w:line="276" w:lineRule="auto"/>
              <w:rPr>
                <w:rFonts w:ascii="Calibri" w:eastAsia="Calibri" w:hAnsi="Calibri"/>
                <w:sz w:val="22"/>
                <w:szCs w:val="22"/>
                <w:lang w:eastAsia="en-US"/>
              </w:rPr>
            </w:pPr>
            <w:r>
              <w:rPr>
                <w:rFonts w:ascii="Calibri" w:eastAsia="Calibri" w:hAnsi="Calibri"/>
                <w:sz w:val="22"/>
                <w:szCs w:val="22"/>
                <w:lang w:eastAsia="en-US"/>
              </w:rPr>
              <w:t>More specific focus on consistency in other prescribing areas, subject to review of current year information</w:t>
            </w:r>
          </w:p>
          <w:p w:rsidR="00554F1A" w:rsidRDefault="00554F1A" w:rsidP="00554F1A">
            <w:pPr>
              <w:numPr>
                <w:ilvl w:val="0"/>
                <w:numId w:val="25"/>
              </w:numPr>
              <w:spacing w:after="200" w:line="276" w:lineRule="auto"/>
              <w:rPr>
                <w:rFonts w:ascii="Calibri" w:eastAsia="Calibri" w:hAnsi="Calibri"/>
                <w:sz w:val="22"/>
                <w:szCs w:val="22"/>
                <w:lang w:eastAsia="en-US"/>
              </w:rPr>
            </w:pPr>
            <w:r w:rsidRPr="00117387">
              <w:rPr>
                <w:rFonts w:ascii="Calibri" w:eastAsia="Calibri" w:hAnsi="Calibri"/>
                <w:sz w:val="22"/>
                <w:szCs w:val="22"/>
                <w:lang w:eastAsia="en-US"/>
              </w:rPr>
              <w:t>More targeted focus on variation in referrals (by speciality)</w:t>
            </w:r>
            <w:r w:rsidR="003A70C5">
              <w:rPr>
                <w:rFonts w:ascii="Calibri" w:eastAsia="Calibri" w:hAnsi="Calibri"/>
                <w:sz w:val="22"/>
                <w:szCs w:val="22"/>
                <w:lang w:eastAsia="en-US"/>
              </w:rPr>
              <w:t>, with greater emphasis on peer review and working across Practices</w:t>
            </w:r>
          </w:p>
          <w:p w:rsidR="00554F1A" w:rsidRDefault="00554F1A" w:rsidP="00554F1A">
            <w:pPr>
              <w:tabs>
                <w:tab w:val="left" w:pos="743"/>
              </w:tabs>
              <w:spacing w:line="276" w:lineRule="auto"/>
              <w:rPr>
                <w:rFonts w:ascii="Calibri" w:hAnsi="Calibri" w:cs="Calibri"/>
                <w:bCs/>
                <w:sz w:val="22"/>
                <w:szCs w:val="22"/>
              </w:rPr>
            </w:pPr>
            <w:r w:rsidRPr="004C3D11">
              <w:rPr>
                <w:rFonts w:ascii="Calibri" w:hAnsi="Calibri" w:cs="Calibri"/>
                <w:bCs/>
                <w:sz w:val="22"/>
                <w:szCs w:val="22"/>
              </w:rPr>
              <w:t xml:space="preserve">There is the potential to increase the remuneration for this scheme through </w:t>
            </w:r>
            <w:r>
              <w:rPr>
                <w:rFonts w:ascii="Calibri" w:hAnsi="Calibri" w:cs="Calibri"/>
                <w:bCs/>
                <w:sz w:val="22"/>
                <w:szCs w:val="22"/>
              </w:rPr>
              <w:t xml:space="preserve">the </w:t>
            </w:r>
            <w:r w:rsidRPr="004C3D11">
              <w:rPr>
                <w:rFonts w:ascii="Calibri" w:hAnsi="Calibri" w:cs="Calibri"/>
                <w:bCs/>
                <w:sz w:val="22"/>
                <w:szCs w:val="22"/>
              </w:rPr>
              <w:t xml:space="preserve">use of PMS reinvestment monies, as proposed in </w:t>
            </w:r>
            <w:r w:rsidR="003A70C5">
              <w:rPr>
                <w:rFonts w:ascii="Calibri" w:hAnsi="Calibri" w:cs="Calibri"/>
                <w:bCs/>
                <w:sz w:val="22"/>
                <w:szCs w:val="22"/>
              </w:rPr>
              <w:t xml:space="preserve">the paper regarding PMS reinvestment. </w:t>
            </w:r>
            <w:r>
              <w:rPr>
                <w:rFonts w:ascii="Calibri" w:hAnsi="Calibri" w:cs="Calibri"/>
                <w:bCs/>
                <w:sz w:val="22"/>
                <w:szCs w:val="22"/>
              </w:rPr>
              <w:t>The monitoring requirements w</w:t>
            </w:r>
            <w:r w:rsidR="003A70C5">
              <w:rPr>
                <w:rFonts w:ascii="Calibri" w:hAnsi="Calibri" w:cs="Calibri"/>
                <w:bCs/>
                <w:sz w:val="22"/>
                <w:szCs w:val="22"/>
              </w:rPr>
              <w:t>ill</w:t>
            </w:r>
            <w:r>
              <w:rPr>
                <w:rFonts w:ascii="Calibri" w:hAnsi="Calibri" w:cs="Calibri"/>
                <w:bCs/>
                <w:sz w:val="22"/>
                <w:szCs w:val="22"/>
              </w:rPr>
              <w:t xml:space="preserve"> also be reviewed and refreshed in order to link payment, as far as is possible, to service user outcomes as well as achievement of improved performance.</w:t>
            </w:r>
          </w:p>
          <w:p w:rsidR="003A70C5" w:rsidRDefault="003A70C5" w:rsidP="00554F1A">
            <w:pPr>
              <w:tabs>
                <w:tab w:val="left" w:pos="743"/>
              </w:tabs>
              <w:spacing w:line="276" w:lineRule="auto"/>
              <w:rPr>
                <w:rFonts w:ascii="Calibri" w:hAnsi="Calibri" w:cs="Calibri"/>
                <w:bCs/>
                <w:sz w:val="22"/>
                <w:szCs w:val="22"/>
              </w:rPr>
            </w:pPr>
          </w:p>
          <w:p w:rsidR="003A70C5" w:rsidRDefault="003A70C5" w:rsidP="00554F1A">
            <w:pPr>
              <w:tabs>
                <w:tab w:val="left" w:pos="743"/>
              </w:tabs>
              <w:spacing w:line="276" w:lineRule="auto"/>
              <w:rPr>
                <w:rFonts w:ascii="Calibri" w:hAnsi="Calibri" w:cs="Calibri"/>
                <w:bCs/>
                <w:sz w:val="22"/>
                <w:szCs w:val="22"/>
              </w:rPr>
            </w:pPr>
            <w:r>
              <w:rPr>
                <w:rFonts w:ascii="Calibri" w:hAnsi="Calibri" w:cs="Calibri"/>
                <w:bCs/>
                <w:sz w:val="22"/>
                <w:szCs w:val="22"/>
              </w:rPr>
              <w:t xml:space="preserve">The task and finish group is planning two further meetings, with a view to having a draft scheme available by mid-March 2016. The </w:t>
            </w:r>
            <w:r w:rsidR="005E0C41">
              <w:rPr>
                <w:rFonts w:ascii="Calibri" w:hAnsi="Calibri" w:cs="Calibri"/>
                <w:bCs/>
                <w:sz w:val="22"/>
                <w:szCs w:val="22"/>
              </w:rPr>
              <w:t xml:space="preserve">Joint </w:t>
            </w:r>
            <w:r>
              <w:rPr>
                <w:rFonts w:ascii="Calibri" w:hAnsi="Calibri" w:cs="Calibri"/>
                <w:bCs/>
                <w:sz w:val="22"/>
                <w:szCs w:val="22"/>
              </w:rPr>
              <w:t>Co-Commissioning Committee will be asked to approve the final draft in April 2016.</w:t>
            </w:r>
          </w:p>
          <w:p w:rsidR="00DD7564" w:rsidRPr="00752FD6" w:rsidRDefault="00DD7564" w:rsidP="003A70C5">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9527E0" w:rsidRPr="009527E0" w:rsidRDefault="00554F1A" w:rsidP="009306C6">
            <w:pPr>
              <w:rPr>
                <w:rFonts w:ascii="Calibri" w:hAnsi="Calibri" w:cs="Calibri"/>
                <w:bCs/>
                <w:sz w:val="22"/>
                <w:szCs w:val="22"/>
              </w:rPr>
            </w:pPr>
            <w:r>
              <w:rPr>
                <w:rFonts w:ascii="Calibri" w:hAnsi="Calibri" w:cs="Calibri"/>
                <w:bCs/>
                <w:sz w:val="22"/>
                <w:szCs w:val="22"/>
              </w:rPr>
              <w:t xml:space="preserve">The </w:t>
            </w:r>
            <w:r w:rsidR="005E0C41">
              <w:rPr>
                <w:rFonts w:ascii="Calibri" w:hAnsi="Calibri" w:cs="Calibri"/>
                <w:bCs/>
                <w:sz w:val="22"/>
                <w:szCs w:val="22"/>
              </w:rPr>
              <w:t xml:space="preserve">Joint </w:t>
            </w:r>
            <w:r>
              <w:rPr>
                <w:rFonts w:ascii="Calibri" w:hAnsi="Calibri" w:cs="Calibri"/>
                <w:bCs/>
                <w:sz w:val="22"/>
                <w:szCs w:val="22"/>
              </w:rPr>
              <w:t xml:space="preserve">Co-Commissioning Committee is asked </w:t>
            </w:r>
            <w:r w:rsidR="00EF388C">
              <w:rPr>
                <w:rFonts w:ascii="Calibri" w:hAnsi="Calibri" w:cs="Calibri"/>
                <w:bCs/>
                <w:sz w:val="22"/>
                <w:szCs w:val="22"/>
              </w:rPr>
              <w:t>note the progress so far, suggest any potential additional areas, and endorse the approach.</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C31650"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EF" w:rsidRDefault="009D36EF">
      <w:r>
        <w:separator/>
      </w:r>
    </w:p>
  </w:endnote>
  <w:endnote w:type="continuationSeparator" w:id="0">
    <w:p w:rsidR="009D36EF" w:rsidRDefault="009D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F" w:rsidRDefault="009D36EF"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EF" w:rsidRDefault="009D36EF">
      <w:r>
        <w:separator/>
      </w:r>
    </w:p>
  </w:footnote>
  <w:footnote w:type="continuationSeparator" w:id="0">
    <w:p w:rsidR="009D36EF" w:rsidRDefault="009D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38B7962"/>
    <w:multiLevelType w:val="hybridMultilevel"/>
    <w:tmpl w:val="E38A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17E2898"/>
    <w:multiLevelType w:val="hybridMultilevel"/>
    <w:tmpl w:val="1810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20"/>
  </w:num>
  <w:num w:numId="2">
    <w:abstractNumId w:val="2"/>
  </w:num>
  <w:num w:numId="3">
    <w:abstractNumId w:val="0"/>
  </w:num>
  <w:num w:numId="4">
    <w:abstractNumId w:val="24"/>
  </w:num>
  <w:num w:numId="5">
    <w:abstractNumId w:val="17"/>
  </w:num>
  <w:num w:numId="6">
    <w:abstractNumId w:val="22"/>
  </w:num>
  <w:num w:numId="7">
    <w:abstractNumId w:val="3"/>
  </w:num>
  <w:num w:numId="8">
    <w:abstractNumId w:val="16"/>
  </w:num>
  <w:num w:numId="9">
    <w:abstractNumId w:val="19"/>
  </w:num>
  <w:num w:numId="10">
    <w:abstractNumId w:val="5"/>
  </w:num>
  <w:num w:numId="11">
    <w:abstractNumId w:val="10"/>
  </w:num>
  <w:num w:numId="12">
    <w:abstractNumId w:val="21"/>
  </w:num>
  <w:num w:numId="13">
    <w:abstractNumId w:val="13"/>
  </w:num>
  <w:num w:numId="14">
    <w:abstractNumId w:val="1"/>
  </w:num>
  <w:num w:numId="15">
    <w:abstractNumId w:val="15"/>
  </w:num>
  <w:num w:numId="16">
    <w:abstractNumId w:val="11"/>
  </w:num>
  <w:num w:numId="17">
    <w:abstractNumId w:val="18"/>
  </w:num>
  <w:num w:numId="18">
    <w:abstractNumId w:val="14"/>
  </w:num>
  <w:num w:numId="19">
    <w:abstractNumId w:val="23"/>
  </w:num>
  <w:num w:numId="20">
    <w:abstractNumId w:val="8"/>
  </w:num>
  <w:num w:numId="21">
    <w:abstractNumId w:val="7"/>
  </w:num>
  <w:num w:numId="22">
    <w:abstractNumId w:val="12"/>
  </w:num>
  <w:num w:numId="23">
    <w:abstractNumId w:val="4"/>
  </w:num>
  <w:num w:numId="24">
    <w:abstractNumId w:val="25"/>
  </w:num>
  <w:num w:numId="25">
    <w:abstractNumId w:val="9"/>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A70C5"/>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54F1A"/>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E0C41"/>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54177"/>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36EF"/>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7FC1"/>
    <w:rsid w:val="00B31017"/>
    <w:rsid w:val="00B349FF"/>
    <w:rsid w:val="00B363A4"/>
    <w:rsid w:val="00B40742"/>
    <w:rsid w:val="00B41D76"/>
    <w:rsid w:val="00B4525F"/>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61A4"/>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31650"/>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B47D2"/>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88C"/>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4316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10</cp:revision>
  <cp:lastPrinted>2011-06-01T15:50:00Z</cp:lastPrinted>
  <dcterms:created xsi:type="dcterms:W3CDTF">2016-02-05T11:15:00Z</dcterms:created>
  <dcterms:modified xsi:type="dcterms:W3CDTF">2016-02-08T13:25:00Z</dcterms:modified>
</cp:coreProperties>
</file>