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r w:rsidR="00F4594F">
                              <w:rPr>
                                <w:rFonts w:ascii="Arial" w:hAnsi="Arial" w:cs="Arial"/>
                                <w:sz w:val="32"/>
                                <w:szCs w:val="32"/>
                              </w:rPr>
                              <w:t xml:space="preserve"> 14</w:t>
                            </w:r>
                            <w:bookmarkStart w:id="0" w:name="_GoBack"/>
                            <w:bookmarkEnd w:id="0"/>
                          </w:p>
                          <w:p w:rsidR="009E3C5B" w:rsidRDefault="009E3C5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r w:rsidR="00F4594F">
                        <w:rPr>
                          <w:rFonts w:ascii="Arial" w:hAnsi="Arial" w:cs="Arial"/>
                          <w:sz w:val="32"/>
                          <w:szCs w:val="32"/>
                        </w:rPr>
                        <w:t xml:space="preserve"> 14</w:t>
                      </w:r>
                      <w:bookmarkStart w:id="1" w:name="_GoBack"/>
                      <w:bookmarkEnd w:id="1"/>
                    </w:p>
                    <w:p w:rsidR="009E3C5B" w:rsidRDefault="009E3C5B"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3E45FF" w:rsidP="009306C6">
            <w:pPr>
              <w:rPr>
                <w:rFonts w:ascii="Arial" w:hAnsi="Arial" w:cs="Arial"/>
                <w:bCs/>
                <w:sz w:val="22"/>
                <w:szCs w:val="22"/>
              </w:rPr>
            </w:pPr>
            <w:r>
              <w:rPr>
                <w:rFonts w:ascii="Arial" w:hAnsi="Arial" w:cs="Arial"/>
                <w:bCs/>
                <w:sz w:val="22"/>
                <w:szCs w:val="22"/>
              </w:rPr>
              <w:t>Jo Horsfall</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3E45FF" w:rsidP="00BC5CEC">
            <w:pPr>
              <w:rPr>
                <w:rFonts w:ascii="Arial" w:hAnsi="Arial" w:cs="Arial"/>
                <w:bCs/>
                <w:sz w:val="22"/>
                <w:szCs w:val="22"/>
              </w:rPr>
            </w:pPr>
            <w:r>
              <w:rPr>
                <w:rFonts w:ascii="Arial" w:hAnsi="Arial" w:cs="Arial"/>
                <w:bCs/>
                <w:sz w:val="22"/>
                <w:szCs w:val="22"/>
              </w:rPr>
              <w:t>16.02.16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3E45FF" w:rsidP="009306C6">
            <w:pPr>
              <w:rPr>
                <w:rFonts w:ascii="Arial" w:hAnsi="Arial" w:cs="Arial"/>
                <w:bCs/>
                <w:sz w:val="22"/>
                <w:szCs w:val="22"/>
              </w:rPr>
            </w:pPr>
            <w:r>
              <w:rPr>
                <w:rFonts w:ascii="Arial" w:hAnsi="Arial" w:cs="Arial"/>
                <w:bCs/>
                <w:sz w:val="22"/>
                <w:szCs w:val="22"/>
              </w:rPr>
              <w:t>Q3 Co-commissioning finance update</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2" w:name="Check4"/>
        <w:tc>
          <w:tcPr>
            <w:tcW w:w="8003" w:type="dxa"/>
            <w:shd w:val="clear" w:color="auto" w:fill="auto"/>
          </w:tcPr>
          <w:p w:rsidR="00DD689C" w:rsidRPr="00752FD6" w:rsidRDefault="00DD7564" w:rsidP="003E45FF">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bookmarkStart w:id="3" w:name="Check8"/>
            <w:r w:rsidR="003E45FF">
              <w:rPr>
                <w:rFonts w:ascii="Arial" w:hAnsi="Arial" w:cs="Arial"/>
                <w:sz w:val="22"/>
                <w:szCs w:val="22"/>
              </w:rPr>
              <w:fldChar w:fldCharType="begin">
                <w:ffData>
                  <w:name w:val="Check8"/>
                  <w:enabled/>
                  <w:calcOnExit w:val="0"/>
                  <w:checkBox>
                    <w:sizeAuto/>
                    <w:default w:val="1"/>
                  </w:checkBox>
                </w:ffData>
              </w:fldChar>
            </w:r>
            <w:r w:rsidR="003E45FF">
              <w:rPr>
                <w:rFonts w:ascii="Arial" w:hAnsi="Arial" w:cs="Arial"/>
                <w:sz w:val="22"/>
                <w:szCs w:val="22"/>
              </w:rPr>
              <w:instrText xml:space="preserve"> FORMCHECKBOX </w:instrText>
            </w:r>
            <w:r w:rsidR="003E45FF">
              <w:rPr>
                <w:rFonts w:ascii="Arial" w:hAnsi="Arial" w:cs="Arial"/>
                <w:sz w:val="22"/>
                <w:szCs w:val="22"/>
              </w:rPr>
            </w:r>
            <w:r w:rsidR="003E45FF">
              <w:rPr>
                <w:rFonts w:ascii="Arial" w:hAnsi="Arial" w:cs="Arial"/>
                <w:sz w:val="22"/>
                <w:szCs w:val="22"/>
              </w:rPr>
              <w:fldChar w:fldCharType="end"/>
            </w:r>
            <w:bookmarkEnd w:id="3"/>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3E45FF"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D26686" w:rsidRDefault="00D26686" w:rsidP="00D26686">
            <w:pPr>
              <w:rPr>
                <w:rFonts w:asciiTheme="minorHAnsi" w:hAnsiTheme="minorHAnsi" w:cstheme="minorHAnsi"/>
              </w:rPr>
            </w:pPr>
          </w:p>
          <w:p w:rsidR="00D26686" w:rsidRDefault="00D26686" w:rsidP="00D26686">
            <w:pPr>
              <w:rPr>
                <w:rFonts w:asciiTheme="minorHAnsi" w:hAnsiTheme="minorHAnsi" w:cstheme="minorHAnsi"/>
              </w:rPr>
            </w:pPr>
          </w:p>
          <w:p w:rsidR="00D26686" w:rsidRDefault="00D26686" w:rsidP="00D26686">
            <w:pPr>
              <w:rPr>
                <w:rFonts w:ascii="Arial" w:hAnsi="Arial" w:cs="Arial"/>
                <w:bCs/>
                <w:sz w:val="22"/>
                <w:szCs w:val="22"/>
              </w:rPr>
            </w:pP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3E45FF" w:rsidRDefault="006A74AF" w:rsidP="003E45FF">
            <w:pPr>
              <w:rPr>
                <w:rFonts w:ascii="Arial" w:hAnsi="Arial" w:cs="Arial"/>
                <w:bCs/>
                <w:sz w:val="22"/>
                <w:szCs w:val="22"/>
              </w:rPr>
            </w:pPr>
            <w:r w:rsidRPr="00752FD6">
              <w:rPr>
                <w:rFonts w:ascii="Arial" w:hAnsi="Arial" w:cs="Arial"/>
                <w:b/>
                <w:bCs/>
                <w:sz w:val="22"/>
                <w:szCs w:val="22"/>
              </w:rPr>
              <w:t>OBJECT OF REPORT</w:t>
            </w:r>
            <w:r>
              <w:rPr>
                <w:rFonts w:ascii="Arial" w:hAnsi="Arial" w:cs="Arial"/>
                <w:b/>
                <w:bCs/>
                <w:sz w:val="22"/>
                <w:szCs w:val="22"/>
              </w:rPr>
              <w:t>:</w:t>
            </w:r>
            <w:r w:rsidR="003E45FF">
              <w:rPr>
                <w:rFonts w:ascii="Arial" w:hAnsi="Arial" w:cs="Arial"/>
                <w:b/>
                <w:bCs/>
                <w:sz w:val="22"/>
                <w:szCs w:val="22"/>
              </w:rPr>
              <w:t xml:space="preserve"> </w:t>
            </w:r>
            <w:r w:rsidR="003E45FF">
              <w:rPr>
                <w:rFonts w:ascii="Arial" w:hAnsi="Arial" w:cs="Arial"/>
                <w:bCs/>
                <w:sz w:val="22"/>
                <w:szCs w:val="22"/>
              </w:rPr>
              <w:t>To update on Q3</w:t>
            </w:r>
            <w:r w:rsidR="003E45FF" w:rsidRPr="0018779F">
              <w:rPr>
                <w:rFonts w:ascii="Arial" w:hAnsi="Arial" w:cs="Arial"/>
                <w:bCs/>
                <w:sz w:val="22"/>
                <w:szCs w:val="22"/>
              </w:rPr>
              <w:t xml:space="preserve"> </w:t>
            </w:r>
            <w:r w:rsidR="003E45FF">
              <w:rPr>
                <w:rFonts w:ascii="Arial" w:hAnsi="Arial" w:cs="Arial"/>
                <w:bCs/>
                <w:sz w:val="22"/>
                <w:szCs w:val="22"/>
              </w:rPr>
              <w:t>co-commissioning budgets</w:t>
            </w:r>
          </w:p>
        </w:tc>
      </w:tr>
      <w:tr w:rsidR="00DD689C" w:rsidRPr="00752FD6" w:rsidTr="00D73892">
        <w:trPr>
          <w:trHeight w:val="1693"/>
        </w:trPr>
        <w:tc>
          <w:tcPr>
            <w:tcW w:w="10031" w:type="dxa"/>
            <w:shd w:val="clear" w:color="auto" w:fill="auto"/>
          </w:tcPr>
          <w:p w:rsidR="00DD689C" w:rsidRDefault="00DD689C" w:rsidP="009306C6">
            <w:pPr>
              <w:rPr>
                <w:rFonts w:ascii="Arial" w:hAnsi="Arial" w:cs="Arial"/>
                <w:bCs/>
                <w:sz w:val="22"/>
                <w:szCs w:val="22"/>
              </w:rPr>
            </w:pPr>
          </w:p>
          <w:p w:rsidR="00DD7564" w:rsidRDefault="00DD7564" w:rsidP="00B41D76">
            <w:pPr>
              <w:rPr>
                <w:rFonts w:ascii="Arial" w:hAnsi="Arial" w:cs="Arial"/>
                <w:bCs/>
                <w:sz w:val="22"/>
                <w:szCs w:val="22"/>
              </w:rPr>
            </w:pPr>
          </w:p>
          <w:p w:rsidR="006A74AF" w:rsidRPr="00D73892" w:rsidRDefault="00D73892" w:rsidP="00B41D76">
            <w:pPr>
              <w:rPr>
                <w:rFonts w:ascii="Arial" w:hAnsi="Arial" w:cs="Arial"/>
                <w:sz w:val="20"/>
                <w:szCs w:val="20"/>
              </w:rPr>
            </w:pPr>
            <w:r>
              <w:rPr>
                <w:rFonts w:ascii="Arial" w:hAnsi="Arial" w:cs="Arial"/>
                <w:sz w:val="20"/>
                <w:szCs w:val="20"/>
              </w:rPr>
              <w:t>This report summarises the financial position with regards to the funds identified as within the scope of primary care joint commissioning for NHS England and NHS North East Lincolnshire CCG for the period ended 31/12/15.</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6A74AF" w:rsidP="00B41D76">
            <w:pPr>
              <w:rPr>
                <w:rFonts w:ascii="Arial" w:hAnsi="Arial" w:cs="Arial"/>
                <w:bCs/>
                <w:sz w:val="22"/>
                <w:szCs w:val="22"/>
              </w:rPr>
            </w:pP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3892">
        <w:trPr>
          <w:trHeight w:val="570"/>
        </w:trPr>
        <w:tc>
          <w:tcPr>
            <w:tcW w:w="10031" w:type="dxa"/>
            <w:shd w:val="clear" w:color="auto" w:fill="auto"/>
          </w:tcPr>
          <w:p w:rsidR="00585083" w:rsidRDefault="00585083" w:rsidP="00585083">
            <w:pPr>
              <w:jc w:val="both"/>
              <w:rPr>
                <w:rFonts w:ascii="Arial" w:hAnsi="Arial" w:cs="Arial"/>
                <w:bCs/>
                <w:sz w:val="22"/>
                <w:szCs w:val="22"/>
              </w:rPr>
            </w:pPr>
          </w:p>
          <w:p w:rsidR="006A74AF" w:rsidRDefault="006A74AF" w:rsidP="00585083">
            <w:pPr>
              <w:jc w:val="both"/>
              <w:rPr>
                <w:rFonts w:ascii="Arial" w:hAnsi="Arial" w:cs="Arial"/>
                <w:bCs/>
                <w:sz w:val="22"/>
                <w:szCs w:val="22"/>
              </w:rPr>
            </w:pPr>
          </w:p>
          <w:p w:rsidR="006A74AF" w:rsidRDefault="006A74AF" w:rsidP="00585083">
            <w:pPr>
              <w:jc w:val="both"/>
              <w:rPr>
                <w:rFonts w:ascii="Arial" w:hAnsi="Arial" w:cs="Arial"/>
                <w:bCs/>
                <w:sz w:val="22"/>
                <w:szCs w:val="22"/>
              </w:rPr>
            </w:pP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r w:rsidR="003E45FF">
              <w:rPr>
                <w:rFonts w:ascii="Arial" w:hAnsi="Arial" w:cs="Arial"/>
                <w:b/>
                <w:bCs/>
                <w:sz w:val="22"/>
                <w:szCs w:val="22"/>
              </w:rPr>
              <w:t xml:space="preserve">  </w:t>
            </w:r>
            <w:r w:rsidR="003E45FF" w:rsidRPr="003E45FF">
              <w:rPr>
                <w:rFonts w:ascii="Arial" w:hAnsi="Arial" w:cs="Arial"/>
                <w:bCs/>
                <w:sz w:val="22"/>
                <w:szCs w:val="22"/>
              </w:rPr>
              <w:t>Report is for information only</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D73892" w:rsidRDefault="00D73892" w:rsidP="00D73892">
            <w:pPr>
              <w:rPr>
                <w:rFonts w:ascii="Arial" w:hAnsi="Arial" w:cs="Arial"/>
                <w:bCs/>
                <w:sz w:val="22"/>
                <w:szCs w:val="22"/>
              </w:rPr>
            </w:pPr>
            <w:r>
              <w:rPr>
                <w:rFonts w:ascii="Arial" w:hAnsi="Arial" w:cs="Arial"/>
                <w:sz w:val="18"/>
                <w:szCs w:val="18"/>
              </w:rPr>
              <w:t>Members are asked to note the position</w:t>
            </w: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D73892">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F4594F"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73892" w:rsidRDefault="00D73892" w:rsidP="00D7033C">
      <w:pPr>
        <w:rPr>
          <w:rFonts w:ascii="Arial" w:hAnsi="Arial" w:cs="Arial"/>
          <w:b/>
          <w:bCs/>
          <w:sz w:val="22"/>
          <w:szCs w:val="22"/>
        </w:rPr>
      </w:pPr>
    </w:p>
    <w:p w:rsidR="00D73892" w:rsidRDefault="00D73892">
      <w:pPr>
        <w:rPr>
          <w:rFonts w:ascii="Arial" w:hAnsi="Arial" w:cs="Arial"/>
          <w:b/>
          <w:bCs/>
          <w:sz w:val="22"/>
          <w:szCs w:val="22"/>
        </w:rPr>
      </w:pPr>
      <w:r>
        <w:rPr>
          <w:rFonts w:ascii="Arial" w:hAnsi="Arial" w:cs="Arial"/>
          <w:b/>
          <w:bCs/>
          <w:sz w:val="22"/>
          <w:szCs w:val="22"/>
        </w:rPr>
        <w:br w:type="page"/>
      </w:r>
    </w:p>
    <w:p w:rsidR="00D73892" w:rsidRDefault="00D73892" w:rsidP="00D73892">
      <w:pPr>
        <w:jc w:val="center"/>
        <w:rPr>
          <w:rFonts w:ascii="Arial" w:hAnsi="Arial" w:cs="Arial"/>
          <w:b/>
          <w:sz w:val="20"/>
          <w:szCs w:val="20"/>
        </w:rPr>
      </w:pPr>
      <w:r>
        <w:rPr>
          <w:rFonts w:ascii="Arial" w:hAnsi="Arial" w:cs="Arial"/>
          <w:b/>
          <w:sz w:val="20"/>
          <w:szCs w:val="20"/>
        </w:rPr>
        <w:lastRenderedPageBreak/>
        <w:t>NHS ENGLAND &amp; NHS NORTH EAST LINCOLNSHIRE CCG</w:t>
      </w:r>
    </w:p>
    <w:p w:rsidR="00D73892" w:rsidRDefault="00D73892" w:rsidP="00D73892">
      <w:pPr>
        <w:jc w:val="center"/>
        <w:rPr>
          <w:rFonts w:ascii="Arial" w:hAnsi="Arial" w:cs="Arial"/>
          <w:b/>
          <w:sz w:val="20"/>
          <w:szCs w:val="20"/>
        </w:rPr>
      </w:pPr>
    </w:p>
    <w:p w:rsidR="00D73892" w:rsidRDefault="00D73892" w:rsidP="00D73892">
      <w:pPr>
        <w:jc w:val="center"/>
        <w:rPr>
          <w:rFonts w:ascii="Arial" w:hAnsi="Arial" w:cs="Arial"/>
          <w:sz w:val="20"/>
          <w:szCs w:val="20"/>
        </w:rPr>
      </w:pPr>
      <w:r>
        <w:rPr>
          <w:rFonts w:ascii="Arial" w:hAnsi="Arial" w:cs="Arial"/>
          <w:b/>
          <w:sz w:val="20"/>
          <w:szCs w:val="20"/>
        </w:rPr>
        <w:t>PRIMARY CARE JOINT CO-COMMISSIONING BOARD FINANCIAL REPORT</w:t>
      </w:r>
    </w:p>
    <w:p w:rsidR="00D73892" w:rsidRDefault="00D73892" w:rsidP="00D73892">
      <w:pPr>
        <w:jc w:val="center"/>
        <w:rPr>
          <w:rFonts w:ascii="Arial" w:hAnsi="Arial" w:cs="Arial"/>
          <w:sz w:val="20"/>
          <w:szCs w:val="20"/>
        </w:rPr>
      </w:pPr>
    </w:p>
    <w:p w:rsidR="00D73892" w:rsidRDefault="00D73892" w:rsidP="00D73892">
      <w:pPr>
        <w:rPr>
          <w:rFonts w:ascii="Arial" w:hAnsi="Arial" w:cs="Arial"/>
          <w:sz w:val="20"/>
          <w:szCs w:val="20"/>
        </w:rPr>
      </w:pPr>
      <w:r>
        <w:rPr>
          <w:rFonts w:ascii="Arial" w:hAnsi="Arial" w:cs="Arial"/>
          <w:b/>
          <w:sz w:val="20"/>
          <w:szCs w:val="20"/>
        </w:rPr>
        <w:t>Introduction</w:t>
      </w:r>
    </w:p>
    <w:p w:rsidR="00D73892" w:rsidRDefault="00D73892" w:rsidP="00D73892">
      <w:pPr>
        <w:rPr>
          <w:rFonts w:ascii="Arial" w:hAnsi="Arial" w:cs="Arial"/>
          <w:sz w:val="20"/>
          <w:szCs w:val="20"/>
        </w:rPr>
      </w:pPr>
    </w:p>
    <w:p w:rsidR="00D73892" w:rsidRDefault="00D73892" w:rsidP="00D73892">
      <w:pPr>
        <w:rPr>
          <w:rFonts w:ascii="Arial" w:hAnsi="Arial" w:cs="Arial"/>
          <w:sz w:val="20"/>
          <w:szCs w:val="20"/>
        </w:rPr>
      </w:pPr>
      <w:r>
        <w:rPr>
          <w:rFonts w:ascii="Arial" w:hAnsi="Arial" w:cs="Arial"/>
          <w:sz w:val="20"/>
          <w:szCs w:val="20"/>
        </w:rPr>
        <w:t>This report summarises the financial position with regards to the funds identified as within the scope of primary care joint commissioning for NHS England and NHS North East Lincolnshire CCG for the period ended 31/12/15.</w:t>
      </w:r>
    </w:p>
    <w:p w:rsidR="00D73892" w:rsidRDefault="00D73892" w:rsidP="00D73892">
      <w:pPr>
        <w:rPr>
          <w:rFonts w:ascii="Arial" w:hAnsi="Arial" w:cs="Arial"/>
          <w:sz w:val="20"/>
          <w:szCs w:val="20"/>
        </w:rPr>
      </w:pPr>
    </w:p>
    <w:p w:rsidR="00D73892" w:rsidRDefault="00D73892" w:rsidP="00D73892">
      <w:pPr>
        <w:rPr>
          <w:rFonts w:ascii="Arial" w:hAnsi="Arial" w:cs="Arial"/>
          <w:b/>
          <w:sz w:val="20"/>
          <w:szCs w:val="20"/>
        </w:rPr>
      </w:pPr>
      <w:r>
        <w:rPr>
          <w:rFonts w:ascii="Arial" w:hAnsi="Arial" w:cs="Arial"/>
          <w:b/>
          <w:sz w:val="20"/>
          <w:szCs w:val="20"/>
        </w:rPr>
        <w:t>Revenue Expenditure Position</w:t>
      </w:r>
    </w:p>
    <w:p w:rsidR="00D73892" w:rsidRDefault="00D73892" w:rsidP="00D73892">
      <w:pPr>
        <w:rPr>
          <w:rFonts w:ascii="Arial" w:hAnsi="Arial" w:cs="Arial"/>
          <w:b/>
          <w:sz w:val="20"/>
          <w:szCs w:val="20"/>
        </w:rPr>
      </w:pPr>
    </w:p>
    <w:p w:rsidR="00D73892" w:rsidRDefault="00D73892" w:rsidP="00D73892">
      <w:pPr>
        <w:rPr>
          <w:rFonts w:ascii="Arial" w:hAnsi="Arial" w:cs="Arial"/>
          <w:sz w:val="20"/>
          <w:szCs w:val="20"/>
        </w:rPr>
      </w:pPr>
      <w:r>
        <w:rPr>
          <w:rFonts w:ascii="Arial" w:hAnsi="Arial" w:cs="Arial"/>
          <w:sz w:val="20"/>
          <w:szCs w:val="20"/>
        </w:rPr>
        <w:t>The supplementary information attached at Appendix 1 provides further analysis</w:t>
      </w:r>
    </w:p>
    <w:p w:rsidR="00D73892" w:rsidRDefault="00D73892" w:rsidP="00D73892">
      <w:pPr>
        <w:rPr>
          <w:rFonts w:ascii="Arial" w:hAnsi="Arial" w:cs="Arial"/>
          <w:sz w:val="20"/>
          <w:szCs w:val="20"/>
        </w:rPr>
      </w:pPr>
    </w:p>
    <w:p w:rsidR="00D73892" w:rsidRDefault="00D73892" w:rsidP="00D73892">
      <w:pPr>
        <w:rPr>
          <w:rFonts w:ascii="Arial" w:hAnsi="Arial" w:cs="Arial"/>
          <w:sz w:val="20"/>
          <w:szCs w:val="20"/>
        </w:rPr>
      </w:pPr>
      <w:r>
        <w:rPr>
          <w:rFonts w:ascii="Arial" w:hAnsi="Arial" w:cs="Arial"/>
          <w:sz w:val="20"/>
          <w:szCs w:val="20"/>
        </w:rPr>
        <w:t>It is important to note that, under the joint commissioning arrangements in place, the financial responsibility and risk remains with the appropriate commissioning organisation.</w:t>
      </w:r>
    </w:p>
    <w:p w:rsidR="00D73892" w:rsidRDefault="00D73892" w:rsidP="00D73892">
      <w:pPr>
        <w:rPr>
          <w:rFonts w:ascii="Arial" w:hAnsi="Arial" w:cs="Arial"/>
          <w:b/>
          <w:sz w:val="20"/>
          <w:szCs w:val="20"/>
        </w:rPr>
      </w:pPr>
    </w:p>
    <w:tbl>
      <w:tblPr>
        <w:tblW w:w="8880" w:type="dxa"/>
        <w:tblInd w:w="93" w:type="dxa"/>
        <w:tblLook w:val="04A0" w:firstRow="1" w:lastRow="0" w:firstColumn="1" w:lastColumn="0" w:noHBand="0" w:noVBand="1"/>
      </w:tblPr>
      <w:tblGrid>
        <w:gridCol w:w="2880"/>
        <w:gridCol w:w="1040"/>
        <w:gridCol w:w="1050"/>
        <w:gridCol w:w="1050"/>
        <w:gridCol w:w="960"/>
        <w:gridCol w:w="960"/>
        <w:gridCol w:w="1050"/>
      </w:tblGrid>
      <w:tr w:rsidR="00D73892" w:rsidTr="00D73892">
        <w:trPr>
          <w:trHeight w:val="255"/>
        </w:trPr>
        <w:tc>
          <w:tcPr>
            <w:tcW w:w="2880"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D73892" w:rsidRDefault="00D73892">
            <w:pPr>
              <w:spacing w:line="276" w:lineRule="auto"/>
              <w:rPr>
                <w:rFonts w:ascii="Arial" w:hAnsi="Arial" w:cs="Arial"/>
                <w:b/>
                <w:bCs/>
                <w:sz w:val="20"/>
                <w:szCs w:val="20"/>
              </w:rPr>
            </w:pPr>
            <w:bookmarkStart w:id="4" w:name="RANGE!A1:G8"/>
            <w:r>
              <w:rPr>
                <w:rFonts w:ascii="Arial" w:hAnsi="Arial" w:cs="Arial"/>
                <w:b/>
                <w:bCs/>
                <w:sz w:val="20"/>
                <w:szCs w:val="20"/>
              </w:rPr>
              <w:t>Services commissioned by</w:t>
            </w:r>
            <w:bookmarkEnd w:id="4"/>
          </w:p>
        </w:tc>
        <w:tc>
          <w:tcPr>
            <w:tcW w:w="3120" w:type="dxa"/>
            <w:gridSpan w:val="3"/>
            <w:tcBorders>
              <w:top w:val="single" w:sz="4" w:space="0" w:color="auto"/>
              <w:left w:val="nil"/>
              <w:bottom w:val="single" w:sz="4" w:space="0" w:color="auto"/>
              <w:right w:val="single" w:sz="4" w:space="0" w:color="000000"/>
            </w:tcBorders>
            <w:shd w:val="clear" w:color="auto" w:fill="C0C0C0"/>
            <w:noWrap/>
            <w:vAlign w:val="bottom"/>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FULL YEAR</w:t>
            </w:r>
          </w:p>
        </w:tc>
        <w:tc>
          <w:tcPr>
            <w:tcW w:w="2880" w:type="dxa"/>
            <w:gridSpan w:val="3"/>
            <w:tcBorders>
              <w:top w:val="single" w:sz="4" w:space="0" w:color="auto"/>
              <w:left w:val="nil"/>
              <w:bottom w:val="single" w:sz="4" w:space="0" w:color="auto"/>
              <w:right w:val="single" w:sz="4" w:space="0" w:color="000000"/>
            </w:tcBorders>
            <w:shd w:val="clear" w:color="auto" w:fill="C0C0C0"/>
            <w:noWrap/>
            <w:vAlign w:val="bottom"/>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YEAR TO DATE</w:t>
            </w:r>
          </w:p>
        </w:tc>
      </w:tr>
      <w:tr w:rsidR="00D73892" w:rsidTr="00D73892">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73892" w:rsidRDefault="00D73892">
            <w:pPr>
              <w:rPr>
                <w:rFonts w:ascii="Arial" w:hAnsi="Arial" w:cs="Arial"/>
                <w:b/>
                <w:bCs/>
                <w:sz w:val="20"/>
                <w:szCs w:val="20"/>
              </w:rPr>
            </w:pPr>
          </w:p>
        </w:tc>
        <w:tc>
          <w:tcPr>
            <w:tcW w:w="1040" w:type="dxa"/>
            <w:tcBorders>
              <w:top w:val="nil"/>
              <w:left w:val="nil"/>
              <w:bottom w:val="single" w:sz="4" w:space="0" w:color="auto"/>
              <w:right w:val="single" w:sz="4" w:space="0" w:color="auto"/>
            </w:tcBorders>
            <w:shd w:val="clear" w:color="auto" w:fill="C0C0C0"/>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Current Plan</w:t>
            </w:r>
            <w:r>
              <w:rPr>
                <w:rFonts w:ascii="Arial" w:hAnsi="Arial" w:cs="Arial"/>
                <w:b/>
                <w:bCs/>
                <w:sz w:val="20"/>
                <w:szCs w:val="20"/>
              </w:rPr>
              <w:br/>
              <w:t>£'000s</w:t>
            </w:r>
          </w:p>
        </w:tc>
        <w:tc>
          <w:tcPr>
            <w:tcW w:w="1040" w:type="dxa"/>
            <w:tcBorders>
              <w:top w:val="nil"/>
              <w:left w:val="nil"/>
              <w:bottom w:val="single" w:sz="4" w:space="0" w:color="auto"/>
              <w:right w:val="single" w:sz="4" w:space="0" w:color="auto"/>
            </w:tcBorders>
            <w:shd w:val="clear" w:color="auto" w:fill="C0C0C0"/>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Forecast Outturn</w:t>
            </w:r>
            <w:r>
              <w:rPr>
                <w:rFonts w:ascii="Arial" w:hAnsi="Arial" w:cs="Arial"/>
                <w:b/>
                <w:bCs/>
                <w:sz w:val="20"/>
                <w:szCs w:val="20"/>
              </w:rPr>
              <w:br/>
              <w:t>£'000s</w:t>
            </w:r>
          </w:p>
        </w:tc>
        <w:tc>
          <w:tcPr>
            <w:tcW w:w="1040" w:type="dxa"/>
            <w:tcBorders>
              <w:top w:val="nil"/>
              <w:left w:val="nil"/>
              <w:bottom w:val="single" w:sz="4" w:space="0" w:color="auto"/>
              <w:right w:val="single" w:sz="4" w:space="0" w:color="auto"/>
            </w:tcBorders>
            <w:shd w:val="clear" w:color="auto" w:fill="C0C0C0"/>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Forecast Variance</w:t>
            </w:r>
            <w:r>
              <w:rPr>
                <w:rFonts w:ascii="Arial" w:hAnsi="Arial" w:cs="Arial"/>
                <w:b/>
                <w:bCs/>
                <w:sz w:val="20"/>
                <w:szCs w:val="20"/>
              </w:rPr>
              <w:br/>
              <w:t>£'000s</w:t>
            </w:r>
          </w:p>
        </w:tc>
        <w:tc>
          <w:tcPr>
            <w:tcW w:w="960" w:type="dxa"/>
            <w:tcBorders>
              <w:top w:val="nil"/>
              <w:left w:val="nil"/>
              <w:bottom w:val="single" w:sz="4" w:space="0" w:color="auto"/>
              <w:right w:val="single" w:sz="4" w:space="0" w:color="auto"/>
            </w:tcBorders>
            <w:shd w:val="clear" w:color="auto" w:fill="C0C0C0"/>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Current Plan</w:t>
            </w:r>
            <w:r>
              <w:rPr>
                <w:rFonts w:ascii="Arial" w:hAnsi="Arial" w:cs="Arial"/>
                <w:b/>
                <w:bCs/>
                <w:sz w:val="20"/>
                <w:szCs w:val="20"/>
              </w:rPr>
              <w:br/>
              <w:t>£'000s</w:t>
            </w:r>
          </w:p>
        </w:tc>
        <w:tc>
          <w:tcPr>
            <w:tcW w:w="960" w:type="dxa"/>
            <w:tcBorders>
              <w:top w:val="nil"/>
              <w:left w:val="nil"/>
              <w:bottom w:val="single" w:sz="4" w:space="0" w:color="auto"/>
              <w:right w:val="single" w:sz="4" w:space="0" w:color="auto"/>
            </w:tcBorders>
            <w:shd w:val="clear" w:color="auto" w:fill="C0C0C0"/>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Actual</w:t>
            </w:r>
            <w:r>
              <w:rPr>
                <w:rFonts w:ascii="Arial" w:hAnsi="Arial" w:cs="Arial"/>
                <w:b/>
                <w:bCs/>
                <w:sz w:val="20"/>
                <w:szCs w:val="20"/>
              </w:rPr>
              <w:br/>
            </w:r>
            <w:r>
              <w:rPr>
                <w:rFonts w:ascii="Arial" w:hAnsi="Arial" w:cs="Arial"/>
                <w:b/>
                <w:bCs/>
                <w:sz w:val="20"/>
                <w:szCs w:val="20"/>
              </w:rPr>
              <w:br/>
              <w:t>£'000s</w:t>
            </w:r>
          </w:p>
        </w:tc>
        <w:tc>
          <w:tcPr>
            <w:tcW w:w="960" w:type="dxa"/>
            <w:tcBorders>
              <w:top w:val="nil"/>
              <w:left w:val="nil"/>
              <w:bottom w:val="single" w:sz="4" w:space="0" w:color="auto"/>
              <w:right w:val="single" w:sz="4" w:space="0" w:color="auto"/>
            </w:tcBorders>
            <w:shd w:val="clear" w:color="auto" w:fill="C0C0C0"/>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Variance</w:t>
            </w:r>
            <w:r>
              <w:rPr>
                <w:rFonts w:ascii="Arial" w:hAnsi="Arial" w:cs="Arial"/>
                <w:b/>
                <w:bCs/>
                <w:sz w:val="20"/>
                <w:szCs w:val="20"/>
              </w:rPr>
              <w:br/>
            </w:r>
            <w:r>
              <w:rPr>
                <w:rFonts w:ascii="Arial" w:hAnsi="Arial" w:cs="Arial"/>
                <w:b/>
                <w:bCs/>
                <w:sz w:val="20"/>
                <w:szCs w:val="20"/>
              </w:rPr>
              <w:br/>
              <w:t>£'000s</w:t>
            </w:r>
          </w:p>
        </w:tc>
      </w:tr>
      <w:tr w:rsidR="00D73892" w:rsidTr="00D73892">
        <w:trPr>
          <w:trHeight w:val="255"/>
        </w:trPr>
        <w:tc>
          <w:tcPr>
            <w:tcW w:w="2880" w:type="dxa"/>
            <w:tcBorders>
              <w:top w:val="nil"/>
              <w:left w:val="single" w:sz="4" w:space="0" w:color="auto"/>
              <w:bottom w:val="nil"/>
              <w:right w:val="nil"/>
            </w:tcBorders>
            <w:noWrap/>
            <w:vAlign w:val="bottom"/>
            <w:hideMark/>
          </w:tcPr>
          <w:p w:rsidR="00D73892" w:rsidRDefault="00D73892">
            <w:pPr>
              <w:spacing w:line="276" w:lineRule="auto"/>
              <w:rPr>
                <w:rFonts w:ascii="Arial" w:hAnsi="Arial" w:cs="Arial"/>
                <w:sz w:val="20"/>
                <w:szCs w:val="20"/>
              </w:rPr>
            </w:pPr>
            <w:r>
              <w:rPr>
                <w:rFonts w:ascii="Arial" w:hAnsi="Arial" w:cs="Arial"/>
                <w:sz w:val="20"/>
                <w:szCs w:val="20"/>
              </w:rPr>
              <w:t> </w:t>
            </w:r>
          </w:p>
        </w:tc>
        <w:tc>
          <w:tcPr>
            <w:tcW w:w="1040" w:type="dxa"/>
            <w:tcBorders>
              <w:top w:val="nil"/>
              <w:left w:val="single" w:sz="4" w:space="0" w:color="auto"/>
              <w:bottom w:val="nil"/>
              <w:right w:val="single" w:sz="4" w:space="0" w:color="auto"/>
            </w:tcBorders>
            <w:noWrap/>
            <w:vAlign w:val="bottom"/>
            <w:hideMark/>
          </w:tcPr>
          <w:p w:rsidR="00D73892" w:rsidRDefault="00D73892">
            <w:pPr>
              <w:spacing w:line="276" w:lineRule="auto"/>
              <w:rPr>
                <w:rFonts w:ascii="Arial" w:hAnsi="Arial" w:cs="Arial"/>
                <w:sz w:val="20"/>
                <w:szCs w:val="20"/>
              </w:rPr>
            </w:pPr>
            <w:r>
              <w:rPr>
                <w:rFonts w:ascii="Arial" w:hAnsi="Arial" w:cs="Arial"/>
                <w:sz w:val="20"/>
                <w:szCs w:val="20"/>
              </w:rPr>
              <w:t> </w:t>
            </w:r>
          </w:p>
        </w:tc>
        <w:tc>
          <w:tcPr>
            <w:tcW w:w="1040" w:type="dxa"/>
            <w:tcBorders>
              <w:top w:val="nil"/>
              <w:left w:val="nil"/>
              <w:bottom w:val="nil"/>
              <w:right w:val="single" w:sz="4" w:space="0" w:color="auto"/>
            </w:tcBorders>
            <w:noWrap/>
            <w:vAlign w:val="bottom"/>
            <w:hideMark/>
          </w:tcPr>
          <w:p w:rsidR="00D73892" w:rsidRDefault="00D73892">
            <w:pPr>
              <w:spacing w:line="276" w:lineRule="auto"/>
              <w:rPr>
                <w:rFonts w:ascii="Arial" w:hAnsi="Arial" w:cs="Arial"/>
                <w:sz w:val="20"/>
                <w:szCs w:val="20"/>
              </w:rPr>
            </w:pPr>
            <w:r>
              <w:rPr>
                <w:rFonts w:ascii="Arial" w:hAnsi="Arial" w:cs="Arial"/>
                <w:sz w:val="20"/>
                <w:szCs w:val="20"/>
              </w:rPr>
              <w:t> </w:t>
            </w:r>
          </w:p>
        </w:tc>
        <w:tc>
          <w:tcPr>
            <w:tcW w:w="1040" w:type="dxa"/>
            <w:tcBorders>
              <w:top w:val="nil"/>
              <w:left w:val="nil"/>
              <w:bottom w:val="nil"/>
              <w:right w:val="single" w:sz="4" w:space="0" w:color="auto"/>
            </w:tcBorders>
            <w:noWrap/>
            <w:vAlign w:val="bottom"/>
            <w:hideMark/>
          </w:tcPr>
          <w:p w:rsidR="00D73892" w:rsidRDefault="00D73892">
            <w:pPr>
              <w:spacing w:line="276" w:lineRule="auto"/>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noWrap/>
            <w:vAlign w:val="bottom"/>
            <w:hideMark/>
          </w:tcPr>
          <w:p w:rsidR="00D73892" w:rsidRDefault="00D73892">
            <w:pPr>
              <w:spacing w:line="276" w:lineRule="auto"/>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noWrap/>
            <w:vAlign w:val="bottom"/>
            <w:hideMark/>
          </w:tcPr>
          <w:p w:rsidR="00D73892" w:rsidRDefault="00D73892">
            <w:pPr>
              <w:spacing w:line="276" w:lineRule="auto"/>
              <w:rPr>
                <w:rFonts w:ascii="Arial" w:hAnsi="Arial" w:cs="Arial"/>
                <w:sz w:val="20"/>
                <w:szCs w:val="20"/>
              </w:rPr>
            </w:pPr>
            <w:r>
              <w:rPr>
                <w:rFonts w:ascii="Arial" w:hAnsi="Arial" w:cs="Arial"/>
                <w:sz w:val="20"/>
                <w:szCs w:val="20"/>
              </w:rPr>
              <w:t> </w:t>
            </w:r>
          </w:p>
        </w:tc>
        <w:tc>
          <w:tcPr>
            <w:tcW w:w="960" w:type="dxa"/>
            <w:tcBorders>
              <w:top w:val="nil"/>
              <w:left w:val="nil"/>
              <w:bottom w:val="nil"/>
              <w:right w:val="single" w:sz="4" w:space="0" w:color="auto"/>
            </w:tcBorders>
            <w:noWrap/>
            <w:vAlign w:val="bottom"/>
            <w:hideMark/>
          </w:tcPr>
          <w:p w:rsidR="00D73892" w:rsidRDefault="00D73892">
            <w:pPr>
              <w:spacing w:line="276" w:lineRule="auto"/>
              <w:rPr>
                <w:rFonts w:ascii="Arial" w:hAnsi="Arial" w:cs="Arial"/>
                <w:sz w:val="20"/>
                <w:szCs w:val="20"/>
              </w:rPr>
            </w:pPr>
            <w:r>
              <w:rPr>
                <w:rFonts w:ascii="Arial" w:hAnsi="Arial" w:cs="Arial"/>
                <w:sz w:val="20"/>
                <w:szCs w:val="20"/>
              </w:rPr>
              <w:t> </w:t>
            </w:r>
          </w:p>
        </w:tc>
      </w:tr>
      <w:tr w:rsidR="00D73892" w:rsidTr="00D73892">
        <w:trPr>
          <w:trHeight w:val="255"/>
        </w:trPr>
        <w:tc>
          <w:tcPr>
            <w:tcW w:w="2880" w:type="dxa"/>
            <w:tcBorders>
              <w:top w:val="nil"/>
              <w:left w:val="single" w:sz="4" w:space="0" w:color="auto"/>
              <w:bottom w:val="nil"/>
              <w:right w:val="nil"/>
            </w:tcBorders>
            <w:noWrap/>
            <w:vAlign w:val="bottom"/>
            <w:hideMark/>
          </w:tcPr>
          <w:p w:rsidR="00D73892" w:rsidRDefault="00D73892">
            <w:pPr>
              <w:spacing w:line="276" w:lineRule="auto"/>
              <w:rPr>
                <w:rFonts w:ascii="Arial" w:hAnsi="Arial" w:cs="Arial"/>
                <w:sz w:val="20"/>
                <w:szCs w:val="20"/>
              </w:rPr>
            </w:pPr>
            <w:r>
              <w:rPr>
                <w:rFonts w:ascii="Arial" w:hAnsi="Arial" w:cs="Arial"/>
                <w:sz w:val="20"/>
                <w:szCs w:val="20"/>
              </w:rPr>
              <w:t>NHS England</w:t>
            </w:r>
          </w:p>
        </w:tc>
        <w:tc>
          <w:tcPr>
            <w:tcW w:w="1040" w:type="dxa"/>
            <w:tcBorders>
              <w:top w:val="nil"/>
              <w:left w:val="single" w:sz="4" w:space="0" w:color="auto"/>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26,983</w:t>
            </w:r>
          </w:p>
        </w:tc>
        <w:tc>
          <w:tcPr>
            <w:tcW w:w="1040" w:type="dxa"/>
            <w:tcBorders>
              <w:top w:val="nil"/>
              <w:left w:val="nil"/>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26,983</w:t>
            </w:r>
          </w:p>
        </w:tc>
        <w:tc>
          <w:tcPr>
            <w:tcW w:w="1040" w:type="dxa"/>
            <w:tcBorders>
              <w:top w:val="nil"/>
              <w:left w:val="nil"/>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0</w:t>
            </w:r>
          </w:p>
        </w:tc>
        <w:tc>
          <w:tcPr>
            <w:tcW w:w="960" w:type="dxa"/>
            <w:tcBorders>
              <w:top w:val="nil"/>
              <w:left w:val="nil"/>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20,235</w:t>
            </w:r>
          </w:p>
        </w:tc>
        <w:tc>
          <w:tcPr>
            <w:tcW w:w="960" w:type="dxa"/>
            <w:tcBorders>
              <w:top w:val="nil"/>
              <w:left w:val="nil"/>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18,691</w:t>
            </w:r>
          </w:p>
        </w:tc>
        <w:tc>
          <w:tcPr>
            <w:tcW w:w="960" w:type="dxa"/>
            <w:tcBorders>
              <w:top w:val="nil"/>
              <w:left w:val="nil"/>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-1,544</w:t>
            </w:r>
          </w:p>
        </w:tc>
      </w:tr>
      <w:tr w:rsidR="00D73892" w:rsidTr="00D73892">
        <w:trPr>
          <w:trHeight w:val="255"/>
        </w:trPr>
        <w:tc>
          <w:tcPr>
            <w:tcW w:w="2880" w:type="dxa"/>
            <w:tcBorders>
              <w:top w:val="nil"/>
              <w:left w:val="single" w:sz="4" w:space="0" w:color="auto"/>
              <w:bottom w:val="nil"/>
              <w:right w:val="nil"/>
            </w:tcBorders>
            <w:noWrap/>
            <w:vAlign w:val="bottom"/>
            <w:hideMark/>
          </w:tcPr>
          <w:p w:rsidR="00D73892" w:rsidRDefault="00D73892">
            <w:pPr>
              <w:spacing w:line="276" w:lineRule="auto"/>
              <w:rPr>
                <w:rFonts w:ascii="Arial" w:hAnsi="Arial" w:cs="Arial"/>
                <w:sz w:val="20"/>
                <w:szCs w:val="20"/>
              </w:rPr>
            </w:pPr>
            <w:r>
              <w:rPr>
                <w:rFonts w:ascii="Arial" w:hAnsi="Arial" w:cs="Arial"/>
                <w:sz w:val="20"/>
                <w:szCs w:val="20"/>
              </w:rPr>
              <w:t> </w:t>
            </w:r>
          </w:p>
        </w:tc>
        <w:tc>
          <w:tcPr>
            <w:tcW w:w="1040" w:type="dxa"/>
            <w:tcBorders>
              <w:top w:val="nil"/>
              <w:left w:val="single" w:sz="4" w:space="0" w:color="auto"/>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c>
          <w:tcPr>
            <w:tcW w:w="1040" w:type="dxa"/>
            <w:tcBorders>
              <w:top w:val="nil"/>
              <w:left w:val="nil"/>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c>
          <w:tcPr>
            <w:tcW w:w="1040" w:type="dxa"/>
            <w:tcBorders>
              <w:top w:val="nil"/>
              <w:left w:val="nil"/>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c>
          <w:tcPr>
            <w:tcW w:w="960" w:type="dxa"/>
            <w:tcBorders>
              <w:top w:val="nil"/>
              <w:left w:val="nil"/>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c>
          <w:tcPr>
            <w:tcW w:w="960" w:type="dxa"/>
            <w:tcBorders>
              <w:top w:val="nil"/>
              <w:left w:val="nil"/>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c>
          <w:tcPr>
            <w:tcW w:w="960" w:type="dxa"/>
            <w:tcBorders>
              <w:top w:val="nil"/>
              <w:left w:val="nil"/>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r>
      <w:tr w:rsidR="00D73892" w:rsidTr="00D73892">
        <w:trPr>
          <w:trHeight w:val="255"/>
        </w:trPr>
        <w:tc>
          <w:tcPr>
            <w:tcW w:w="2880" w:type="dxa"/>
            <w:tcBorders>
              <w:top w:val="nil"/>
              <w:left w:val="single" w:sz="4" w:space="0" w:color="auto"/>
              <w:bottom w:val="nil"/>
              <w:right w:val="nil"/>
            </w:tcBorders>
            <w:noWrap/>
            <w:vAlign w:val="bottom"/>
            <w:hideMark/>
          </w:tcPr>
          <w:p w:rsidR="00D73892" w:rsidRDefault="00D73892">
            <w:pPr>
              <w:spacing w:line="276" w:lineRule="auto"/>
              <w:rPr>
                <w:rFonts w:ascii="Arial" w:hAnsi="Arial" w:cs="Arial"/>
                <w:sz w:val="20"/>
                <w:szCs w:val="20"/>
              </w:rPr>
            </w:pPr>
            <w:r>
              <w:rPr>
                <w:rFonts w:ascii="Arial" w:hAnsi="Arial" w:cs="Arial"/>
                <w:sz w:val="20"/>
                <w:szCs w:val="20"/>
              </w:rPr>
              <w:t>NHS North East Lincolnshire CCG</w:t>
            </w:r>
          </w:p>
        </w:tc>
        <w:tc>
          <w:tcPr>
            <w:tcW w:w="1040" w:type="dxa"/>
            <w:tcBorders>
              <w:top w:val="nil"/>
              <w:left w:val="single" w:sz="4" w:space="0" w:color="auto"/>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3,264</w:t>
            </w:r>
          </w:p>
        </w:tc>
        <w:tc>
          <w:tcPr>
            <w:tcW w:w="1040" w:type="dxa"/>
            <w:tcBorders>
              <w:top w:val="nil"/>
              <w:left w:val="nil"/>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3,330</w:t>
            </w:r>
          </w:p>
        </w:tc>
        <w:tc>
          <w:tcPr>
            <w:tcW w:w="1040" w:type="dxa"/>
            <w:tcBorders>
              <w:top w:val="nil"/>
              <w:left w:val="nil"/>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66</w:t>
            </w:r>
          </w:p>
        </w:tc>
        <w:tc>
          <w:tcPr>
            <w:tcW w:w="960" w:type="dxa"/>
            <w:tcBorders>
              <w:top w:val="nil"/>
              <w:left w:val="nil"/>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2,399</w:t>
            </w:r>
          </w:p>
        </w:tc>
        <w:tc>
          <w:tcPr>
            <w:tcW w:w="960" w:type="dxa"/>
            <w:tcBorders>
              <w:top w:val="nil"/>
              <w:left w:val="nil"/>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2,420</w:t>
            </w:r>
          </w:p>
        </w:tc>
        <w:tc>
          <w:tcPr>
            <w:tcW w:w="960" w:type="dxa"/>
            <w:tcBorders>
              <w:top w:val="nil"/>
              <w:left w:val="nil"/>
              <w:bottom w:val="nil"/>
              <w:right w:val="single" w:sz="4" w:space="0" w:color="auto"/>
            </w:tcBorders>
            <w:noWrap/>
            <w:vAlign w:val="bottom"/>
            <w:hideMark/>
          </w:tcPr>
          <w:p w:rsidR="00D73892" w:rsidRDefault="00D73892">
            <w:pPr>
              <w:spacing w:line="276" w:lineRule="auto"/>
              <w:jc w:val="center"/>
              <w:rPr>
                <w:rFonts w:ascii="Arial" w:hAnsi="Arial" w:cs="Arial"/>
                <w:sz w:val="20"/>
                <w:szCs w:val="20"/>
              </w:rPr>
            </w:pPr>
            <w:r>
              <w:rPr>
                <w:rFonts w:ascii="Arial" w:hAnsi="Arial" w:cs="Arial"/>
                <w:sz w:val="20"/>
                <w:szCs w:val="20"/>
              </w:rPr>
              <w:t>21</w:t>
            </w:r>
          </w:p>
        </w:tc>
      </w:tr>
      <w:tr w:rsidR="00D73892" w:rsidTr="00D73892">
        <w:trPr>
          <w:trHeight w:val="255"/>
        </w:trPr>
        <w:tc>
          <w:tcPr>
            <w:tcW w:w="2880" w:type="dxa"/>
            <w:tcBorders>
              <w:top w:val="nil"/>
              <w:left w:val="single" w:sz="4" w:space="0" w:color="auto"/>
              <w:bottom w:val="nil"/>
              <w:right w:val="nil"/>
            </w:tcBorders>
            <w:noWrap/>
            <w:vAlign w:val="bottom"/>
            <w:hideMark/>
          </w:tcPr>
          <w:p w:rsidR="00D73892" w:rsidRDefault="00D73892">
            <w:pPr>
              <w:spacing w:line="276" w:lineRule="auto"/>
              <w:rPr>
                <w:rFonts w:ascii="Arial" w:hAnsi="Arial" w:cs="Arial"/>
                <w:sz w:val="20"/>
                <w:szCs w:val="20"/>
              </w:rPr>
            </w:pPr>
            <w:r>
              <w:rPr>
                <w:rFonts w:ascii="Arial" w:hAnsi="Arial" w:cs="Arial"/>
                <w:sz w:val="20"/>
                <w:szCs w:val="20"/>
              </w:rPr>
              <w:t> </w:t>
            </w:r>
          </w:p>
        </w:tc>
        <w:tc>
          <w:tcPr>
            <w:tcW w:w="1040" w:type="dxa"/>
            <w:tcBorders>
              <w:top w:val="nil"/>
              <w:left w:val="single" w:sz="4" w:space="0" w:color="auto"/>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c>
          <w:tcPr>
            <w:tcW w:w="1040" w:type="dxa"/>
            <w:tcBorders>
              <w:top w:val="nil"/>
              <w:left w:val="nil"/>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c>
          <w:tcPr>
            <w:tcW w:w="1040" w:type="dxa"/>
            <w:tcBorders>
              <w:top w:val="nil"/>
              <w:left w:val="nil"/>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c>
          <w:tcPr>
            <w:tcW w:w="960" w:type="dxa"/>
            <w:tcBorders>
              <w:top w:val="nil"/>
              <w:left w:val="nil"/>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c>
          <w:tcPr>
            <w:tcW w:w="960" w:type="dxa"/>
            <w:tcBorders>
              <w:top w:val="nil"/>
              <w:left w:val="nil"/>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c>
          <w:tcPr>
            <w:tcW w:w="960" w:type="dxa"/>
            <w:tcBorders>
              <w:top w:val="nil"/>
              <w:left w:val="nil"/>
              <w:bottom w:val="nil"/>
              <w:right w:val="single" w:sz="4" w:space="0" w:color="auto"/>
            </w:tcBorders>
            <w:noWrap/>
            <w:vAlign w:val="bottom"/>
            <w:hideMark/>
          </w:tcPr>
          <w:p w:rsidR="00D73892" w:rsidRDefault="00D73892">
            <w:pPr>
              <w:spacing w:line="276" w:lineRule="auto"/>
              <w:rPr>
                <w:rFonts w:asciiTheme="minorHAnsi" w:eastAsiaTheme="minorHAnsi" w:hAnsiTheme="minorHAnsi" w:cstheme="minorBidi"/>
                <w:sz w:val="22"/>
                <w:szCs w:val="22"/>
                <w:lang w:eastAsia="en-US"/>
              </w:rPr>
            </w:pPr>
          </w:p>
        </w:tc>
      </w:tr>
      <w:tr w:rsidR="00D73892" w:rsidTr="00D73892">
        <w:trPr>
          <w:trHeight w:val="255"/>
        </w:trPr>
        <w:tc>
          <w:tcPr>
            <w:tcW w:w="2880" w:type="dxa"/>
            <w:tcBorders>
              <w:top w:val="single" w:sz="4" w:space="0" w:color="auto"/>
              <w:left w:val="single" w:sz="4" w:space="0" w:color="auto"/>
              <w:bottom w:val="single" w:sz="4" w:space="0" w:color="auto"/>
              <w:right w:val="nil"/>
            </w:tcBorders>
            <w:shd w:val="clear" w:color="auto" w:fill="BFBFBF"/>
            <w:noWrap/>
            <w:vAlign w:val="bottom"/>
            <w:hideMark/>
          </w:tcPr>
          <w:p w:rsidR="00D73892" w:rsidRDefault="00D73892">
            <w:pPr>
              <w:spacing w:line="276" w:lineRule="auto"/>
              <w:rPr>
                <w:rFonts w:ascii="Arial" w:hAnsi="Arial" w:cs="Arial"/>
                <w:b/>
                <w:bCs/>
                <w:sz w:val="20"/>
                <w:szCs w:val="20"/>
              </w:rPr>
            </w:pPr>
            <w:r>
              <w:rPr>
                <w:rFonts w:ascii="Arial" w:hAnsi="Arial" w:cs="Arial"/>
                <w:b/>
                <w:bCs/>
                <w:sz w:val="20"/>
                <w:szCs w:val="20"/>
              </w:rPr>
              <w:t>Total</w:t>
            </w:r>
          </w:p>
        </w:tc>
        <w:tc>
          <w:tcPr>
            <w:tcW w:w="10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30,247</w:t>
            </w:r>
          </w:p>
        </w:tc>
        <w:tc>
          <w:tcPr>
            <w:tcW w:w="1040" w:type="dxa"/>
            <w:tcBorders>
              <w:top w:val="single" w:sz="4" w:space="0" w:color="auto"/>
              <w:left w:val="nil"/>
              <w:bottom w:val="single" w:sz="4" w:space="0" w:color="auto"/>
              <w:right w:val="single" w:sz="4" w:space="0" w:color="auto"/>
            </w:tcBorders>
            <w:shd w:val="clear" w:color="auto" w:fill="BFBFBF"/>
            <w:noWrap/>
            <w:vAlign w:val="bottom"/>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30,313</w:t>
            </w:r>
          </w:p>
        </w:tc>
        <w:tc>
          <w:tcPr>
            <w:tcW w:w="1040" w:type="dxa"/>
            <w:tcBorders>
              <w:top w:val="single" w:sz="4" w:space="0" w:color="auto"/>
              <w:left w:val="nil"/>
              <w:bottom w:val="single" w:sz="4" w:space="0" w:color="auto"/>
              <w:right w:val="single" w:sz="4" w:space="0" w:color="auto"/>
            </w:tcBorders>
            <w:shd w:val="clear" w:color="auto" w:fill="BFBFBF"/>
            <w:noWrap/>
            <w:vAlign w:val="bottom"/>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66</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22,634</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21,111</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D73892" w:rsidRDefault="00D73892">
            <w:pPr>
              <w:spacing w:line="276" w:lineRule="auto"/>
              <w:jc w:val="center"/>
              <w:rPr>
                <w:rFonts w:ascii="Arial" w:hAnsi="Arial" w:cs="Arial"/>
                <w:b/>
                <w:bCs/>
                <w:sz w:val="20"/>
                <w:szCs w:val="20"/>
              </w:rPr>
            </w:pPr>
            <w:r>
              <w:rPr>
                <w:rFonts w:ascii="Arial" w:hAnsi="Arial" w:cs="Arial"/>
                <w:b/>
                <w:bCs/>
                <w:sz w:val="20"/>
                <w:szCs w:val="20"/>
              </w:rPr>
              <w:t>-1,523</w:t>
            </w:r>
          </w:p>
        </w:tc>
      </w:tr>
    </w:tbl>
    <w:p w:rsidR="00D73892" w:rsidRDefault="00D73892" w:rsidP="00D73892">
      <w:pPr>
        <w:rPr>
          <w:rFonts w:ascii="Arial" w:eastAsia="Calibri" w:hAnsi="Arial" w:cs="Arial"/>
          <w:b/>
          <w:sz w:val="20"/>
          <w:szCs w:val="20"/>
          <w:lang w:eastAsia="en-US"/>
        </w:rPr>
      </w:pPr>
    </w:p>
    <w:p w:rsidR="00D73892" w:rsidRDefault="00D73892" w:rsidP="00D73892">
      <w:pPr>
        <w:rPr>
          <w:rFonts w:ascii="Arial" w:hAnsi="Arial" w:cs="Arial"/>
          <w:sz w:val="20"/>
          <w:szCs w:val="20"/>
        </w:rPr>
      </w:pPr>
      <w:r>
        <w:rPr>
          <w:rFonts w:ascii="Arial" w:hAnsi="Arial" w:cs="Arial"/>
          <w:sz w:val="20"/>
          <w:szCs w:val="20"/>
        </w:rPr>
        <w:t>The above table may require rounding adjustments.</w:t>
      </w:r>
    </w:p>
    <w:p w:rsidR="00D73892" w:rsidRDefault="00D73892" w:rsidP="00D73892">
      <w:pPr>
        <w:rPr>
          <w:rFonts w:ascii="Arial" w:hAnsi="Arial" w:cs="Arial"/>
          <w:b/>
          <w:sz w:val="20"/>
          <w:szCs w:val="20"/>
        </w:rPr>
      </w:pPr>
    </w:p>
    <w:p w:rsidR="00D73892" w:rsidRDefault="00D73892" w:rsidP="00D73892">
      <w:pPr>
        <w:rPr>
          <w:rFonts w:ascii="Arial" w:hAnsi="Arial" w:cs="Arial"/>
          <w:sz w:val="20"/>
          <w:szCs w:val="20"/>
        </w:rPr>
      </w:pPr>
      <w:r>
        <w:rPr>
          <w:rFonts w:ascii="Arial" w:hAnsi="Arial" w:cs="Arial"/>
          <w:b/>
          <w:sz w:val="20"/>
          <w:szCs w:val="20"/>
        </w:rPr>
        <w:t>Commentary</w:t>
      </w:r>
    </w:p>
    <w:p w:rsidR="00D73892" w:rsidRDefault="00D73892" w:rsidP="00D73892">
      <w:pPr>
        <w:rPr>
          <w:rFonts w:ascii="Arial" w:hAnsi="Arial" w:cs="Arial"/>
          <w:sz w:val="20"/>
          <w:szCs w:val="20"/>
        </w:rPr>
      </w:pPr>
    </w:p>
    <w:p w:rsidR="00D73892" w:rsidRDefault="00D73892" w:rsidP="00D73892">
      <w:pPr>
        <w:rPr>
          <w:rFonts w:ascii="Arial" w:hAnsi="Arial" w:cs="Arial"/>
          <w:sz w:val="20"/>
          <w:szCs w:val="20"/>
          <w:u w:val="single"/>
        </w:rPr>
      </w:pPr>
      <w:r>
        <w:rPr>
          <w:rFonts w:ascii="Arial" w:hAnsi="Arial" w:cs="Arial"/>
          <w:sz w:val="20"/>
          <w:szCs w:val="20"/>
          <w:u w:val="single"/>
        </w:rPr>
        <w:t>NHSE</w:t>
      </w:r>
    </w:p>
    <w:p w:rsidR="00D73892" w:rsidRDefault="00D73892" w:rsidP="00D73892">
      <w:pPr>
        <w:rPr>
          <w:rFonts w:ascii="Arial" w:hAnsi="Arial" w:cs="Arial"/>
          <w:b/>
          <w:bCs/>
          <w:sz w:val="18"/>
          <w:szCs w:val="18"/>
          <w:u w:val="single"/>
        </w:rPr>
      </w:pPr>
      <w:r>
        <w:rPr>
          <w:rFonts w:ascii="Arial" w:hAnsi="Arial" w:cs="Arial"/>
          <w:sz w:val="18"/>
          <w:szCs w:val="18"/>
        </w:rPr>
        <w:t>PMS Contract - PMS spend reflects the year to date values due to those practices now signed up to the revised contract. Costs for practices not signed up are per the existing contract cost. Following the recent national Global Sum increase and Seniority reduction from 1 October 2015</w:t>
      </w:r>
      <w:r>
        <w:rPr>
          <w:rFonts w:ascii="Arial" w:hAnsi="Arial" w:cs="Arial"/>
          <w:color w:val="1F497D"/>
          <w:sz w:val="18"/>
          <w:szCs w:val="18"/>
        </w:rPr>
        <w:t xml:space="preserve"> </w:t>
      </w:r>
      <w:r>
        <w:rPr>
          <w:rFonts w:ascii="Arial" w:hAnsi="Arial" w:cs="Arial"/>
          <w:sz w:val="18"/>
          <w:szCs w:val="18"/>
        </w:rPr>
        <w:t>the PMS practice on the revised contract has been awarded the £0.74 per weighted patient increase seen in Global Sum pro rata from 1 October 2015.</w:t>
      </w:r>
    </w:p>
    <w:p w:rsidR="00D73892" w:rsidRDefault="00D73892" w:rsidP="00D73892">
      <w:pPr>
        <w:rPr>
          <w:rFonts w:ascii="Arial" w:hAnsi="Arial" w:cs="Arial"/>
          <w:sz w:val="18"/>
          <w:szCs w:val="18"/>
        </w:rPr>
      </w:pPr>
    </w:p>
    <w:p w:rsidR="00D73892" w:rsidRDefault="00D73892" w:rsidP="00D73892">
      <w:pPr>
        <w:rPr>
          <w:rFonts w:ascii="Arial" w:hAnsi="Arial" w:cs="Arial"/>
          <w:sz w:val="18"/>
          <w:szCs w:val="18"/>
        </w:rPr>
      </w:pPr>
      <w:r>
        <w:rPr>
          <w:rFonts w:ascii="Arial" w:hAnsi="Arial" w:cs="Arial"/>
          <w:sz w:val="18"/>
          <w:szCs w:val="18"/>
        </w:rPr>
        <w:t>APMS Contract - Costs are based on current contract cost expectations, these will be amended to take account of the outcome of any contract activity reconciliation as it falls due / is agreed.</w:t>
      </w:r>
    </w:p>
    <w:p w:rsidR="00D73892" w:rsidRDefault="00D73892" w:rsidP="00D73892">
      <w:pPr>
        <w:rPr>
          <w:rFonts w:ascii="Arial" w:hAnsi="Arial" w:cs="Arial"/>
          <w:sz w:val="18"/>
          <w:szCs w:val="18"/>
        </w:rPr>
      </w:pPr>
    </w:p>
    <w:p w:rsidR="00D73892" w:rsidRDefault="00D73892" w:rsidP="00D73892">
      <w:pPr>
        <w:rPr>
          <w:rFonts w:ascii="Arial" w:hAnsi="Arial" w:cs="Arial"/>
          <w:sz w:val="18"/>
          <w:szCs w:val="18"/>
        </w:rPr>
      </w:pPr>
      <w:r>
        <w:rPr>
          <w:rFonts w:ascii="Arial" w:hAnsi="Arial" w:cs="Arial"/>
          <w:sz w:val="18"/>
          <w:szCs w:val="18"/>
        </w:rPr>
        <w:t>GMS Contract - The Global Sum price per weighted patient increased from 1 October from £71.69 to £72.42 (net of the revised Out of Hours Deduction). Therefore the costs to date are per the original G Sum price for Q1 &amp; Q2 list size count and the revised G Sum price for Q3. The list size reserve is phased in the budget in 12th’s rather than Q2-Q4 as incurred. The actual list size for Q4 will be known for P10 accounts.</w:t>
      </w:r>
    </w:p>
    <w:p w:rsidR="00D73892" w:rsidRDefault="00D73892" w:rsidP="00D73892">
      <w:pPr>
        <w:rPr>
          <w:rFonts w:ascii="Arial" w:hAnsi="Arial" w:cs="Arial"/>
          <w:sz w:val="18"/>
          <w:szCs w:val="18"/>
        </w:rPr>
      </w:pPr>
    </w:p>
    <w:p w:rsidR="00D73892" w:rsidRDefault="00D73892" w:rsidP="00D73892">
      <w:pPr>
        <w:rPr>
          <w:rFonts w:ascii="Arial" w:hAnsi="Arial" w:cs="Arial"/>
          <w:sz w:val="18"/>
          <w:szCs w:val="18"/>
        </w:rPr>
      </w:pPr>
      <w:r>
        <w:rPr>
          <w:rFonts w:ascii="Arial" w:hAnsi="Arial" w:cs="Arial"/>
          <w:sz w:val="18"/>
          <w:szCs w:val="18"/>
        </w:rPr>
        <w:t>Premises Costs Reimbursement - NHS Property Services figures have been agreed for Q1 and Q2, however Q3 and Q4 reimbursements continue to be worked on to understand the 15.16 commitment and as such accruals are based on forecast costs where relevant. CHP costs have been agreed. Estimates for outstanding rent revaluations are included where changes in valuations are not yet known but are due this financial year. Other reimbursable costs are based on forecast where actuals costs are not known at this stage of the year. The rates rebates following the Land mark Test Case are not included in these figures. The Year to date underspend is mostly due to budget setting overstatement on the business rates.</w:t>
      </w:r>
    </w:p>
    <w:p w:rsidR="00D73892" w:rsidRDefault="00D73892" w:rsidP="00D73892">
      <w:pPr>
        <w:rPr>
          <w:rFonts w:ascii="Arial" w:hAnsi="Arial" w:cs="Arial"/>
          <w:sz w:val="18"/>
          <w:szCs w:val="18"/>
        </w:rPr>
      </w:pPr>
    </w:p>
    <w:p w:rsidR="00D73892" w:rsidRDefault="00D73892" w:rsidP="00D73892">
      <w:pPr>
        <w:rPr>
          <w:rFonts w:ascii="Arial" w:hAnsi="Arial" w:cs="Arial"/>
          <w:sz w:val="18"/>
          <w:szCs w:val="18"/>
        </w:rPr>
      </w:pPr>
      <w:r>
        <w:rPr>
          <w:rFonts w:ascii="Arial" w:hAnsi="Arial" w:cs="Arial"/>
          <w:sz w:val="18"/>
          <w:szCs w:val="18"/>
        </w:rPr>
        <w:t>Enhanced services - Unplanned Admissions, Extended Hours and Dementia Scheme costs are based on the current 15.16 sign up list. The component 2 Dementia accrual is based on 14.15 actual or an estimate based on this for any practices who did not take part in 14.15. Maximum achievement is assumed for practices signed up to the Unplanned Admissions scheme.</w:t>
      </w:r>
    </w:p>
    <w:p w:rsidR="00D73892" w:rsidRDefault="00D73892" w:rsidP="00D73892">
      <w:pPr>
        <w:rPr>
          <w:rFonts w:ascii="Arial" w:hAnsi="Arial" w:cs="Arial"/>
          <w:sz w:val="18"/>
          <w:szCs w:val="18"/>
        </w:rPr>
      </w:pPr>
      <w:r>
        <w:rPr>
          <w:rFonts w:ascii="Arial" w:hAnsi="Arial" w:cs="Arial"/>
          <w:sz w:val="18"/>
          <w:szCs w:val="18"/>
        </w:rPr>
        <w:t xml:space="preserve">Minor Surgery accruals and Learning Disabilities accruals are based on 15.16 claims to date. </w:t>
      </w:r>
    </w:p>
    <w:p w:rsidR="00D73892" w:rsidRDefault="00D73892" w:rsidP="00D73892">
      <w:pPr>
        <w:rPr>
          <w:rFonts w:ascii="Arial" w:hAnsi="Arial" w:cs="Arial"/>
          <w:sz w:val="18"/>
          <w:szCs w:val="18"/>
        </w:rPr>
      </w:pPr>
      <w:r>
        <w:rPr>
          <w:rFonts w:ascii="Arial" w:hAnsi="Arial" w:cs="Arial"/>
          <w:sz w:val="18"/>
          <w:szCs w:val="18"/>
        </w:rPr>
        <w:t xml:space="preserve">Choice of GP Practice / Out of Area – This was a new Enhanced Service from 5/1/15 however no costs have been seen to date and as such following discussions with contracting colleagues we have not accrued against this scheme. </w:t>
      </w:r>
    </w:p>
    <w:p w:rsidR="00D73892" w:rsidRDefault="00D73892" w:rsidP="00D73892">
      <w:pPr>
        <w:rPr>
          <w:rFonts w:ascii="Arial" w:hAnsi="Arial" w:cs="Arial"/>
          <w:color w:val="1F497D"/>
          <w:sz w:val="18"/>
          <w:szCs w:val="18"/>
        </w:rPr>
      </w:pPr>
    </w:p>
    <w:p w:rsidR="00D73892" w:rsidRDefault="00D73892" w:rsidP="00D73892">
      <w:pPr>
        <w:rPr>
          <w:rFonts w:ascii="Arial" w:hAnsi="Arial" w:cs="Arial"/>
          <w:sz w:val="18"/>
          <w:szCs w:val="18"/>
        </w:rPr>
      </w:pPr>
    </w:p>
    <w:p w:rsidR="00D73892" w:rsidRDefault="00D73892" w:rsidP="00D73892">
      <w:pPr>
        <w:rPr>
          <w:rFonts w:ascii="Arial" w:hAnsi="Arial" w:cs="Arial"/>
          <w:sz w:val="18"/>
          <w:szCs w:val="18"/>
        </w:rPr>
      </w:pPr>
      <w:r>
        <w:rPr>
          <w:rFonts w:ascii="Arial" w:hAnsi="Arial" w:cs="Arial"/>
          <w:sz w:val="18"/>
          <w:szCs w:val="18"/>
        </w:rPr>
        <w:t>QOF - QOF accrual is based on 14.15 actuals amended for the 15.16 change in £/point and average list size and an estimate of 15.16 list size increase based on 14.15. Actual list size will be known for P10 accounts</w:t>
      </w:r>
    </w:p>
    <w:p w:rsidR="00D73892" w:rsidRDefault="00D73892" w:rsidP="00D73892">
      <w:pPr>
        <w:rPr>
          <w:rFonts w:ascii="Arial" w:hAnsi="Arial" w:cs="Arial"/>
          <w:sz w:val="18"/>
          <w:szCs w:val="18"/>
        </w:rPr>
      </w:pPr>
    </w:p>
    <w:p w:rsidR="00D73892" w:rsidRDefault="00D73892" w:rsidP="00D73892">
      <w:pPr>
        <w:rPr>
          <w:rFonts w:ascii="Arial" w:hAnsi="Arial" w:cs="Arial"/>
          <w:sz w:val="18"/>
          <w:szCs w:val="18"/>
        </w:rPr>
      </w:pPr>
      <w:r>
        <w:rPr>
          <w:rFonts w:ascii="Arial" w:hAnsi="Arial" w:cs="Arial"/>
          <w:sz w:val="18"/>
          <w:szCs w:val="18"/>
        </w:rPr>
        <w:t xml:space="preserve">Dispensing/Prescribing Doctors - Fees and income are paid 2 months in arrears and as such only April to October actuals are known, however these are overspending to date. There has been a Dispensing Fees tariff reduction announced with effect from 1 October 2015 (-2.7%) which has been factored into the November and December accrual. As the budget is phased in 12ths but this spend is seasonal (higher during Flu Season </w:t>
      </w:r>
      <w:proofErr w:type="spellStart"/>
      <w:r>
        <w:rPr>
          <w:rFonts w:ascii="Arial" w:hAnsi="Arial" w:cs="Arial"/>
          <w:sz w:val="18"/>
          <w:szCs w:val="18"/>
        </w:rPr>
        <w:t>eg</w:t>
      </w:r>
      <w:proofErr w:type="spellEnd"/>
      <w:r>
        <w:rPr>
          <w:rFonts w:ascii="Arial" w:hAnsi="Arial" w:cs="Arial"/>
          <w:sz w:val="18"/>
          <w:szCs w:val="18"/>
        </w:rPr>
        <w:t xml:space="preserve"> October &amp; November), this overspend is slightly distorted in the Year to date position (higher overspend than with a phased budget). </w:t>
      </w:r>
    </w:p>
    <w:p w:rsidR="00D73892" w:rsidRDefault="00D73892" w:rsidP="00D73892">
      <w:pPr>
        <w:rPr>
          <w:rFonts w:ascii="Arial" w:eastAsia="Calibri" w:hAnsi="Arial" w:cs="Arial"/>
          <w:color w:val="1F497D"/>
          <w:sz w:val="18"/>
          <w:szCs w:val="18"/>
        </w:rPr>
      </w:pPr>
      <w:r>
        <w:rPr>
          <w:rFonts w:ascii="Arial" w:hAnsi="Arial" w:cs="Arial"/>
          <w:color w:val="1F497D"/>
          <w:sz w:val="18"/>
          <w:szCs w:val="18"/>
        </w:rPr>
        <w:t xml:space="preserve"> </w:t>
      </w:r>
    </w:p>
    <w:p w:rsidR="00D73892" w:rsidRDefault="00D73892" w:rsidP="00D73892">
      <w:pPr>
        <w:rPr>
          <w:rFonts w:ascii="Arial" w:hAnsi="Arial" w:cs="Arial"/>
          <w:sz w:val="18"/>
          <w:szCs w:val="18"/>
        </w:rPr>
      </w:pPr>
    </w:p>
    <w:p w:rsidR="00D73892" w:rsidRDefault="00D73892" w:rsidP="00D73892">
      <w:pPr>
        <w:rPr>
          <w:rFonts w:ascii="Arial" w:hAnsi="Arial" w:cs="Arial"/>
          <w:sz w:val="18"/>
          <w:szCs w:val="18"/>
        </w:rPr>
      </w:pPr>
      <w:r>
        <w:rPr>
          <w:rFonts w:ascii="Arial" w:hAnsi="Arial" w:cs="Arial"/>
          <w:sz w:val="18"/>
          <w:szCs w:val="18"/>
        </w:rPr>
        <w:t xml:space="preserve">Other GP services </w:t>
      </w:r>
    </w:p>
    <w:p w:rsidR="00D73892" w:rsidRDefault="00D73892" w:rsidP="00D73892">
      <w:pPr>
        <w:rPr>
          <w:rFonts w:ascii="Arial" w:hAnsi="Arial" w:cs="Arial"/>
          <w:sz w:val="18"/>
          <w:szCs w:val="18"/>
        </w:rPr>
      </w:pPr>
      <w:r>
        <w:rPr>
          <w:rFonts w:ascii="Arial" w:hAnsi="Arial" w:cs="Arial"/>
          <w:sz w:val="18"/>
          <w:szCs w:val="18"/>
        </w:rPr>
        <w:t>PCO Administered Costs - Seniority has been reduced nationally with effect from 1 October 2015. The average decrease was estimated nationally to be 22.8%. This month has seen the quarter 3 cost at the reduced rate for all practices and is broadly in line with CCG forecast at this stage.</w:t>
      </w:r>
    </w:p>
    <w:p w:rsidR="00D73892" w:rsidRDefault="00D73892" w:rsidP="00D73892">
      <w:pPr>
        <w:rPr>
          <w:rFonts w:ascii="Arial" w:hAnsi="Arial" w:cs="Arial"/>
          <w:sz w:val="18"/>
          <w:szCs w:val="18"/>
        </w:rPr>
      </w:pPr>
      <w:r>
        <w:rPr>
          <w:rFonts w:ascii="Arial" w:hAnsi="Arial" w:cs="Arial"/>
          <w:sz w:val="18"/>
          <w:szCs w:val="18"/>
        </w:rPr>
        <w:t>Maternity/Paternity/Sickness/Retainer Scheme – This is per actuals on known claims to date</w:t>
      </w:r>
    </w:p>
    <w:p w:rsidR="00D73892" w:rsidRDefault="00D73892" w:rsidP="00D73892">
      <w:pPr>
        <w:rPr>
          <w:rFonts w:ascii="Arial" w:hAnsi="Arial" w:cs="Arial"/>
          <w:sz w:val="18"/>
          <w:szCs w:val="18"/>
        </w:rPr>
      </w:pPr>
      <w:r>
        <w:rPr>
          <w:rFonts w:ascii="Arial" w:hAnsi="Arial" w:cs="Arial"/>
          <w:sz w:val="18"/>
          <w:szCs w:val="18"/>
        </w:rPr>
        <w:t xml:space="preserve">Contingency / Uncommitted Reserves at Budget Setting - These have been shown as slipping in the current YTD position. </w:t>
      </w:r>
    </w:p>
    <w:p w:rsidR="00D73892" w:rsidRDefault="00D73892" w:rsidP="00D73892">
      <w:pPr>
        <w:rPr>
          <w:rFonts w:ascii="Arial" w:hAnsi="Arial" w:cs="Arial"/>
          <w:sz w:val="18"/>
          <w:szCs w:val="18"/>
        </w:rPr>
      </w:pPr>
      <w:r>
        <w:rPr>
          <w:rFonts w:ascii="Arial" w:hAnsi="Arial" w:cs="Arial"/>
          <w:sz w:val="18"/>
          <w:szCs w:val="18"/>
        </w:rPr>
        <w:t>GP Safeguarding – Following confirmation that this is funded from CCG baseline budgets this accrual has been released.</w:t>
      </w:r>
    </w:p>
    <w:p w:rsidR="00D73892" w:rsidRDefault="00D73892" w:rsidP="00D73892">
      <w:pPr>
        <w:rPr>
          <w:rFonts w:ascii="Arial" w:hAnsi="Arial" w:cs="Arial"/>
          <w:sz w:val="18"/>
          <w:szCs w:val="18"/>
        </w:rPr>
      </w:pPr>
    </w:p>
    <w:p w:rsidR="00D73892" w:rsidRDefault="00D73892" w:rsidP="00D73892">
      <w:pPr>
        <w:rPr>
          <w:rFonts w:ascii="Calibri" w:hAnsi="Calibri"/>
          <w:sz w:val="22"/>
          <w:szCs w:val="22"/>
        </w:rPr>
      </w:pPr>
    </w:p>
    <w:p w:rsidR="00D73892" w:rsidRDefault="00D73892" w:rsidP="00D73892">
      <w:pPr>
        <w:pStyle w:val="ListParagraph"/>
        <w:ind w:left="0"/>
        <w:rPr>
          <w:rFonts w:ascii="Arial" w:eastAsia="Calibri" w:hAnsi="Arial" w:cs="Arial"/>
          <w:sz w:val="18"/>
          <w:szCs w:val="18"/>
          <w:u w:val="single"/>
        </w:rPr>
      </w:pPr>
      <w:r>
        <w:rPr>
          <w:rFonts w:ascii="Arial" w:hAnsi="Arial" w:cs="Arial"/>
          <w:sz w:val="18"/>
          <w:szCs w:val="18"/>
          <w:u w:val="single"/>
        </w:rPr>
        <w:t>North East Lincolnshire CCG</w:t>
      </w:r>
    </w:p>
    <w:p w:rsidR="00D73892" w:rsidRDefault="00D73892" w:rsidP="00D73892">
      <w:pPr>
        <w:pStyle w:val="ListParagraph"/>
        <w:ind w:left="0"/>
        <w:rPr>
          <w:rFonts w:ascii="Arial" w:hAnsi="Arial" w:cs="Arial"/>
          <w:sz w:val="18"/>
          <w:szCs w:val="18"/>
        </w:rPr>
      </w:pPr>
      <w:r>
        <w:rPr>
          <w:rFonts w:ascii="Arial" w:hAnsi="Arial" w:cs="Arial"/>
          <w:sz w:val="18"/>
          <w:szCs w:val="18"/>
        </w:rPr>
        <w:t>CCG PMS re-investment - Payments are based on 2010/11 activity and adjusted accordingly where practices have notified the CCG of any material changes.  All practices, albeit one, have signed their contract variations and have received payment.</w:t>
      </w:r>
    </w:p>
    <w:p w:rsidR="00D73892" w:rsidRDefault="00D73892" w:rsidP="00D73892">
      <w:pPr>
        <w:pStyle w:val="ListParagraph"/>
        <w:ind w:left="0"/>
        <w:rPr>
          <w:rFonts w:ascii="Arial" w:hAnsi="Arial" w:cs="Arial"/>
          <w:sz w:val="18"/>
          <w:szCs w:val="18"/>
        </w:rPr>
      </w:pPr>
    </w:p>
    <w:p w:rsidR="00D73892" w:rsidRDefault="00D73892" w:rsidP="00D73892">
      <w:pPr>
        <w:pStyle w:val="ListParagraph"/>
        <w:ind w:left="0"/>
        <w:rPr>
          <w:rFonts w:ascii="Arial" w:hAnsi="Arial" w:cs="Arial"/>
          <w:sz w:val="18"/>
          <w:szCs w:val="18"/>
        </w:rPr>
      </w:pPr>
      <w:r>
        <w:rPr>
          <w:rFonts w:ascii="Arial" w:hAnsi="Arial" w:cs="Arial"/>
          <w:sz w:val="18"/>
          <w:szCs w:val="18"/>
        </w:rPr>
        <w:t>Enhanced Services – Based on the current activity levels being maintained for the remainder of the financial year Minor Surgery is forecast to over spend by £58K.  Over 75yrs enhanced service is forecasted to overspend by £15K.  All other enhanced services expenditure is based on historical activity levels.</w:t>
      </w:r>
    </w:p>
    <w:p w:rsidR="00D73892" w:rsidRDefault="00D73892" w:rsidP="00D73892">
      <w:pPr>
        <w:pStyle w:val="ListParagraph"/>
        <w:ind w:left="0"/>
        <w:rPr>
          <w:rFonts w:ascii="Arial" w:hAnsi="Arial" w:cs="Arial"/>
          <w:sz w:val="18"/>
          <w:szCs w:val="18"/>
        </w:rPr>
      </w:pPr>
    </w:p>
    <w:p w:rsidR="00D73892" w:rsidRDefault="00D73892" w:rsidP="00D73892">
      <w:pPr>
        <w:pStyle w:val="ListParagraph"/>
        <w:ind w:left="0"/>
        <w:rPr>
          <w:rFonts w:ascii="Arial" w:hAnsi="Arial" w:cs="Arial"/>
          <w:sz w:val="18"/>
          <w:szCs w:val="18"/>
        </w:rPr>
      </w:pPr>
      <w:r>
        <w:rPr>
          <w:rFonts w:ascii="Arial" w:hAnsi="Arial" w:cs="Arial"/>
          <w:sz w:val="18"/>
          <w:szCs w:val="18"/>
        </w:rPr>
        <w:t>Service Improvement Plans – These are specific to individual practices and are paid 1/12</w:t>
      </w:r>
      <w:r>
        <w:rPr>
          <w:rFonts w:ascii="Arial" w:hAnsi="Arial" w:cs="Arial"/>
          <w:sz w:val="18"/>
          <w:szCs w:val="18"/>
          <w:vertAlign w:val="superscript"/>
        </w:rPr>
        <w:t>th</w:t>
      </w:r>
      <w:r>
        <w:rPr>
          <w:rFonts w:ascii="Arial" w:hAnsi="Arial" w:cs="Arial"/>
          <w:sz w:val="18"/>
          <w:szCs w:val="18"/>
        </w:rPr>
        <w:t xml:space="preserve"> of an agreed contract value on a monthly basis.</w:t>
      </w:r>
    </w:p>
    <w:p w:rsidR="00D73892" w:rsidRDefault="00D73892" w:rsidP="00D73892">
      <w:pPr>
        <w:pStyle w:val="ListParagraph"/>
        <w:ind w:left="0"/>
        <w:rPr>
          <w:rFonts w:ascii="Arial" w:hAnsi="Arial" w:cs="Arial"/>
          <w:sz w:val="18"/>
          <w:szCs w:val="18"/>
        </w:rPr>
      </w:pPr>
    </w:p>
    <w:p w:rsidR="00D73892" w:rsidRDefault="00D73892" w:rsidP="00D73892">
      <w:pPr>
        <w:pStyle w:val="ListParagraph"/>
        <w:ind w:left="0"/>
        <w:rPr>
          <w:rFonts w:ascii="Arial" w:hAnsi="Arial" w:cs="Arial"/>
          <w:sz w:val="18"/>
          <w:szCs w:val="18"/>
        </w:rPr>
      </w:pPr>
    </w:p>
    <w:p w:rsidR="00D73892" w:rsidRDefault="00D73892" w:rsidP="00D73892">
      <w:pPr>
        <w:rPr>
          <w:rFonts w:ascii="Arial" w:hAnsi="Arial" w:cs="Arial"/>
          <w:sz w:val="20"/>
          <w:szCs w:val="20"/>
        </w:rPr>
      </w:pPr>
      <w:r>
        <w:rPr>
          <w:rFonts w:ascii="Arial" w:hAnsi="Arial" w:cs="Arial"/>
          <w:b/>
          <w:sz w:val="20"/>
          <w:szCs w:val="20"/>
        </w:rPr>
        <w:t>Risks and Opportunities</w:t>
      </w:r>
    </w:p>
    <w:p w:rsidR="00D73892" w:rsidRDefault="00D73892" w:rsidP="00D73892">
      <w:pPr>
        <w:rPr>
          <w:rFonts w:ascii="Arial" w:hAnsi="Arial" w:cs="Arial"/>
          <w:sz w:val="20"/>
          <w:szCs w:val="20"/>
        </w:rPr>
      </w:pPr>
    </w:p>
    <w:p w:rsidR="00D73892" w:rsidRDefault="00D73892" w:rsidP="00D73892">
      <w:pPr>
        <w:rPr>
          <w:rFonts w:ascii="Arial" w:hAnsi="Arial" w:cs="Arial"/>
          <w:sz w:val="18"/>
          <w:szCs w:val="18"/>
        </w:rPr>
      </w:pPr>
      <w:r>
        <w:rPr>
          <w:rFonts w:ascii="Arial" w:hAnsi="Arial" w:cs="Arial"/>
          <w:sz w:val="18"/>
          <w:szCs w:val="18"/>
        </w:rPr>
        <w:t>There is a potential risk surrounding the shortfall on premises which is approximately £900K overall.  This is being jointly reviewed by NEL CCG and NHSE, the calculation of a finalised figure has been delayed due to gathering data around primary care occupancies and validating premises costs.</w:t>
      </w:r>
    </w:p>
    <w:p w:rsidR="00D73892" w:rsidRDefault="00D73892" w:rsidP="00D73892">
      <w:pPr>
        <w:rPr>
          <w:rFonts w:ascii="Arial" w:hAnsi="Arial" w:cs="Arial"/>
          <w:sz w:val="18"/>
          <w:szCs w:val="18"/>
          <w:highlight w:val="yellow"/>
        </w:rPr>
      </w:pPr>
    </w:p>
    <w:p w:rsidR="00D73892" w:rsidRDefault="00D73892" w:rsidP="00D73892">
      <w:pPr>
        <w:rPr>
          <w:rFonts w:ascii="Arial" w:hAnsi="Arial" w:cs="Arial"/>
          <w:sz w:val="18"/>
          <w:szCs w:val="18"/>
        </w:rPr>
      </w:pPr>
      <w:r>
        <w:rPr>
          <w:rFonts w:ascii="Arial" w:hAnsi="Arial" w:cs="Arial"/>
          <w:sz w:val="18"/>
          <w:szCs w:val="18"/>
        </w:rPr>
        <w:t xml:space="preserve">As payments for CCG PMS re-investment schemes are based on practice activity there is a risk that activity could be higher than forecast, creating a financial </w:t>
      </w:r>
      <w:proofErr w:type="gramStart"/>
      <w:r>
        <w:rPr>
          <w:rFonts w:ascii="Arial" w:hAnsi="Arial" w:cs="Arial"/>
          <w:sz w:val="18"/>
          <w:szCs w:val="18"/>
        </w:rPr>
        <w:t>pressure.</w:t>
      </w:r>
      <w:proofErr w:type="gramEnd"/>
    </w:p>
    <w:p w:rsidR="00D73892" w:rsidRDefault="00D73892" w:rsidP="00D73892">
      <w:pPr>
        <w:rPr>
          <w:rFonts w:ascii="Arial" w:hAnsi="Arial" w:cs="Arial"/>
          <w:sz w:val="20"/>
          <w:szCs w:val="20"/>
        </w:rPr>
      </w:pPr>
    </w:p>
    <w:p w:rsidR="00D73892" w:rsidRDefault="00D73892" w:rsidP="00D73892">
      <w:pPr>
        <w:rPr>
          <w:rFonts w:ascii="Arial" w:hAnsi="Arial" w:cs="Arial"/>
          <w:sz w:val="20"/>
          <w:szCs w:val="20"/>
        </w:rPr>
      </w:pPr>
      <w:r>
        <w:rPr>
          <w:rFonts w:ascii="Arial" w:hAnsi="Arial" w:cs="Arial"/>
          <w:b/>
          <w:sz w:val="20"/>
          <w:szCs w:val="20"/>
        </w:rPr>
        <w:t>Recommendation</w:t>
      </w:r>
    </w:p>
    <w:p w:rsidR="00D73892" w:rsidRDefault="00D73892" w:rsidP="00D73892">
      <w:pPr>
        <w:rPr>
          <w:rFonts w:ascii="Arial" w:hAnsi="Arial" w:cs="Arial"/>
          <w:sz w:val="20"/>
          <w:szCs w:val="20"/>
        </w:rPr>
      </w:pPr>
    </w:p>
    <w:p w:rsidR="00D73892" w:rsidRDefault="00D73892" w:rsidP="00D73892">
      <w:pPr>
        <w:rPr>
          <w:rFonts w:ascii="Arial" w:hAnsi="Arial" w:cs="Arial"/>
          <w:sz w:val="18"/>
          <w:szCs w:val="18"/>
        </w:rPr>
      </w:pPr>
      <w:r>
        <w:rPr>
          <w:rFonts w:ascii="Arial" w:hAnsi="Arial" w:cs="Arial"/>
          <w:sz w:val="18"/>
          <w:szCs w:val="18"/>
        </w:rPr>
        <w:t>Members are asked to note the position.</w:t>
      </w:r>
    </w:p>
    <w:p w:rsidR="00D73892" w:rsidRDefault="00D73892" w:rsidP="00D73892">
      <w:pPr>
        <w:rPr>
          <w:rFonts w:ascii="Arial" w:hAnsi="Arial" w:cs="Arial"/>
          <w:sz w:val="20"/>
          <w:szCs w:val="20"/>
        </w:rPr>
      </w:pPr>
    </w:p>
    <w:p w:rsidR="00D73892" w:rsidRDefault="00D73892" w:rsidP="00D73892">
      <w:pPr>
        <w:rPr>
          <w:rFonts w:ascii="Arial" w:hAnsi="Arial" w:cs="Arial"/>
          <w:b/>
          <w:sz w:val="20"/>
          <w:szCs w:val="20"/>
          <w:u w:val="single"/>
        </w:rPr>
      </w:pPr>
      <w:r>
        <w:rPr>
          <w:rFonts w:ascii="Arial" w:hAnsi="Arial" w:cs="Arial"/>
          <w:sz w:val="20"/>
          <w:szCs w:val="20"/>
        </w:rPr>
        <w:br w:type="page"/>
      </w:r>
      <w:r>
        <w:rPr>
          <w:rFonts w:ascii="Arial" w:hAnsi="Arial" w:cs="Arial"/>
          <w:b/>
          <w:sz w:val="20"/>
          <w:szCs w:val="20"/>
          <w:u w:val="single"/>
        </w:rPr>
        <w:lastRenderedPageBreak/>
        <w:t>APPENDIX 1 – SUMMARY EXPENDITURE REPORT</w:t>
      </w:r>
    </w:p>
    <w:p w:rsidR="00D73892" w:rsidRDefault="00D73892" w:rsidP="00D73892">
      <w:pPr>
        <w:rPr>
          <w:rFonts w:ascii="Arial" w:hAnsi="Arial" w:cs="Arial"/>
          <w:b/>
          <w:sz w:val="20"/>
          <w:szCs w:val="20"/>
          <w:u w:val="single"/>
        </w:rPr>
      </w:pPr>
    </w:p>
    <w:p w:rsidR="00D73892" w:rsidRDefault="00D73892" w:rsidP="00D73892">
      <w:pPr>
        <w:rPr>
          <w:rFonts w:ascii="Arial" w:hAnsi="Arial" w:cs="Arial"/>
          <w:sz w:val="20"/>
          <w:szCs w:val="20"/>
        </w:rPr>
      </w:pPr>
    </w:p>
    <w:tbl>
      <w:tblPr>
        <w:tblStyle w:val="TableGrid"/>
        <w:tblW w:w="9480" w:type="dxa"/>
        <w:tblLayout w:type="fixed"/>
        <w:tblLook w:val="04A0" w:firstRow="1" w:lastRow="0" w:firstColumn="1" w:lastColumn="0" w:noHBand="0" w:noVBand="1"/>
      </w:tblPr>
      <w:tblGrid>
        <w:gridCol w:w="3229"/>
        <w:gridCol w:w="945"/>
        <w:gridCol w:w="47"/>
        <w:gridCol w:w="992"/>
        <w:gridCol w:w="993"/>
        <w:gridCol w:w="1044"/>
        <w:gridCol w:w="1065"/>
        <w:gridCol w:w="1165"/>
      </w:tblGrid>
      <w:tr w:rsidR="00D73892" w:rsidTr="00D73892">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3892" w:rsidRDefault="00D73892">
            <w:pPr>
              <w:rPr>
                <w:rFonts w:ascii="Arial" w:eastAsia="Calibri" w:hAnsi="Arial" w:cs="Arial"/>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3892" w:rsidRDefault="00D73892">
            <w:pPr>
              <w:jc w:val="center"/>
              <w:rPr>
                <w:rFonts w:ascii="Arial" w:eastAsia="Calibri" w:hAnsi="Arial" w:cs="Arial"/>
                <w:sz w:val="20"/>
                <w:szCs w:val="20"/>
              </w:rPr>
            </w:pPr>
            <w:r>
              <w:rPr>
                <w:rFonts w:ascii="Arial" w:hAnsi="Arial" w:cs="Arial"/>
                <w:sz w:val="20"/>
                <w:szCs w:val="20"/>
              </w:rPr>
              <w:t>FULL YEAR</w:t>
            </w:r>
          </w:p>
        </w:tc>
        <w:tc>
          <w:tcPr>
            <w:tcW w:w="327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3892" w:rsidRDefault="00D73892">
            <w:pPr>
              <w:jc w:val="center"/>
              <w:rPr>
                <w:rFonts w:ascii="Arial" w:eastAsia="Calibri" w:hAnsi="Arial" w:cs="Arial"/>
                <w:sz w:val="20"/>
                <w:szCs w:val="20"/>
              </w:rPr>
            </w:pPr>
            <w:r>
              <w:rPr>
                <w:rFonts w:ascii="Arial" w:hAnsi="Arial" w:cs="Arial"/>
                <w:sz w:val="20"/>
                <w:szCs w:val="20"/>
              </w:rPr>
              <w:t>YEAR TO DATE</w:t>
            </w:r>
          </w:p>
        </w:tc>
      </w:tr>
      <w:tr w:rsidR="00D73892" w:rsidTr="00D73892">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3892" w:rsidRDefault="00D73892">
            <w:pPr>
              <w:rPr>
                <w:rFonts w:ascii="Arial" w:eastAsia="Calibri" w:hAnsi="Arial"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3892" w:rsidRDefault="00D73892">
            <w:pPr>
              <w:jc w:val="center"/>
              <w:rPr>
                <w:rFonts w:ascii="Arial" w:eastAsia="Calibri" w:hAnsi="Arial" w:cs="Arial"/>
                <w:b/>
                <w:sz w:val="18"/>
                <w:szCs w:val="18"/>
              </w:rPr>
            </w:pPr>
            <w:r>
              <w:rPr>
                <w:rFonts w:ascii="Arial" w:hAnsi="Arial" w:cs="Arial"/>
                <w:b/>
                <w:sz w:val="18"/>
                <w:szCs w:val="18"/>
              </w:rPr>
              <w:t>Annual Budget £000’S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3892" w:rsidRDefault="00D73892">
            <w:pPr>
              <w:jc w:val="center"/>
              <w:rPr>
                <w:rFonts w:ascii="Arial" w:eastAsia="Calibri" w:hAnsi="Arial" w:cs="Arial"/>
                <w:b/>
                <w:sz w:val="18"/>
                <w:szCs w:val="18"/>
              </w:rPr>
            </w:pPr>
            <w:r>
              <w:rPr>
                <w:rFonts w:ascii="Arial" w:hAnsi="Arial" w:cs="Arial"/>
                <w:b/>
                <w:sz w:val="18"/>
                <w:szCs w:val="18"/>
              </w:rPr>
              <w:t>Forecast Out-turn £000’s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3892" w:rsidRDefault="00D73892">
            <w:pPr>
              <w:jc w:val="center"/>
              <w:rPr>
                <w:rFonts w:ascii="Arial" w:eastAsia="Calibri" w:hAnsi="Arial" w:cs="Arial"/>
                <w:b/>
                <w:sz w:val="18"/>
                <w:szCs w:val="18"/>
              </w:rPr>
            </w:pPr>
            <w:r>
              <w:rPr>
                <w:rFonts w:ascii="Arial" w:hAnsi="Arial" w:cs="Arial"/>
                <w:b/>
                <w:sz w:val="18"/>
                <w:szCs w:val="18"/>
              </w:rPr>
              <w:t>Forecast Variance £000’s</w:t>
            </w:r>
          </w:p>
        </w:tc>
        <w:tc>
          <w:tcPr>
            <w:tcW w:w="10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3892" w:rsidRDefault="00D73892">
            <w:pPr>
              <w:jc w:val="center"/>
              <w:rPr>
                <w:rFonts w:ascii="Arial" w:eastAsia="Calibri" w:hAnsi="Arial" w:cs="Arial"/>
                <w:b/>
                <w:sz w:val="18"/>
                <w:szCs w:val="18"/>
              </w:rPr>
            </w:pPr>
            <w:r>
              <w:rPr>
                <w:rFonts w:ascii="Arial" w:hAnsi="Arial" w:cs="Arial"/>
                <w:b/>
                <w:sz w:val="18"/>
                <w:szCs w:val="18"/>
              </w:rPr>
              <w:t>Year to date budget £000’s</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3892" w:rsidRDefault="00D73892">
            <w:pPr>
              <w:jc w:val="center"/>
              <w:rPr>
                <w:rFonts w:ascii="Arial" w:eastAsia="Calibri" w:hAnsi="Arial" w:cs="Arial"/>
                <w:b/>
                <w:sz w:val="18"/>
                <w:szCs w:val="18"/>
              </w:rPr>
            </w:pPr>
            <w:r>
              <w:rPr>
                <w:rFonts w:ascii="Arial" w:hAnsi="Arial" w:cs="Arial"/>
                <w:b/>
                <w:sz w:val="18"/>
                <w:szCs w:val="18"/>
              </w:rPr>
              <w:t>Actual £000’s</w:t>
            </w:r>
          </w:p>
        </w:tc>
        <w:tc>
          <w:tcPr>
            <w:tcW w:w="1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3892" w:rsidRDefault="00D73892">
            <w:pPr>
              <w:jc w:val="center"/>
              <w:rPr>
                <w:rFonts w:ascii="Arial" w:eastAsia="Calibri" w:hAnsi="Arial" w:cs="Arial"/>
                <w:b/>
                <w:sz w:val="18"/>
                <w:szCs w:val="18"/>
              </w:rPr>
            </w:pPr>
            <w:r>
              <w:rPr>
                <w:rFonts w:ascii="Arial" w:hAnsi="Arial" w:cs="Arial"/>
                <w:b/>
                <w:sz w:val="18"/>
                <w:szCs w:val="18"/>
              </w:rPr>
              <w:t>Variance £000’s</w:t>
            </w:r>
          </w:p>
        </w:tc>
      </w:tr>
      <w:tr w:rsidR="00D73892" w:rsidTr="00D73892">
        <w:tc>
          <w:tcPr>
            <w:tcW w:w="9478" w:type="dxa"/>
            <w:gridSpan w:val="8"/>
            <w:tcBorders>
              <w:top w:val="single" w:sz="4" w:space="0" w:color="auto"/>
              <w:left w:val="single" w:sz="4" w:space="0" w:color="auto"/>
              <w:bottom w:val="single" w:sz="4" w:space="0" w:color="auto"/>
              <w:right w:val="single" w:sz="4" w:space="0" w:color="auto"/>
            </w:tcBorders>
          </w:tcPr>
          <w:p w:rsidR="00D73892" w:rsidRDefault="00D73892">
            <w:pPr>
              <w:jc w:val="center"/>
              <w:rPr>
                <w:rFonts w:ascii="Arial" w:eastAsia="Calibri" w:hAnsi="Arial" w:cs="Arial"/>
                <w:sz w:val="20"/>
                <w:szCs w:val="20"/>
              </w:rPr>
            </w:pPr>
          </w:p>
        </w:tc>
      </w:tr>
      <w:tr w:rsidR="00D73892" w:rsidTr="00D73892">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3892" w:rsidRDefault="00D73892">
            <w:pPr>
              <w:rPr>
                <w:rFonts w:ascii="Arial" w:eastAsia="Calibri" w:hAnsi="Arial" w:cs="Arial"/>
                <w:b/>
                <w:sz w:val="20"/>
                <w:szCs w:val="20"/>
              </w:rPr>
            </w:pPr>
            <w:r>
              <w:rPr>
                <w:rFonts w:ascii="Arial" w:hAnsi="Arial" w:cs="Arial"/>
                <w:b/>
                <w:sz w:val="20"/>
                <w:szCs w:val="20"/>
              </w:rPr>
              <w:t>NHS ENGLAND COMMISSIONED</w:t>
            </w:r>
          </w:p>
        </w:tc>
        <w:tc>
          <w:tcPr>
            <w:tcW w:w="6251" w:type="dxa"/>
            <w:gridSpan w:val="7"/>
            <w:tcBorders>
              <w:top w:val="single" w:sz="4" w:space="0" w:color="auto"/>
              <w:left w:val="single" w:sz="4" w:space="0" w:color="auto"/>
              <w:bottom w:val="single" w:sz="4" w:space="0" w:color="auto"/>
              <w:right w:val="single" w:sz="4" w:space="0" w:color="auto"/>
            </w:tcBorders>
          </w:tcPr>
          <w:p w:rsidR="00D73892" w:rsidRDefault="00D73892">
            <w:pPr>
              <w:jc w:val="center"/>
              <w:rPr>
                <w:rFonts w:ascii="Arial" w:eastAsia="Calibri" w:hAnsi="Arial" w:cs="Arial"/>
                <w:sz w:val="20"/>
                <w:szCs w:val="20"/>
              </w:rPr>
            </w:pP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General Practice - PMS</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14,727</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14,727</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0</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11.046</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10,980</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-66</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General Practice – APMS</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1,134</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1,134</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0</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850</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550</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-300</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General Practice - GMS</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29</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29</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0</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21</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21</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0</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Premises Cost reimbursement</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5,997</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5,997</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0</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4,497</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4,291</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-206</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Other Premises Costs</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11</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11</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0</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8</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-7</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Enhanced Services</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1,012</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1,012</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0</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758</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704</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-54</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QOF</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2,232</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2,232</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0</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1,674</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1,683</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9</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Dispensing/Prescribing Drs</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211</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211</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0</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159</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254</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95</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Other GP Services</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1,630</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1,630</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0</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1,222</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207</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-1,015</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b/>
                <w:sz w:val="20"/>
                <w:szCs w:val="20"/>
              </w:rPr>
            </w:pPr>
            <w:r>
              <w:rPr>
                <w:rFonts w:ascii="Arial" w:hAnsi="Arial" w:cs="Arial"/>
                <w:b/>
                <w:sz w:val="20"/>
                <w:szCs w:val="20"/>
              </w:rPr>
              <w:t>NHSE COMMISSIONED TOTAL</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26,983</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26,983</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0</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20,235</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18,691</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-1,544</w:t>
            </w:r>
          </w:p>
        </w:tc>
      </w:tr>
      <w:tr w:rsidR="00D73892" w:rsidTr="00D73892">
        <w:tc>
          <w:tcPr>
            <w:tcW w:w="9478" w:type="dxa"/>
            <w:gridSpan w:val="8"/>
            <w:tcBorders>
              <w:top w:val="single" w:sz="4" w:space="0" w:color="auto"/>
              <w:left w:val="single" w:sz="4" w:space="0" w:color="auto"/>
              <w:bottom w:val="single" w:sz="4" w:space="0" w:color="auto"/>
              <w:right w:val="single" w:sz="4" w:space="0" w:color="auto"/>
            </w:tcBorders>
          </w:tcPr>
          <w:p w:rsidR="00D73892" w:rsidRDefault="00D73892">
            <w:pPr>
              <w:jc w:val="center"/>
              <w:rPr>
                <w:rFonts w:ascii="Arial" w:eastAsia="Calibri" w:hAnsi="Arial" w:cs="Arial"/>
                <w:b/>
                <w:sz w:val="20"/>
                <w:szCs w:val="20"/>
              </w:rPr>
            </w:pPr>
          </w:p>
        </w:tc>
      </w:tr>
      <w:tr w:rsidR="00D73892" w:rsidTr="00D73892">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3892" w:rsidRDefault="00D73892">
            <w:pPr>
              <w:rPr>
                <w:rFonts w:ascii="Arial" w:eastAsia="Calibri" w:hAnsi="Arial" w:cs="Arial"/>
                <w:b/>
                <w:sz w:val="20"/>
                <w:szCs w:val="20"/>
              </w:rPr>
            </w:pPr>
            <w:r>
              <w:rPr>
                <w:rFonts w:ascii="Arial" w:hAnsi="Arial" w:cs="Arial"/>
                <w:b/>
                <w:sz w:val="20"/>
                <w:szCs w:val="20"/>
              </w:rPr>
              <w:t>NHS NORTH EAST LINCOLNSHIRE CCG COMMISSIONED</w:t>
            </w:r>
          </w:p>
        </w:tc>
        <w:tc>
          <w:tcPr>
            <w:tcW w:w="6251" w:type="dxa"/>
            <w:gridSpan w:val="7"/>
            <w:tcBorders>
              <w:top w:val="single" w:sz="4" w:space="0" w:color="auto"/>
              <w:left w:val="single" w:sz="4" w:space="0" w:color="auto"/>
              <w:bottom w:val="single" w:sz="4" w:space="0" w:color="auto"/>
              <w:right w:val="single" w:sz="4" w:space="0" w:color="auto"/>
            </w:tcBorders>
          </w:tcPr>
          <w:p w:rsidR="00D73892" w:rsidRDefault="00D73892">
            <w:pPr>
              <w:jc w:val="center"/>
              <w:rPr>
                <w:rFonts w:ascii="Arial" w:eastAsia="Calibri" w:hAnsi="Arial" w:cs="Arial"/>
                <w:b/>
                <w:sz w:val="20"/>
                <w:szCs w:val="20"/>
              </w:rPr>
            </w:pP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CCG PMS Re-investment</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489</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489</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0</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367</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362</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-5</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Enhanced Services</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1,447</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1,521</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74</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1,036</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1,059</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23</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sz w:val="20"/>
                <w:szCs w:val="20"/>
              </w:rPr>
            </w:pPr>
            <w:r>
              <w:rPr>
                <w:rFonts w:ascii="Arial" w:hAnsi="Arial" w:cs="Arial"/>
                <w:sz w:val="20"/>
                <w:szCs w:val="20"/>
              </w:rPr>
              <w:t>Service Improvement Plans</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1,328</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1,333</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5</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996</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999</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sz w:val="20"/>
                <w:szCs w:val="20"/>
              </w:rPr>
            </w:pPr>
            <w:r>
              <w:rPr>
                <w:rFonts w:ascii="Arial" w:hAnsi="Arial" w:cs="Arial"/>
                <w:sz w:val="20"/>
                <w:szCs w:val="20"/>
              </w:rPr>
              <w:t>3</w:t>
            </w:r>
          </w:p>
        </w:tc>
      </w:tr>
      <w:tr w:rsidR="00D73892" w:rsidTr="00D73892">
        <w:tc>
          <w:tcPr>
            <w:tcW w:w="3227" w:type="dxa"/>
            <w:tcBorders>
              <w:top w:val="single" w:sz="4" w:space="0" w:color="auto"/>
              <w:left w:val="single" w:sz="4" w:space="0" w:color="auto"/>
              <w:bottom w:val="single" w:sz="4" w:space="0" w:color="auto"/>
              <w:right w:val="single" w:sz="4" w:space="0" w:color="auto"/>
            </w:tcBorders>
            <w:hideMark/>
          </w:tcPr>
          <w:p w:rsidR="00D73892" w:rsidRDefault="00D73892">
            <w:pPr>
              <w:rPr>
                <w:rFonts w:ascii="Arial" w:eastAsia="Calibri" w:hAnsi="Arial" w:cs="Arial"/>
                <w:b/>
                <w:sz w:val="20"/>
                <w:szCs w:val="20"/>
              </w:rPr>
            </w:pPr>
            <w:r>
              <w:rPr>
                <w:rFonts w:ascii="Arial" w:hAnsi="Arial" w:cs="Arial"/>
                <w:b/>
                <w:sz w:val="20"/>
                <w:szCs w:val="20"/>
              </w:rPr>
              <w:t>NEL CCG COMMISSIONED TOTAL</w:t>
            </w:r>
          </w:p>
        </w:tc>
        <w:tc>
          <w:tcPr>
            <w:tcW w:w="94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3,264</w:t>
            </w:r>
          </w:p>
        </w:tc>
        <w:tc>
          <w:tcPr>
            <w:tcW w:w="1039" w:type="dxa"/>
            <w:gridSpan w:val="2"/>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3,330</w:t>
            </w:r>
          </w:p>
        </w:tc>
        <w:tc>
          <w:tcPr>
            <w:tcW w:w="993"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66</w:t>
            </w:r>
          </w:p>
        </w:tc>
        <w:tc>
          <w:tcPr>
            <w:tcW w:w="1044"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2,399</w:t>
            </w:r>
          </w:p>
        </w:tc>
        <w:tc>
          <w:tcPr>
            <w:tcW w:w="10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2,420</w:t>
            </w:r>
          </w:p>
        </w:tc>
        <w:tc>
          <w:tcPr>
            <w:tcW w:w="1165" w:type="dxa"/>
            <w:tcBorders>
              <w:top w:val="single" w:sz="4" w:space="0" w:color="auto"/>
              <w:left w:val="single" w:sz="4" w:space="0" w:color="auto"/>
              <w:bottom w:val="single" w:sz="4" w:space="0" w:color="auto"/>
              <w:right w:val="single" w:sz="4" w:space="0" w:color="auto"/>
            </w:tcBorders>
            <w:hideMark/>
          </w:tcPr>
          <w:p w:rsidR="00D73892" w:rsidRDefault="00D73892">
            <w:pPr>
              <w:jc w:val="center"/>
              <w:rPr>
                <w:rFonts w:ascii="Arial" w:eastAsia="Calibri" w:hAnsi="Arial" w:cs="Arial"/>
                <w:b/>
                <w:sz w:val="20"/>
                <w:szCs w:val="20"/>
              </w:rPr>
            </w:pPr>
            <w:r>
              <w:rPr>
                <w:rFonts w:ascii="Arial" w:hAnsi="Arial" w:cs="Arial"/>
                <w:b/>
                <w:sz w:val="20"/>
                <w:szCs w:val="20"/>
              </w:rPr>
              <w:t>21</w:t>
            </w:r>
          </w:p>
        </w:tc>
      </w:tr>
    </w:tbl>
    <w:p w:rsidR="00D73892" w:rsidRDefault="00D73892" w:rsidP="00D73892">
      <w:pPr>
        <w:rPr>
          <w:rFonts w:ascii="Calibri" w:eastAsia="Calibri" w:hAnsi="Calibri"/>
          <w:sz w:val="22"/>
          <w:szCs w:val="22"/>
          <w:lang w:eastAsia="en-US"/>
        </w:rPr>
      </w:pPr>
    </w:p>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5B" w:rsidRDefault="009E3C5B">
      <w:r>
        <w:separator/>
      </w:r>
    </w:p>
  </w:endnote>
  <w:endnote w:type="continuationSeparator" w:id="0">
    <w:p w:rsidR="009E3C5B" w:rsidRDefault="009E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5B" w:rsidRDefault="009E3C5B"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5B" w:rsidRDefault="009E3C5B">
      <w:r>
        <w:separator/>
      </w:r>
    </w:p>
  </w:footnote>
  <w:footnote w:type="continuationSeparator" w:id="0">
    <w:p w:rsidR="009E3C5B" w:rsidRDefault="009E3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0"/>
  </w:num>
  <w:num w:numId="4">
    <w:abstractNumId w:val="22"/>
  </w:num>
  <w:num w:numId="5">
    <w:abstractNumId w:val="15"/>
  </w:num>
  <w:num w:numId="6">
    <w:abstractNumId w:val="20"/>
  </w:num>
  <w:num w:numId="7">
    <w:abstractNumId w:val="3"/>
  </w:num>
  <w:num w:numId="8">
    <w:abstractNumId w:val="14"/>
  </w:num>
  <w:num w:numId="9">
    <w:abstractNumId w:val="17"/>
  </w:num>
  <w:num w:numId="10">
    <w:abstractNumId w:val="5"/>
  </w:num>
  <w:num w:numId="11">
    <w:abstractNumId w:val="8"/>
  </w:num>
  <w:num w:numId="12">
    <w:abstractNumId w:val="19"/>
  </w:num>
  <w:num w:numId="13">
    <w:abstractNumId w:val="11"/>
  </w:num>
  <w:num w:numId="14">
    <w:abstractNumId w:val="1"/>
  </w:num>
  <w:num w:numId="15">
    <w:abstractNumId w:val="13"/>
  </w:num>
  <w:num w:numId="16">
    <w:abstractNumId w:val="9"/>
  </w:num>
  <w:num w:numId="17">
    <w:abstractNumId w:val="16"/>
  </w:num>
  <w:num w:numId="18">
    <w:abstractNumId w:val="12"/>
  </w:num>
  <w:num w:numId="19">
    <w:abstractNumId w:val="21"/>
  </w:num>
  <w:num w:numId="20">
    <w:abstractNumId w:val="7"/>
  </w:num>
  <w:num w:numId="21">
    <w:abstractNumId w:val="6"/>
  </w:num>
  <w:num w:numId="22">
    <w:abstractNumId w:val="10"/>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E45FF"/>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3892"/>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059BD"/>
    <w:rsid w:val="00F12864"/>
    <w:rsid w:val="00F3113F"/>
    <w:rsid w:val="00F32730"/>
    <w:rsid w:val="00F3308A"/>
    <w:rsid w:val="00F3716D"/>
    <w:rsid w:val="00F37D18"/>
    <w:rsid w:val="00F40B1F"/>
    <w:rsid w:val="00F4594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17067907">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8586</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3</cp:revision>
  <cp:lastPrinted>2011-06-01T15:50:00Z</cp:lastPrinted>
  <dcterms:created xsi:type="dcterms:W3CDTF">2016-01-25T10:30:00Z</dcterms:created>
  <dcterms:modified xsi:type="dcterms:W3CDTF">2016-02-08T13:26:00Z</dcterms:modified>
</cp:coreProperties>
</file>