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A0" w:rsidRDefault="00FF0026" w:rsidP="00FF00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63D52">
        <w:rPr>
          <w:b/>
          <w:sz w:val="28"/>
          <w:szCs w:val="28"/>
        </w:rPr>
        <w:t>JOINT COMMISSIONING OF PRIMARY CARE SUBSTANCE MISUSE SERVICES</w:t>
      </w:r>
    </w:p>
    <w:p w:rsidR="001C78AB" w:rsidRPr="00963D52" w:rsidRDefault="001C78AB" w:rsidP="00FF00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JOINT COMMISSIONING ARRANGEMENTS</w:t>
      </w:r>
    </w:p>
    <w:p w:rsidR="00611395" w:rsidRPr="00611395" w:rsidRDefault="00611395" w:rsidP="006113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611395">
        <w:rPr>
          <w:rFonts w:ascii="Times New Roman" w:hAnsi="Times New Roman" w:cs="Times New Roman"/>
          <w:b/>
          <w:sz w:val="24"/>
          <w:szCs w:val="24"/>
          <w:lang w:val="en"/>
        </w:rPr>
        <w:t>Background</w:t>
      </w:r>
    </w:p>
    <w:p w:rsidR="00FF0026" w:rsidRPr="00963D52" w:rsidRDefault="002A51CE">
      <w:pPr>
        <w:rPr>
          <w:rFonts w:ascii="Times New Roman" w:hAnsi="Times New Roman" w:cs="Times New Roman"/>
          <w:sz w:val="24"/>
          <w:szCs w:val="24"/>
          <w:lang w:val="en"/>
        </w:rPr>
      </w:pPr>
      <w:r w:rsidRPr="00963D52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FF0026" w:rsidRPr="00963D52">
        <w:rPr>
          <w:rFonts w:ascii="Times New Roman" w:hAnsi="Times New Roman" w:cs="Times New Roman"/>
          <w:sz w:val="24"/>
          <w:szCs w:val="24"/>
          <w:lang w:val="en"/>
        </w:rPr>
        <w:t>ection 75 of the Na</w:t>
      </w:r>
      <w:r w:rsidRPr="00963D52">
        <w:rPr>
          <w:rFonts w:ascii="Times New Roman" w:hAnsi="Times New Roman" w:cs="Times New Roman"/>
          <w:sz w:val="24"/>
          <w:szCs w:val="24"/>
          <w:lang w:val="en"/>
        </w:rPr>
        <w:t xml:space="preserve">tional Health Service Act 2006 provides an enabling framework so that money can be pooled between health bodies and health-related local authority services, and resources and management structures can be integrated. </w:t>
      </w:r>
      <w:r w:rsidR="00FF0026" w:rsidRPr="00963D52">
        <w:rPr>
          <w:rFonts w:ascii="Times New Roman" w:hAnsi="Times New Roman" w:cs="Times New Roman"/>
          <w:sz w:val="24"/>
          <w:szCs w:val="24"/>
          <w:lang w:val="en"/>
        </w:rPr>
        <w:t>Th</w:t>
      </w:r>
      <w:r w:rsidRPr="00963D52">
        <w:rPr>
          <w:rFonts w:ascii="Times New Roman" w:hAnsi="Times New Roman" w:cs="Times New Roman"/>
          <w:sz w:val="24"/>
          <w:szCs w:val="24"/>
          <w:lang w:val="en"/>
        </w:rPr>
        <w:t>is</w:t>
      </w:r>
      <w:r w:rsidR="00FF0026" w:rsidRPr="00963D52">
        <w:rPr>
          <w:rFonts w:ascii="Times New Roman" w:hAnsi="Times New Roman" w:cs="Times New Roman"/>
          <w:sz w:val="24"/>
          <w:szCs w:val="24"/>
          <w:lang w:val="en"/>
        </w:rPr>
        <w:t xml:space="preserve"> provision</w:t>
      </w:r>
      <w:r w:rsidRPr="00963D52">
        <w:rPr>
          <w:rFonts w:ascii="Times New Roman" w:hAnsi="Times New Roman" w:cs="Times New Roman"/>
          <w:sz w:val="24"/>
          <w:szCs w:val="24"/>
          <w:lang w:val="en"/>
        </w:rPr>
        <w:t xml:space="preserve"> enables health and local authority organisations to establish a p</w:t>
      </w:r>
      <w:r w:rsidR="00FF0026" w:rsidRPr="00963D52">
        <w:rPr>
          <w:rFonts w:ascii="Times New Roman" w:hAnsi="Times New Roman" w:cs="Times New Roman"/>
          <w:sz w:val="24"/>
          <w:szCs w:val="24"/>
          <w:lang w:val="en"/>
        </w:rPr>
        <w:t>artnership arrangement</w:t>
      </w:r>
      <w:r w:rsidRPr="00963D52">
        <w:rPr>
          <w:rFonts w:ascii="Times New Roman" w:hAnsi="Times New Roman" w:cs="Times New Roman"/>
          <w:sz w:val="24"/>
          <w:szCs w:val="24"/>
          <w:lang w:val="en"/>
        </w:rPr>
        <w:t xml:space="preserve"> which may include:</w:t>
      </w:r>
    </w:p>
    <w:p w:rsidR="00FC07C5" w:rsidRPr="00FC07C5" w:rsidRDefault="00FC07C5" w:rsidP="00FC07C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C07C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Pooled funds - the ability for partners each to contribute agreed funds to a single pot, to be spent on agreed projects for designated services</w:t>
      </w:r>
    </w:p>
    <w:p w:rsidR="00FC07C5" w:rsidRPr="00FC07C5" w:rsidRDefault="00FC07C5" w:rsidP="00FC07C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C07C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Lead commissioning - the partners can agree to delegate commissioning of a service to one lead organisation</w:t>
      </w:r>
    </w:p>
    <w:p w:rsidR="00FC07C5" w:rsidRPr="00FC07C5" w:rsidRDefault="00FC07C5" w:rsidP="00FC07C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C07C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Integrated provision - the partners can join together their staff, resources, and management structures to integrate the provision of a service</w:t>
      </w:r>
    </w:p>
    <w:p w:rsidR="00611395" w:rsidRPr="00963D52" w:rsidRDefault="00611395" w:rsidP="006113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Within </w:t>
      </w:r>
      <w:r w:rsidR="00FC07C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existing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NEL partnership the majority of Adult Social Care and Childrens services have been established through a hosted pooled budget accompanied by lead commissioning. The lead commissioner has then, where appropriate, developed integrated provision as the strategic delivery mechanism.</w:t>
      </w:r>
    </w:p>
    <w:p w:rsidR="00963D52" w:rsidRPr="00963D52" w:rsidRDefault="00611395" w:rsidP="00963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However w</w:t>
      </w:r>
      <w:r w:rsidR="002A51CE" w:rsidRPr="00963D5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here a pooled fund is established, the partners may also adopt </w:t>
      </w:r>
      <w:r w:rsidR="002A51CE" w:rsidRPr="00963D52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Joint </w:t>
      </w:r>
      <w:r w:rsidR="00963D52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C</w:t>
      </w:r>
      <w:r w:rsidR="002A51CE" w:rsidRPr="00963D52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ommissioning</w:t>
      </w:r>
      <w:r w:rsidR="00963D5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2A51CE" w:rsidRPr="00963D5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arrangements,</w:t>
      </w:r>
      <w:r w:rsidR="00FC07C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which can vary in nature but in essence require</w:t>
      </w:r>
      <w:r w:rsidR="00963D52" w:rsidRPr="00963D5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:</w:t>
      </w:r>
    </w:p>
    <w:p w:rsidR="00FC07C5" w:rsidRPr="00FC07C5" w:rsidRDefault="00963D52" w:rsidP="00FC07C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C07C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both partners </w:t>
      </w:r>
      <w:r w:rsidR="00FC07C5" w:rsidRPr="00FC07C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to be </w:t>
      </w:r>
      <w:r w:rsidRPr="00FC07C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equally engaged though the full commissioning cycle</w:t>
      </w:r>
      <w:r w:rsidR="00FC07C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163556" w:rsidRDefault="00FC07C5" w:rsidP="0016355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both partners equally engaged </w:t>
      </w:r>
      <w:r w:rsidRPr="00963D5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performance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management</w:t>
      </w:r>
      <w:r w:rsidR="00163556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of delivery and objectives </w:t>
      </w:r>
    </w:p>
    <w:p w:rsidR="00611395" w:rsidRDefault="00163556" w:rsidP="0061139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C07C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 lead partner</w:t>
      </w:r>
      <w:r w:rsidR="00C9289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to</w:t>
      </w:r>
      <w:r w:rsidRPr="00FC07C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host procurement and contract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processes,</w:t>
      </w:r>
      <w:r w:rsidRPr="00FC07C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the associated pooled budget</w:t>
      </w:r>
      <w:r w:rsidR="00C9289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</w:t>
      </w:r>
      <w:r w:rsidRPr="00FC07C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="00C92890" w:rsidRPr="00FC07C5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for a service or set of services</w:t>
      </w:r>
    </w:p>
    <w:p w:rsidR="00163556" w:rsidRPr="00163556" w:rsidRDefault="00163556" w:rsidP="00163556">
      <w:pPr>
        <w:pStyle w:val="ListParagraph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611395" w:rsidRPr="00963D52" w:rsidRDefault="00611395" w:rsidP="00611395">
      <w:pPr>
        <w:pStyle w:val="ListParagraph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FF0026" w:rsidRPr="00611395" w:rsidRDefault="00611395" w:rsidP="006113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611395">
        <w:rPr>
          <w:rFonts w:ascii="Times New Roman" w:hAnsi="Times New Roman" w:cs="Times New Roman"/>
          <w:b/>
          <w:sz w:val="24"/>
          <w:szCs w:val="24"/>
          <w:lang w:val="en"/>
        </w:rPr>
        <w:t>Primary Care Substance Misuse Service</w:t>
      </w:r>
      <w:r w:rsidR="00C92890">
        <w:rPr>
          <w:rFonts w:ascii="Times New Roman" w:hAnsi="Times New Roman" w:cs="Times New Roman"/>
          <w:b/>
          <w:sz w:val="24"/>
          <w:szCs w:val="24"/>
          <w:lang w:val="en"/>
        </w:rPr>
        <w:t>:</w:t>
      </w:r>
      <w:r w:rsidRPr="00611395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="00C92890">
        <w:rPr>
          <w:rFonts w:ascii="Times New Roman" w:hAnsi="Times New Roman" w:cs="Times New Roman"/>
          <w:b/>
          <w:sz w:val="24"/>
          <w:szCs w:val="24"/>
          <w:lang w:val="en"/>
        </w:rPr>
        <w:t xml:space="preserve">proposed </w:t>
      </w:r>
      <w:r w:rsidRPr="00611395">
        <w:rPr>
          <w:rFonts w:ascii="Times New Roman" w:hAnsi="Times New Roman" w:cs="Times New Roman"/>
          <w:b/>
          <w:sz w:val="24"/>
          <w:szCs w:val="24"/>
          <w:lang w:val="en"/>
        </w:rPr>
        <w:t>Joint Commissioning Arrangements</w:t>
      </w:r>
    </w:p>
    <w:p w:rsidR="001C78AB" w:rsidRDefault="00EB3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3556">
        <w:rPr>
          <w:rFonts w:ascii="Times New Roman" w:hAnsi="Times New Roman" w:cs="Times New Roman"/>
          <w:sz w:val="24"/>
          <w:szCs w:val="24"/>
        </w:rPr>
        <w:t xml:space="preserve">ubstance misuse services are </w:t>
      </w:r>
      <w:r>
        <w:rPr>
          <w:rFonts w:ascii="Times New Roman" w:hAnsi="Times New Roman" w:cs="Times New Roman"/>
          <w:sz w:val="24"/>
          <w:szCs w:val="24"/>
        </w:rPr>
        <w:t>provided to</w:t>
      </w:r>
      <w:r w:rsidR="0016355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particularly </w:t>
      </w:r>
      <w:r w:rsidR="00163556">
        <w:rPr>
          <w:rFonts w:ascii="Times New Roman" w:hAnsi="Times New Roman" w:cs="Times New Roman"/>
          <w:sz w:val="24"/>
          <w:szCs w:val="24"/>
        </w:rPr>
        <w:t xml:space="preserve">vulnerable client group and have significant impact into wider strategic partnership priorities including safer communities, stable families and economy/employment. Due to its greater expertise in clinical service commissioning </w:t>
      </w:r>
      <w:r>
        <w:rPr>
          <w:rFonts w:ascii="Times New Roman" w:hAnsi="Times New Roman" w:cs="Times New Roman"/>
          <w:sz w:val="24"/>
          <w:szCs w:val="24"/>
        </w:rPr>
        <w:t xml:space="preserve">it has been agreed that </w:t>
      </w:r>
      <w:r w:rsidR="00163556">
        <w:rPr>
          <w:rFonts w:ascii="Times New Roman" w:hAnsi="Times New Roman" w:cs="Times New Roman"/>
          <w:sz w:val="24"/>
          <w:szCs w:val="24"/>
        </w:rPr>
        <w:t>the CCG will act as the lead partner</w:t>
      </w:r>
      <w:r w:rsidR="00C92890">
        <w:rPr>
          <w:rFonts w:ascii="Times New Roman" w:hAnsi="Times New Roman" w:cs="Times New Roman"/>
          <w:sz w:val="24"/>
          <w:szCs w:val="24"/>
        </w:rPr>
        <w:t xml:space="preserve"> for the primary care service</w:t>
      </w:r>
      <w:r>
        <w:rPr>
          <w:rFonts w:ascii="Times New Roman" w:hAnsi="Times New Roman" w:cs="Times New Roman"/>
          <w:sz w:val="24"/>
          <w:szCs w:val="24"/>
        </w:rPr>
        <w:t>. However,</w:t>
      </w:r>
      <w:r w:rsidR="00C92890">
        <w:rPr>
          <w:rFonts w:ascii="Times New Roman" w:hAnsi="Times New Roman" w:cs="Times New Roman"/>
          <w:sz w:val="24"/>
          <w:szCs w:val="24"/>
        </w:rPr>
        <w:t xml:space="preserve"> the council has sole responsibility for </w:t>
      </w:r>
      <w:r w:rsidR="005A1174">
        <w:rPr>
          <w:rFonts w:ascii="Times New Roman" w:hAnsi="Times New Roman" w:cs="Times New Roman"/>
          <w:sz w:val="24"/>
          <w:szCs w:val="24"/>
        </w:rPr>
        <w:t xml:space="preserve">the </w:t>
      </w:r>
      <w:r w:rsidR="005A1174" w:rsidRPr="00163556">
        <w:rPr>
          <w:rFonts w:ascii="Times New Roman" w:hAnsi="Times New Roman" w:cs="Times New Roman"/>
          <w:sz w:val="24"/>
          <w:szCs w:val="24"/>
        </w:rPr>
        <w:t>secondary care Substance Misuse service</w:t>
      </w:r>
      <w:r>
        <w:rPr>
          <w:rFonts w:ascii="Times New Roman" w:hAnsi="Times New Roman" w:cs="Times New Roman"/>
          <w:sz w:val="24"/>
          <w:szCs w:val="24"/>
        </w:rPr>
        <w:t>, and there are many critical linkages and dependencies between the two services</w:t>
      </w:r>
      <w:r w:rsidR="005A11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556" w:rsidRDefault="005A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</w:t>
      </w:r>
      <w:r w:rsidR="00EB31C9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these circumstances it has been agreed tha</w:t>
      </w:r>
      <w:r w:rsidR="00C92890">
        <w:rPr>
          <w:rFonts w:ascii="Times New Roman" w:hAnsi="Times New Roman" w:cs="Times New Roman"/>
          <w:sz w:val="24"/>
          <w:szCs w:val="24"/>
        </w:rPr>
        <w:t>t</w:t>
      </w:r>
      <w:r w:rsidR="00163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primary care </w:t>
      </w:r>
      <w:r w:rsidR="00EB31C9">
        <w:rPr>
          <w:rFonts w:ascii="Times New Roman" w:hAnsi="Times New Roman" w:cs="Times New Roman"/>
          <w:sz w:val="24"/>
          <w:szCs w:val="24"/>
        </w:rPr>
        <w:t xml:space="preserve">substance misuse </w:t>
      </w:r>
      <w:r>
        <w:rPr>
          <w:rFonts w:ascii="Times New Roman" w:hAnsi="Times New Roman" w:cs="Times New Roman"/>
          <w:sz w:val="24"/>
          <w:szCs w:val="24"/>
        </w:rPr>
        <w:t>service</w:t>
      </w:r>
      <w:r w:rsidR="00163556">
        <w:rPr>
          <w:rFonts w:ascii="Times New Roman" w:hAnsi="Times New Roman" w:cs="Times New Roman"/>
          <w:sz w:val="24"/>
          <w:szCs w:val="24"/>
        </w:rPr>
        <w:t xml:space="preserve"> is to be managed </w:t>
      </w:r>
      <w:r w:rsidR="00C92890">
        <w:rPr>
          <w:rFonts w:ascii="Times New Roman" w:hAnsi="Times New Roman" w:cs="Times New Roman"/>
          <w:sz w:val="24"/>
          <w:szCs w:val="24"/>
        </w:rPr>
        <w:t>under a</w:t>
      </w:r>
      <w:r w:rsidR="00163556">
        <w:rPr>
          <w:rFonts w:ascii="Times New Roman" w:hAnsi="Times New Roman" w:cs="Times New Roman"/>
          <w:sz w:val="24"/>
          <w:szCs w:val="24"/>
        </w:rPr>
        <w:t xml:space="preserve"> Joint Commissioning arrangement</w:t>
      </w:r>
      <w:r w:rsidR="001C78AB">
        <w:rPr>
          <w:rFonts w:ascii="Times New Roman" w:hAnsi="Times New Roman" w:cs="Times New Roman"/>
          <w:sz w:val="24"/>
          <w:szCs w:val="24"/>
        </w:rPr>
        <w:t>, as follows:</w:t>
      </w:r>
      <w:r w:rsidR="0016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890" w:rsidRPr="00C92890" w:rsidRDefault="001C78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C92890" w:rsidRPr="00C92890">
        <w:rPr>
          <w:rFonts w:ascii="Times New Roman" w:hAnsi="Times New Roman" w:cs="Times New Roman"/>
          <w:sz w:val="24"/>
          <w:szCs w:val="24"/>
          <w:u w:val="single"/>
        </w:rPr>
        <w:t>ontract management meetings</w:t>
      </w:r>
      <w:r w:rsidR="005A1174">
        <w:rPr>
          <w:rFonts w:ascii="Times New Roman" w:hAnsi="Times New Roman" w:cs="Times New Roman"/>
          <w:sz w:val="24"/>
          <w:szCs w:val="24"/>
          <w:u w:val="single"/>
        </w:rPr>
        <w:t xml:space="preserve"> with the provider</w:t>
      </w:r>
    </w:p>
    <w:p w:rsidR="00EB31C9" w:rsidRDefault="00EB3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Core a</w:t>
      </w:r>
      <w:r w:rsidR="00C92890">
        <w:rPr>
          <w:rFonts w:ascii="Times New Roman" w:hAnsi="Times New Roman" w:cs="Times New Roman"/>
          <w:sz w:val="24"/>
          <w:szCs w:val="24"/>
        </w:rPr>
        <w:t>ttendees</w:t>
      </w:r>
      <w:r w:rsidR="00611395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be:</w:t>
      </w:r>
    </w:p>
    <w:p w:rsidR="00EB31C9" w:rsidRPr="001C78AB" w:rsidRDefault="00EB31C9" w:rsidP="001C78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1C9">
        <w:rPr>
          <w:rFonts w:ascii="Times New Roman" w:hAnsi="Times New Roman" w:cs="Times New Roman"/>
          <w:sz w:val="24"/>
          <w:szCs w:val="24"/>
        </w:rPr>
        <w:t>the</w:t>
      </w:r>
      <w:r w:rsidR="00C92890" w:rsidRPr="00EB3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CCG lead officer for the </w:t>
      </w:r>
      <w:r w:rsidRPr="00EB31C9">
        <w:rPr>
          <w:rFonts w:ascii="Times New Roman" w:hAnsi="Times New Roman" w:cs="Times New Roman"/>
          <w:sz w:val="24"/>
          <w:szCs w:val="24"/>
        </w:rPr>
        <w:t>primary care substance misuse</w:t>
      </w:r>
      <w:r>
        <w:rPr>
          <w:rFonts w:ascii="Times New Roman" w:hAnsi="Times New Roman" w:cs="Times New Roman"/>
          <w:sz w:val="24"/>
          <w:szCs w:val="24"/>
        </w:rPr>
        <w:t xml:space="preserve"> contract</w:t>
      </w:r>
      <w:r w:rsidR="001C78AB">
        <w:rPr>
          <w:rFonts w:ascii="Times New Roman" w:hAnsi="Times New Roman" w:cs="Times New Roman"/>
          <w:sz w:val="24"/>
          <w:szCs w:val="24"/>
        </w:rPr>
        <w:t>, and</w:t>
      </w:r>
    </w:p>
    <w:p w:rsidR="00611395" w:rsidRDefault="00EB31C9" w:rsidP="00EB31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31C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NELC </w:t>
      </w:r>
      <w:r w:rsidR="00611395" w:rsidRPr="00EB31C9">
        <w:rPr>
          <w:rFonts w:ascii="Times New Roman" w:hAnsi="Times New Roman" w:cs="Times New Roman"/>
          <w:sz w:val="24"/>
          <w:szCs w:val="24"/>
        </w:rPr>
        <w:t xml:space="preserve">lead officer for the secondary care </w:t>
      </w:r>
      <w:r w:rsidRPr="00EB31C9">
        <w:rPr>
          <w:rFonts w:ascii="Times New Roman" w:hAnsi="Times New Roman" w:cs="Times New Roman"/>
          <w:sz w:val="24"/>
          <w:szCs w:val="24"/>
        </w:rPr>
        <w:t xml:space="preserve">substance misuse </w:t>
      </w:r>
      <w:r>
        <w:rPr>
          <w:rFonts w:ascii="Times New Roman" w:hAnsi="Times New Roman" w:cs="Times New Roman"/>
          <w:sz w:val="24"/>
          <w:szCs w:val="24"/>
        </w:rPr>
        <w:t>contract</w:t>
      </w:r>
    </w:p>
    <w:p w:rsidR="00EB31C9" w:rsidRPr="00EB31C9" w:rsidRDefault="00EB31C9" w:rsidP="00EB31C9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CCG shall be responsible for the provision of administrative support and contract information to the meetings. The meetings shall include monitoring progress against pe</w:t>
      </w:r>
      <w:r w:rsidR="001C78A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forma</w:t>
      </w:r>
      <w:r w:rsidR="001C78A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ce metrics,</w:t>
      </w:r>
      <w:r w:rsidR="001C78AB">
        <w:rPr>
          <w:rFonts w:ascii="Times New Roman" w:hAnsi="Times New Roman" w:cs="Times New Roman"/>
          <w:sz w:val="24"/>
          <w:szCs w:val="24"/>
        </w:rPr>
        <w:t xml:space="preserve"> outcomes and objectives set within</w:t>
      </w:r>
      <w:r>
        <w:rPr>
          <w:rFonts w:ascii="Times New Roman" w:hAnsi="Times New Roman" w:cs="Times New Roman"/>
          <w:sz w:val="24"/>
          <w:szCs w:val="24"/>
        </w:rPr>
        <w:t xml:space="preserve"> the contract.</w:t>
      </w:r>
    </w:p>
    <w:p w:rsidR="00611395" w:rsidRPr="00C92890" w:rsidRDefault="006113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2890">
        <w:rPr>
          <w:rFonts w:ascii="Times New Roman" w:hAnsi="Times New Roman" w:cs="Times New Roman"/>
          <w:sz w:val="24"/>
          <w:szCs w:val="24"/>
          <w:u w:val="single"/>
        </w:rPr>
        <w:t xml:space="preserve">Escalation of </w:t>
      </w:r>
      <w:r w:rsidR="00C92890" w:rsidRPr="00C92890">
        <w:rPr>
          <w:rFonts w:ascii="Times New Roman" w:hAnsi="Times New Roman" w:cs="Times New Roman"/>
          <w:sz w:val="24"/>
          <w:szCs w:val="24"/>
          <w:u w:val="single"/>
        </w:rPr>
        <w:t xml:space="preserve">critical </w:t>
      </w:r>
      <w:r w:rsidRPr="00C92890">
        <w:rPr>
          <w:rFonts w:ascii="Times New Roman" w:hAnsi="Times New Roman" w:cs="Times New Roman"/>
          <w:sz w:val="24"/>
          <w:szCs w:val="24"/>
          <w:u w:val="single"/>
        </w:rPr>
        <w:t xml:space="preserve">issues </w:t>
      </w:r>
      <w:r w:rsidR="00C92890" w:rsidRPr="00C92890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C92890">
        <w:rPr>
          <w:rFonts w:ascii="Times New Roman" w:hAnsi="Times New Roman" w:cs="Times New Roman"/>
          <w:sz w:val="24"/>
          <w:szCs w:val="24"/>
          <w:u w:val="single"/>
        </w:rPr>
        <w:t xml:space="preserve"> decisions</w:t>
      </w:r>
    </w:p>
    <w:p w:rsidR="005A1174" w:rsidRDefault="005A1174" w:rsidP="005A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amendment of the Section 75 agreement to include primary care substance misuse will mean that </w:t>
      </w:r>
      <w:r w:rsidR="00905C79">
        <w:rPr>
          <w:rFonts w:ascii="Times New Roman" w:hAnsi="Times New Roman" w:cs="Times New Roman"/>
          <w:sz w:val="24"/>
          <w:szCs w:val="24"/>
        </w:rPr>
        <w:t xml:space="preserve">this service will </w:t>
      </w:r>
      <w:r>
        <w:rPr>
          <w:rFonts w:ascii="Times New Roman" w:hAnsi="Times New Roman" w:cs="Times New Roman"/>
          <w:sz w:val="24"/>
          <w:szCs w:val="24"/>
        </w:rPr>
        <w:t xml:space="preserve">automatically </w:t>
      </w:r>
      <w:r w:rsidR="00905C79">
        <w:rPr>
          <w:rFonts w:ascii="Times New Roman" w:hAnsi="Times New Roman" w:cs="Times New Roman"/>
          <w:sz w:val="24"/>
          <w:szCs w:val="24"/>
        </w:rPr>
        <w:t>fall within the operational escalation routes set out in these arrangements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6452" w:rsidRDefault="00616452" w:rsidP="006164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Deputy Chief Executive of the CCG now has joint accountability to the CCG and NELC with lead responsibility for adult health and social care serves, and is a member of the council senior leadership team working alongside the Director of Public Health and Deputy Chief Executive of NELC. This will enable rapid operational escalation at a very senior officer level as and when required for issues or decisions that are beyond the authority of the lead contract officers to resolve.</w:t>
      </w:r>
    </w:p>
    <w:p w:rsidR="00905C79" w:rsidRDefault="00EE1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92890">
        <w:rPr>
          <w:rFonts w:ascii="Times New Roman" w:hAnsi="Times New Roman" w:cs="Times New Roman"/>
          <w:sz w:val="24"/>
          <w:szCs w:val="24"/>
        </w:rPr>
        <w:t>Primary Care c</w:t>
      </w:r>
      <w:r>
        <w:rPr>
          <w:rFonts w:ascii="Times New Roman" w:hAnsi="Times New Roman" w:cs="Times New Roman"/>
          <w:sz w:val="24"/>
          <w:szCs w:val="24"/>
        </w:rPr>
        <w:t>o-commissioning committee will be the forum use</w:t>
      </w:r>
      <w:r w:rsidR="005A11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616452">
        <w:rPr>
          <w:rFonts w:ascii="Times New Roman" w:hAnsi="Times New Roman" w:cs="Times New Roman"/>
          <w:sz w:val="24"/>
          <w:szCs w:val="24"/>
        </w:rPr>
        <w:t xml:space="preserve">formal </w:t>
      </w:r>
      <w:r>
        <w:rPr>
          <w:rFonts w:ascii="Times New Roman" w:hAnsi="Times New Roman" w:cs="Times New Roman"/>
          <w:sz w:val="24"/>
          <w:szCs w:val="24"/>
        </w:rPr>
        <w:t xml:space="preserve">escalation of </w:t>
      </w:r>
      <w:r w:rsidR="00C92890">
        <w:rPr>
          <w:rFonts w:ascii="Times New Roman" w:hAnsi="Times New Roman" w:cs="Times New Roman"/>
          <w:sz w:val="24"/>
          <w:szCs w:val="24"/>
        </w:rPr>
        <w:t xml:space="preserve">critical </w:t>
      </w:r>
      <w:r>
        <w:rPr>
          <w:rFonts w:ascii="Times New Roman" w:hAnsi="Times New Roman" w:cs="Times New Roman"/>
          <w:sz w:val="24"/>
          <w:szCs w:val="24"/>
        </w:rPr>
        <w:t xml:space="preserve">issues or </w:t>
      </w:r>
      <w:r w:rsidR="00616452">
        <w:rPr>
          <w:rFonts w:ascii="Times New Roman" w:hAnsi="Times New Roman" w:cs="Times New Roman"/>
          <w:sz w:val="24"/>
          <w:szCs w:val="24"/>
        </w:rPr>
        <w:t xml:space="preserve">contract </w:t>
      </w:r>
      <w:r>
        <w:rPr>
          <w:rFonts w:ascii="Times New Roman" w:hAnsi="Times New Roman" w:cs="Times New Roman"/>
          <w:sz w:val="24"/>
          <w:szCs w:val="24"/>
        </w:rPr>
        <w:t>decision</w:t>
      </w:r>
      <w:r w:rsidR="00C928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890">
        <w:rPr>
          <w:rFonts w:ascii="Times New Roman" w:hAnsi="Times New Roman" w:cs="Times New Roman"/>
          <w:sz w:val="24"/>
          <w:szCs w:val="24"/>
        </w:rPr>
        <w:t xml:space="preserve">that are beyond </w:t>
      </w:r>
      <w:r>
        <w:rPr>
          <w:rFonts w:ascii="Times New Roman" w:hAnsi="Times New Roman" w:cs="Times New Roman"/>
          <w:sz w:val="24"/>
          <w:szCs w:val="24"/>
        </w:rPr>
        <w:t xml:space="preserve">the authority </w:t>
      </w:r>
      <w:r w:rsidR="005A1174">
        <w:rPr>
          <w:rFonts w:ascii="Times New Roman" w:hAnsi="Times New Roman" w:cs="Times New Roman"/>
          <w:sz w:val="24"/>
          <w:szCs w:val="24"/>
        </w:rPr>
        <w:t>of</w:t>
      </w:r>
      <w:r w:rsidR="00C92890">
        <w:rPr>
          <w:rFonts w:ascii="Times New Roman" w:hAnsi="Times New Roman" w:cs="Times New Roman"/>
          <w:sz w:val="24"/>
          <w:szCs w:val="24"/>
        </w:rPr>
        <w:t xml:space="preserve"> the</w:t>
      </w:r>
      <w:r w:rsidR="00616452">
        <w:rPr>
          <w:rFonts w:ascii="Times New Roman" w:hAnsi="Times New Roman" w:cs="Times New Roman"/>
          <w:sz w:val="24"/>
          <w:szCs w:val="24"/>
        </w:rPr>
        <w:t xml:space="preserve"> officers and mechanisms detailed above</w:t>
      </w:r>
      <w:r w:rsidR="005A1174">
        <w:rPr>
          <w:rFonts w:ascii="Times New Roman" w:hAnsi="Times New Roman" w:cs="Times New Roman"/>
          <w:sz w:val="24"/>
          <w:szCs w:val="24"/>
        </w:rPr>
        <w:t xml:space="preserve"> to resolve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5C79" w:rsidRPr="0090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C9" w:rsidRDefault="00EB31C9" w:rsidP="00EB31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External (mandated) data returns</w:t>
      </w:r>
    </w:p>
    <w:p w:rsidR="00EB31C9" w:rsidRPr="005A1174" w:rsidRDefault="00EB31C9" w:rsidP="00EB3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CCG shall hold the core contract data, and will provide that information as and when necessary to enable NELC to complete any mandated external reports and returns. </w:t>
      </w:r>
    </w:p>
    <w:p w:rsidR="005A1174" w:rsidRPr="00C92890" w:rsidRDefault="00EB31C9" w:rsidP="005A11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Other </w:t>
      </w:r>
      <w:r w:rsidR="005A1174" w:rsidRPr="00C92890">
        <w:rPr>
          <w:rFonts w:ascii="Times New Roman" w:hAnsi="Times New Roman" w:cs="Times New Roman"/>
          <w:sz w:val="24"/>
          <w:szCs w:val="24"/>
          <w:u w:val="single"/>
        </w:rPr>
        <w:t>Reporting</w:t>
      </w:r>
    </w:p>
    <w:p w:rsidR="005A1174" w:rsidRDefault="005A1174" w:rsidP="005A1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joint attendance of the pa</w:t>
      </w:r>
      <w:r w:rsidR="00905C79">
        <w:rPr>
          <w:rFonts w:ascii="Times New Roman" w:hAnsi="Times New Roman" w:cs="Times New Roman"/>
          <w:sz w:val="24"/>
          <w:szCs w:val="24"/>
        </w:rPr>
        <w:t xml:space="preserve">rtners at the contract meeting </w:t>
      </w:r>
      <w:r>
        <w:rPr>
          <w:rFonts w:ascii="Times New Roman" w:hAnsi="Times New Roman" w:cs="Times New Roman"/>
          <w:sz w:val="24"/>
          <w:szCs w:val="24"/>
        </w:rPr>
        <w:t xml:space="preserve">and the Primary Care Co-commissioning Committee, both partners will have access to all relevant information and no separate reporting between the partners should normally be required. </w:t>
      </w:r>
    </w:p>
    <w:p w:rsidR="00611395" w:rsidRPr="00963D52" w:rsidRDefault="00611395">
      <w:pPr>
        <w:rPr>
          <w:rFonts w:ascii="Times New Roman" w:hAnsi="Times New Roman" w:cs="Times New Roman"/>
          <w:sz w:val="24"/>
          <w:szCs w:val="24"/>
        </w:rPr>
      </w:pPr>
    </w:p>
    <w:sectPr w:rsidR="00611395" w:rsidRPr="00963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726"/>
    <w:multiLevelType w:val="hybridMultilevel"/>
    <w:tmpl w:val="22E62E16"/>
    <w:lvl w:ilvl="0" w:tplc="E4A2C8F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341563"/>
    <w:multiLevelType w:val="hybridMultilevel"/>
    <w:tmpl w:val="2F787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3092"/>
    <w:multiLevelType w:val="hybridMultilevel"/>
    <w:tmpl w:val="FC3881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3C6535"/>
    <w:multiLevelType w:val="multilevel"/>
    <w:tmpl w:val="C3CE702E"/>
    <w:lvl w:ilvl="0">
      <w:start w:val="1"/>
      <w:numFmt w:val="bullet"/>
      <w:lvlText w:val=""/>
      <w:lvlJc w:val="left"/>
      <w:pPr>
        <w:tabs>
          <w:tab w:val="num" w:pos="-2220"/>
        </w:tabs>
        <w:ind w:left="-22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1500"/>
        </w:tabs>
        <w:ind w:left="-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780"/>
        </w:tabs>
        <w:ind w:left="-7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60"/>
        </w:tabs>
        <w:ind w:left="-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  <w:sz w:val="20"/>
      </w:rPr>
    </w:lvl>
  </w:abstractNum>
  <w:abstractNum w:abstractNumId="4">
    <w:nsid w:val="702B7070"/>
    <w:multiLevelType w:val="hybridMultilevel"/>
    <w:tmpl w:val="E4201D6A"/>
    <w:lvl w:ilvl="0" w:tplc="E4A2C8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26"/>
    <w:rsid w:val="00163556"/>
    <w:rsid w:val="001C43E2"/>
    <w:rsid w:val="001C78AB"/>
    <w:rsid w:val="002A51CE"/>
    <w:rsid w:val="003005E0"/>
    <w:rsid w:val="005A1174"/>
    <w:rsid w:val="00611395"/>
    <w:rsid w:val="00616452"/>
    <w:rsid w:val="00905C79"/>
    <w:rsid w:val="00963D52"/>
    <w:rsid w:val="00C92890"/>
    <w:rsid w:val="00D93FA0"/>
    <w:rsid w:val="00EB31C9"/>
    <w:rsid w:val="00EE1FD4"/>
    <w:rsid w:val="00FC07C5"/>
    <w:rsid w:val="00FF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78333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4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8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3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Kennedy</dc:creator>
  <cp:lastModifiedBy>Karen Stamp</cp:lastModifiedBy>
  <cp:revision>2</cp:revision>
  <dcterms:created xsi:type="dcterms:W3CDTF">2016-02-09T09:32:00Z</dcterms:created>
  <dcterms:modified xsi:type="dcterms:W3CDTF">2016-02-09T09:32:00Z</dcterms:modified>
</cp:coreProperties>
</file>