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31B" w:rsidRPr="006629DF" w:rsidRDefault="00420BCE" w:rsidP="002B0B28">
      <w:pPr>
        <w:spacing w:before="120" w:after="120"/>
        <w:jc w:val="center"/>
      </w:pPr>
      <w:r>
        <w:rPr>
          <w:noProof/>
          <w:lang w:eastAsia="en-GB"/>
        </w:rPr>
        <mc:AlternateContent>
          <mc:Choice Requires="wps">
            <w:drawing>
              <wp:anchor distT="0" distB="0" distL="114300" distR="114300" simplePos="0" relativeHeight="251659264" behindDoc="0" locked="0" layoutInCell="1" allowOverlap="1" wp14:editId="36B11C9B">
                <wp:simplePos x="0" y="0"/>
                <wp:positionH relativeFrom="column">
                  <wp:posOffset>-281940</wp:posOffset>
                </wp:positionH>
                <wp:positionV relativeFrom="paragraph">
                  <wp:posOffset>-5715</wp:posOffset>
                </wp:positionV>
                <wp:extent cx="1419225" cy="3905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390525"/>
                        </a:xfrm>
                        <a:prstGeom prst="rect">
                          <a:avLst/>
                        </a:prstGeom>
                        <a:solidFill>
                          <a:srgbClr val="FFFFFF"/>
                        </a:solidFill>
                        <a:ln w="9525">
                          <a:solidFill>
                            <a:srgbClr val="000000"/>
                          </a:solidFill>
                          <a:miter lim="800000"/>
                          <a:headEnd/>
                          <a:tailEnd/>
                        </a:ln>
                      </wps:spPr>
                      <wps:txbx>
                        <w:txbxContent>
                          <w:p w:rsidR="00420BCE" w:rsidRDefault="00420BCE">
                            <w:r>
                              <w:t xml:space="preserve">Attachment 16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2pt;margin-top:-.45pt;width:111.7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rKkIAIAAEYEAAAOAAAAZHJzL2Uyb0RvYy54bWysU9tu2zAMfR+wfxD0vthJk7Ux4hRdugwD&#10;ugvQ7gNoWY6FSaInKbG7rx8lp2l2wR6G6UEgReqQPCRX14PR7CCdV2hLPp3knEkrsFZ2V/IvD9tX&#10;V5z5ALYGjVaW/FF6fr1++WLVd4WcYYu6lo4RiPVF35W8DaErssyLVhrwE+ykJWODzkAg1e2y2kFP&#10;6EZnszx/nfXo6s6hkN7T6+1o5OuE3zRShE9N42VguuSUW0i3S3cV72y9gmLnoGuVOKYB/5CFAWUp&#10;6AnqFgKwvVO/QRklHHpswkSgybBplJCpBqpmmv9SzX0LnUy1EDm+O9Hk/x+s+Hj47JiqS36RX3Jm&#10;wVCTHuQQ2Bsc2Czy03e+ILf7jhzDQM/U51Sr7+5QfPXM4qYFu5M3zmHfSqgpv2n8mZ19HXF8BKn6&#10;D1hTGNgHTEBD40wkj+hghE59ejz1JqYiYsj5dDmbLTgTZLtY5guSYwgonn53zod3Eg2LQskd9T6h&#10;w+HOh9H1ySUG86hVvVVaJ8Xtqo127AA0J9t0jug/uWnL+pIvY+y/Q+Tp/AnCqEADr5Up+dXJCYpI&#10;21tbU5pQBFB6lKk6bY88RupGEsNQDeQYya2wfiRGHY6DTYtIQovuO2c9DXXJ/bc9OMmZfm+pK8vp&#10;fB63ICnzxeWMFHduqc4tYAVBlTxwNoqbkDYn5mjxhrrXqETscybHXGlYU2uOixW34VxPXs/rv/4B&#10;AAD//wMAUEsDBBQABgAIAAAAIQAw49hr3wAAAAgBAAAPAAAAZHJzL2Rvd25yZXYueG1sTI/BTsMw&#10;EETvSPyDtUhcUOsUorRJ41QVEghutEX06sbbJKq9Drabhr/HPcFtVjOaeVuuRqPZgM53lgTMpgkw&#10;pNqqjhoBn7uXyQKYD5KU1JZQwA96WFW3N6UslL3QBodtaFgsIV9IAW0IfcG5r1s00k9tjxS9o3VG&#10;hni6hisnL7HcaP6YJBk3sqO40Moen1usT9uzEbBI34a9f3/6+Kqzo87Dw3x4/XZC3N+N6yWwgGP4&#10;C8MVP6JDFZkO9kzKMy1gkqZpjEaRA7v683wG7CAgSzLgVcn/P1D9AgAA//8DAFBLAQItABQABgAI&#10;AAAAIQC2gziS/gAAAOEBAAATAAAAAAAAAAAAAAAAAAAAAABbQ29udGVudF9UeXBlc10ueG1sUEsB&#10;Ai0AFAAGAAgAAAAhADj9If/WAAAAlAEAAAsAAAAAAAAAAAAAAAAALwEAAF9yZWxzLy5yZWxzUEsB&#10;Ai0AFAAGAAgAAAAhAP0GsqQgAgAARgQAAA4AAAAAAAAAAAAAAAAALgIAAGRycy9lMm9Eb2MueG1s&#10;UEsBAi0AFAAGAAgAAAAhADDj2GvfAAAACAEAAA8AAAAAAAAAAAAAAAAAegQAAGRycy9kb3ducmV2&#10;LnhtbFBLBQYAAAAABAAEAPMAAACGBQAAAAA=&#10;">
                <v:textbox>
                  <w:txbxContent>
                    <w:p w:rsidR="00420BCE" w:rsidRDefault="00420BCE">
                      <w:r>
                        <w:t xml:space="preserve">Attachment 16 </w:t>
                      </w:r>
                    </w:p>
                  </w:txbxContent>
                </v:textbox>
              </v:shape>
            </w:pict>
          </mc:Fallback>
        </mc:AlternateContent>
      </w:r>
    </w:p>
    <w:p w:rsidR="000C631B" w:rsidRPr="006629DF" w:rsidRDefault="000C631B" w:rsidP="002B0B28">
      <w:pPr>
        <w:spacing w:before="120" w:after="120"/>
        <w:jc w:val="center"/>
      </w:pPr>
      <w:bookmarkStart w:id="0" w:name="_GoBack"/>
      <w:bookmarkEnd w:id="0"/>
    </w:p>
    <w:p w:rsidR="000C631B" w:rsidRPr="006629DF" w:rsidRDefault="000C631B" w:rsidP="002B0B28">
      <w:pPr>
        <w:spacing w:before="120" w:after="120"/>
        <w:jc w:val="center"/>
      </w:pPr>
    </w:p>
    <w:p w:rsidR="000C631B" w:rsidRPr="006629DF" w:rsidRDefault="000C631B" w:rsidP="002B0B28">
      <w:pPr>
        <w:spacing w:before="120" w:after="120"/>
        <w:jc w:val="center"/>
      </w:pPr>
    </w:p>
    <w:p w:rsidR="000C631B" w:rsidRPr="006629DF" w:rsidRDefault="000C631B" w:rsidP="002B0B28">
      <w:pPr>
        <w:spacing w:before="120" w:after="120"/>
        <w:jc w:val="center"/>
      </w:pPr>
    </w:p>
    <w:p w:rsidR="000C631B" w:rsidRPr="006629DF" w:rsidRDefault="000C631B" w:rsidP="002B0B28">
      <w:pPr>
        <w:spacing w:before="120" w:after="120"/>
        <w:jc w:val="center"/>
      </w:pPr>
    </w:p>
    <w:p w:rsidR="00567A95" w:rsidRPr="006629DF" w:rsidRDefault="00567A95" w:rsidP="002B0B28">
      <w:pPr>
        <w:spacing w:before="120" w:after="120"/>
        <w:jc w:val="center"/>
      </w:pPr>
    </w:p>
    <w:p w:rsidR="00567A95" w:rsidRPr="006629DF" w:rsidRDefault="00567A95" w:rsidP="002B0B28">
      <w:pPr>
        <w:spacing w:before="120" w:after="120"/>
        <w:jc w:val="center"/>
      </w:pPr>
    </w:p>
    <w:p w:rsidR="000C631B" w:rsidRPr="006629DF" w:rsidRDefault="00153683" w:rsidP="002B0B28">
      <w:pPr>
        <w:spacing w:before="120" w:after="120"/>
        <w:jc w:val="center"/>
        <w:rPr>
          <w:b/>
          <w:sz w:val="28"/>
          <w:szCs w:val="28"/>
        </w:rPr>
      </w:pPr>
      <w:r>
        <w:rPr>
          <w:b/>
          <w:sz w:val="28"/>
          <w:szCs w:val="28"/>
        </w:rPr>
        <w:t>Local Service Specification</w:t>
      </w:r>
    </w:p>
    <w:p w:rsidR="00081C52" w:rsidRPr="006629DF" w:rsidRDefault="00081C52" w:rsidP="00081C52">
      <w:pPr>
        <w:spacing w:before="120" w:after="120"/>
        <w:jc w:val="center"/>
        <w:rPr>
          <w:b/>
          <w:sz w:val="28"/>
          <w:szCs w:val="28"/>
        </w:rPr>
      </w:pPr>
    </w:p>
    <w:p w:rsidR="00081C52" w:rsidRPr="006629DF" w:rsidRDefault="00081C52" w:rsidP="00081C52">
      <w:pPr>
        <w:spacing w:before="120" w:after="120"/>
        <w:jc w:val="center"/>
        <w:rPr>
          <w:b/>
          <w:sz w:val="28"/>
          <w:szCs w:val="28"/>
        </w:rPr>
      </w:pPr>
      <w:r w:rsidRPr="006629DF">
        <w:rPr>
          <w:b/>
          <w:sz w:val="28"/>
          <w:szCs w:val="28"/>
        </w:rPr>
        <w:t xml:space="preserve">ANTI-COAGULATION </w:t>
      </w:r>
      <w:r w:rsidR="001A6E3C">
        <w:rPr>
          <w:b/>
          <w:sz w:val="28"/>
          <w:szCs w:val="28"/>
        </w:rPr>
        <w:t>level 4 -</w:t>
      </w:r>
      <w:r w:rsidRPr="006629DF">
        <w:rPr>
          <w:b/>
          <w:sz w:val="28"/>
          <w:szCs w:val="28"/>
        </w:rPr>
        <w:t>NEAR PATIENT TESTING</w:t>
      </w:r>
    </w:p>
    <w:p w:rsidR="00567A95" w:rsidRPr="006629DF" w:rsidRDefault="00567A95" w:rsidP="00081C52">
      <w:pPr>
        <w:spacing w:before="120" w:after="120"/>
        <w:jc w:val="center"/>
        <w:rPr>
          <w:b/>
          <w:sz w:val="28"/>
          <w:szCs w:val="28"/>
        </w:rPr>
      </w:pPr>
    </w:p>
    <w:p w:rsidR="00567A95" w:rsidRPr="006629DF" w:rsidRDefault="00567A95" w:rsidP="00081C52">
      <w:pPr>
        <w:spacing w:before="120" w:after="120"/>
        <w:jc w:val="center"/>
        <w:rPr>
          <w:b/>
          <w:sz w:val="28"/>
          <w:szCs w:val="28"/>
        </w:rPr>
      </w:pPr>
    </w:p>
    <w:p w:rsidR="00567A95" w:rsidRPr="006629DF" w:rsidRDefault="00567A95" w:rsidP="00081C52">
      <w:pPr>
        <w:spacing w:before="120" w:after="120"/>
        <w:jc w:val="center"/>
        <w:rPr>
          <w:b/>
          <w:sz w:val="28"/>
          <w:szCs w:val="28"/>
        </w:rPr>
      </w:pPr>
    </w:p>
    <w:p w:rsidR="00567A95" w:rsidRPr="006629DF" w:rsidRDefault="00567A95" w:rsidP="00081C52">
      <w:pPr>
        <w:spacing w:before="120" w:after="120"/>
        <w:jc w:val="center"/>
        <w:rPr>
          <w:b/>
          <w:sz w:val="28"/>
          <w:szCs w:val="28"/>
        </w:rPr>
      </w:pPr>
    </w:p>
    <w:p w:rsidR="00081C52" w:rsidRPr="006629DF" w:rsidRDefault="00081C52" w:rsidP="00081C52">
      <w:pPr>
        <w:spacing w:before="120" w:after="120"/>
        <w:jc w:val="center"/>
        <w:rPr>
          <w:b/>
          <w:sz w:val="28"/>
          <w:szCs w:val="28"/>
        </w:rPr>
      </w:pPr>
      <w:r w:rsidRPr="006629DF">
        <w:rPr>
          <w:b/>
          <w:sz w:val="28"/>
          <w:szCs w:val="28"/>
        </w:rPr>
        <w:br w:type="page"/>
      </w:r>
    </w:p>
    <w:p w:rsidR="00630071" w:rsidRPr="006629DF" w:rsidRDefault="00691E4C" w:rsidP="00630071">
      <w:pPr>
        <w:spacing w:before="120" w:after="120"/>
        <w:rPr>
          <w:rFonts w:asciiTheme="minorHAnsi" w:hAnsiTheme="minorHAnsi" w:cstheme="minorHAnsi"/>
          <w:b/>
        </w:rPr>
      </w:pPr>
      <w:r>
        <w:rPr>
          <w:rFonts w:asciiTheme="minorHAnsi" w:hAnsiTheme="minorHAnsi" w:cstheme="minorHAnsi"/>
          <w:b/>
        </w:rPr>
        <w:lastRenderedPageBreak/>
        <w:t>1</w:t>
      </w:r>
      <w:r w:rsidR="00630071" w:rsidRPr="006629DF">
        <w:rPr>
          <w:rFonts w:asciiTheme="minorHAnsi" w:hAnsiTheme="minorHAnsi" w:cstheme="minorHAnsi"/>
          <w:b/>
        </w:rPr>
        <w:t>.1</w:t>
      </w:r>
      <w:r w:rsidR="00630071" w:rsidRPr="006629DF">
        <w:rPr>
          <w:rFonts w:asciiTheme="minorHAnsi" w:hAnsiTheme="minorHAnsi" w:cstheme="minorHAnsi"/>
          <w:b/>
        </w:rPr>
        <w:tab/>
        <w:t>Introduction</w:t>
      </w:r>
    </w:p>
    <w:p w:rsidR="00630071" w:rsidRPr="006629DF" w:rsidRDefault="00630071" w:rsidP="00630071">
      <w:pPr>
        <w:autoSpaceDE w:val="0"/>
        <w:autoSpaceDN w:val="0"/>
        <w:adjustRightInd w:val="0"/>
        <w:ind w:left="720"/>
        <w:rPr>
          <w:rFonts w:asciiTheme="minorHAnsi" w:hAnsiTheme="minorHAnsi" w:cstheme="minorHAnsi"/>
        </w:rPr>
      </w:pPr>
      <w:r w:rsidRPr="006629DF">
        <w:rPr>
          <w:rFonts w:asciiTheme="minorHAnsi" w:hAnsiTheme="minorHAnsi" w:cstheme="minorHAnsi"/>
          <w:lang w:val="en" w:eastAsia="en-GB"/>
        </w:rPr>
        <w:t>Warfarin is being used in the management of increasing numbers of patients an</w:t>
      </w:r>
      <w:r w:rsidR="00FC4CD0" w:rsidRPr="006629DF">
        <w:rPr>
          <w:rFonts w:asciiTheme="minorHAnsi" w:hAnsiTheme="minorHAnsi" w:cstheme="minorHAnsi"/>
          <w:lang w:val="en" w:eastAsia="en-GB"/>
        </w:rPr>
        <w:t>d conditions including post-myo</w:t>
      </w:r>
      <w:r w:rsidRPr="006629DF">
        <w:rPr>
          <w:rFonts w:asciiTheme="minorHAnsi" w:hAnsiTheme="minorHAnsi" w:cstheme="minorHAnsi"/>
          <w:lang w:val="en" w:eastAsia="en-GB"/>
        </w:rPr>
        <w:t xml:space="preserve">cardial infarction, atrial fibrillation, DVTs and other disorders. While it is a very effective drug in these conditions, it can also have serious side effects, </w:t>
      </w:r>
      <w:proofErr w:type="spellStart"/>
      <w:r w:rsidRPr="006629DF">
        <w:rPr>
          <w:rFonts w:asciiTheme="minorHAnsi" w:hAnsiTheme="minorHAnsi" w:cstheme="minorHAnsi"/>
          <w:lang w:val="en" w:eastAsia="en-GB"/>
        </w:rPr>
        <w:t>eg</w:t>
      </w:r>
      <w:proofErr w:type="spellEnd"/>
      <w:r w:rsidRPr="006629DF">
        <w:rPr>
          <w:rFonts w:asciiTheme="minorHAnsi" w:hAnsiTheme="minorHAnsi" w:cstheme="minorHAnsi"/>
          <w:lang w:val="en" w:eastAsia="en-GB"/>
        </w:rPr>
        <w:t xml:space="preserve"> severe </w:t>
      </w:r>
      <w:proofErr w:type="spellStart"/>
      <w:r w:rsidRPr="006629DF">
        <w:rPr>
          <w:rFonts w:asciiTheme="minorHAnsi" w:hAnsiTheme="minorHAnsi" w:cstheme="minorHAnsi"/>
          <w:lang w:val="en" w:eastAsia="en-GB"/>
        </w:rPr>
        <w:t>haemorrhage</w:t>
      </w:r>
      <w:proofErr w:type="spellEnd"/>
      <w:r w:rsidRPr="006629DF">
        <w:rPr>
          <w:rFonts w:asciiTheme="minorHAnsi" w:hAnsiTheme="minorHAnsi" w:cstheme="minorHAnsi"/>
          <w:lang w:val="en" w:eastAsia="en-GB"/>
        </w:rPr>
        <w:t xml:space="preserve">. These side effects are related to the International </w:t>
      </w:r>
      <w:proofErr w:type="spellStart"/>
      <w:r w:rsidRPr="006629DF">
        <w:rPr>
          <w:rFonts w:asciiTheme="minorHAnsi" w:hAnsiTheme="minorHAnsi" w:cstheme="minorHAnsi"/>
          <w:lang w:val="en" w:eastAsia="en-GB"/>
        </w:rPr>
        <w:t>Normalised</w:t>
      </w:r>
      <w:proofErr w:type="spellEnd"/>
      <w:r w:rsidRPr="006629DF">
        <w:rPr>
          <w:rFonts w:asciiTheme="minorHAnsi" w:hAnsiTheme="minorHAnsi" w:cstheme="minorHAnsi"/>
          <w:lang w:val="en" w:eastAsia="en-GB"/>
        </w:rPr>
        <w:t xml:space="preserve"> Ratio (INR) level, which measures the delay in the clotting of the blood caused by the warfarin. While the “normal” INR is 1, the specific range of INR values depends on the disease and the clinical conditions. Warfarin monitoring aims to </w:t>
      </w:r>
      <w:proofErr w:type="spellStart"/>
      <w:r w:rsidRPr="006629DF">
        <w:rPr>
          <w:rFonts w:asciiTheme="minorHAnsi" w:hAnsiTheme="minorHAnsi" w:cstheme="minorHAnsi"/>
          <w:lang w:val="en" w:eastAsia="en-GB"/>
        </w:rPr>
        <w:t>stabilise</w:t>
      </w:r>
      <w:proofErr w:type="spellEnd"/>
      <w:r w:rsidRPr="006629DF">
        <w:rPr>
          <w:rFonts w:asciiTheme="minorHAnsi" w:hAnsiTheme="minorHAnsi" w:cstheme="minorHAnsi"/>
          <w:lang w:val="en" w:eastAsia="en-GB"/>
        </w:rPr>
        <w:t xml:space="preserve"> the INR within set limits to help prevent serious side-effects while </w:t>
      </w:r>
      <w:proofErr w:type="spellStart"/>
      <w:r w:rsidRPr="006629DF">
        <w:rPr>
          <w:rFonts w:asciiTheme="minorHAnsi" w:hAnsiTheme="minorHAnsi" w:cstheme="minorHAnsi"/>
          <w:lang w:val="en" w:eastAsia="en-GB"/>
        </w:rPr>
        <w:t>maximising</w:t>
      </w:r>
      <w:proofErr w:type="spellEnd"/>
      <w:r w:rsidRPr="006629DF">
        <w:rPr>
          <w:rFonts w:asciiTheme="minorHAnsi" w:hAnsiTheme="minorHAnsi" w:cstheme="minorHAnsi"/>
          <w:lang w:val="en" w:eastAsia="en-GB"/>
        </w:rPr>
        <w:t xml:space="preserve"> effective treatment.</w:t>
      </w:r>
    </w:p>
    <w:p w:rsidR="00630071" w:rsidRPr="006629DF" w:rsidRDefault="00630071" w:rsidP="002E5B04">
      <w:pPr>
        <w:autoSpaceDE w:val="0"/>
        <w:autoSpaceDN w:val="0"/>
        <w:adjustRightInd w:val="0"/>
        <w:ind w:left="720"/>
        <w:rPr>
          <w:rFonts w:asciiTheme="minorHAnsi" w:hAnsiTheme="minorHAnsi" w:cstheme="minorHAnsi"/>
        </w:rPr>
      </w:pPr>
      <w:r w:rsidRPr="006629DF">
        <w:rPr>
          <w:rFonts w:asciiTheme="minorHAnsi" w:hAnsiTheme="minorHAnsi" w:cstheme="minorHAnsi"/>
        </w:rPr>
        <w:t>The introduction of Near Patient Testing for measurement of INR has been instrumental in anti-coagulation monitoring and testing being delivered within the primary care setting for many patients. There are many significant benefits to the patient for delivering this service in the primary care setting, primarily eliminating the delay in waiting for the result to be processed by the hospital laboratory, and the subsequent delay in informing the patient of their dosing advice. However the service must be undertaken within the confines of safe practice involving quality control procedures.</w:t>
      </w:r>
    </w:p>
    <w:p w:rsidR="00630071" w:rsidRPr="006629DF" w:rsidRDefault="00691E4C" w:rsidP="00630071">
      <w:pPr>
        <w:spacing w:before="120" w:after="120"/>
        <w:rPr>
          <w:rFonts w:asciiTheme="minorHAnsi" w:hAnsiTheme="minorHAnsi" w:cstheme="minorHAnsi"/>
          <w:b/>
        </w:rPr>
      </w:pPr>
      <w:r>
        <w:rPr>
          <w:rFonts w:asciiTheme="minorHAnsi" w:hAnsiTheme="minorHAnsi" w:cstheme="minorHAnsi"/>
          <w:b/>
        </w:rPr>
        <w:t>1</w:t>
      </w:r>
      <w:r w:rsidR="00630071" w:rsidRPr="006629DF">
        <w:rPr>
          <w:rFonts w:asciiTheme="minorHAnsi" w:hAnsiTheme="minorHAnsi" w:cstheme="minorHAnsi"/>
          <w:b/>
        </w:rPr>
        <w:t>.2</w:t>
      </w:r>
      <w:r w:rsidR="00630071" w:rsidRPr="006629DF">
        <w:rPr>
          <w:rFonts w:asciiTheme="minorHAnsi" w:hAnsiTheme="minorHAnsi" w:cstheme="minorHAnsi"/>
          <w:b/>
        </w:rPr>
        <w:tab/>
        <w:t>Definition</w:t>
      </w:r>
    </w:p>
    <w:p w:rsidR="00630071" w:rsidRPr="006629DF" w:rsidRDefault="003F42A3" w:rsidP="003F42A3">
      <w:pPr>
        <w:autoSpaceDE w:val="0"/>
        <w:autoSpaceDN w:val="0"/>
        <w:adjustRightInd w:val="0"/>
        <w:ind w:left="720"/>
        <w:rPr>
          <w:rFonts w:asciiTheme="minorHAnsi" w:hAnsiTheme="minorHAnsi" w:cstheme="minorHAnsi"/>
          <w:lang w:val="en" w:eastAsia="en-GB"/>
        </w:rPr>
      </w:pPr>
      <w:r w:rsidRPr="006629DF">
        <w:rPr>
          <w:rFonts w:asciiTheme="minorHAnsi" w:hAnsiTheme="minorHAnsi" w:cstheme="minorHAnsi"/>
        </w:rPr>
        <w:t xml:space="preserve">Level 4 </w:t>
      </w:r>
      <w:r w:rsidR="00630071" w:rsidRPr="006629DF">
        <w:rPr>
          <w:rFonts w:asciiTheme="minorHAnsi" w:hAnsiTheme="minorHAnsi" w:cstheme="minorHAnsi"/>
        </w:rPr>
        <w:t>funded phlebotomist, nurse or pharmacist</w:t>
      </w:r>
      <w:r w:rsidRPr="006629DF">
        <w:rPr>
          <w:rFonts w:asciiTheme="minorHAnsi" w:hAnsiTheme="minorHAnsi" w:cstheme="minorHAnsi"/>
        </w:rPr>
        <w:t xml:space="preserve"> </w:t>
      </w:r>
      <w:r w:rsidR="00630071" w:rsidRPr="006629DF">
        <w:rPr>
          <w:rFonts w:asciiTheme="minorHAnsi" w:hAnsiTheme="minorHAnsi" w:cstheme="minorHAnsi"/>
        </w:rPr>
        <w:t>performing a practice sample and practice bases analysis</w:t>
      </w:r>
      <w:r w:rsidRPr="006629DF">
        <w:rPr>
          <w:rFonts w:asciiTheme="minorHAnsi" w:hAnsiTheme="minorHAnsi" w:cstheme="minorHAnsi"/>
        </w:rPr>
        <w:t xml:space="preserve"> </w:t>
      </w:r>
      <w:r w:rsidR="00630071" w:rsidRPr="006629DF">
        <w:rPr>
          <w:rFonts w:asciiTheme="minorHAnsi" w:hAnsiTheme="minorHAnsi" w:cstheme="minorHAnsi"/>
        </w:rPr>
        <w:t>and practice dosing.</w:t>
      </w:r>
    </w:p>
    <w:p w:rsidR="003F42A3" w:rsidRPr="006629DF" w:rsidRDefault="003F42A3" w:rsidP="00D0775A">
      <w:pPr>
        <w:spacing w:before="120" w:after="120"/>
        <w:ind w:left="720"/>
        <w:rPr>
          <w:rFonts w:asciiTheme="minorHAnsi" w:hAnsiTheme="minorHAnsi" w:cstheme="minorHAnsi"/>
          <w:lang w:val="en" w:eastAsia="en-GB"/>
        </w:rPr>
      </w:pPr>
      <w:r w:rsidRPr="006629DF">
        <w:rPr>
          <w:rFonts w:asciiTheme="minorHAnsi" w:hAnsiTheme="minorHAnsi" w:cstheme="minorHAnsi"/>
          <w:lang w:val="en" w:eastAsia="en-GB"/>
        </w:rPr>
        <w:t>‘</w:t>
      </w:r>
      <w:proofErr w:type="spellStart"/>
      <w:r w:rsidR="00630071" w:rsidRPr="006629DF">
        <w:rPr>
          <w:rFonts w:asciiTheme="minorHAnsi" w:hAnsiTheme="minorHAnsi" w:cstheme="minorHAnsi"/>
          <w:lang w:val="en" w:eastAsia="en-GB"/>
        </w:rPr>
        <w:t>Doser</w:t>
      </w:r>
      <w:proofErr w:type="spellEnd"/>
      <w:r w:rsidR="00630071" w:rsidRPr="006629DF">
        <w:rPr>
          <w:rFonts w:asciiTheme="minorHAnsi" w:hAnsiTheme="minorHAnsi" w:cstheme="minorHAnsi"/>
          <w:lang w:val="en" w:eastAsia="en-GB"/>
        </w:rPr>
        <w:t xml:space="preserve">’ means any person who is suitably trained and qualified who, upon receipt of relevant information from laboratories or near-patient testing equipment or otherwise, with or without computer-assisted decision-making equipment, </w:t>
      </w:r>
      <w:proofErr w:type="gramStart"/>
      <w:r w:rsidR="00630071" w:rsidRPr="006629DF">
        <w:rPr>
          <w:rFonts w:asciiTheme="minorHAnsi" w:hAnsiTheme="minorHAnsi" w:cstheme="minorHAnsi"/>
          <w:lang w:val="en" w:eastAsia="en-GB"/>
        </w:rPr>
        <w:t>determines,</w:t>
      </w:r>
      <w:proofErr w:type="gramEnd"/>
      <w:r w:rsidR="00630071" w:rsidRPr="006629DF">
        <w:rPr>
          <w:rFonts w:asciiTheme="minorHAnsi" w:hAnsiTheme="minorHAnsi" w:cstheme="minorHAnsi"/>
          <w:lang w:val="en" w:eastAsia="en-GB"/>
        </w:rPr>
        <w:t xml:space="preserve"> the anti-coagulant dosage for patients of practitioners in a practice.</w:t>
      </w:r>
    </w:p>
    <w:p w:rsidR="003F42A3" w:rsidRPr="006629DF" w:rsidRDefault="003F42A3" w:rsidP="00630071">
      <w:pPr>
        <w:spacing w:before="120" w:after="120"/>
        <w:rPr>
          <w:rFonts w:asciiTheme="minorHAnsi" w:hAnsiTheme="minorHAnsi" w:cstheme="minorHAnsi"/>
        </w:rPr>
      </w:pPr>
    </w:p>
    <w:p w:rsidR="00630071" w:rsidRPr="006629DF" w:rsidRDefault="00691E4C" w:rsidP="00D0775A">
      <w:pPr>
        <w:spacing w:before="120" w:after="120"/>
        <w:rPr>
          <w:rFonts w:asciiTheme="minorHAnsi" w:hAnsiTheme="minorHAnsi" w:cstheme="minorHAnsi"/>
          <w:b/>
        </w:rPr>
      </w:pPr>
      <w:r>
        <w:rPr>
          <w:rFonts w:asciiTheme="minorHAnsi" w:hAnsiTheme="minorHAnsi" w:cstheme="minorHAnsi"/>
          <w:b/>
        </w:rPr>
        <w:t>1</w:t>
      </w:r>
      <w:r w:rsidR="00D0775A" w:rsidRPr="006629DF">
        <w:rPr>
          <w:rFonts w:asciiTheme="minorHAnsi" w:hAnsiTheme="minorHAnsi" w:cstheme="minorHAnsi"/>
          <w:b/>
        </w:rPr>
        <w:t>.3</w:t>
      </w:r>
      <w:r w:rsidR="00D0775A" w:rsidRPr="006629DF">
        <w:rPr>
          <w:rFonts w:asciiTheme="minorHAnsi" w:hAnsiTheme="minorHAnsi" w:cstheme="minorHAnsi"/>
          <w:b/>
        </w:rPr>
        <w:tab/>
        <w:t>Service Specification</w:t>
      </w:r>
    </w:p>
    <w:p w:rsidR="00DA2467" w:rsidRPr="006629DF" w:rsidRDefault="00DA2467" w:rsidP="00D0775A">
      <w:pPr>
        <w:pStyle w:val="Default"/>
        <w:ind w:left="720"/>
        <w:rPr>
          <w:rFonts w:asciiTheme="minorHAnsi" w:hAnsiTheme="minorHAnsi" w:cstheme="minorHAnsi"/>
          <w:color w:val="auto"/>
          <w:sz w:val="22"/>
          <w:szCs w:val="22"/>
        </w:rPr>
      </w:pPr>
      <w:r w:rsidRPr="006629DF">
        <w:rPr>
          <w:rFonts w:asciiTheme="minorHAnsi" w:hAnsiTheme="minorHAnsi" w:cstheme="minorHAnsi"/>
          <w:color w:val="auto"/>
          <w:sz w:val="22"/>
          <w:szCs w:val="22"/>
        </w:rPr>
        <w:t>Warfarin is classified as a “critical medicine” as defined by the National Patient Safety Agency Rapid Response Report 18: Preventing fatalities from medication loading doses. The use of loading doses of medicines can be complex and error prone. Incorrect use of loading doses or subsequent maintenance regimens ma</w:t>
      </w:r>
      <w:r w:rsidR="00D0775A" w:rsidRPr="006629DF">
        <w:rPr>
          <w:rFonts w:asciiTheme="minorHAnsi" w:hAnsiTheme="minorHAnsi" w:cstheme="minorHAnsi"/>
          <w:color w:val="auto"/>
          <w:sz w:val="22"/>
          <w:szCs w:val="22"/>
        </w:rPr>
        <w:t xml:space="preserve">y lead to severe harm or death </w:t>
      </w:r>
    </w:p>
    <w:p w:rsidR="00DA2467" w:rsidRPr="006629DF" w:rsidRDefault="00DA2467" w:rsidP="00D0775A">
      <w:pPr>
        <w:spacing w:before="120" w:after="120"/>
        <w:ind w:left="720"/>
        <w:rPr>
          <w:rFonts w:asciiTheme="minorHAnsi" w:hAnsiTheme="minorHAnsi" w:cstheme="minorHAnsi"/>
          <w:lang w:val="en" w:eastAsia="en-GB"/>
        </w:rPr>
      </w:pPr>
      <w:r w:rsidRPr="006629DF">
        <w:rPr>
          <w:rFonts w:asciiTheme="minorHAnsi" w:hAnsiTheme="minorHAnsi" w:cstheme="minorHAnsi"/>
        </w:rPr>
        <w:t>Particular attention should be placed on assessing concordance and checking changes in medication, foods and lifestyles and the impact of these on the International Normalised Ration (INR)</w:t>
      </w:r>
    </w:p>
    <w:p w:rsidR="002E5B04" w:rsidRPr="006629DF" w:rsidRDefault="002E5B04" w:rsidP="003F42A3">
      <w:pPr>
        <w:spacing w:before="120" w:after="120"/>
        <w:ind w:left="720"/>
        <w:rPr>
          <w:rFonts w:asciiTheme="minorHAnsi" w:hAnsiTheme="minorHAnsi" w:cstheme="minorHAnsi"/>
        </w:rPr>
      </w:pPr>
    </w:p>
    <w:p w:rsidR="002E5B04" w:rsidRPr="006629DF" w:rsidRDefault="002E5B04" w:rsidP="003F42A3">
      <w:pPr>
        <w:spacing w:before="120" w:after="120"/>
        <w:ind w:left="720"/>
        <w:rPr>
          <w:rFonts w:asciiTheme="minorHAnsi" w:hAnsiTheme="minorHAnsi" w:cstheme="minorHAnsi"/>
          <w:b/>
        </w:rPr>
      </w:pPr>
      <w:r w:rsidRPr="006629DF">
        <w:rPr>
          <w:rFonts w:asciiTheme="minorHAnsi" w:hAnsiTheme="minorHAnsi" w:cstheme="minorHAnsi"/>
          <w:b/>
        </w:rPr>
        <w:t>Accreditation Requirements</w:t>
      </w:r>
    </w:p>
    <w:p w:rsidR="00630071" w:rsidRPr="006629DF" w:rsidRDefault="00DA2467" w:rsidP="003F42A3">
      <w:pPr>
        <w:spacing w:before="120" w:after="120"/>
        <w:ind w:left="720"/>
        <w:rPr>
          <w:rFonts w:asciiTheme="minorHAnsi" w:hAnsiTheme="minorHAnsi" w:cstheme="minorHAnsi"/>
          <w:lang w:val="en" w:eastAsia="en-GB"/>
        </w:rPr>
      </w:pPr>
      <w:r w:rsidRPr="006629DF">
        <w:rPr>
          <w:rFonts w:asciiTheme="minorHAnsi" w:hAnsiTheme="minorHAnsi" w:cstheme="minorHAnsi"/>
        </w:rPr>
        <w:t xml:space="preserve">Only accredited practitioners who meet the service specification and </w:t>
      </w:r>
      <w:r w:rsidR="00153683">
        <w:rPr>
          <w:rFonts w:asciiTheme="minorHAnsi" w:hAnsiTheme="minorHAnsi" w:cstheme="minorHAnsi"/>
        </w:rPr>
        <w:t>are contracted</w:t>
      </w:r>
      <w:r w:rsidRPr="006629DF">
        <w:rPr>
          <w:rFonts w:asciiTheme="minorHAnsi" w:hAnsiTheme="minorHAnsi" w:cstheme="minorHAnsi"/>
        </w:rPr>
        <w:t xml:space="preserve"> </w:t>
      </w:r>
      <w:r w:rsidR="00153683">
        <w:rPr>
          <w:rFonts w:asciiTheme="minorHAnsi" w:hAnsiTheme="minorHAnsi" w:cstheme="minorHAnsi"/>
        </w:rPr>
        <w:t>by the NEL CCG should</w:t>
      </w:r>
      <w:r w:rsidRPr="006629DF">
        <w:rPr>
          <w:rFonts w:asciiTheme="minorHAnsi" w:hAnsiTheme="minorHAnsi" w:cstheme="minorHAnsi"/>
        </w:rPr>
        <w:t xml:space="preserve"> provide this service. Practitioners managing oral anticoagulation must meet the required NPSA competencies. </w:t>
      </w:r>
      <w:r w:rsidR="003F42A3" w:rsidRPr="006629DF">
        <w:rPr>
          <w:rFonts w:asciiTheme="minorHAnsi" w:hAnsiTheme="minorHAnsi" w:cstheme="minorHAnsi"/>
          <w:lang w:val="en" w:eastAsia="en-GB"/>
        </w:rPr>
        <w:t xml:space="preserve">Every </w:t>
      </w:r>
      <w:r w:rsidR="00153683">
        <w:rPr>
          <w:rFonts w:asciiTheme="minorHAnsi" w:hAnsiTheme="minorHAnsi" w:cstheme="minorHAnsi"/>
          <w:lang w:val="en" w:eastAsia="en-GB"/>
        </w:rPr>
        <w:t>provider,</w:t>
      </w:r>
      <w:r w:rsidR="003F42A3" w:rsidRPr="006629DF">
        <w:rPr>
          <w:rFonts w:asciiTheme="minorHAnsi" w:hAnsiTheme="minorHAnsi" w:cstheme="minorHAnsi"/>
          <w:lang w:val="en" w:eastAsia="en-GB"/>
        </w:rPr>
        <w:t xml:space="preserve"> providing this service</w:t>
      </w:r>
      <w:r w:rsidR="00630071" w:rsidRPr="006629DF">
        <w:rPr>
          <w:rFonts w:asciiTheme="minorHAnsi" w:hAnsiTheme="minorHAnsi" w:cstheme="minorHAnsi"/>
          <w:lang w:val="en" w:eastAsia="en-GB"/>
        </w:rPr>
        <w:t xml:space="preserve"> must ensure that all staff involved in providing any aspect of care under this scheme </w:t>
      </w:r>
      <w:proofErr w:type="gramStart"/>
      <w:r w:rsidR="00630071" w:rsidRPr="006629DF">
        <w:rPr>
          <w:rFonts w:asciiTheme="minorHAnsi" w:hAnsiTheme="minorHAnsi" w:cstheme="minorHAnsi"/>
          <w:lang w:val="en" w:eastAsia="en-GB"/>
        </w:rPr>
        <w:t>have</w:t>
      </w:r>
      <w:proofErr w:type="gramEnd"/>
      <w:r w:rsidR="00630071" w:rsidRPr="006629DF">
        <w:rPr>
          <w:rFonts w:asciiTheme="minorHAnsi" w:hAnsiTheme="minorHAnsi" w:cstheme="minorHAnsi"/>
          <w:lang w:val="en" w:eastAsia="en-GB"/>
        </w:rPr>
        <w:t xml:space="preserve"> the necessary training and skills to do so</w:t>
      </w:r>
      <w:r w:rsidR="003F42A3" w:rsidRPr="006629DF">
        <w:rPr>
          <w:rFonts w:asciiTheme="minorHAnsi" w:hAnsiTheme="minorHAnsi" w:cstheme="minorHAnsi"/>
          <w:lang w:val="en" w:eastAsia="en-GB"/>
        </w:rPr>
        <w:t>.</w:t>
      </w:r>
    </w:p>
    <w:p w:rsidR="002E5B04" w:rsidRPr="006629DF" w:rsidRDefault="002E5B04" w:rsidP="002E5B04">
      <w:pPr>
        <w:ind w:left="720"/>
        <w:rPr>
          <w:rFonts w:asciiTheme="minorHAnsi" w:hAnsiTheme="minorHAnsi" w:cstheme="minorHAnsi"/>
        </w:rPr>
      </w:pPr>
      <w:r w:rsidRPr="006629DF">
        <w:rPr>
          <w:rFonts w:asciiTheme="minorHAnsi" w:hAnsiTheme="minorHAnsi" w:cstheme="minorHAnsi"/>
        </w:rPr>
        <w:lastRenderedPageBreak/>
        <w:t xml:space="preserve">Before a </w:t>
      </w:r>
      <w:r w:rsidR="00153683">
        <w:rPr>
          <w:rFonts w:asciiTheme="minorHAnsi" w:hAnsiTheme="minorHAnsi" w:cstheme="minorHAnsi"/>
        </w:rPr>
        <w:t>provider</w:t>
      </w:r>
      <w:r w:rsidRPr="006629DF">
        <w:rPr>
          <w:rFonts w:asciiTheme="minorHAnsi" w:hAnsiTheme="minorHAnsi" w:cstheme="minorHAnsi"/>
        </w:rPr>
        <w:t xml:space="preserve"> is accredited to provide the level 4 service, the </w:t>
      </w:r>
      <w:r w:rsidR="00153683">
        <w:rPr>
          <w:rFonts w:asciiTheme="minorHAnsi" w:hAnsiTheme="minorHAnsi" w:cstheme="minorHAnsi"/>
        </w:rPr>
        <w:t>provider</w:t>
      </w:r>
      <w:r w:rsidRPr="006629DF">
        <w:rPr>
          <w:rFonts w:asciiTheme="minorHAnsi" w:hAnsiTheme="minorHAnsi" w:cstheme="minorHAnsi"/>
        </w:rPr>
        <w:t xml:space="preserve"> will need to undergo an assessment visit which will cover all aspects of the current service to level 3 including:</w:t>
      </w:r>
    </w:p>
    <w:p w:rsidR="002E5B04" w:rsidRPr="006629DF" w:rsidRDefault="002E5B04" w:rsidP="002E5B04">
      <w:pPr>
        <w:spacing w:before="120" w:after="120"/>
        <w:ind w:left="720"/>
        <w:rPr>
          <w:rFonts w:asciiTheme="minorHAnsi" w:hAnsiTheme="minorHAnsi" w:cstheme="minorHAnsi"/>
        </w:rPr>
      </w:pPr>
      <w:r w:rsidRPr="006629DF">
        <w:rPr>
          <w:rFonts w:asciiTheme="minorHAnsi" w:hAnsiTheme="minorHAnsi" w:cstheme="minorHAnsi"/>
        </w:rPr>
        <w:t xml:space="preserve">Practice Register, Anticoagulation template, Call and Recall System, Education for newly diagnosed patients, Provision of current service, overall wellbeing of patient and significant / untoward events. </w:t>
      </w:r>
    </w:p>
    <w:p w:rsidR="00630071" w:rsidRPr="006629DF" w:rsidRDefault="002E5B04" w:rsidP="002E5B04">
      <w:pPr>
        <w:spacing w:before="120" w:after="120"/>
        <w:ind w:left="720"/>
        <w:rPr>
          <w:rFonts w:asciiTheme="minorHAnsi" w:hAnsiTheme="minorHAnsi" w:cstheme="minorHAnsi"/>
          <w:lang w:val="en" w:eastAsia="en-GB"/>
        </w:rPr>
      </w:pPr>
      <w:r w:rsidRPr="006629DF">
        <w:rPr>
          <w:rFonts w:asciiTheme="minorHAnsi" w:hAnsiTheme="minorHAnsi" w:cstheme="minorHAnsi"/>
        </w:rPr>
        <w:t>In addition, to satisfy the requirements of the level 4 service, there should be evidence of a policy / protocol, internal and external quality assurance e.g. NEQAS results, audit,  records of testing and calibration of equipment, details of computer assisted decision making equipment used and arrangements for internal and external quality assurance and a patient satisfaction survey / questionnaire.</w:t>
      </w:r>
    </w:p>
    <w:p w:rsidR="00D0775A" w:rsidRPr="006629DF" w:rsidRDefault="00D0775A" w:rsidP="00D0775A">
      <w:pPr>
        <w:pStyle w:val="ListParagraph"/>
        <w:spacing w:before="120" w:after="120"/>
        <w:ind w:left="1080"/>
        <w:rPr>
          <w:rFonts w:asciiTheme="minorHAnsi" w:hAnsiTheme="minorHAnsi" w:cstheme="minorHAnsi"/>
          <w:lang w:val="en" w:eastAsia="en-GB"/>
        </w:rPr>
      </w:pPr>
    </w:p>
    <w:p w:rsidR="00DA2467" w:rsidRPr="006629DF" w:rsidRDefault="00DA2467" w:rsidP="005734EE">
      <w:pPr>
        <w:pStyle w:val="ListParagraph"/>
        <w:numPr>
          <w:ilvl w:val="0"/>
          <w:numId w:val="46"/>
        </w:numPr>
        <w:spacing w:before="120" w:after="120"/>
        <w:rPr>
          <w:rFonts w:asciiTheme="minorHAnsi" w:hAnsiTheme="minorHAnsi" w:cstheme="minorHAnsi"/>
          <w:lang w:val="en" w:eastAsia="en-GB"/>
        </w:rPr>
      </w:pPr>
      <w:proofErr w:type="spellStart"/>
      <w:r w:rsidRPr="006629DF">
        <w:rPr>
          <w:rFonts w:asciiTheme="minorHAnsi" w:hAnsiTheme="minorHAnsi" w:cstheme="minorHAnsi"/>
        </w:rPr>
        <w:t>Coagulometers</w:t>
      </w:r>
      <w:proofErr w:type="spellEnd"/>
      <w:r w:rsidRPr="006629DF">
        <w:rPr>
          <w:rFonts w:asciiTheme="minorHAnsi" w:hAnsiTheme="minorHAnsi" w:cstheme="minorHAnsi"/>
        </w:rPr>
        <w:t xml:space="preserve"> using capillary blood may not be accurate when the INR is elevated. For </w:t>
      </w:r>
      <w:proofErr w:type="spellStart"/>
      <w:r w:rsidRPr="006629DF">
        <w:rPr>
          <w:rFonts w:asciiTheme="minorHAnsi" w:hAnsiTheme="minorHAnsi" w:cstheme="minorHAnsi"/>
        </w:rPr>
        <w:t>CoaguChek</w:t>
      </w:r>
      <w:proofErr w:type="spellEnd"/>
      <w:r w:rsidRPr="006629DF">
        <w:rPr>
          <w:rFonts w:asciiTheme="minorHAnsi" w:hAnsiTheme="minorHAnsi" w:cstheme="minorHAnsi"/>
        </w:rPr>
        <w:t xml:space="preserve"> XS plus, when the INR is &gt; 8 the capillary blood INR result should be confirmed with a second test and in addition a sample obtained by venepuncture and sent to the laboratory to determine the exact INR reading. The therapeutic decision around dosing and clinical management of the patient should not be delayed until the laboratory result is obtained. Clinical management will depend on whether there is bleeding or not which will also indicate need for vitamin K</w:t>
      </w:r>
    </w:p>
    <w:p w:rsidR="00630071" w:rsidRPr="006629DF" w:rsidRDefault="00630071" w:rsidP="003F42A3">
      <w:pPr>
        <w:pStyle w:val="Default"/>
        <w:numPr>
          <w:ilvl w:val="0"/>
          <w:numId w:val="45"/>
        </w:numPr>
        <w:rPr>
          <w:rFonts w:asciiTheme="minorHAnsi" w:hAnsiTheme="minorHAnsi" w:cstheme="minorHAnsi"/>
          <w:color w:val="auto"/>
          <w:sz w:val="22"/>
          <w:szCs w:val="22"/>
        </w:rPr>
      </w:pPr>
      <w:r w:rsidRPr="006629DF">
        <w:rPr>
          <w:rFonts w:asciiTheme="minorHAnsi" w:hAnsiTheme="minorHAnsi" w:cstheme="minorHAnsi"/>
          <w:color w:val="auto"/>
          <w:sz w:val="22"/>
          <w:szCs w:val="22"/>
        </w:rPr>
        <w:t xml:space="preserve">The use of 1mg strength Warfarin tablets is strongly recommended unless patients are on doses </w:t>
      </w:r>
      <w:r w:rsidR="003F42A3" w:rsidRPr="006629DF">
        <w:rPr>
          <w:rFonts w:asciiTheme="minorHAnsi" w:hAnsiTheme="minorHAnsi" w:cstheme="minorHAnsi"/>
          <w:color w:val="auto"/>
          <w:sz w:val="22"/>
          <w:szCs w:val="22"/>
        </w:rPr>
        <w:t>g</w:t>
      </w:r>
      <w:r w:rsidRPr="006629DF">
        <w:rPr>
          <w:rFonts w:asciiTheme="minorHAnsi" w:hAnsiTheme="minorHAnsi" w:cstheme="minorHAnsi"/>
          <w:color w:val="auto"/>
          <w:sz w:val="22"/>
          <w:szCs w:val="22"/>
        </w:rPr>
        <w:t xml:space="preserve">reater then 5mg and can manage different strengths </w:t>
      </w:r>
    </w:p>
    <w:p w:rsidR="00630071" w:rsidRPr="006629DF" w:rsidRDefault="00630071" w:rsidP="003F42A3">
      <w:pPr>
        <w:pStyle w:val="Default"/>
        <w:numPr>
          <w:ilvl w:val="0"/>
          <w:numId w:val="45"/>
        </w:numPr>
        <w:rPr>
          <w:rFonts w:asciiTheme="minorHAnsi" w:hAnsiTheme="minorHAnsi" w:cstheme="minorHAnsi"/>
          <w:color w:val="auto"/>
          <w:sz w:val="22"/>
          <w:szCs w:val="22"/>
        </w:rPr>
      </w:pPr>
      <w:r w:rsidRPr="006629DF">
        <w:rPr>
          <w:rFonts w:asciiTheme="minorHAnsi" w:hAnsiTheme="minorHAnsi" w:cstheme="minorHAnsi"/>
          <w:color w:val="auto"/>
          <w:sz w:val="22"/>
          <w:szCs w:val="22"/>
        </w:rPr>
        <w:t xml:space="preserve">Avoiding more </w:t>
      </w:r>
      <w:proofErr w:type="spellStart"/>
      <w:r w:rsidRPr="006629DF">
        <w:rPr>
          <w:rFonts w:asciiTheme="minorHAnsi" w:hAnsiTheme="minorHAnsi" w:cstheme="minorHAnsi"/>
          <w:color w:val="auto"/>
          <w:sz w:val="22"/>
          <w:szCs w:val="22"/>
        </w:rPr>
        <w:t>then</w:t>
      </w:r>
      <w:proofErr w:type="spellEnd"/>
      <w:r w:rsidRPr="006629DF">
        <w:rPr>
          <w:rFonts w:asciiTheme="minorHAnsi" w:hAnsiTheme="minorHAnsi" w:cstheme="minorHAnsi"/>
          <w:color w:val="auto"/>
          <w:sz w:val="22"/>
          <w:szCs w:val="22"/>
        </w:rPr>
        <w:t xml:space="preserve"> two different strengths is recommended </w:t>
      </w:r>
    </w:p>
    <w:p w:rsidR="00630071" w:rsidRPr="006629DF" w:rsidRDefault="00630071" w:rsidP="003F42A3">
      <w:pPr>
        <w:pStyle w:val="Default"/>
        <w:numPr>
          <w:ilvl w:val="0"/>
          <w:numId w:val="45"/>
        </w:numPr>
        <w:rPr>
          <w:rFonts w:asciiTheme="minorHAnsi" w:hAnsiTheme="minorHAnsi" w:cstheme="minorHAnsi"/>
          <w:color w:val="auto"/>
          <w:sz w:val="22"/>
          <w:szCs w:val="22"/>
        </w:rPr>
      </w:pPr>
      <w:r w:rsidRPr="006629DF">
        <w:rPr>
          <w:rFonts w:asciiTheme="minorHAnsi" w:hAnsiTheme="minorHAnsi" w:cstheme="minorHAnsi"/>
          <w:color w:val="auto"/>
          <w:sz w:val="22"/>
          <w:szCs w:val="22"/>
        </w:rPr>
        <w:t>Use of 0.5mg is not</w:t>
      </w:r>
      <w:r w:rsidR="002E5B04" w:rsidRPr="006629DF">
        <w:rPr>
          <w:rFonts w:asciiTheme="minorHAnsi" w:hAnsiTheme="minorHAnsi" w:cstheme="minorHAnsi"/>
          <w:color w:val="auto"/>
          <w:sz w:val="22"/>
          <w:szCs w:val="22"/>
        </w:rPr>
        <w:t xml:space="preserve"> recommended to avoid confusion</w:t>
      </w:r>
    </w:p>
    <w:p w:rsidR="002E5B04" w:rsidRPr="006629DF" w:rsidRDefault="002E5B04" w:rsidP="003F42A3">
      <w:pPr>
        <w:pStyle w:val="Default"/>
        <w:numPr>
          <w:ilvl w:val="0"/>
          <w:numId w:val="45"/>
        </w:numPr>
        <w:rPr>
          <w:rFonts w:asciiTheme="minorHAnsi" w:hAnsiTheme="minorHAnsi" w:cstheme="minorHAnsi"/>
          <w:color w:val="auto"/>
          <w:sz w:val="22"/>
          <w:szCs w:val="22"/>
        </w:rPr>
      </w:pPr>
      <w:r w:rsidRPr="006629DF">
        <w:rPr>
          <w:rFonts w:asciiTheme="minorHAnsi" w:hAnsiTheme="minorHAnsi" w:cstheme="minorHAnsi"/>
          <w:color w:val="auto"/>
          <w:sz w:val="22"/>
          <w:szCs w:val="22"/>
        </w:rPr>
        <w:t>Strips for use with the near patient testing equipment should be provided by the practice as part of the Level 4 service and should not be prescribed individually to a patient.</w:t>
      </w:r>
    </w:p>
    <w:p w:rsidR="00630071" w:rsidRPr="006629DF" w:rsidRDefault="00630071" w:rsidP="00630071">
      <w:pPr>
        <w:autoSpaceDE w:val="0"/>
        <w:autoSpaceDN w:val="0"/>
        <w:adjustRightInd w:val="0"/>
        <w:rPr>
          <w:rFonts w:asciiTheme="minorHAnsi" w:hAnsiTheme="minorHAnsi" w:cstheme="minorHAnsi"/>
        </w:rPr>
      </w:pPr>
    </w:p>
    <w:p w:rsidR="005734EE" w:rsidRPr="006629DF" w:rsidRDefault="005734EE" w:rsidP="00D0775A">
      <w:pPr>
        <w:spacing w:before="120" w:after="120"/>
        <w:ind w:left="720"/>
        <w:rPr>
          <w:rFonts w:asciiTheme="minorHAnsi" w:hAnsiTheme="minorHAnsi" w:cstheme="minorHAnsi"/>
        </w:rPr>
      </w:pPr>
      <w:r w:rsidRPr="006629DF">
        <w:rPr>
          <w:rFonts w:asciiTheme="minorHAnsi" w:hAnsiTheme="minorHAnsi" w:cstheme="minorHAnsi"/>
        </w:rPr>
        <w:t>This service is based on near patient testing and venous samples should only be used in exceptional circumstances.</w:t>
      </w:r>
    </w:p>
    <w:p w:rsidR="005734EE" w:rsidRPr="006629DF" w:rsidRDefault="005734EE" w:rsidP="00D0775A">
      <w:pPr>
        <w:pStyle w:val="Default"/>
        <w:ind w:left="720"/>
        <w:rPr>
          <w:rFonts w:asciiTheme="minorHAnsi" w:hAnsiTheme="minorHAnsi" w:cstheme="minorHAnsi"/>
          <w:color w:val="auto"/>
          <w:sz w:val="22"/>
          <w:szCs w:val="22"/>
        </w:rPr>
      </w:pPr>
      <w:r w:rsidRPr="006629DF">
        <w:rPr>
          <w:rFonts w:asciiTheme="minorHAnsi" w:hAnsiTheme="minorHAnsi" w:cstheme="minorHAnsi"/>
          <w:color w:val="auto"/>
          <w:sz w:val="22"/>
          <w:szCs w:val="22"/>
        </w:rPr>
        <w:t xml:space="preserve">The frequency of monitoring will vary but patients should have their INR checked at least every 10 -12 weeks. Every patient must be seen at least once every 12 weeks. Less stable and new patients will require more frequent tests </w:t>
      </w:r>
    </w:p>
    <w:p w:rsidR="005734EE" w:rsidRPr="006629DF" w:rsidRDefault="005734EE" w:rsidP="00D0775A">
      <w:pPr>
        <w:pStyle w:val="Default"/>
        <w:ind w:left="720"/>
        <w:rPr>
          <w:rFonts w:asciiTheme="minorHAnsi" w:hAnsiTheme="minorHAnsi" w:cstheme="minorHAnsi"/>
          <w:color w:val="auto"/>
          <w:sz w:val="22"/>
          <w:szCs w:val="22"/>
        </w:rPr>
      </w:pPr>
    </w:p>
    <w:p w:rsidR="005734EE" w:rsidRPr="006629DF" w:rsidRDefault="005734EE" w:rsidP="00D0775A">
      <w:pPr>
        <w:pStyle w:val="Default"/>
        <w:ind w:left="720"/>
        <w:rPr>
          <w:rFonts w:asciiTheme="minorHAnsi" w:hAnsiTheme="minorHAnsi" w:cstheme="minorHAnsi"/>
          <w:color w:val="auto"/>
          <w:sz w:val="22"/>
          <w:szCs w:val="22"/>
        </w:rPr>
      </w:pPr>
      <w:r w:rsidRPr="006629DF">
        <w:rPr>
          <w:rFonts w:asciiTheme="minorHAnsi" w:hAnsiTheme="minorHAnsi" w:cstheme="minorHAnsi"/>
          <w:color w:val="auto"/>
          <w:sz w:val="22"/>
          <w:szCs w:val="22"/>
        </w:rPr>
        <w:t xml:space="preserve">Recall dates will be suggested by the dosing support software; however, if the patient’s clinical condition is changing, or there have been alterations in other medication, then the INR should be checked more frequently and clinical judgement should override the </w:t>
      </w:r>
      <w:r w:rsidR="00C65F0D" w:rsidRPr="006629DF">
        <w:rPr>
          <w:rFonts w:asciiTheme="minorHAnsi" w:hAnsiTheme="minorHAnsi" w:cstheme="minorHAnsi"/>
          <w:color w:val="auto"/>
          <w:sz w:val="22"/>
          <w:szCs w:val="22"/>
        </w:rPr>
        <w:t>Computerised Decision Support Software.</w:t>
      </w:r>
      <w:r w:rsidRPr="006629DF">
        <w:rPr>
          <w:rFonts w:asciiTheme="minorHAnsi" w:hAnsiTheme="minorHAnsi" w:cstheme="minorHAnsi"/>
          <w:color w:val="auto"/>
          <w:sz w:val="22"/>
          <w:szCs w:val="22"/>
        </w:rPr>
        <w:t xml:space="preserve"> </w:t>
      </w:r>
    </w:p>
    <w:p w:rsidR="005734EE" w:rsidRPr="006629DF" w:rsidRDefault="005734EE" w:rsidP="00630071">
      <w:pPr>
        <w:spacing w:before="120" w:after="120"/>
        <w:rPr>
          <w:rFonts w:asciiTheme="minorHAnsi" w:hAnsiTheme="minorHAnsi" w:cstheme="minorHAnsi"/>
        </w:rPr>
      </w:pPr>
    </w:p>
    <w:p w:rsidR="00630071" w:rsidRPr="006629DF" w:rsidRDefault="00691E4C" w:rsidP="00630071">
      <w:pPr>
        <w:spacing w:before="120" w:after="120"/>
        <w:rPr>
          <w:rFonts w:asciiTheme="minorHAnsi" w:hAnsiTheme="minorHAnsi" w:cstheme="minorHAnsi"/>
          <w:b/>
        </w:rPr>
      </w:pPr>
      <w:r>
        <w:rPr>
          <w:rFonts w:asciiTheme="minorHAnsi" w:hAnsiTheme="minorHAnsi" w:cstheme="minorHAnsi"/>
          <w:b/>
        </w:rPr>
        <w:t>1</w:t>
      </w:r>
      <w:r w:rsidR="00630071" w:rsidRPr="006629DF">
        <w:rPr>
          <w:rFonts w:asciiTheme="minorHAnsi" w:hAnsiTheme="minorHAnsi" w:cstheme="minorHAnsi"/>
          <w:b/>
        </w:rPr>
        <w:t>.</w:t>
      </w:r>
      <w:r w:rsidR="0096152F" w:rsidRPr="006629DF">
        <w:rPr>
          <w:rFonts w:asciiTheme="minorHAnsi" w:hAnsiTheme="minorHAnsi" w:cstheme="minorHAnsi"/>
          <w:b/>
        </w:rPr>
        <w:t>4</w:t>
      </w:r>
      <w:r w:rsidR="00630071" w:rsidRPr="006629DF">
        <w:rPr>
          <w:rFonts w:asciiTheme="minorHAnsi" w:hAnsiTheme="minorHAnsi" w:cstheme="minorHAnsi"/>
          <w:b/>
        </w:rPr>
        <w:t xml:space="preserve">  </w:t>
      </w:r>
      <w:r w:rsidR="00630071" w:rsidRPr="006629DF">
        <w:rPr>
          <w:rFonts w:asciiTheme="minorHAnsi" w:hAnsiTheme="minorHAnsi" w:cstheme="minorHAnsi"/>
          <w:b/>
        </w:rPr>
        <w:tab/>
        <w:t>Monitoring and Review</w:t>
      </w:r>
    </w:p>
    <w:p w:rsidR="005734EE" w:rsidRPr="006629DF" w:rsidRDefault="00630071" w:rsidP="00630071">
      <w:pPr>
        <w:spacing w:before="120" w:after="120"/>
        <w:ind w:left="1080"/>
        <w:rPr>
          <w:rFonts w:asciiTheme="minorHAnsi" w:hAnsiTheme="minorHAnsi" w:cstheme="minorHAnsi"/>
          <w:lang w:val="en" w:eastAsia="en-GB"/>
        </w:rPr>
      </w:pPr>
      <w:r w:rsidRPr="006629DF">
        <w:rPr>
          <w:rFonts w:asciiTheme="minorHAnsi" w:hAnsiTheme="minorHAnsi" w:cstheme="minorHAnsi"/>
          <w:lang w:val="en" w:eastAsia="en-GB"/>
        </w:rPr>
        <w:t xml:space="preserve">All </w:t>
      </w:r>
      <w:r w:rsidR="00153683">
        <w:rPr>
          <w:rFonts w:asciiTheme="minorHAnsi" w:hAnsiTheme="minorHAnsi" w:cstheme="minorHAnsi"/>
          <w:lang w:val="en" w:eastAsia="en-GB"/>
        </w:rPr>
        <w:t>providers</w:t>
      </w:r>
      <w:r w:rsidRPr="006629DF">
        <w:rPr>
          <w:rFonts w:asciiTheme="minorHAnsi" w:hAnsiTheme="minorHAnsi" w:cstheme="minorHAnsi"/>
          <w:lang w:val="en" w:eastAsia="en-GB"/>
        </w:rPr>
        <w:t xml:space="preserve"> involved in the scheme </w:t>
      </w:r>
      <w:r w:rsidR="005734EE" w:rsidRPr="006629DF">
        <w:rPr>
          <w:rFonts w:asciiTheme="minorHAnsi" w:hAnsiTheme="minorHAnsi" w:cstheme="minorHAnsi"/>
          <w:lang w:val="en" w:eastAsia="en-GB"/>
        </w:rPr>
        <w:t xml:space="preserve">must submit an annual review which </w:t>
      </w:r>
      <w:r w:rsidRPr="006629DF">
        <w:rPr>
          <w:rFonts w:asciiTheme="minorHAnsi" w:hAnsiTheme="minorHAnsi" w:cstheme="minorHAnsi"/>
          <w:lang w:val="en" w:eastAsia="en-GB"/>
        </w:rPr>
        <w:t>include</w:t>
      </w:r>
      <w:r w:rsidR="005734EE" w:rsidRPr="006629DF">
        <w:rPr>
          <w:rFonts w:asciiTheme="minorHAnsi" w:hAnsiTheme="minorHAnsi" w:cstheme="minorHAnsi"/>
          <w:lang w:val="en" w:eastAsia="en-GB"/>
        </w:rPr>
        <w:t xml:space="preserve">s: </w:t>
      </w:r>
    </w:p>
    <w:p w:rsidR="005734EE" w:rsidRPr="006629DF" w:rsidRDefault="00630071" w:rsidP="005734EE">
      <w:pPr>
        <w:pStyle w:val="ListParagraph"/>
        <w:numPr>
          <w:ilvl w:val="0"/>
          <w:numId w:val="47"/>
        </w:numPr>
        <w:spacing w:before="120" w:after="120"/>
        <w:rPr>
          <w:rFonts w:asciiTheme="minorHAnsi" w:hAnsiTheme="minorHAnsi" w:cstheme="minorHAnsi"/>
          <w:lang w:val="en" w:eastAsia="en-GB"/>
        </w:rPr>
      </w:pPr>
      <w:r w:rsidRPr="006629DF">
        <w:rPr>
          <w:rFonts w:asciiTheme="minorHAnsi" w:hAnsiTheme="minorHAnsi" w:cstheme="minorHAnsi"/>
          <w:lang w:val="en" w:eastAsia="en-GB"/>
        </w:rPr>
        <w:t xml:space="preserve">information on the number of patients being monitored, the indications of anticoagulation, </w:t>
      </w:r>
      <w:proofErr w:type="spellStart"/>
      <w:r w:rsidRPr="006629DF">
        <w:rPr>
          <w:rFonts w:asciiTheme="minorHAnsi" w:hAnsiTheme="minorHAnsi" w:cstheme="minorHAnsi"/>
          <w:lang w:val="en" w:eastAsia="en-GB"/>
        </w:rPr>
        <w:t>ie</w:t>
      </w:r>
      <w:proofErr w:type="spellEnd"/>
      <w:r w:rsidRPr="006629DF">
        <w:rPr>
          <w:rFonts w:asciiTheme="minorHAnsi" w:hAnsiTheme="minorHAnsi" w:cstheme="minorHAnsi"/>
          <w:lang w:val="en" w:eastAsia="en-GB"/>
        </w:rPr>
        <w:t xml:space="preserve"> DVT </w:t>
      </w:r>
      <w:proofErr w:type="spellStart"/>
      <w:r w:rsidRPr="006629DF">
        <w:rPr>
          <w:rFonts w:asciiTheme="minorHAnsi" w:hAnsiTheme="minorHAnsi" w:cstheme="minorHAnsi"/>
          <w:lang w:val="en" w:eastAsia="en-GB"/>
        </w:rPr>
        <w:t>etc</w:t>
      </w:r>
      <w:proofErr w:type="spellEnd"/>
      <w:r w:rsidRPr="006629DF">
        <w:rPr>
          <w:rFonts w:asciiTheme="minorHAnsi" w:hAnsiTheme="minorHAnsi" w:cstheme="minorHAnsi"/>
          <w:lang w:val="en" w:eastAsia="en-GB"/>
        </w:rPr>
        <w:t xml:space="preserve">, and the duration of treatment </w:t>
      </w:r>
    </w:p>
    <w:p w:rsidR="005734EE" w:rsidRPr="006629DF" w:rsidRDefault="00630071" w:rsidP="005734EE">
      <w:pPr>
        <w:pStyle w:val="ListParagraph"/>
        <w:numPr>
          <w:ilvl w:val="0"/>
          <w:numId w:val="47"/>
        </w:numPr>
        <w:spacing w:before="120" w:after="120"/>
        <w:rPr>
          <w:rFonts w:asciiTheme="minorHAnsi" w:hAnsiTheme="minorHAnsi" w:cstheme="minorHAnsi"/>
          <w:lang w:val="en" w:eastAsia="en-GB"/>
        </w:rPr>
      </w:pPr>
      <w:r w:rsidRPr="006629DF">
        <w:rPr>
          <w:rFonts w:asciiTheme="minorHAnsi" w:hAnsiTheme="minorHAnsi" w:cstheme="minorHAnsi"/>
          <w:lang w:val="en" w:eastAsia="en-GB"/>
        </w:rPr>
        <w:t xml:space="preserve">brief details as to arrangements for each of the aspects highlighted above </w:t>
      </w:r>
    </w:p>
    <w:p w:rsidR="005734EE" w:rsidRPr="006629DF" w:rsidRDefault="00630071" w:rsidP="005734EE">
      <w:pPr>
        <w:pStyle w:val="ListParagraph"/>
        <w:numPr>
          <w:ilvl w:val="0"/>
          <w:numId w:val="47"/>
        </w:numPr>
        <w:spacing w:before="120" w:after="120"/>
        <w:rPr>
          <w:rFonts w:asciiTheme="minorHAnsi" w:hAnsiTheme="minorHAnsi" w:cstheme="minorHAnsi"/>
          <w:lang w:val="en" w:eastAsia="en-GB"/>
        </w:rPr>
      </w:pPr>
      <w:r w:rsidRPr="006629DF">
        <w:rPr>
          <w:rFonts w:asciiTheme="minorHAnsi" w:hAnsiTheme="minorHAnsi" w:cstheme="minorHAnsi"/>
          <w:lang w:val="en" w:eastAsia="en-GB"/>
        </w:rPr>
        <w:t xml:space="preserve">details of any computer-assisted decision-making equipment </w:t>
      </w:r>
      <w:r w:rsidR="005734EE" w:rsidRPr="006629DF">
        <w:rPr>
          <w:rFonts w:asciiTheme="minorHAnsi" w:hAnsiTheme="minorHAnsi" w:cstheme="minorHAnsi"/>
          <w:lang w:val="en" w:eastAsia="en-GB"/>
        </w:rPr>
        <w:t>and near patient testing equipment used</w:t>
      </w:r>
    </w:p>
    <w:p w:rsidR="005734EE" w:rsidRPr="006629DF" w:rsidRDefault="00630071" w:rsidP="005734EE">
      <w:pPr>
        <w:pStyle w:val="ListParagraph"/>
        <w:numPr>
          <w:ilvl w:val="0"/>
          <w:numId w:val="47"/>
        </w:numPr>
        <w:spacing w:before="120" w:after="120"/>
        <w:rPr>
          <w:rFonts w:asciiTheme="minorHAnsi" w:hAnsiTheme="minorHAnsi" w:cstheme="minorHAnsi"/>
          <w:lang w:val="en" w:eastAsia="en-GB"/>
        </w:rPr>
      </w:pPr>
      <w:r w:rsidRPr="006629DF">
        <w:rPr>
          <w:rFonts w:asciiTheme="minorHAnsi" w:hAnsiTheme="minorHAnsi" w:cstheme="minorHAnsi"/>
          <w:lang w:val="en" w:eastAsia="en-GB"/>
        </w:rPr>
        <w:lastRenderedPageBreak/>
        <w:t xml:space="preserve">arrangements for internal and external quality assurance </w:t>
      </w:r>
    </w:p>
    <w:p w:rsidR="005734EE" w:rsidRPr="006629DF" w:rsidRDefault="00630071" w:rsidP="005734EE">
      <w:pPr>
        <w:pStyle w:val="ListParagraph"/>
        <w:numPr>
          <w:ilvl w:val="0"/>
          <w:numId w:val="47"/>
        </w:numPr>
        <w:spacing w:before="120" w:after="120"/>
        <w:rPr>
          <w:rFonts w:asciiTheme="minorHAnsi" w:hAnsiTheme="minorHAnsi" w:cstheme="minorHAnsi"/>
          <w:lang w:val="en" w:eastAsia="en-GB"/>
        </w:rPr>
      </w:pPr>
      <w:r w:rsidRPr="006629DF">
        <w:rPr>
          <w:rFonts w:asciiTheme="minorHAnsi" w:hAnsiTheme="minorHAnsi" w:cstheme="minorHAnsi"/>
          <w:lang w:val="en" w:eastAsia="en-GB"/>
        </w:rPr>
        <w:t xml:space="preserve">details of training and education relevant to the anti-coagulation monitoring service received by practitioners and staff </w:t>
      </w:r>
    </w:p>
    <w:p w:rsidR="00630071" w:rsidRPr="006629DF" w:rsidRDefault="00630071" w:rsidP="00DA5A21">
      <w:pPr>
        <w:pStyle w:val="ListParagraph"/>
        <w:numPr>
          <w:ilvl w:val="0"/>
          <w:numId w:val="47"/>
        </w:numPr>
        <w:spacing w:before="120" w:after="120"/>
        <w:rPr>
          <w:rFonts w:asciiTheme="minorHAnsi" w:hAnsiTheme="minorHAnsi" w:cstheme="minorHAnsi"/>
          <w:lang w:val="en" w:eastAsia="en-GB"/>
        </w:rPr>
      </w:pPr>
      <w:proofErr w:type="gramStart"/>
      <w:r w:rsidRPr="006629DF">
        <w:rPr>
          <w:rFonts w:asciiTheme="minorHAnsi" w:hAnsiTheme="minorHAnsi" w:cstheme="minorHAnsi"/>
          <w:lang w:val="en" w:eastAsia="en-GB"/>
        </w:rPr>
        <w:t>details</w:t>
      </w:r>
      <w:proofErr w:type="gramEnd"/>
      <w:r w:rsidRPr="006629DF">
        <w:rPr>
          <w:rFonts w:asciiTheme="minorHAnsi" w:hAnsiTheme="minorHAnsi" w:cstheme="minorHAnsi"/>
          <w:lang w:val="en" w:eastAsia="en-GB"/>
        </w:rPr>
        <w:t xml:space="preserve"> of the standards used for the control of anti-coagulation.</w:t>
      </w:r>
    </w:p>
    <w:p w:rsidR="00630071" w:rsidRPr="006629DF" w:rsidRDefault="00630071" w:rsidP="00630071">
      <w:pPr>
        <w:spacing w:before="120" w:after="120"/>
        <w:ind w:left="1080"/>
        <w:rPr>
          <w:rFonts w:asciiTheme="minorHAnsi" w:hAnsiTheme="minorHAnsi" w:cstheme="minorHAnsi"/>
        </w:rPr>
      </w:pPr>
    </w:p>
    <w:p w:rsidR="00630071" w:rsidRPr="006629DF" w:rsidRDefault="00691E4C" w:rsidP="00630071">
      <w:pPr>
        <w:spacing w:before="120" w:after="120"/>
        <w:rPr>
          <w:rFonts w:asciiTheme="minorHAnsi" w:hAnsiTheme="minorHAnsi" w:cstheme="minorHAnsi"/>
          <w:b/>
        </w:rPr>
      </w:pPr>
      <w:r>
        <w:rPr>
          <w:rFonts w:asciiTheme="minorHAnsi" w:hAnsiTheme="minorHAnsi" w:cstheme="minorHAnsi"/>
          <w:b/>
        </w:rPr>
        <w:t>1</w:t>
      </w:r>
      <w:r w:rsidR="00630071" w:rsidRPr="006629DF">
        <w:rPr>
          <w:rFonts w:asciiTheme="minorHAnsi" w:hAnsiTheme="minorHAnsi" w:cstheme="minorHAnsi"/>
          <w:b/>
        </w:rPr>
        <w:t>.</w:t>
      </w:r>
      <w:r w:rsidR="0096152F" w:rsidRPr="006629DF">
        <w:rPr>
          <w:rFonts w:asciiTheme="minorHAnsi" w:hAnsiTheme="minorHAnsi" w:cstheme="minorHAnsi"/>
          <w:b/>
        </w:rPr>
        <w:t>5</w:t>
      </w:r>
      <w:r w:rsidR="00630071" w:rsidRPr="006629DF">
        <w:rPr>
          <w:rFonts w:asciiTheme="minorHAnsi" w:hAnsiTheme="minorHAnsi" w:cstheme="minorHAnsi"/>
          <w:b/>
        </w:rPr>
        <w:tab/>
        <w:t>Financial Implications</w:t>
      </w:r>
    </w:p>
    <w:p w:rsidR="00D0775A" w:rsidRPr="006629DF" w:rsidRDefault="00D0775A" w:rsidP="00D0775A">
      <w:pPr>
        <w:ind w:left="720"/>
      </w:pPr>
      <w:r w:rsidRPr="006629DF">
        <w:t xml:space="preserve">Each </w:t>
      </w:r>
      <w:r w:rsidR="00153683">
        <w:t>provider</w:t>
      </w:r>
      <w:r w:rsidRPr="006629DF">
        <w:t xml:space="preserve"> contracted to provide Anti-Coagulation </w:t>
      </w:r>
      <w:r w:rsidR="001A6E3C">
        <w:t xml:space="preserve">level 4 </w:t>
      </w:r>
      <w:r w:rsidRPr="006629DF">
        <w:t>Ne</w:t>
      </w:r>
      <w:r w:rsidR="005B55EE" w:rsidRPr="006629DF">
        <w:t>ar Patient Testing will receive</w:t>
      </w:r>
    </w:p>
    <w:p w:rsidR="00D0775A" w:rsidRPr="006629DF" w:rsidRDefault="00D0775A" w:rsidP="00D0775A">
      <w:pPr>
        <w:ind w:left="720"/>
      </w:pPr>
      <w:proofErr w:type="gramStart"/>
      <w:r w:rsidRPr="006629DF">
        <w:t>£</w:t>
      </w:r>
      <w:r w:rsidR="001A6E3C">
        <w:t>40</w:t>
      </w:r>
      <w:r w:rsidRPr="006629DF">
        <w:t xml:space="preserve"> per patient per year</w:t>
      </w:r>
      <w:r w:rsidR="00CB1A24" w:rsidRPr="006629DF">
        <w:t>.</w:t>
      </w:r>
      <w:proofErr w:type="gramEnd"/>
    </w:p>
    <w:p w:rsidR="00630071" w:rsidRPr="006629DF" w:rsidRDefault="0010182A" w:rsidP="00DA5A21">
      <w:pPr>
        <w:spacing w:before="120" w:after="120"/>
        <w:ind w:left="720"/>
        <w:rPr>
          <w:rFonts w:asciiTheme="minorHAnsi" w:hAnsiTheme="minorHAnsi" w:cstheme="minorHAnsi"/>
        </w:rPr>
      </w:pPr>
      <w:r w:rsidRPr="006629DF">
        <w:t xml:space="preserve">All claims must be submitted annually and entered onto </w:t>
      </w:r>
      <w:r w:rsidR="00153683">
        <w:t xml:space="preserve">Local </w:t>
      </w:r>
      <w:r w:rsidRPr="006629DF">
        <w:t>Service Invoice System</w:t>
      </w:r>
    </w:p>
    <w:p w:rsidR="00DA5A21" w:rsidRPr="006629DF" w:rsidRDefault="00DA5A21" w:rsidP="00DA5A21">
      <w:pPr>
        <w:spacing w:before="120" w:after="120"/>
        <w:ind w:left="720"/>
        <w:rPr>
          <w:rFonts w:asciiTheme="minorHAnsi" w:hAnsiTheme="minorHAnsi" w:cstheme="minorHAnsi"/>
        </w:rPr>
      </w:pPr>
    </w:p>
    <w:p w:rsidR="00630071" w:rsidRPr="006629DF" w:rsidRDefault="00691E4C" w:rsidP="00630071">
      <w:pPr>
        <w:spacing w:before="120" w:after="120"/>
        <w:rPr>
          <w:rFonts w:asciiTheme="minorHAnsi" w:hAnsiTheme="minorHAnsi" w:cstheme="minorHAnsi"/>
          <w:b/>
        </w:rPr>
      </w:pPr>
      <w:r>
        <w:rPr>
          <w:rFonts w:asciiTheme="minorHAnsi" w:hAnsiTheme="minorHAnsi" w:cstheme="minorHAnsi"/>
          <w:b/>
        </w:rPr>
        <w:t>1</w:t>
      </w:r>
      <w:r w:rsidR="00630071" w:rsidRPr="006629DF">
        <w:rPr>
          <w:rFonts w:asciiTheme="minorHAnsi" w:hAnsiTheme="minorHAnsi" w:cstheme="minorHAnsi"/>
          <w:b/>
        </w:rPr>
        <w:t>.</w:t>
      </w:r>
      <w:r w:rsidR="0096152F" w:rsidRPr="006629DF">
        <w:rPr>
          <w:rFonts w:asciiTheme="minorHAnsi" w:hAnsiTheme="minorHAnsi" w:cstheme="minorHAnsi"/>
          <w:b/>
        </w:rPr>
        <w:t>6</w:t>
      </w:r>
      <w:r w:rsidR="00630071" w:rsidRPr="006629DF">
        <w:rPr>
          <w:rFonts w:asciiTheme="minorHAnsi" w:hAnsiTheme="minorHAnsi" w:cstheme="minorHAnsi"/>
          <w:b/>
        </w:rPr>
        <w:tab/>
        <w:t>Governance</w:t>
      </w:r>
    </w:p>
    <w:p w:rsidR="00630071" w:rsidRPr="006629DF" w:rsidRDefault="005734EE" w:rsidP="00DA5A21">
      <w:pPr>
        <w:ind w:left="720"/>
        <w:rPr>
          <w:rFonts w:asciiTheme="minorHAnsi" w:hAnsiTheme="minorHAnsi" w:cstheme="minorHAnsi"/>
        </w:rPr>
      </w:pPr>
      <w:r w:rsidRPr="006629DF">
        <w:rPr>
          <w:rFonts w:asciiTheme="minorHAnsi" w:hAnsiTheme="minorHAnsi" w:cstheme="minorHAnsi"/>
        </w:rPr>
        <w:t>Th</w:t>
      </w:r>
      <w:r w:rsidR="00DA5A21" w:rsidRPr="006629DF">
        <w:rPr>
          <w:rFonts w:asciiTheme="minorHAnsi" w:hAnsiTheme="minorHAnsi" w:cstheme="minorHAnsi"/>
        </w:rPr>
        <w:t>is service should be delivered in accordance with the following policies and procedures:</w:t>
      </w:r>
    </w:p>
    <w:p w:rsidR="00630071" w:rsidRPr="006629DF" w:rsidRDefault="00630071" w:rsidP="00630071">
      <w:pPr>
        <w:numPr>
          <w:ilvl w:val="0"/>
          <w:numId w:val="43"/>
        </w:numPr>
        <w:spacing w:after="0" w:line="240" w:lineRule="auto"/>
        <w:jc w:val="both"/>
        <w:rPr>
          <w:rFonts w:asciiTheme="minorHAnsi" w:hAnsiTheme="minorHAnsi" w:cstheme="minorHAnsi"/>
        </w:rPr>
      </w:pPr>
      <w:r w:rsidRPr="006629DF">
        <w:rPr>
          <w:rFonts w:asciiTheme="minorHAnsi" w:hAnsiTheme="minorHAnsi" w:cstheme="minorHAnsi"/>
        </w:rPr>
        <w:t>N</w:t>
      </w:r>
      <w:r w:rsidR="00DA5A21" w:rsidRPr="006629DF">
        <w:rPr>
          <w:rFonts w:asciiTheme="minorHAnsi" w:hAnsiTheme="minorHAnsi" w:cstheme="minorHAnsi"/>
        </w:rPr>
        <w:t xml:space="preserve">orth </w:t>
      </w:r>
      <w:r w:rsidRPr="006629DF">
        <w:rPr>
          <w:rFonts w:asciiTheme="minorHAnsi" w:hAnsiTheme="minorHAnsi" w:cstheme="minorHAnsi"/>
        </w:rPr>
        <w:t>E</w:t>
      </w:r>
      <w:r w:rsidR="00DA5A21" w:rsidRPr="006629DF">
        <w:rPr>
          <w:rFonts w:asciiTheme="minorHAnsi" w:hAnsiTheme="minorHAnsi" w:cstheme="minorHAnsi"/>
        </w:rPr>
        <w:t>ast</w:t>
      </w:r>
      <w:r w:rsidRPr="006629DF">
        <w:rPr>
          <w:rFonts w:asciiTheme="minorHAnsi" w:hAnsiTheme="minorHAnsi" w:cstheme="minorHAnsi"/>
        </w:rPr>
        <w:t xml:space="preserve"> Lincolnshire </w:t>
      </w:r>
      <w:r w:rsidR="00153683">
        <w:rPr>
          <w:rFonts w:asciiTheme="minorHAnsi" w:hAnsiTheme="minorHAnsi" w:cstheme="minorHAnsi"/>
        </w:rPr>
        <w:t>CCG</w:t>
      </w:r>
      <w:r w:rsidRPr="006629DF">
        <w:rPr>
          <w:rFonts w:asciiTheme="minorHAnsi" w:hAnsiTheme="minorHAnsi" w:cstheme="minorHAnsi"/>
        </w:rPr>
        <w:t xml:space="preserve"> Infection Control Policy</w:t>
      </w:r>
    </w:p>
    <w:p w:rsidR="00630071" w:rsidRPr="006629DF" w:rsidRDefault="00DA5A21" w:rsidP="00630071">
      <w:pPr>
        <w:numPr>
          <w:ilvl w:val="0"/>
          <w:numId w:val="43"/>
        </w:numPr>
        <w:spacing w:after="0" w:line="240" w:lineRule="auto"/>
        <w:jc w:val="both"/>
        <w:rPr>
          <w:rFonts w:asciiTheme="minorHAnsi" w:hAnsiTheme="minorHAnsi" w:cstheme="minorHAnsi"/>
        </w:rPr>
      </w:pPr>
      <w:r w:rsidRPr="006629DF">
        <w:rPr>
          <w:rFonts w:asciiTheme="minorHAnsi" w:hAnsiTheme="minorHAnsi" w:cstheme="minorHAnsi"/>
        </w:rPr>
        <w:t xml:space="preserve">North East Lincolnshire </w:t>
      </w:r>
      <w:r w:rsidR="00630071" w:rsidRPr="006629DF">
        <w:rPr>
          <w:rFonts w:asciiTheme="minorHAnsi" w:hAnsiTheme="minorHAnsi" w:cstheme="minorHAnsi"/>
        </w:rPr>
        <w:t>Health &amp; Safety Guidance</w:t>
      </w:r>
    </w:p>
    <w:p w:rsidR="00630071" w:rsidRPr="006629DF" w:rsidRDefault="00630071" w:rsidP="00630071">
      <w:pPr>
        <w:numPr>
          <w:ilvl w:val="0"/>
          <w:numId w:val="43"/>
        </w:numPr>
        <w:spacing w:after="0" w:line="240" w:lineRule="auto"/>
        <w:jc w:val="both"/>
        <w:rPr>
          <w:rFonts w:asciiTheme="minorHAnsi" w:hAnsiTheme="minorHAnsi" w:cstheme="minorHAnsi"/>
        </w:rPr>
      </w:pPr>
      <w:r w:rsidRPr="006629DF">
        <w:rPr>
          <w:rFonts w:asciiTheme="minorHAnsi" w:hAnsiTheme="minorHAnsi" w:cstheme="minorHAnsi"/>
        </w:rPr>
        <w:t>Standing Operating Procedures –</w:t>
      </w:r>
      <w:r w:rsidR="00DA5A21" w:rsidRPr="006629DF">
        <w:rPr>
          <w:rFonts w:asciiTheme="minorHAnsi" w:hAnsiTheme="minorHAnsi" w:cstheme="minorHAnsi"/>
        </w:rPr>
        <w:t xml:space="preserve"> </w:t>
      </w:r>
      <w:r w:rsidRPr="006629DF">
        <w:rPr>
          <w:rFonts w:asciiTheme="minorHAnsi" w:hAnsiTheme="minorHAnsi" w:cstheme="minorHAnsi"/>
        </w:rPr>
        <w:t>in-house guidance for all staff who are undertaking Near Patient Testing</w:t>
      </w:r>
    </w:p>
    <w:p w:rsidR="00630071" w:rsidRPr="006629DF" w:rsidRDefault="00630071" w:rsidP="00630071">
      <w:pPr>
        <w:numPr>
          <w:ilvl w:val="0"/>
          <w:numId w:val="43"/>
        </w:numPr>
        <w:spacing w:after="0" w:line="240" w:lineRule="auto"/>
        <w:jc w:val="both"/>
        <w:rPr>
          <w:rFonts w:asciiTheme="minorHAnsi" w:hAnsiTheme="minorHAnsi" w:cstheme="minorHAnsi"/>
        </w:rPr>
      </w:pPr>
      <w:r w:rsidRPr="006629DF">
        <w:rPr>
          <w:rFonts w:asciiTheme="minorHAnsi" w:hAnsiTheme="minorHAnsi" w:cstheme="minorHAnsi"/>
        </w:rPr>
        <w:t>Management and Use of IVD Point of Care Test Devices</w:t>
      </w:r>
      <w:r w:rsidR="00DA5A21" w:rsidRPr="006629DF">
        <w:rPr>
          <w:rFonts w:asciiTheme="minorHAnsi" w:hAnsiTheme="minorHAnsi" w:cstheme="minorHAnsi"/>
        </w:rPr>
        <w:t xml:space="preserve">, Medical Devices Agency; </w:t>
      </w:r>
      <w:r w:rsidRPr="006629DF">
        <w:rPr>
          <w:rFonts w:asciiTheme="minorHAnsi" w:hAnsiTheme="minorHAnsi" w:cstheme="minorHAnsi"/>
        </w:rPr>
        <w:t>March 2002</w:t>
      </w:r>
    </w:p>
    <w:p w:rsidR="00630071" w:rsidRPr="006629DF" w:rsidRDefault="00630071" w:rsidP="00630071">
      <w:pPr>
        <w:numPr>
          <w:ilvl w:val="0"/>
          <w:numId w:val="43"/>
        </w:numPr>
        <w:spacing w:after="0" w:line="240" w:lineRule="auto"/>
        <w:jc w:val="both"/>
        <w:rPr>
          <w:rFonts w:asciiTheme="minorHAnsi" w:hAnsiTheme="minorHAnsi" w:cstheme="minorHAnsi"/>
        </w:rPr>
      </w:pPr>
      <w:r w:rsidRPr="006629DF">
        <w:rPr>
          <w:rFonts w:asciiTheme="minorHAnsi" w:hAnsiTheme="minorHAnsi" w:cstheme="minorHAnsi"/>
        </w:rPr>
        <w:t>Royal College of Pathology Guidelines on Point of Care Testing</w:t>
      </w:r>
      <w:r w:rsidR="00DA5A21" w:rsidRPr="006629DF">
        <w:rPr>
          <w:rFonts w:asciiTheme="minorHAnsi" w:hAnsiTheme="minorHAnsi" w:cstheme="minorHAnsi"/>
        </w:rPr>
        <w:t>;</w:t>
      </w:r>
      <w:r w:rsidRPr="006629DF">
        <w:rPr>
          <w:rFonts w:asciiTheme="minorHAnsi" w:hAnsiTheme="minorHAnsi" w:cstheme="minorHAnsi"/>
        </w:rPr>
        <w:t xml:space="preserve"> April 2004</w:t>
      </w:r>
    </w:p>
    <w:p w:rsidR="005734EE" w:rsidRPr="006629DF" w:rsidRDefault="005734EE" w:rsidP="005734EE">
      <w:pPr>
        <w:pStyle w:val="ListParagraph"/>
        <w:spacing w:after="0" w:line="240" w:lineRule="auto"/>
        <w:ind w:left="927"/>
        <w:contextualSpacing w:val="0"/>
        <w:rPr>
          <w:rFonts w:asciiTheme="minorHAnsi" w:hAnsiTheme="minorHAnsi" w:cstheme="minorHAnsi"/>
          <w:b/>
          <w:u w:val="single"/>
        </w:rPr>
      </w:pPr>
    </w:p>
    <w:p w:rsidR="00630071" w:rsidRPr="006629DF" w:rsidRDefault="00691E4C" w:rsidP="00DA5A21">
      <w:pPr>
        <w:pStyle w:val="ListParagraph"/>
        <w:spacing w:after="0" w:line="240" w:lineRule="auto"/>
        <w:contextualSpacing w:val="0"/>
        <w:rPr>
          <w:rFonts w:asciiTheme="minorHAnsi" w:hAnsiTheme="minorHAnsi" w:cstheme="minorHAnsi"/>
        </w:rPr>
      </w:pPr>
      <w:r>
        <w:rPr>
          <w:rFonts w:asciiTheme="minorHAnsi" w:hAnsiTheme="minorHAnsi" w:cstheme="minorHAnsi"/>
        </w:rPr>
        <w:t>1</w:t>
      </w:r>
      <w:r w:rsidR="00567A95" w:rsidRPr="006629DF">
        <w:rPr>
          <w:rFonts w:asciiTheme="minorHAnsi" w:hAnsiTheme="minorHAnsi" w:cstheme="minorHAnsi"/>
        </w:rPr>
        <w:t>.6.1</w:t>
      </w:r>
      <w:r w:rsidR="00567A95" w:rsidRPr="006629DF">
        <w:rPr>
          <w:rFonts w:asciiTheme="minorHAnsi" w:hAnsiTheme="minorHAnsi" w:cstheme="minorHAnsi"/>
        </w:rPr>
        <w:tab/>
      </w:r>
      <w:r w:rsidR="00DA5A21" w:rsidRPr="006629DF">
        <w:rPr>
          <w:rFonts w:asciiTheme="minorHAnsi" w:hAnsiTheme="minorHAnsi" w:cstheme="minorHAnsi"/>
        </w:rPr>
        <w:t xml:space="preserve">Quality Assurance </w:t>
      </w:r>
    </w:p>
    <w:p w:rsidR="00630071" w:rsidRPr="006629DF" w:rsidRDefault="00DA5A21" w:rsidP="00567A95">
      <w:pPr>
        <w:pStyle w:val="ListParagraph"/>
        <w:numPr>
          <w:ilvl w:val="1"/>
          <w:numId w:val="43"/>
        </w:numPr>
        <w:spacing w:after="0" w:line="240" w:lineRule="auto"/>
        <w:contextualSpacing w:val="0"/>
        <w:rPr>
          <w:rFonts w:asciiTheme="minorHAnsi" w:hAnsiTheme="minorHAnsi" w:cstheme="minorHAnsi"/>
        </w:rPr>
      </w:pPr>
      <w:r w:rsidRPr="006629DF">
        <w:rPr>
          <w:rFonts w:asciiTheme="minorHAnsi" w:hAnsiTheme="minorHAnsi" w:cstheme="minorHAnsi"/>
        </w:rPr>
        <w:t xml:space="preserve">The </w:t>
      </w:r>
      <w:r w:rsidR="00630071" w:rsidRPr="006629DF">
        <w:rPr>
          <w:rFonts w:asciiTheme="minorHAnsi" w:hAnsiTheme="minorHAnsi" w:cstheme="minorHAnsi"/>
        </w:rPr>
        <w:t>Lead for th</w:t>
      </w:r>
      <w:r w:rsidRPr="006629DF">
        <w:rPr>
          <w:rFonts w:asciiTheme="minorHAnsi" w:hAnsiTheme="minorHAnsi" w:cstheme="minorHAnsi"/>
        </w:rPr>
        <w:t xml:space="preserve">is service should be </w:t>
      </w:r>
      <w:r w:rsidR="00153683">
        <w:rPr>
          <w:rFonts w:asciiTheme="minorHAnsi" w:hAnsiTheme="minorHAnsi" w:cstheme="minorHAnsi"/>
        </w:rPr>
        <w:t>a</w:t>
      </w:r>
      <w:r w:rsidRPr="006629DF">
        <w:rPr>
          <w:rFonts w:asciiTheme="minorHAnsi" w:hAnsiTheme="minorHAnsi" w:cstheme="minorHAnsi"/>
        </w:rPr>
        <w:t xml:space="preserve"> </w:t>
      </w:r>
      <w:r w:rsidR="00630071" w:rsidRPr="006629DF">
        <w:rPr>
          <w:rFonts w:asciiTheme="minorHAnsi" w:hAnsiTheme="minorHAnsi" w:cstheme="minorHAnsi"/>
        </w:rPr>
        <w:t>Senior General Practitioner</w:t>
      </w:r>
      <w:r w:rsidRPr="006629DF">
        <w:rPr>
          <w:rFonts w:asciiTheme="minorHAnsi" w:hAnsiTheme="minorHAnsi" w:cstheme="minorHAnsi"/>
        </w:rPr>
        <w:t xml:space="preserve">, although </w:t>
      </w:r>
      <w:r w:rsidR="00630071" w:rsidRPr="006629DF">
        <w:rPr>
          <w:rFonts w:asciiTheme="minorHAnsi" w:hAnsiTheme="minorHAnsi" w:cstheme="minorHAnsi"/>
        </w:rPr>
        <w:t>this responsibility can be delegated to another named clinical member.</w:t>
      </w:r>
    </w:p>
    <w:p w:rsidR="00DA5A21" w:rsidRPr="006629DF" w:rsidRDefault="00630071" w:rsidP="00567A95">
      <w:pPr>
        <w:pStyle w:val="ListParagraph"/>
        <w:numPr>
          <w:ilvl w:val="1"/>
          <w:numId w:val="43"/>
        </w:numPr>
        <w:spacing w:after="0" w:line="240" w:lineRule="auto"/>
        <w:contextualSpacing w:val="0"/>
        <w:rPr>
          <w:rFonts w:asciiTheme="minorHAnsi" w:hAnsiTheme="minorHAnsi" w:cstheme="minorHAnsi"/>
        </w:rPr>
      </w:pPr>
      <w:r w:rsidRPr="006629DF">
        <w:rPr>
          <w:rFonts w:asciiTheme="minorHAnsi" w:hAnsiTheme="minorHAnsi" w:cstheme="minorHAnsi"/>
        </w:rPr>
        <w:t xml:space="preserve">All staff undertaking Near Patient Testing </w:t>
      </w:r>
      <w:r w:rsidR="00DA5A21" w:rsidRPr="006629DF">
        <w:rPr>
          <w:rFonts w:asciiTheme="minorHAnsi" w:hAnsiTheme="minorHAnsi" w:cstheme="minorHAnsi"/>
        </w:rPr>
        <w:t>must</w:t>
      </w:r>
      <w:r w:rsidRPr="006629DF">
        <w:rPr>
          <w:rFonts w:asciiTheme="minorHAnsi" w:hAnsiTheme="minorHAnsi" w:cstheme="minorHAnsi"/>
        </w:rPr>
        <w:t xml:space="preserve"> have appropriate training</w:t>
      </w:r>
      <w:r w:rsidR="00DA5A21" w:rsidRPr="006629DF">
        <w:rPr>
          <w:rFonts w:asciiTheme="minorHAnsi" w:hAnsiTheme="minorHAnsi" w:cstheme="minorHAnsi"/>
        </w:rPr>
        <w:t>. T</w:t>
      </w:r>
      <w:r w:rsidRPr="006629DF">
        <w:rPr>
          <w:rFonts w:asciiTheme="minorHAnsi" w:hAnsiTheme="minorHAnsi" w:cstheme="minorHAnsi"/>
        </w:rPr>
        <w:t>his should</w:t>
      </w:r>
      <w:r w:rsidR="00DA5A21" w:rsidRPr="006629DF">
        <w:rPr>
          <w:rFonts w:asciiTheme="minorHAnsi" w:hAnsiTheme="minorHAnsi" w:cstheme="minorHAnsi"/>
        </w:rPr>
        <w:t xml:space="preserve"> be updated if the equipment or </w:t>
      </w:r>
      <w:r w:rsidRPr="006629DF">
        <w:rPr>
          <w:rFonts w:asciiTheme="minorHAnsi" w:hAnsiTheme="minorHAnsi" w:cstheme="minorHAnsi"/>
        </w:rPr>
        <w:t xml:space="preserve">the test arrangements are modified.  </w:t>
      </w:r>
    </w:p>
    <w:p w:rsidR="00DA5A21" w:rsidRPr="006629DF" w:rsidRDefault="00691E4C" w:rsidP="00DA5A21">
      <w:pPr>
        <w:spacing w:after="0" w:line="240" w:lineRule="auto"/>
        <w:ind w:left="720"/>
        <w:rPr>
          <w:rFonts w:asciiTheme="minorHAnsi" w:hAnsiTheme="minorHAnsi" w:cstheme="minorHAnsi"/>
        </w:rPr>
      </w:pPr>
      <w:r>
        <w:rPr>
          <w:rFonts w:asciiTheme="minorHAnsi" w:hAnsiTheme="minorHAnsi" w:cstheme="minorHAnsi"/>
        </w:rPr>
        <w:t>1</w:t>
      </w:r>
      <w:r w:rsidR="00567A95" w:rsidRPr="006629DF">
        <w:rPr>
          <w:rFonts w:asciiTheme="minorHAnsi" w:hAnsiTheme="minorHAnsi" w:cstheme="minorHAnsi"/>
        </w:rPr>
        <w:t>.6.2</w:t>
      </w:r>
      <w:r w:rsidR="00567A95" w:rsidRPr="006629DF">
        <w:rPr>
          <w:rFonts w:asciiTheme="minorHAnsi" w:hAnsiTheme="minorHAnsi" w:cstheme="minorHAnsi"/>
        </w:rPr>
        <w:tab/>
      </w:r>
      <w:r w:rsidR="00DA5A21" w:rsidRPr="006629DF">
        <w:rPr>
          <w:rFonts w:asciiTheme="minorHAnsi" w:hAnsiTheme="minorHAnsi" w:cstheme="minorHAnsi"/>
        </w:rPr>
        <w:t>Training</w:t>
      </w:r>
    </w:p>
    <w:p w:rsidR="00630071" w:rsidRPr="006629DF" w:rsidRDefault="00630071" w:rsidP="00716A2D">
      <w:pPr>
        <w:spacing w:after="0" w:line="240" w:lineRule="auto"/>
        <w:ind w:left="1440"/>
        <w:rPr>
          <w:rFonts w:asciiTheme="minorHAnsi" w:hAnsiTheme="minorHAnsi" w:cstheme="minorHAnsi"/>
        </w:rPr>
      </w:pPr>
      <w:r w:rsidRPr="006629DF">
        <w:rPr>
          <w:rFonts w:asciiTheme="minorHAnsi" w:hAnsiTheme="minorHAnsi" w:cstheme="minorHAnsi"/>
        </w:rPr>
        <w:t>Training should include</w:t>
      </w:r>
      <w:r w:rsidR="00DA5A21" w:rsidRPr="006629DF">
        <w:rPr>
          <w:rFonts w:asciiTheme="minorHAnsi" w:hAnsiTheme="minorHAnsi" w:cstheme="minorHAnsi"/>
        </w:rPr>
        <w:t>:</w:t>
      </w:r>
      <w:r w:rsidRPr="006629DF">
        <w:rPr>
          <w:rFonts w:asciiTheme="minorHAnsi" w:hAnsiTheme="minorHAnsi" w:cstheme="minorHAnsi"/>
        </w:rPr>
        <w:t xml:space="preserve"> </w:t>
      </w:r>
    </w:p>
    <w:p w:rsidR="00630071" w:rsidRPr="006629DF" w:rsidRDefault="00DA5A21" w:rsidP="00716A2D">
      <w:pPr>
        <w:pStyle w:val="ListParagraph"/>
        <w:numPr>
          <w:ilvl w:val="1"/>
          <w:numId w:val="43"/>
        </w:numPr>
        <w:autoSpaceDE w:val="0"/>
        <w:autoSpaceDN w:val="0"/>
        <w:adjustRightInd w:val="0"/>
        <w:spacing w:after="0" w:line="240" w:lineRule="auto"/>
        <w:contextualSpacing w:val="0"/>
        <w:rPr>
          <w:rFonts w:asciiTheme="minorHAnsi" w:hAnsiTheme="minorHAnsi" w:cstheme="minorHAnsi"/>
        </w:rPr>
      </w:pPr>
      <w:r w:rsidRPr="006629DF">
        <w:rPr>
          <w:rFonts w:asciiTheme="minorHAnsi" w:hAnsiTheme="minorHAnsi" w:cstheme="minorHAnsi"/>
        </w:rPr>
        <w:t>B</w:t>
      </w:r>
      <w:r w:rsidR="00630071" w:rsidRPr="006629DF">
        <w:rPr>
          <w:rFonts w:asciiTheme="minorHAnsi" w:hAnsiTheme="minorHAnsi" w:cstheme="minorHAnsi"/>
        </w:rPr>
        <w:t>asic principles of the measurement</w:t>
      </w:r>
    </w:p>
    <w:p w:rsidR="00630071" w:rsidRPr="006629DF" w:rsidRDefault="00DA5A21" w:rsidP="00716A2D">
      <w:pPr>
        <w:pStyle w:val="ListParagraph"/>
        <w:numPr>
          <w:ilvl w:val="1"/>
          <w:numId w:val="43"/>
        </w:numPr>
        <w:autoSpaceDE w:val="0"/>
        <w:autoSpaceDN w:val="0"/>
        <w:adjustRightInd w:val="0"/>
        <w:spacing w:after="0" w:line="240" w:lineRule="auto"/>
        <w:contextualSpacing w:val="0"/>
        <w:rPr>
          <w:rFonts w:asciiTheme="minorHAnsi" w:hAnsiTheme="minorHAnsi" w:cstheme="minorHAnsi"/>
        </w:rPr>
      </w:pPr>
      <w:r w:rsidRPr="006629DF">
        <w:rPr>
          <w:rFonts w:asciiTheme="minorHAnsi" w:hAnsiTheme="minorHAnsi" w:cstheme="minorHAnsi"/>
        </w:rPr>
        <w:t>D</w:t>
      </w:r>
      <w:r w:rsidR="00630071" w:rsidRPr="006629DF">
        <w:rPr>
          <w:rFonts w:asciiTheme="minorHAnsi" w:hAnsiTheme="minorHAnsi" w:cstheme="minorHAnsi"/>
        </w:rPr>
        <w:t xml:space="preserve">emonstration of the proper use of the equipment in accordance with the </w:t>
      </w:r>
      <w:r w:rsidRPr="006629DF">
        <w:rPr>
          <w:rFonts w:asciiTheme="minorHAnsi" w:hAnsiTheme="minorHAnsi" w:cstheme="minorHAnsi"/>
        </w:rPr>
        <w:t>m</w:t>
      </w:r>
      <w:r w:rsidR="00630071" w:rsidRPr="006629DF">
        <w:rPr>
          <w:rFonts w:asciiTheme="minorHAnsi" w:hAnsiTheme="minorHAnsi" w:cstheme="minorHAnsi"/>
        </w:rPr>
        <w:t>anufacturer's specification</w:t>
      </w:r>
    </w:p>
    <w:p w:rsidR="00630071" w:rsidRPr="006629DF" w:rsidRDefault="00DA5A21" w:rsidP="00716A2D">
      <w:pPr>
        <w:pStyle w:val="ListParagraph"/>
        <w:numPr>
          <w:ilvl w:val="1"/>
          <w:numId w:val="43"/>
        </w:numPr>
        <w:autoSpaceDE w:val="0"/>
        <w:autoSpaceDN w:val="0"/>
        <w:adjustRightInd w:val="0"/>
        <w:spacing w:after="0" w:line="240" w:lineRule="auto"/>
        <w:contextualSpacing w:val="0"/>
        <w:rPr>
          <w:rFonts w:asciiTheme="minorHAnsi" w:hAnsiTheme="minorHAnsi" w:cstheme="minorHAnsi"/>
        </w:rPr>
      </w:pPr>
      <w:r w:rsidRPr="006629DF">
        <w:rPr>
          <w:rFonts w:asciiTheme="minorHAnsi" w:hAnsiTheme="minorHAnsi" w:cstheme="minorHAnsi"/>
        </w:rPr>
        <w:t>D</w:t>
      </w:r>
      <w:r w:rsidR="00630071" w:rsidRPr="006629DF">
        <w:rPr>
          <w:rFonts w:asciiTheme="minorHAnsi" w:hAnsiTheme="minorHAnsi" w:cstheme="minorHAnsi"/>
        </w:rPr>
        <w:t>emonstration of the consequences of improper use</w:t>
      </w:r>
    </w:p>
    <w:p w:rsidR="00630071" w:rsidRPr="006629DF" w:rsidRDefault="00DA5A21" w:rsidP="00716A2D">
      <w:pPr>
        <w:pStyle w:val="ListParagraph"/>
        <w:numPr>
          <w:ilvl w:val="1"/>
          <w:numId w:val="43"/>
        </w:numPr>
        <w:autoSpaceDE w:val="0"/>
        <w:autoSpaceDN w:val="0"/>
        <w:adjustRightInd w:val="0"/>
        <w:spacing w:after="0" w:line="240" w:lineRule="auto"/>
        <w:contextualSpacing w:val="0"/>
        <w:rPr>
          <w:rFonts w:asciiTheme="minorHAnsi" w:hAnsiTheme="minorHAnsi" w:cstheme="minorHAnsi"/>
        </w:rPr>
      </w:pPr>
      <w:r w:rsidRPr="006629DF">
        <w:rPr>
          <w:rFonts w:asciiTheme="minorHAnsi" w:hAnsiTheme="minorHAnsi" w:cstheme="minorHAnsi"/>
        </w:rPr>
        <w:t>In</w:t>
      </w:r>
      <w:r w:rsidR="00630071" w:rsidRPr="006629DF">
        <w:rPr>
          <w:rFonts w:asciiTheme="minorHAnsi" w:hAnsiTheme="minorHAnsi" w:cstheme="minorHAnsi"/>
        </w:rPr>
        <w:t>struction in sample collection, including health and safety aspects</w:t>
      </w:r>
    </w:p>
    <w:p w:rsidR="00630071" w:rsidRPr="006629DF" w:rsidRDefault="00DA5A21" w:rsidP="00716A2D">
      <w:pPr>
        <w:pStyle w:val="ListParagraph"/>
        <w:numPr>
          <w:ilvl w:val="1"/>
          <w:numId w:val="43"/>
        </w:numPr>
        <w:autoSpaceDE w:val="0"/>
        <w:autoSpaceDN w:val="0"/>
        <w:adjustRightInd w:val="0"/>
        <w:spacing w:after="0" w:line="240" w:lineRule="auto"/>
        <w:contextualSpacing w:val="0"/>
        <w:rPr>
          <w:rFonts w:asciiTheme="minorHAnsi" w:hAnsiTheme="minorHAnsi" w:cstheme="minorHAnsi"/>
        </w:rPr>
      </w:pPr>
      <w:r w:rsidRPr="006629DF">
        <w:rPr>
          <w:rFonts w:asciiTheme="minorHAnsi" w:hAnsiTheme="minorHAnsi" w:cstheme="minorHAnsi"/>
        </w:rPr>
        <w:t>I</w:t>
      </w:r>
      <w:r w:rsidR="00630071" w:rsidRPr="006629DF">
        <w:rPr>
          <w:rFonts w:asciiTheme="minorHAnsi" w:hAnsiTheme="minorHAnsi" w:cstheme="minorHAnsi"/>
        </w:rPr>
        <w:t>nstruction in the importance of complete documentation of all data produced</w:t>
      </w:r>
    </w:p>
    <w:p w:rsidR="00630071" w:rsidRPr="006629DF" w:rsidRDefault="00DA5A21" w:rsidP="00716A2D">
      <w:pPr>
        <w:pStyle w:val="ListParagraph"/>
        <w:numPr>
          <w:ilvl w:val="1"/>
          <w:numId w:val="43"/>
        </w:numPr>
        <w:autoSpaceDE w:val="0"/>
        <w:autoSpaceDN w:val="0"/>
        <w:adjustRightInd w:val="0"/>
        <w:spacing w:after="0" w:line="240" w:lineRule="auto"/>
        <w:contextualSpacing w:val="0"/>
        <w:rPr>
          <w:rFonts w:asciiTheme="minorHAnsi" w:hAnsiTheme="minorHAnsi" w:cstheme="minorHAnsi"/>
        </w:rPr>
      </w:pPr>
      <w:r w:rsidRPr="006629DF">
        <w:rPr>
          <w:rFonts w:asciiTheme="minorHAnsi" w:hAnsiTheme="minorHAnsi" w:cstheme="minorHAnsi"/>
        </w:rPr>
        <w:t>A</w:t>
      </w:r>
      <w:r w:rsidR="00630071" w:rsidRPr="006629DF">
        <w:rPr>
          <w:rFonts w:asciiTheme="minorHAnsi" w:hAnsiTheme="minorHAnsi" w:cstheme="minorHAnsi"/>
        </w:rPr>
        <w:t>ppropriate calibration and quality control techniques</w:t>
      </w:r>
    </w:p>
    <w:p w:rsidR="00630071" w:rsidRPr="006629DF" w:rsidRDefault="00DA5A21" w:rsidP="00716A2D">
      <w:pPr>
        <w:pStyle w:val="ListParagraph"/>
        <w:numPr>
          <w:ilvl w:val="1"/>
          <w:numId w:val="43"/>
        </w:numPr>
        <w:tabs>
          <w:tab w:val="left" w:pos="240"/>
        </w:tabs>
        <w:autoSpaceDE w:val="0"/>
        <w:autoSpaceDN w:val="0"/>
        <w:adjustRightInd w:val="0"/>
        <w:spacing w:after="0" w:line="240" w:lineRule="auto"/>
        <w:contextualSpacing w:val="0"/>
        <w:rPr>
          <w:rFonts w:asciiTheme="minorHAnsi" w:hAnsiTheme="minorHAnsi" w:cstheme="minorHAnsi"/>
        </w:rPr>
      </w:pPr>
      <w:r w:rsidRPr="006629DF">
        <w:rPr>
          <w:rFonts w:asciiTheme="minorHAnsi" w:hAnsiTheme="minorHAnsi" w:cstheme="minorHAnsi"/>
        </w:rPr>
        <w:t>P</w:t>
      </w:r>
      <w:r w:rsidR="00630071" w:rsidRPr="006629DF">
        <w:rPr>
          <w:rFonts w:asciiTheme="minorHAnsi" w:hAnsiTheme="minorHAnsi" w:cstheme="minorHAnsi"/>
        </w:rPr>
        <w:t>ractical experience of the procedures, including a seri</w:t>
      </w:r>
      <w:r w:rsidRPr="006629DF">
        <w:rPr>
          <w:rFonts w:asciiTheme="minorHAnsi" w:hAnsiTheme="minorHAnsi" w:cstheme="minorHAnsi"/>
        </w:rPr>
        <w:t xml:space="preserve">es of analyses that satisfy the </w:t>
      </w:r>
      <w:r w:rsidR="00630071" w:rsidRPr="006629DF">
        <w:rPr>
          <w:rFonts w:asciiTheme="minorHAnsi" w:hAnsiTheme="minorHAnsi" w:cstheme="minorHAnsi"/>
        </w:rPr>
        <w:t>instructor* that the trainee is competent.</w:t>
      </w:r>
    </w:p>
    <w:p w:rsidR="00630071" w:rsidRPr="006629DF" w:rsidRDefault="00630071" w:rsidP="00716A2D">
      <w:pPr>
        <w:ind w:left="1440"/>
        <w:rPr>
          <w:rFonts w:asciiTheme="minorHAnsi" w:hAnsiTheme="minorHAnsi" w:cstheme="minorHAnsi"/>
        </w:rPr>
      </w:pPr>
      <w:r w:rsidRPr="006629DF">
        <w:rPr>
          <w:rFonts w:asciiTheme="minorHAnsi" w:hAnsiTheme="minorHAnsi" w:cstheme="minorHAnsi"/>
        </w:rPr>
        <w:t>*   Following initial training by the manufacturers of the Near</w:t>
      </w:r>
      <w:r w:rsidR="00DA5A21" w:rsidRPr="006629DF">
        <w:rPr>
          <w:rFonts w:asciiTheme="minorHAnsi" w:hAnsiTheme="minorHAnsi" w:cstheme="minorHAnsi"/>
        </w:rPr>
        <w:t xml:space="preserve"> Patient Testing equipment, it </w:t>
      </w:r>
      <w:r w:rsidRPr="006629DF">
        <w:rPr>
          <w:rFonts w:asciiTheme="minorHAnsi" w:hAnsiTheme="minorHAnsi" w:cstheme="minorHAnsi"/>
        </w:rPr>
        <w:t>may be appropriate for a member of the clinical team to become the named instructor</w:t>
      </w:r>
    </w:p>
    <w:p w:rsidR="00A9105C" w:rsidRPr="006629DF" w:rsidRDefault="00691E4C" w:rsidP="002E5B04">
      <w:pPr>
        <w:ind w:left="720"/>
        <w:rPr>
          <w:rFonts w:asciiTheme="minorHAnsi" w:hAnsiTheme="minorHAnsi" w:cstheme="minorHAnsi"/>
        </w:rPr>
      </w:pPr>
      <w:r>
        <w:rPr>
          <w:rFonts w:asciiTheme="minorHAnsi" w:hAnsiTheme="minorHAnsi" w:cstheme="minorHAnsi"/>
        </w:rPr>
        <w:t>1</w:t>
      </w:r>
      <w:r w:rsidR="00716A2D" w:rsidRPr="006629DF">
        <w:rPr>
          <w:rFonts w:asciiTheme="minorHAnsi" w:hAnsiTheme="minorHAnsi" w:cstheme="minorHAnsi"/>
        </w:rPr>
        <w:t>.6.3</w:t>
      </w:r>
      <w:r w:rsidR="00716A2D" w:rsidRPr="006629DF">
        <w:rPr>
          <w:rFonts w:asciiTheme="minorHAnsi" w:hAnsiTheme="minorHAnsi" w:cstheme="minorHAnsi"/>
        </w:rPr>
        <w:tab/>
      </w:r>
      <w:r w:rsidR="00A9105C" w:rsidRPr="006629DF">
        <w:rPr>
          <w:rFonts w:asciiTheme="minorHAnsi" w:hAnsiTheme="minorHAnsi" w:cstheme="minorHAnsi"/>
        </w:rPr>
        <w:t>Internal and External Quality Assurance</w:t>
      </w:r>
    </w:p>
    <w:p w:rsidR="00630071" w:rsidRPr="006629DF" w:rsidRDefault="00A9105C" w:rsidP="00716A2D">
      <w:pPr>
        <w:tabs>
          <w:tab w:val="left" w:pos="240"/>
        </w:tabs>
        <w:autoSpaceDE w:val="0"/>
        <w:autoSpaceDN w:val="0"/>
        <w:adjustRightInd w:val="0"/>
        <w:ind w:left="1440"/>
        <w:rPr>
          <w:rFonts w:asciiTheme="minorHAnsi" w:hAnsiTheme="minorHAnsi" w:cstheme="minorHAnsi"/>
        </w:rPr>
      </w:pPr>
      <w:r w:rsidRPr="006629DF">
        <w:rPr>
          <w:rFonts w:asciiTheme="minorHAnsi" w:hAnsiTheme="minorHAnsi" w:cstheme="minorHAnsi"/>
        </w:rPr>
        <w:t>To</w:t>
      </w:r>
      <w:r w:rsidR="00630071" w:rsidRPr="006629DF">
        <w:rPr>
          <w:rFonts w:asciiTheme="minorHAnsi" w:hAnsiTheme="minorHAnsi" w:cstheme="minorHAnsi"/>
        </w:rPr>
        <w:t xml:space="preserve"> ensure </w:t>
      </w:r>
      <w:r w:rsidRPr="006629DF">
        <w:rPr>
          <w:rFonts w:asciiTheme="minorHAnsi" w:hAnsiTheme="minorHAnsi" w:cstheme="minorHAnsi"/>
        </w:rPr>
        <w:t xml:space="preserve">Accuracy of the Result, </w:t>
      </w:r>
      <w:r w:rsidR="00630071" w:rsidRPr="006629DF">
        <w:rPr>
          <w:rFonts w:asciiTheme="minorHAnsi" w:hAnsiTheme="minorHAnsi" w:cstheme="minorHAnsi"/>
        </w:rPr>
        <w:t>it is essential that the results generated by the equipment are reliable.  To ensure and demonstrate this there are two elements of test result quality assurance:</w:t>
      </w:r>
    </w:p>
    <w:p w:rsidR="00630071" w:rsidRPr="006629DF" w:rsidRDefault="00A9105C" w:rsidP="00716A2D">
      <w:pPr>
        <w:autoSpaceDE w:val="0"/>
        <w:autoSpaceDN w:val="0"/>
        <w:adjustRightInd w:val="0"/>
        <w:spacing w:after="0" w:line="240" w:lineRule="auto"/>
        <w:ind w:left="1440"/>
        <w:jc w:val="both"/>
        <w:rPr>
          <w:rFonts w:asciiTheme="minorHAnsi" w:hAnsiTheme="minorHAnsi" w:cstheme="minorHAnsi"/>
          <w:b/>
        </w:rPr>
      </w:pPr>
      <w:r w:rsidRPr="006629DF">
        <w:rPr>
          <w:rFonts w:asciiTheme="minorHAnsi" w:hAnsiTheme="minorHAnsi" w:cstheme="minorHAnsi"/>
          <w:b/>
        </w:rPr>
        <w:lastRenderedPageBreak/>
        <w:t>Internal Quality Assurance</w:t>
      </w:r>
      <w:r w:rsidR="00630071" w:rsidRPr="006629DF">
        <w:rPr>
          <w:rFonts w:asciiTheme="minorHAnsi" w:hAnsiTheme="minorHAnsi" w:cstheme="minorHAnsi"/>
          <w:b/>
        </w:rPr>
        <w:t xml:space="preserve">  </w:t>
      </w:r>
    </w:p>
    <w:p w:rsidR="00630071" w:rsidRPr="006629DF" w:rsidRDefault="00630071" w:rsidP="00716A2D">
      <w:pPr>
        <w:pStyle w:val="ListParagraph"/>
        <w:numPr>
          <w:ilvl w:val="0"/>
          <w:numId w:val="48"/>
        </w:numPr>
        <w:tabs>
          <w:tab w:val="left" w:pos="240"/>
        </w:tabs>
        <w:autoSpaceDE w:val="0"/>
        <w:autoSpaceDN w:val="0"/>
        <w:adjustRightInd w:val="0"/>
        <w:ind w:left="1800"/>
        <w:rPr>
          <w:rFonts w:asciiTheme="minorHAnsi" w:hAnsiTheme="minorHAnsi" w:cstheme="minorHAnsi"/>
        </w:rPr>
      </w:pPr>
      <w:r w:rsidRPr="006629DF">
        <w:rPr>
          <w:rFonts w:asciiTheme="minorHAnsi" w:hAnsiTheme="minorHAnsi" w:cstheme="minorHAnsi"/>
        </w:rPr>
        <w:t>Daily, or as directed by the manufacturers, calibration of the equipment</w:t>
      </w:r>
    </w:p>
    <w:p w:rsidR="00630071" w:rsidRPr="006629DF" w:rsidRDefault="00630071" w:rsidP="00716A2D">
      <w:pPr>
        <w:pStyle w:val="ListParagraph"/>
        <w:numPr>
          <w:ilvl w:val="0"/>
          <w:numId w:val="48"/>
        </w:numPr>
        <w:tabs>
          <w:tab w:val="left" w:pos="240"/>
        </w:tabs>
        <w:autoSpaceDE w:val="0"/>
        <w:autoSpaceDN w:val="0"/>
        <w:adjustRightInd w:val="0"/>
        <w:ind w:left="1800"/>
        <w:rPr>
          <w:rFonts w:asciiTheme="minorHAnsi" w:hAnsiTheme="minorHAnsi" w:cstheme="minorHAnsi"/>
        </w:rPr>
      </w:pPr>
      <w:r w:rsidRPr="006629DF">
        <w:rPr>
          <w:rFonts w:asciiTheme="minorHAnsi" w:hAnsiTheme="minorHAnsi" w:cstheme="minorHAnsi"/>
        </w:rPr>
        <w:t>In addition, the manufacturer will double check the accuracy of results by repeating the assessment on an agreed number of samples.</w:t>
      </w:r>
    </w:p>
    <w:p w:rsidR="00716A2D" w:rsidRPr="006629DF" w:rsidRDefault="00630071" w:rsidP="002E5B04">
      <w:pPr>
        <w:pStyle w:val="ListParagraph"/>
        <w:numPr>
          <w:ilvl w:val="0"/>
          <w:numId w:val="48"/>
        </w:numPr>
        <w:tabs>
          <w:tab w:val="left" w:pos="240"/>
        </w:tabs>
        <w:autoSpaceDE w:val="0"/>
        <w:autoSpaceDN w:val="0"/>
        <w:adjustRightInd w:val="0"/>
        <w:ind w:left="1800"/>
        <w:rPr>
          <w:rFonts w:asciiTheme="minorHAnsi" w:hAnsiTheme="minorHAnsi" w:cstheme="minorHAnsi"/>
        </w:rPr>
      </w:pPr>
      <w:r w:rsidRPr="006629DF">
        <w:rPr>
          <w:rFonts w:asciiTheme="minorHAnsi" w:hAnsiTheme="minorHAnsi" w:cstheme="minorHAnsi"/>
        </w:rPr>
        <w:t>It is recommended that this sampling is undertaken on a rotational basis through all of the sessions in which Near Patient Testing is undertaken and includes all of the members of staff providing the service</w:t>
      </w:r>
    </w:p>
    <w:p w:rsidR="00630071" w:rsidRPr="006629DF" w:rsidRDefault="00A9105C" w:rsidP="00716A2D">
      <w:pPr>
        <w:autoSpaceDE w:val="0"/>
        <w:autoSpaceDN w:val="0"/>
        <w:adjustRightInd w:val="0"/>
        <w:spacing w:after="0" w:line="240" w:lineRule="auto"/>
        <w:ind w:left="1440"/>
        <w:jc w:val="both"/>
        <w:rPr>
          <w:rFonts w:asciiTheme="minorHAnsi" w:hAnsiTheme="minorHAnsi" w:cstheme="minorHAnsi"/>
          <w:b/>
        </w:rPr>
      </w:pPr>
      <w:r w:rsidRPr="006629DF">
        <w:rPr>
          <w:rFonts w:asciiTheme="minorHAnsi" w:hAnsiTheme="minorHAnsi" w:cstheme="minorHAnsi"/>
          <w:b/>
        </w:rPr>
        <w:t>External Quality Assurance</w:t>
      </w:r>
    </w:p>
    <w:p w:rsidR="00630071" w:rsidRPr="006629DF" w:rsidRDefault="00630071" w:rsidP="00A9105C">
      <w:pPr>
        <w:pStyle w:val="ListParagraph"/>
        <w:numPr>
          <w:ilvl w:val="0"/>
          <w:numId w:val="49"/>
        </w:numPr>
        <w:tabs>
          <w:tab w:val="left" w:pos="240"/>
        </w:tabs>
        <w:autoSpaceDE w:val="0"/>
        <w:autoSpaceDN w:val="0"/>
        <w:adjustRightInd w:val="0"/>
        <w:rPr>
          <w:rFonts w:asciiTheme="minorHAnsi" w:hAnsiTheme="minorHAnsi" w:cstheme="minorHAnsi"/>
        </w:rPr>
      </w:pPr>
      <w:r w:rsidRPr="006629DF">
        <w:rPr>
          <w:rFonts w:asciiTheme="minorHAnsi" w:hAnsiTheme="minorHAnsi" w:cstheme="minorHAnsi"/>
        </w:rPr>
        <w:t>10% of the INR assessments will have a duplicate sent to Diana, Princess of Wales Hospital Pathology Lab</w:t>
      </w:r>
      <w:r w:rsidR="00C65F0D" w:rsidRPr="006629DF">
        <w:rPr>
          <w:rFonts w:asciiTheme="minorHAnsi" w:hAnsiTheme="minorHAnsi" w:cstheme="minorHAnsi"/>
        </w:rPr>
        <w:t>oratory</w:t>
      </w:r>
      <w:r w:rsidRPr="006629DF">
        <w:rPr>
          <w:rFonts w:asciiTheme="minorHAnsi" w:hAnsiTheme="minorHAnsi" w:cstheme="minorHAnsi"/>
        </w:rPr>
        <w:t>.</w:t>
      </w:r>
      <w:r w:rsidR="00716A2D" w:rsidRPr="006629DF">
        <w:rPr>
          <w:rFonts w:asciiTheme="minorHAnsi" w:hAnsiTheme="minorHAnsi" w:cstheme="minorHAnsi"/>
        </w:rPr>
        <w:t xml:space="preserve"> </w:t>
      </w:r>
      <w:r w:rsidRPr="006629DF">
        <w:rPr>
          <w:rFonts w:asciiTheme="minorHAnsi" w:hAnsiTheme="minorHAnsi" w:cstheme="minorHAnsi"/>
        </w:rPr>
        <w:t>As above, the external quality assurance to rotate through all sessions and all members of staff providing the service</w:t>
      </w:r>
    </w:p>
    <w:p w:rsidR="00A9105C" w:rsidRPr="006629DF" w:rsidRDefault="00691E4C" w:rsidP="00716A2D">
      <w:pPr>
        <w:tabs>
          <w:tab w:val="left" w:pos="240"/>
        </w:tabs>
        <w:autoSpaceDE w:val="0"/>
        <w:autoSpaceDN w:val="0"/>
        <w:adjustRightInd w:val="0"/>
        <w:ind w:left="720"/>
        <w:rPr>
          <w:rFonts w:asciiTheme="minorHAnsi" w:hAnsiTheme="minorHAnsi" w:cstheme="minorHAnsi"/>
        </w:rPr>
      </w:pPr>
      <w:r>
        <w:rPr>
          <w:rFonts w:asciiTheme="minorHAnsi" w:hAnsiTheme="minorHAnsi" w:cstheme="minorHAnsi"/>
        </w:rPr>
        <w:t>1</w:t>
      </w:r>
      <w:r w:rsidR="00716A2D" w:rsidRPr="006629DF">
        <w:rPr>
          <w:rFonts w:asciiTheme="minorHAnsi" w:hAnsiTheme="minorHAnsi" w:cstheme="minorHAnsi"/>
        </w:rPr>
        <w:t>.6.4</w:t>
      </w:r>
      <w:r w:rsidR="00716A2D" w:rsidRPr="006629DF">
        <w:rPr>
          <w:rFonts w:asciiTheme="minorHAnsi" w:hAnsiTheme="minorHAnsi" w:cstheme="minorHAnsi"/>
        </w:rPr>
        <w:tab/>
      </w:r>
      <w:r w:rsidR="00A9105C" w:rsidRPr="006629DF">
        <w:rPr>
          <w:rFonts w:asciiTheme="minorHAnsi" w:hAnsiTheme="minorHAnsi" w:cstheme="minorHAnsi"/>
        </w:rPr>
        <w:t>Variance Remedial Action</w:t>
      </w:r>
    </w:p>
    <w:p w:rsidR="00630071" w:rsidRPr="006629DF" w:rsidRDefault="00630071" w:rsidP="00716A2D">
      <w:pPr>
        <w:tabs>
          <w:tab w:val="left" w:pos="240"/>
        </w:tabs>
        <w:autoSpaceDE w:val="0"/>
        <w:autoSpaceDN w:val="0"/>
        <w:adjustRightInd w:val="0"/>
        <w:ind w:left="1440"/>
        <w:rPr>
          <w:rFonts w:asciiTheme="minorHAnsi" w:hAnsiTheme="minorHAnsi" w:cstheme="minorHAnsi"/>
        </w:rPr>
      </w:pPr>
      <w:r w:rsidRPr="006629DF">
        <w:rPr>
          <w:rFonts w:asciiTheme="minorHAnsi" w:hAnsiTheme="minorHAnsi" w:cstheme="minorHAnsi"/>
        </w:rPr>
        <w:t>Significant event analysis should be undertaken where a duplicate assessment sample shows a variation in the INR result that leads to a change in dosage.  This review should involve the member of staff that took the results but should be led by the clinical lead of the service.</w:t>
      </w:r>
    </w:p>
    <w:p w:rsidR="00630071" w:rsidRPr="006629DF" w:rsidRDefault="00630071" w:rsidP="00716A2D">
      <w:pPr>
        <w:tabs>
          <w:tab w:val="left" w:pos="240"/>
        </w:tabs>
        <w:autoSpaceDE w:val="0"/>
        <w:autoSpaceDN w:val="0"/>
        <w:adjustRightInd w:val="0"/>
        <w:ind w:left="1440"/>
        <w:rPr>
          <w:rFonts w:asciiTheme="minorHAnsi" w:hAnsiTheme="minorHAnsi" w:cstheme="minorHAnsi"/>
        </w:rPr>
      </w:pPr>
      <w:r w:rsidRPr="006629DF">
        <w:rPr>
          <w:rFonts w:asciiTheme="minorHAnsi" w:hAnsiTheme="minorHAnsi" w:cstheme="minorHAnsi"/>
        </w:rPr>
        <w:t xml:space="preserve">If </w:t>
      </w:r>
      <w:r w:rsidR="00A9105C" w:rsidRPr="006629DF">
        <w:rPr>
          <w:rFonts w:asciiTheme="minorHAnsi" w:hAnsiTheme="minorHAnsi" w:cstheme="minorHAnsi"/>
        </w:rPr>
        <w:t>more than</w:t>
      </w:r>
      <w:r w:rsidRPr="006629DF">
        <w:rPr>
          <w:rFonts w:asciiTheme="minorHAnsi" w:hAnsiTheme="minorHAnsi" w:cstheme="minorHAnsi"/>
        </w:rPr>
        <w:t xml:space="preserve"> 1 in 20 reviews from the internal or external quality assurance provides a variation result that leads to a dosage change this should prompt review of the machine and its accuracy and an immediate discussion with the manufacturer.  The </w:t>
      </w:r>
      <w:r w:rsidR="00A9105C" w:rsidRPr="006629DF">
        <w:rPr>
          <w:rFonts w:asciiTheme="minorHAnsi" w:hAnsiTheme="minorHAnsi" w:cstheme="minorHAnsi"/>
        </w:rPr>
        <w:t xml:space="preserve">commissioner </w:t>
      </w:r>
      <w:r w:rsidRPr="006629DF">
        <w:rPr>
          <w:rFonts w:asciiTheme="minorHAnsi" w:hAnsiTheme="minorHAnsi" w:cstheme="minorHAnsi"/>
        </w:rPr>
        <w:t>should be made aware of this action</w:t>
      </w:r>
      <w:r w:rsidR="00A9105C" w:rsidRPr="006629DF">
        <w:rPr>
          <w:rFonts w:asciiTheme="minorHAnsi" w:hAnsiTheme="minorHAnsi" w:cstheme="minorHAnsi"/>
        </w:rPr>
        <w:t xml:space="preserve"> via the </w:t>
      </w:r>
      <w:proofErr w:type="spellStart"/>
      <w:r w:rsidR="00A9105C" w:rsidRPr="006629DF">
        <w:rPr>
          <w:rFonts w:asciiTheme="minorHAnsi" w:hAnsiTheme="minorHAnsi" w:cstheme="minorHAnsi"/>
        </w:rPr>
        <w:t>Datix</w:t>
      </w:r>
      <w:proofErr w:type="spellEnd"/>
      <w:r w:rsidR="00A9105C" w:rsidRPr="006629DF">
        <w:rPr>
          <w:rFonts w:asciiTheme="minorHAnsi" w:hAnsiTheme="minorHAnsi" w:cstheme="minorHAnsi"/>
        </w:rPr>
        <w:t xml:space="preserve"> incident reporting system</w:t>
      </w:r>
      <w:r w:rsidRPr="006629DF">
        <w:rPr>
          <w:rFonts w:asciiTheme="minorHAnsi" w:hAnsiTheme="minorHAnsi" w:cstheme="minorHAnsi"/>
        </w:rPr>
        <w:t xml:space="preserve">.  If this level of variation persists within the next review, the service should be suspended.  </w:t>
      </w:r>
      <w:r w:rsidR="00A9105C" w:rsidRPr="006629DF">
        <w:rPr>
          <w:rFonts w:asciiTheme="minorHAnsi" w:hAnsiTheme="minorHAnsi" w:cstheme="minorHAnsi"/>
        </w:rPr>
        <w:t>In this circumstance, the commissioner should be contacted directly and</w:t>
      </w:r>
      <w:r w:rsidRPr="006629DF">
        <w:rPr>
          <w:rFonts w:asciiTheme="minorHAnsi" w:hAnsiTheme="minorHAnsi" w:cstheme="minorHAnsi"/>
        </w:rPr>
        <w:t xml:space="preserve"> payments to the practice would be </w:t>
      </w:r>
      <w:r w:rsidR="00A9105C" w:rsidRPr="006629DF">
        <w:rPr>
          <w:rFonts w:asciiTheme="minorHAnsi" w:hAnsiTheme="minorHAnsi" w:cstheme="minorHAnsi"/>
        </w:rPr>
        <w:t>suspended</w:t>
      </w:r>
      <w:r w:rsidRPr="006629DF">
        <w:rPr>
          <w:rFonts w:asciiTheme="minorHAnsi" w:hAnsiTheme="minorHAnsi" w:cstheme="minorHAnsi"/>
        </w:rPr>
        <w:t xml:space="preserve">.  It is anticipated that the period of review within the quality assurance arrangements would be no longer than two weeks.  Therefore there would be an </w:t>
      </w:r>
      <w:proofErr w:type="spellStart"/>
      <w:r w:rsidRPr="006629DF">
        <w:rPr>
          <w:rFonts w:asciiTheme="minorHAnsi" w:hAnsiTheme="minorHAnsi" w:cstheme="minorHAnsi"/>
        </w:rPr>
        <w:t>ongoing</w:t>
      </w:r>
      <w:proofErr w:type="spellEnd"/>
      <w:r w:rsidRPr="006629DF">
        <w:rPr>
          <w:rFonts w:asciiTheme="minorHAnsi" w:hAnsiTheme="minorHAnsi" w:cstheme="minorHAnsi"/>
        </w:rPr>
        <w:t xml:space="preserve"> cycle of quality assurance every two weeks undertaken by the practice.</w:t>
      </w:r>
    </w:p>
    <w:p w:rsidR="00CA22DE" w:rsidRPr="006629DF" w:rsidRDefault="00CA22DE" w:rsidP="00716A2D">
      <w:pPr>
        <w:tabs>
          <w:tab w:val="left" w:pos="240"/>
        </w:tabs>
        <w:autoSpaceDE w:val="0"/>
        <w:autoSpaceDN w:val="0"/>
        <w:adjustRightInd w:val="0"/>
        <w:ind w:left="1440"/>
        <w:rPr>
          <w:rFonts w:asciiTheme="minorHAnsi" w:hAnsiTheme="minorHAnsi" w:cstheme="minorHAnsi"/>
        </w:rPr>
      </w:pPr>
      <w:r w:rsidRPr="006629DF">
        <w:rPr>
          <w:rFonts w:asciiTheme="minorHAnsi" w:hAnsiTheme="minorHAnsi" w:cstheme="minorHAnsi"/>
        </w:rPr>
        <w:t xml:space="preserve">Where a computer assisted decision making tool is used, 10% of the management outcomes should have a blind review undertaken by a GP to demonstrate the quality assurance.  Again, as before, the sampling should involve all those members of staff delivering the service.  If there is a greater than 10% variation, this should be reported to the manufacturer of the computer assisted decision making tool.  Whilst awaiting the outcome of feedback, it is recommended that the practice reverts to GP decision making.  Where computer assisted decision making is being utilised the practice should evidence holistic management of the patient with appropriate GP input where necessary (for example supporting the </w:t>
      </w:r>
      <w:proofErr w:type="spellStart"/>
      <w:r w:rsidRPr="006629DF">
        <w:rPr>
          <w:rFonts w:asciiTheme="minorHAnsi" w:hAnsiTheme="minorHAnsi" w:cstheme="minorHAnsi"/>
        </w:rPr>
        <w:t>ongoing</w:t>
      </w:r>
      <w:proofErr w:type="spellEnd"/>
      <w:r w:rsidRPr="006629DF">
        <w:rPr>
          <w:rFonts w:asciiTheme="minorHAnsi" w:hAnsiTheme="minorHAnsi" w:cstheme="minorHAnsi"/>
        </w:rPr>
        <w:t xml:space="preserve"> management of patients where there has been a change in medication / new medication which may influence the INR.  When the patient attends for their INR, the in-house practice care pathway must prompt consideration of change in medication or new medication and detail how clinical input will support the computer assisted decision making tool).</w:t>
      </w:r>
    </w:p>
    <w:p w:rsidR="00630071" w:rsidRPr="006629DF" w:rsidRDefault="00630071">
      <w:pPr>
        <w:rPr>
          <w:b/>
          <w:sz w:val="28"/>
          <w:szCs w:val="28"/>
        </w:rPr>
      </w:pPr>
    </w:p>
    <w:p w:rsidR="005B55EE" w:rsidRPr="006629DF" w:rsidRDefault="005B55EE" w:rsidP="005B6B86">
      <w:pPr>
        <w:spacing w:before="120" w:after="120"/>
        <w:rPr>
          <w:b/>
          <w:sz w:val="28"/>
          <w:szCs w:val="28"/>
        </w:rPr>
      </w:pPr>
    </w:p>
    <w:sectPr w:rsidR="005B55EE" w:rsidRPr="006629DF" w:rsidSect="005B6B86">
      <w:headerReference w:type="default" r:id="rId9"/>
      <w:footerReference w:type="default" r:id="rId10"/>
      <w:pgSz w:w="11906" w:h="16838" w:code="9"/>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B97" w:rsidRDefault="006B5B97" w:rsidP="00463D65">
      <w:pPr>
        <w:spacing w:after="0" w:line="240" w:lineRule="auto"/>
      </w:pPr>
      <w:r>
        <w:separator/>
      </w:r>
    </w:p>
  </w:endnote>
  <w:endnote w:type="continuationSeparator" w:id="0">
    <w:p w:rsidR="006B5B97" w:rsidRDefault="006B5B97" w:rsidP="00463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3285"/>
      <w:gridCol w:w="3285"/>
    </w:tblGrid>
    <w:tr w:rsidR="00B61C24" w:rsidTr="007F3626">
      <w:tc>
        <w:tcPr>
          <w:tcW w:w="3284" w:type="dxa"/>
        </w:tcPr>
        <w:p w:rsidR="00B61C24" w:rsidRDefault="00B61C24" w:rsidP="007F3626">
          <w:pPr>
            <w:pStyle w:val="Footer"/>
          </w:pPr>
        </w:p>
      </w:tc>
      <w:tc>
        <w:tcPr>
          <w:tcW w:w="3285" w:type="dxa"/>
        </w:tcPr>
        <w:p w:rsidR="00B61C24" w:rsidRPr="007F3626" w:rsidRDefault="00B61C24" w:rsidP="00221A66">
          <w:pPr>
            <w:pStyle w:val="Footer"/>
            <w:jc w:val="center"/>
            <w:rPr>
              <w:sz w:val="20"/>
              <w:szCs w:val="20"/>
            </w:rPr>
          </w:pPr>
          <w:r w:rsidRPr="007F3626">
            <w:rPr>
              <w:sz w:val="20"/>
              <w:szCs w:val="20"/>
            </w:rPr>
            <w:t xml:space="preserve">Page </w:t>
          </w:r>
          <w:r w:rsidRPr="007F3626">
            <w:rPr>
              <w:b/>
              <w:sz w:val="20"/>
              <w:szCs w:val="20"/>
            </w:rPr>
            <w:fldChar w:fldCharType="begin"/>
          </w:r>
          <w:r w:rsidRPr="007F3626">
            <w:rPr>
              <w:b/>
              <w:sz w:val="20"/>
              <w:szCs w:val="20"/>
            </w:rPr>
            <w:instrText xml:space="preserve"> PAGE  \* Arabic  \* MERGEFORMAT </w:instrText>
          </w:r>
          <w:r w:rsidRPr="007F3626">
            <w:rPr>
              <w:b/>
              <w:sz w:val="20"/>
              <w:szCs w:val="20"/>
            </w:rPr>
            <w:fldChar w:fldCharType="separate"/>
          </w:r>
          <w:r w:rsidR="00420BCE">
            <w:rPr>
              <w:b/>
              <w:noProof/>
              <w:sz w:val="20"/>
              <w:szCs w:val="20"/>
            </w:rPr>
            <w:t>4</w:t>
          </w:r>
          <w:r w:rsidRPr="007F3626">
            <w:rPr>
              <w:b/>
              <w:sz w:val="20"/>
              <w:szCs w:val="20"/>
            </w:rPr>
            <w:fldChar w:fldCharType="end"/>
          </w:r>
        </w:p>
      </w:tc>
      <w:tc>
        <w:tcPr>
          <w:tcW w:w="3285" w:type="dxa"/>
        </w:tcPr>
        <w:p w:rsidR="00B61C24" w:rsidRPr="007F3626" w:rsidRDefault="00B61C24" w:rsidP="007139BC">
          <w:pPr>
            <w:pStyle w:val="Footer"/>
            <w:jc w:val="right"/>
            <w:rPr>
              <w:sz w:val="20"/>
              <w:szCs w:val="20"/>
            </w:rPr>
          </w:pPr>
          <w:r>
            <w:rPr>
              <w:sz w:val="20"/>
              <w:szCs w:val="20"/>
            </w:rPr>
            <w:t>V1.0</w:t>
          </w:r>
          <w:r w:rsidRPr="007F3626">
            <w:rPr>
              <w:sz w:val="20"/>
              <w:szCs w:val="20"/>
            </w:rPr>
            <w:t xml:space="preserve"> </w:t>
          </w:r>
          <w:r w:rsidR="007139BC">
            <w:rPr>
              <w:sz w:val="20"/>
              <w:szCs w:val="20"/>
            </w:rPr>
            <w:t>31.3.14</w:t>
          </w:r>
        </w:p>
      </w:tc>
    </w:tr>
  </w:tbl>
  <w:p w:rsidR="00B61C24" w:rsidRDefault="00B61C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B97" w:rsidRDefault="006B5B97" w:rsidP="00463D65">
      <w:pPr>
        <w:spacing w:after="0" w:line="240" w:lineRule="auto"/>
      </w:pPr>
      <w:r>
        <w:separator/>
      </w:r>
    </w:p>
  </w:footnote>
  <w:footnote w:type="continuationSeparator" w:id="0">
    <w:p w:rsidR="006B5B97" w:rsidRDefault="006B5B97" w:rsidP="00463D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B61C24" w:rsidTr="007F3626">
      <w:tc>
        <w:tcPr>
          <w:tcW w:w="4927" w:type="dxa"/>
        </w:tcPr>
        <w:p w:rsidR="00153683" w:rsidRDefault="00153683" w:rsidP="00153683">
          <w:pPr>
            <w:pStyle w:val="Header"/>
            <w:spacing w:after="120"/>
          </w:pPr>
          <w:r>
            <w:t>Local Service</w:t>
          </w:r>
          <w:r w:rsidR="00B61C24">
            <w:t xml:space="preserve"> Specification </w:t>
          </w:r>
          <w:r>
            <w:t>2014-2015</w:t>
          </w:r>
        </w:p>
      </w:tc>
      <w:tc>
        <w:tcPr>
          <w:tcW w:w="4927" w:type="dxa"/>
        </w:tcPr>
        <w:p w:rsidR="00B61C24" w:rsidRDefault="00B61C24" w:rsidP="00577872">
          <w:pPr>
            <w:pStyle w:val="Header"/>
            <w:spacing w:after="120"/>
            <w:jc w:val="right"/>
          </w:pPr>
          <w:r>
            <w:t>North East Lincolnshire CCG</w:t>
          </w:r>
        </w:p>
      </w:tc>
    </w:tr>
  </w:tbl>
  <w:p w:rsidR="00B61C24" w:rsidRDefault="00B61C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4444D"/>
    <w:multiLevelType w:val="hybridMultilevel"/>
    <w:tmpl w:val="16F2BB00"/>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nsid w:val="01914388"/>
    <w:multiLevelType w:val="hybridMultilevel"/>
    <w:tmpl w:val="585E7E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31748FB"/>
    <w:multiLevelType w:val="hybridMultilevel"/>
    <w:tmpl w:val="32C2C2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46965AD"/>
    <w:multiLevelType w:val="hybridMultilevel"/>
    <w:tmpl w:val="DFB82A98"/>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9663A4A"/>
    <w:multiLevelType w:val="hybridMultilevel"/>
    <w:tmpl w:val="E08871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0AEC4012"/>
    <w:multiLevelType w:val="hybridMultilevel"/>
    <w:tmpl w:val="5E206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8F61CD"/>
    <w:multiLevelType w:val="hybridMultilevel"/>
    <w:tmpl w:val="8CB8D6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4E676BB"/>
    <w:multiLevelType w:val="hybridMultilevel"/>
    <w:tmpl w:val="5AF257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9115CA3"/>
    <w:multiLevelType w:val="hybridMultilevel"/>
    <w:tmpl w:val="2D64CD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AC47554"/>
    <w:multiLevelType w:val="hybridMultilevel"/>
    <w:tmpl w:val="08B0B7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1E3F0953"/>
    <w:multiLevelType w:val="hybridMultilevel"/>
    <w:tmpl w:val="A936F6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1FF70EB0"/>
    <w:multiLevelType w:val="hybridMultilevel"/>
    <w:tmpl w:val="735AE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6874E62"/>
    <w:multiLevelType w:val="hybridMultilevel"/>
    <w:tmpl w:val="38B62D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284644B3"/>
    <w:multiLevelType w:val="hybridMultilevel"/>
    <w:tmpl w:val="809C5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BAC1663"/>
    <w:multiLevelType w:val="hybridMultilevel"/>
    <w:tmpl w:val="7074B5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2E1D54DF"/>
    <w:multiLevelType w:val="hybridMultilevel"/>
    <w:tmpl w:val="8668B058"/>
    <w:lvl w:ilvl="0" w:tplc="D46CE2CE">
      <w:start w:val="1"/>
      <w:numFmt w:val="bullet"/>
      <w:lvlText w:val=""/>
      <w:lvlJc w:val="left"/>
      <w:pPr>
        <w:tabs>
          <w:tab w:val="num" w:pos="1407"/>
        </w:tabs>
        <w:ind w:left="1407" w:hanging="567"/>
      </w:pPr>
      <w:rPr>
        <w:rFonts w:ascii="Wingdings" w:hAnsi="Wingdings" w:hint="default"/>
        <w:color w:val="auto"/>
        <w:sz w:val="20"/>
        <w:szCs w:val="20"/>
      </w:rPr>
    </w:lvl>
    <w:lvl w:ilvl="1" w:tplc="08090003" w:tentative="1">
      <w:start w:val="1"/>
      <w:numFmt w:val="bullet"/>
      <w:lvlText w:val="o"/>
      <w:lvlJc w:val="left"/>
      <w:pPr>
        <w:tabs>
          <w:tab w:val="num" w:pos="1920"/>
        </w:tabs>
        <w:ind w:left="1920" w:hanging="360"/>
      </w:pPr>
      <w:rPr>
        <w:rFonts w:ascii="Courier New" w:hAnsi="Courier New" w:cs="Courier New" w:hint="default"/>
      </w:rPr>
    </w:lvl>
    <w:lvl w:ilvl="2" w:tplc="08090005" w:tentative="1">
      <w:start w:val="1"/>
      <w:numFmt w:val="bullet"/>
      <w:lvlText w:val=""/>
      <w:lvlJc w:val="left"/>
      <w:pPr>
        <w:tabs>
          <w:tab w:val="num" w:pos="2640"/>
        </w:tabs>
        <w:ind w:left="2640" w:hanging="360"/>
      </w:pPr>
      <w:rPr>
        <w:rFonts w:ascii="Wingdings" w:hAnsi="Wingdings" w:hint="default"/>
      </w:rPr>
    </w:lvl>
    <w:lvl w:ilvl="3" w:tplc="08090001" w:tentative="1">
      <w:start w:val="1"/>
      <w:numFmt w:val="bullet"/>
      <w:lvlText w:val=""/>
      <w:lvlJc w:val="left"/>
      <w:pPr>
        <w:tabs>
          <w:tab w:val="num" w:pos="3360"/>
        </w:tabs>
        <w:ind w:left="3360" w:hanging="360"/>
      </w:pPr>
      <w:rPr>
        <w:rFonts w:ascii="Symbol" w:hAnsi="Symbol" w:hint="default"/>
      </w:rPr>
    </w:lvl>
    <w:lvl w:ilvl="4" w:tplc="08090003" w:tentative="1">
      <w:start w:val="1"/>
      <w:numFmt w:val="bullet"/>
      <w:lvlText w:val="o"/>
      <w:lvlJc w:val="left"/>
      <w:pPr>
        <w:tabs>
          <w:tab w:val="num" w:pos="4080"/>
        </w:tabs>
        <w:ind w:left="4080" w:hanging="360"/>
      </w:pPr>
      <w:rPr>
        <w:rFonts w:ascii="Courier New" w:hAnsi="Courier New" w:cs="Courier New" w:hint="default"/>
      </w:rPr>
    </w:lvl>
    <w:lvl w:ilvl="5" w:tplc="08090005" w:tentative="1">
      <w:start w:val="1"/>
      <w:numFmt w:val="bullet"/>
      <w:lvlText w:val=""/>
      <w:lvlJc w:val="left"/>
      <w:pPr>
        <w:tabs>
          <w:tab w:val="num" w:pos="4800"/>
        </w:tabs>
        <w:ind w:left="4800" w:hanging="360"/>
      </w:pPr>
      <w:rPr>
        <w:rFonts w:ascii="Wingdings" w:hAnsi="Wingdings" w:hint="default"/>
      </w:rPr>
    </w:lvl>
    <w:lvl w:ilvl="6" w:tplc="08090001" w:tentative="1">
      <w:start w:val="1"/>
      <w:numFmt w:val="bullet"/>
      <w:lvlText w:val=""/>
      <w:lvlJc w:val="left"/>
      <w:pPr>
        <w:tabs>
          <w:tab w:val="num" w:pos="5520"/>
        </w:tabs>
        <w:ind w:left="5520" w:hanging="360"/>
      </w:pPr>
      <w:rPr>
        <w:rFonts w:ascii="Symbol" w:hAnsi="Symbol" w:hint="default"/>
      </w:rPr>
    </w:lvl>
    <w:lvl w:ilvl="7" w:tplc="08090003" w:tentative="1">
      <w:start w:val="1"/>
      <w:numFmt w:val="bullet"/>
      <w:lvlText w:val="o"/>
      <w:lvlJc w:val="left"/>
      <w:pPr>
        <w:tabs>
          <w:tab w:val="num" w:pos="6240"/>
        </w:tabs>
        <w:ind w:left="6240" w:hanging="360"/>
      </w:pPr>
      <w:rPr>
        <w:rFonts w:ascii="Courier New" w:hAnsi="Courier New" w:cs="Courier New" w:hint="default"/>
      </w:rPr>
    </w:lvl>
    <w:lvl w:ilvl="8" w:tplc="08090005" w:tentative="1">
      <w:start w:val="1"/>
      <w:numFmt w:val="bullet"/>
      <w:lvlText w:val=""/>
      <w:lvlJc w:val="left"/>
      <w:pPr>
        <w:tabs>
          <w:tab w:val="num" w:pos="6960"/>
        </w:tabs>
        <w:ind w:left="6960" w:hanging="360"/>
      </w:pPr>
      <w:rPr>
        <w:rFonts w:ascii="Wingdings" w:hAnsi="Wingdings" w:hint="default"/>
      </w:rPr>
    </w:lvl>
  </w:abstractNum>
  <w:abstractNum w:abstractNumId="16">
    <w:nsid w:val="30E034BE"/>
    <w:multiLevelType w:val="hybridMultilevel"/>
    <w:tmpl w:val="591E47C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nsid w:val="33712A76"/>
    <w:multiLevelType w:val="hybridMultilevel"/>
    <w:tmpl w:val="37D09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6FE6622"/>
    <w:multiLevelType w:val="hybridMultilevel"/>
    <w:tmpl w:val="03E26DD8"/>
    <w:lvl w:ilvl="0" w:tplc="08090001">
      <w:start w:val="1"/>
      <w:numFmt w:val="bullet"/>
      <w:lvlText w:val=""/>
      <w:lvlJc w:val="left"/>
      <w:pPr>
        <w:ind w:left="600" w:hanging="360"/>
      </w:pPr>
      <w:rPr>
        <w:rFonts w:ascii="Symbol" w:hAnsi="Symbol" w:hint="default"/>
      </w:rPr>
    </w:lvl>
    <w:lvl w:ilvl="1" w:tplc="08090003">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19">
    <w:nsid w:val="371845DC"/>
    <w:multiLevelType w:val="hybridMultilevel"/>
    <w:tmpl w:val="537C540A"/>
    <w:lvl w:ilvl="0" w:tplc="08090001">
      <w:start w:val="1"/>
      <w:numFmt w:val="bullet"/>
      <w:lvlText w:val=""/>
      <w:lvlJc w:val="left"/>
      <w:pPr>
        <w:ind w:left="1080" w:hanging="360"/>
      </w:pPr>
      <w:rPr>
        <w:rFonts w:ascii="Symbol" w:hAnsi="Symbol" w:hint="default"/>
      </w:rPr>
    </w:lvl>
    <w:lvl w:ilvl="1" w:tplc="9C5E2BDC">
      <w:numFmt w:val="bullet"/>
      <w:lvlText w:val="-"/>
      <w:lvlJc w:val="left"/>
      <w:pPr>
        <w:ind w:left="1800" w:hanging="360"/>
      </w:pPr>
      <w:rPr>
        <w:rFonts w:ascii="Calibri" w:eastAsiaTheme="minorHAnsi" w:hAnsi="Calibri" w:cs="Calibri"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3E0503AD"/>
    <w:multiLevelType w:val="hybridMultilevel"/>
    <w:tmpl w:val="8C74D4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3EEF1F08"/>
    <w:multiLevelType w:val="hybridMultilevel"/>
    <w:tmpl w:val="4948B0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406E7AB2"/>
    <w:multiLevelType w:val="hybridMultilevel"/>
    <w:tmpl w:val="C57821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42334FE4"/>
    <w:multiLevelType w:val="hybridMultilevel"/>
    <w:tmpl w:val="5E461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34D1972"/>
    <w:multiLevelType w:val="hybridMultilevel"/>
    <w:tmpl w:val="D3C4B188"/>
    <w:lvl w:ilvl="0" w:tplc="AE988C6C">
      <w:start w:val="1"/>
      <w:numFmt w:val="decimal"/>
      <w:pStyle w:val="Para"/>
      <w:lvlText w:val="%1."/>
      <w:lvlJc w:val="left"/>
      <w:pPr>
        <w:tabs>
          <w:tab w:val="num" w:pos="360"/>
        </w:tabs>
        <w:ind w:left="360" w:hanging="360"/>
      </w:pPr>
      <w:rPr>
        <w:rFonts w:hint="default"/>
        <w:b w:val="0"/>
        <w:i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45307D92"/>
    <w:multiLevelType w:val="hybridMultilevel"/>
    <w:tmpl w:val="159C59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4C621387"/>
    <w:multiLevelType w:val="hybridMultilevel"/>
    <w:tmpl w:val="A9C20FA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4CE40478"/>
    <w:multiLevelType w:val="hybridMultilevel"/>
    <w:tmpl w:val="39A260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4E55563F"/>
    <w:multiLevelType w:val="hybridMultilevel"/>
    <w:tmpl w:val="F5068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1B83AE0"/>
    <w:multiLevelType w:val="hybridMultilevel"/>
    <w:tmpl w:val="D1ECE86E"/>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0">
    <w:nsid w:val="51ED2600"/>
    <w:multiLevelType w:val="hybridMultilevel"/>
    <w:tmpl w:val="EB7489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56EE2096"/>
    <w:multiLevelType w:val="hybridMultilevel"/>
    <w:tmpl w:val="A93296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570D68BF"/>
    <w:multiLevelType w:val="hybridMultilevel"/>
    <w:tmpl w:val="58ECB9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583418F9"/>
    <w:multiLevelType w:val="hybridMultilevel"/>
    <w:tmpl w:val="677C8D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5AAE172F"/>
    <w:multiLevelType w:val="hybridMultilevel"/>
    <w:tmpl w:val="44CEE5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5F0C1918"/>
    <w:multiLevelType w:val="hybridMultilevel"/>
    <w:tmpl w:val="46DE0F4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nsid w:val="61135CA1"/>
    <w:multiLevelType w:val="hybridMultilevel"/>
    <w:tmpl w:val="B2782A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37F3EC9"/>
    <w:multiLevelType w:val="hybridMultilevel"/>
    <w:tmpl w:val="DF64B1B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8">
    <w:nsid w:val="66B50A32"/>
    <w:multiLevelType w:val="hybridMultilevel"/>
    <w:tmpl w:val="A47A6B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nsid w:val="67DF3373"/>
    <w:multiLevelType w:val="hybridMultilevel"/>
    <w:tmpl w:val="FEBE59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nsid w:val="68AA0A31"/>
    <w:multiLevelType w:val="hybridMultilevel"/>
    <w:tmpl w:val="4BCE95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nsid w:val="6B880A0E"/>
    <w:multiLevelType w:val="hybridMultilevel"/>
    <w:tmpl w:val="B9EC181A"/>
    <w:lvl w:ilvl="0" w:tplc="D46CE2CE">
      <w:start w:val="1"/>
      <w:numFmt w:val="bullet"/>
      <w:lvlText w:val=""/>
      <w:lvlJc w:val="left"/>
      <w:pPr>
        <w:tabs>
          <w:tab w:val="num" w:pos="1287"/>
        </w:tabs>
        <w:ind w:left="1287" w:hanging="567"/>
      </w:pPr>
      <w:rPr>
        <w:rFonts w:ascii="Wingdings" w:hAnsi="Wingdings" w:hint="default"/>
        <w:color w:val="auto"/>
        <w:sz w:val="20"/>
        <w:szCs w:val="20"/>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2">
    <w:nsid w:val="6C9A2C71"/>
    <w:multiLevelType w:val="hybridMultilevel"/>
    <w:tmpl w:val="2DDE2C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nsid w:val="72515B6E"/>
    <w:multiLevelType w:val="hybridMultilevel"/>
    <w:tmpl w:val="956016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nsid w:val="75FF153E"/>
    <w:multiLevelType w:val="hybridMultilevel"/>
    <w:tmpl w:val="3246260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nsid w:val="778A31C2"/>
    <w:multiLevelType w:val="hybridMultilevel"/>
    <w:tmpl w:val="1FFA09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nsid w:val="78ED7CC9"/>
    <w:multiLevelType w:val="hybridMultilevel"/>
    <w:tmpl w:val="FA88C2FA"/>
    <w:lvl w:ilvl="0" w:tplc="08090013">
      <w:start w:val="1"/>
      <w:numFmt w:val="upp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7">
    <w:nsid w:val="7A624D2A"/>
    <w:multiLevelType w:val="hybridMultilevel"/>
    <w:tmpl w:val="38F4732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8">
    <w:nsid w:val="7A8B043A"/>
    <w:multiLevelType w:val="hybridMultilevel"/>
    <w:tmpl w:val="03621A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AB82FA6"/>
    <w:multiLevelType w:val="hybridMultilevel"/>
    <w:tmpl w:val="465A4E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0">
    <w:nsid w:val="7D2E2479"/>
    <w:multiLevelType w:val="hybridMultilevel"/>
    <w:tmpl w:val="D8B429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1">
    <w:nsid w:val="7DA03B55"/>
    <w:multiLevelType w:val="hybridMultilevel"/>
    <w:tmpl w:val="89C275BA"/>
    <w:lvl w:ilvl="0" w:tplc="08090001">
      <w:start w:val="1"/>
      <w:numFmt w:val="bullet"/>
      <w:lvlText w:val=""/>
      <w:lvlJc w:val="left"/>
      <w:pPr>
        <w:ind w:left="1080" w:hanging="360"/>
      </w:pPr>
      <w:rPr>
        <w:rFonts w:ascii="Symbol" w:hAnsi="Symbol" w:hint="default"/>
      </w:rPr>
    </w:lvl>
    <w:lvl w:ilvl="1" w:tplc="9768F6B0">
      <w:numFmt w:val="bullet"/>
      <w:lvlText w:val="•"/>
      <w:lvlJc w:val="left"/>
      <w:pPr>
        <w:ind w:left="2160" w:hanging="720"/>
      </w:pPr>
      <w:rPr>
        <w:rFonts w:ascii="Calibri" w:eastAsiaTheme="minorHAnsi" w:hAnsi="Calibri" w:cs="Calibri"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7"/>
  </w:num>
  <w:num w:numId="2">
    <w:abstractNumId w:val="37"/>
  </w:num>
  <w:num w:numId="3">
    <w:abstractNumId w:val="22"/>
  </w:num>
  <w:num w:numId="4">
    <w:abstractNumId w:val="31"/>
  </w:num>
  <w:num w:numId="5">
    <w:abstractNumId w:val="24"/>
  </w:num>
  <w:num w:numId="6">
    <w:abstractNumId w:val="1"/>
  </w:num>
  <w:num w:numId="7">
    <w:abstractNumId w:val="51"/>
  </w:num>
  <w:num w:numId="8">
    <w:abstractNumId w:val="43"/>
  </w:num>
  <w:num w:numId="9">
    <w:abstractNumId w:val="7"/>
  </w:num>
  <w:num w:numId="10">
    <w:abstractNumId w:val="10"/>
  </w:num>
  <w:num w:numId="11">
    <w:abstractNumId w:val="20"/>
  </w:num>
  <w:num w:numId="12">
    <w:abstractNumId w:val="40"/>
  </w:num>
  <w:num w:numId="13">
    <w:abstractNumId w:val="34"/>
  </w:num>
  <w:num w:numId="14">
    <w:abstractNumId w:val="12"/>
  </w:num>
  <w:num w:numId="15">
    <w:abstractNumId w:val="21"/>
  </w:num>
  <w:num w:numId="16">
    <w:abstractNumId w:val="49"/>
  </w:num>
  <w:num w:numId="17">
    <w:abstractNumId w:val="27"/>
  </w:num>
  <w:num w:numId="18">
    <w:abstractNumId w:val="4"/>
  </w:num>
  <w:num w:numId="19">
    <w:abstractNumId w:val="9"/>
  </w:num>
  <w:num w:numId="20">
    <w:abstractNumId w:val="48"/>
  </w:num>
  <w:num w:numId="21">
    <w:abstractNumId w:val="44"/>
  </w:num>
  <w:num w:numId="22">
    <w:abstractNumId w:val="13"/>
  </w:num>
  <w:num w:numId="23">
    <w:abstractNumId w:val="3"/>
  </w:num>
  <w:num w:numId="24">
    <w:abstractNumId w:val="36"/>
  </w:num>
  <w:num w:numId="25">
    <w:abstractNumId w:val="25"/>
  </w:num>
  <w:num w:numId="26">
    <w:abstractNumId w:val="19"/>
  </w:num>
  <w:num w:numId="27">
    <w:abstractNumId w:val="32"/>
  </w:num>
  <w:num w:numId="28">
    <w:abstractNumId w:val="26"/>
  </w:num>
  <w:num w:numId="29">
    <w:abstractNumId w:val="33"/>
  </w:num>
  <w:num w:numId="30">
    <w:abstractNumId w:val="8"/>
  </w:num>
  <w:num w:numId="31">
    <w:abstractNumId w:val="42"/>
  </w:num>
  <w:num w:numId="32">
    <w:abstractNumId w:val="17"/>
  </w:num>
  <w:num w:numId="33">
    <w:abstractNumId w:val="35"/>
  </w:num>
  <w:num w:numId="34">
    <w:abstractNumId w:val="2"/>
  </w:num>
  <w:num w:numId="35">
    <w:abstractNumId w:val="39"/>
  </w:num>
  <w:num w:numId="36">
    <w:abstractNumId w:val="45"/>
  </w:num>
  <w:num w:numId="37">
    <w:abstractNumId w:val="5"/>
  </w:num>
  <w:num w:numId="38">
    <w:abstractNumId w:val="28"/>
  </w:num>
  <w:num w:numId="39">
    <w:abstractNumId w:val="23"/>
  </w:num>
  <w:num w:numId="40">
    <w:abstractNumId w:val="11"/>
  </w:num>
  <w:num w:numId="41">
    <w:abstractNumId w:val="38"/>
  </w:num>
  <w:num w:numId="42">
    <w:abstractNumId w:val="14"/>
  </w:num>
  <w:num w:numId="43">
    <w:abstractNumId w:val="41"/>
  </w:num>
  <w:num w:numId="44">
    <w:abstractNumId w:val="15"/>
  </w:num>
  <w:num w:numId="45">
    <w:abstractNumId w:val="30"/>
  </w:num>
  <w:num w:numId="46">
    <w:abstractNumId w:val="6"/>
  </w:num>
  <w:num w:numId="47">
    <w:abstractNumId w:val="46"/>
  </w:num>
  <w:num w:numId="48">
    <w:abstractNumId w:val="18"/>
  </w:num>
  <w:num w:numId="49">
    <w:abstractNumId w:val="29"/>
  </w:num>
  <w:num w:numId="50">
    <w:abstractNumId w:val="0"/>
  </w:num>
  <w:num w:numId="51">
    <w:abstractNumId w:val="16"/>
  </w:num>
  <w:num w:numId="52">
    <w:abstractNumId w:val="5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58D"/>
    <w:rsid w:val="000435B5"/>
    <w:rsid w:val="00045A32"/>
    <w:rsid w:val="00073842"/>
    <w:rsid w:val="00081C52"/>
    <w:rsid w:val="000C631B"/>
    <w:rsid w:val="000E16FD"/>
    <w:rsid w:val="000E4714"/>
    <w:rsid w:val="000F6BDE"/>
    <w:rsid w:val="0010182A"/>
    <w:rsid w:val="00135054"/>
    <w:rsid w:val="00137FE5"/>
    <w:rsid w:val="00153683"/>
    <w:rsid w:val="00154272"/>
    <w:rsid w:val="001A0F14"/>
    <w:rsid w:val="001A6E3C"/>
    <w:rsid w:val="001A7BB9"/>
    <w:rsid w:val="001B29BF"/>
    <w:rsid w:val="001B47CD"/>
    <w:rsid w:val="001C1C3E"/>
    <w:rsid w:val="001C7366"/>
    <w:rsid w:val="001D7031"/>
    <w:rsid w:val="00220875"/>
    <w:rsid w:val="00221A66"/>
    <w:rsid w:val="00243A3E"/>
    <w:rsid w:val="002B0B28"/>
    <w:rsid w:val="002B7CFE"/>
    <w:rsid w:val="002E5B04"/>
    <w:rsid w:val="00336AF8"/>
    <w:rsid w:val="00380513"/>
    <w:rsid w:val="0039104A"/>
    <w:rsid w:val="00392C95"/>
    <w:rsid w:val="003A4F20"/>
    <w:rsid w:val="003B3EDC"/>
    <w:rsid w:val="003C3216"/>
    <w:rsid w:val="003C3A7E"/>
    <w:rsid w:val="003F42A3"/>
    <w:rsid w:val="00420BCE"/>
    <w:rsid w:val="00454063"/>
    <w:rsid w:val="00463D65"/>
    <w:rsid w:val="00486674"/>
    <w:rsid w:val="004C2474"/>
    <w:rsid w:val="004D7DEB"/>
    <w:rsid w:val="004E6446"/>
    <w:rsid w:val="00500540"/>
    <w:rsid w:val="00567A95"/>
    <w:rsid w:val="005734EE"/>
    <w:rsid w:val="00577872"/>
    <w:rsid w:val="005879BA"/>
    <w:rsid w:val="005B55EE"/>
    <w:rsid w:val="005B6B86"/>
    <w:rsid w:val="005C3720"/>
    <w:rsid w:val="00626B5F"/>
    <w:rsid w:val="00630071"/>
    <w:rsid w:val="006321A8"/>
    <w:rsid w:val="00637623"/>
    <w:rsid w:val="006629DF"/>
    <w:rsid w:val="00664010"/>
    <w:rsid w:val="00691E4C"/>
    <w:rsid w:val="006B5B97"/>
    <w:rsid w:val="006C2F59"/>
    <w:rsid w:val="007139BC"/>
    <w:rsid w:val="00716A2D"/>
    <w:rsid w:val="007203C3"/>
    <w:rsid w:val="00731947"/>
    <w:rsid w:val="00776BB4"/>
    <w:rsid w:val="007A58EA"/>
    <w:rsid w:val="007F3626"/>
    <w:rsid w:val="007F6D56"/>
    <w:rsid w:val="00822AA8"/>
    <w:rsid w:val="0086785C"/>
    <w:rsid w:val="008A024C"/>
    <w:rsid w:val="008A16EA"/>
    <w:rsid w:val="008A5870"/>
    <w:rsid w:val="008C35A1"/>
    <w:rsid w:val="008E7B53"/>
    <w:rsid w:val="00900C41"/>
    <w:rsid w:val="00904A14"/>
    <w:rsid w:val="00924407"/>
    <w:rsid w:val="0092658D"/>
    <w:rsid w:val="009471B0"/>
    <w:rsid w:val="009474A8"/>
    <w:rsid w:val="0096152F"/>
    <w:rsid w:val="00993264"/>
    <w:rsid w:val="009A1295"/>
    <w:rsid w:val="009B04A7"/>
    <w:rsid w:val="009B10AB"/>
    <w:rsid w:val="00A265AF"/>
    <w:rsid w:val="00A57ECE"/>
    <w:rsid w:val="00A72AC8"/>
    <w:rsid w:val="00A9105C"/>
    <w:rsid w:val="00AA1783"/>
    <w:rsid w:val="00AB56ED"/>
    <w:rsid w:val="00AC4725"/>
    <w:rsid w:val="00AD6C9A"/>
    <w:rsid w:val="00B05771"/>
    <w:rsid w:val="00B067C5"/>
    <w:rsid w:val="00B40280"/>
    <w:rsid w:val="00B61C24"/>
    <w:rsid w:val="00BA5B93"/>
    <w:rsid w:val="00BC2F18"/>
    <w:rsid w:val="00BE559B"/>
    <w:rsid w:val="00C41059"/>
    <w:rsid w:val="00C65F0D"/>
    <w:rsid w:val="00C9048D"/>
    <w:rsid w:val="00CA22DE"/>
    <w:rsid w:val="00CA5B33"/>
    <w:rsid w:val="00CB1A24"/>
    <w:rsid w:val="00CF12D9"/>
    <w:rsid w:val="00D0775A"/>
    <w:rsid w:val="00D16645"/>
    <w:rsid w:val="00D36DD3"/>
    <w:rsid w:val="00D62B4D"/>
    <w:rsid w:val="00D76DAD"/>
    <w:rsid w:val="00D941BA"/>
    <w:rsid w:val="00DA2467"/>
    <w:rsid w:val="00DA5A21"/>
    <w:rsid w:val="00DB34D2"/>
    <w:rsid w:val="00DE7B1C"/>
    <w:rsid w:val="00E14764"/>
    <w:rsid w:val="00E35630"/>
    <w:rsid w:val="00E40062"/>
    <w:rsid w:val="00E737A2"/>
    <w:rsid w:val="00E9551D"/>
    <w:rsid w:val="00F41626"/>
    <w:rsid w:val="00F56579"/>
    <w:rsid w:val="00F57D0D"/>
    <w:rsid w:val="00FB050E"/>
    <w:rsid w:val="00FC4CD0"/>
    <w:rsid w:val="00FE5CBF"/>
    <w:rsid w:val="00FF62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pacing w:val="4"/>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10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D16645"/>
    <w:pPr>
      <w:ind w:left="720"/>
      <w:contextualSpacing/>
    </w:pPr>
  </w:style>
  <w:style w:type="character" w:styleId="Hyperlink">
    <w:name w:val="Hyperlink"/>
    <w:basedOn w:val="DefaultParagraphFont"/>
    <w:uiPriority w:val="99"/>
    <w:unhideWhenUsed/>
    <w:rsid w:val="00045A32"/>
    <w:rPr>
      <w:color w:val="0000FF" w:themeColor="hyperlink"/>
      <w:u w:val="single"/>
    </w:rPr>
  </w:style>
  <w:style w:type="paragraph" w:styleId="BalloonText">
    <w:name w:val="Balloon Text"/>
    <w:basedOn w:val="Normal"/>
    <w:link w:val="BalloonTextChar"/>
    <w:uiPriority w:val="99"/>
    <w:semiHidden/>
    <w:unhideWhenUsed/>
    <w:rsid w:val="00AA17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783"/>
    <w:rPr>
      <w:rFonts w:ascii="Tahoma" w:hAnsi="Tahoma" w:cs="Tahoma"/>
      <w:sz w:val="16"/>
      <w:szCs w:val="16"/>
    </w:rPr>
  </w:style>
  <w:style w:type="paragraph" w:styleId="FootnoteText">
    <w:name w:val="footnote text"/>
    <w:basedOn w:val="Normal"/>
    <w:link w:val="FootnoteTextChar"/>
    <w:uiPriority w:val="99"/>
    <w:unhideWhenUsed/>
    <w:rsid w:val="00463D65"/>
    <w:pPr>
      <w:spacing w:after="0" w:line="240" w:lineRule="auto"/>
    </w:pPr>
    <w:rPr>
      <w:rFonts w:ascii="Arial" w:eastAsia="Times New Roman" w:hAnsi="Arial" w:cs="Times New Roman"/>
      <w:spacing w:val="0"/>
      <w:sz w:val="20"/>
      <w:szCs w:val="20"/>
    </w:rPr>
  </w:style>
  <w:style w:type="character" w:customStyle="1" w:styleId="FootnoteTextChar">
    <w:name w:val="Footnote Text Char"/>
    <w:basedOn w:val="DefaultParagraphFont"/>
    <w:link w:val="FootnoteText"/>
    <w:uiPriority w:val="99"/>
    <w:rsid w:val="00463D65"/>
    <w:rPr>
      <w:rFonts w:ascii="Arial" w:eastAsia="Times New Roman" w:hAnsi="Arial" w:cs="Times New Roman"/>
      <w:spacing w:val="0"/>
      <w:sz w:val="20"/>
      <w:szCs w:val="20"/>
    </w:rPr>
  </w:style>
  <w:style w:type="character" w:styleId="FootnoteReference">
    <w:name w:val="footnote reference"/>
    <w:uiPriority w:val="99"/>
    <w:unhideWhenUsed/>
    <w:rsid w:val="00463D65"/>
    <w:rPr>
      <w:vertAlign w:val="superscript"/>
    </w:rPr>
  </w:style>
  <w:style w:type="paragraph" w:customStyle="1" w:styleId="Para">
    <w:name w:val="Para"/>
    <w:basedOn w:val="Normal"/>
    <w:link w:val="ParaChar"/>
    <w:rsid w:val="00463D65"/>
    <w:pPr>
      <w:numPr>
        <w:numId w:val="5"/>
      </w:numPr>
      <w:spacing w:before="240" w:after="0" w:line="240" w:lineRule="auto"/>
    </w:pPr>
    <w:rPr>
      <w:rFonts w:ascii="Arial" w:eastAsia="Times New Roman" w:hAnsi="Arial" w:cs="Arial"/>
      <w:spacing w:val="0"/>
      <w:sz w:val="24"/>
      <w:szCs w:val="24"/>
      <w:lang w:eastAsia="en-GB"/>
    </w:rPr>
  </w:style>
  <w:style w:type="character" w:customStyle="1" w:styleId="ParaChar">
    <w:name w:val="Para Char"/>
    <w:link w:val="Para"/>
    <w:rsid w:val="00463D65"/>
    <w:rPr>
      <w:rFonts w:ascii="Arial" w:eastAsia="Times New Roman" w:hAnsi="Arial" w:cs="Arial"/>
      <w:spacing w:val="0"/>
      <w:sz w:val="24"/>
      <w:szCs w:val="24"/>
      <w:lang w:eastAsia="en-GB"/>
    </w:rPr>
  </w:style>
  <w:style w:type="paragraph" w:customStyle="1" w:styleId="Bullet">
    <w:name w:val="Bullet"/>
    <w:basedOn w:val="Normal"/>
    <w:next w:val="Normal"/>
    <w:rsid w:val="00463D65"/>
    <w:pPr>
      <w:autoSpaceDE w:val="0"/>
      <w:autoSpaceDN w:val="0"/>
      <w:adjustRightInd w:val="0"/>
      <w:spacing w:after="0" w:line="240" w:lineRule="auto"/>
    </w:pPr>
    <w:rPr>
      <w:rFonts w:ascii="Arial" w:eastAsia="Times New Roman" w:hAnsi="Arial" w:cs="Times New Roman"/>
      <w:spacing w:val="0"/>
      <w:sz w:val="24"/>
      <w:szCs w:val="24"/>
      <w:lang w:eastAsia="en-GB"/>
    </w:rPr>
  </w:style>
  <w:style w:type="paragraph" w:styleId="Title">
    <w:name w:val="Title"/>
    <w:basedOn w:val="Normal"/>
    <w:link w:val="TitleChar"/>
    <w:qFormat/>
    <w:rsid w:val="008E7B53"/>
    <w:pPr>
      <w:spacing w:after="0" w:line="240" w:lineRule="auto"/>
      <w:jc w:val="center"/>
    </w:pPr>
    <w:rPr>
      <w:rFonts w:ascii="Times New Roman" w:eastAsia="Times New Roman" w:hAnsi="Times New Roman" w:cs="Times New Roman"/>
      <w:b/>
      <w:spacing w:val="0"/>
      <w:sz w:val="24"/>
      <w:szCs w:val="20"/>
    </w:rPr>
  </w:style>
  <w:style w:type="character" w:customStyle="1" w:styleId="TitleChar">
    <w:name w:val="Title Char"/>
    <w:basedOn w:val="DefaultParagraphFont"/>
    <w:link w:val="Title"/>
    <w:rsid w:val="008E7B53"/>
    <w:rPr>
      <w:rFonts w:ascii="Times New Roman" w:eastAsia="Times New Roman" w:hAnsi="Times New Roman" w:cs="Times New Roman"/>
      <w:b/>
      <w:spacing w:val="0"/>
      <w:sz w:val="24"/>
      <w:szCs w:val="20"/>
    </w:rPr>
  </w:style>
  <w:style w:type="paragraph" w:styleId="Subtitle">
    <w:name w:val="Subtitle"/>
    <w:basedOn w:val="Normal"/>
    <w:link w:val="SubtitleChar"/>
    <w:qFormat/>
    <w:rsid w:val="008E7B53"/>
    <w:pPr>
      <w:spacing w:after="0" w:line="240" w:lineRule="auto"/>
      <w:jc w:val="center"/>
    </w:pPr>
    <w:rPr>
      <w:rFonts w:ascii="Times New Roman" w:eastAsia="Times New Roman" w:hAnsi="Times New Roman" w:cs="Times New Roman"/>
      <w:b/>
      <w:spacing w:val="0"/>
      <w:sz w:val="28"/>
      <w:szCs w:val="20"/>
    </w:rPr>
  </w:style>
  <w:style w:type="character" w:customStyle="1" w:styleId="SubtitleChar">
    <w:name w:val="Subtitle Char"/>
    <w:basedOn w:val="DefaultParagraphFont"/>
    <w:link w:val="Subtitle"/>
    <w:rsid w:val="008E7B53"/>
    <w:rPr>
      <w:rFonts w:ascii="Times New Roman" w:eastAsia="Times New Roman" w:hAnsi="Times New Roman" w:cs="Times New Roman"/>
      <w:b/>
      <w:spacing w:val="0"/>
      <w:sz w:val="28"/>
      <w:szCs w:val="20"/>
    </w:rPr>
  </w:style>
  <w:style w:type="paragraph" w:styleId="Header">
    <w:name w:val="header"/>
    <w:basedOn w:val="Normal"/>
    <w:link w:val="HeaderChar"/>
    <w:uiPriority w:val="99"/>
    <w:unhideWhenUsed/>
    <w:rsid w:val="003805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0513"/>
  </w:style>
  <w:style w:type="paragraph" w:styleId="Footer">
    <w:name w:val="footer"/>
    <w:basedOn w:val="Normal"/>
    <w:link w:val="FooterChar"/>
    <w:uiPriority w:val="99"/>
    <w:unhideWhenUsed/>
    <w:rsid w:val="003805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0513"/>
  </w:style>
  <w:style w:type="paragraph" w:customStyle="1" w:styleId="Default">
    <w:name w:val="Default"/>
    <w:rsid w:val="00630071"/>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pacing w:val="4"/>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10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D16645"/>
    <w:pPr>
      <w:ind w:left="720"/>
      <w:contextualSpacing/>
    </w:pPr>
  </w:style>
  <w:style w:type="character" w:styleId="Hyperlink">
    <w:name w:val="Hyperlink"/>
    <w:basedOn w:val="DefaultParagraphFont"/>
    <w:uiPriority w:val="99"/>
    <w:unhideWhenUsed/>
    <w:rsid w:val="00045A32"/>
    <w:rPr>
      <w:color w:val="0000FF" w:themeColor="hyperlink"/>
      <w:u w:val="single"/>
    </w:rPr>
  </w:style>
  <w:style w:type="paragraph" w:styleId="BalloonText">
    <w:name w:val="Balloon Text"/>
    <w:basedOn w:val="Normal"/>
    <w:link w:val="BalloonTextChar"/>
    <w:uiPriority w:val="99"/>
    <w:semiHidden/>
    <w:unhideWhenUsed/>
    <w:rsid w:val="00AA17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783"/>
    <w:rPr>
      <w:rFonts w:ascii="Tahoma" w:hAnsi="Tahoma" w:cs="Tahoma"/>
      <w:sz w:val="16"/>
      <w:szCs w:val="16"/>
    </w:rPr>
  </w:style>
  <w:style w:type="paragraph" w:styleId="FootnoteText">
    <w:name w:val="footnote text"/>
    <w:basedOn w:val="Normal"/>
    <w:link w:val="FootnoteTextChar"/>
    <w:uiPriority w:val="99"/>
    <w:unhideWhenUsed/>
    <w:rsid w:val="00463D65"/>
    <w:pPr>
      <w:spacing w:after="0" w:line="240" w:lineRule="auto"/>
    </w:pPr>
    <w:rPr>
      <w:rFonts w:ascii="Arial" w:eastAsia="Times New Roman" w:hAnsi="Arial" w:cs="Times New Roman"/>
      <w:spacing w:val="0"/>
      <w:sz w:val="20"/>
      <w:szCs w:val="20"/>
    </w:rPr>
  </w:style>
  <w:style w:type="character" w:customStyle="1" w:styleId="FootnoteTextChar">
    <w:name w:val="Footnote Text Char"/>
    <w:basedOn w:val="DefaultParagraphFont"/>
    <w:link w:val="FootnoteText"/>
    <w:uiPriority w:val="99"/>
    <w:rsid w:val="00463D65"/>
    <w:rPr>
      <w:rFonts w:ascii="Arial" w:eastAsia="Times New Roman" w:hAnsi="Arial" w:cs="Times New Roman"/>
      <w:spacing w:val="0"/>
      <w:sz w:val="20"/>
      <w:szCs w:val="20"/>
    </w:rPr>
  </w:style>
  <w:style w:type="character" w:styleId="FootnoteReference">
    <w:name w:val="footnote reference"/>
    <w:uiPriority w:val="99"/>
    <w:unhideWhenUsed/>
    <w:rsid w:val="00463D65"/>
    <w:rPr>
      <w:vertAlign w:val="superscript"/>
    </w:rPr>
  </w:style>
  <w:style w:type="paragraph" w:customStyle="1" w:styleId="Para">
    <w:name w:val="Para"/>
    <w:basedOn w:val="Normal"/>
    <w:link w:val="ParaChar"/>
    <w:rsid w:val="00463D65"/>
    <w:pPr>
      <w:numPr>
        <w:numId w:val="5"/>
      </w:numPr>
      <w:spacing w:before="240" w:after="0" w:line="240" w:lineRule="auto"/>
    </w:pPr>
    <w:rPr>
      <w:rFonts w:ascii="Arial" w:eastAsia="Times New Roman" w:hAnsi="Arial" w:cs="Arial"/>
      <w:spacing w:val="0"/>
      <w:sz w:val="24"/>
      <w:szCs w:val="24"/>
      <w:lang w:eastAsia="en-GB"/>
    </w:rPr>
  </w:style>
  <w:style w:type="character" w:customStyle="1" w:styleId="ParaChar">
    <w:name w:val="Para Char"/>
    <w:link w:val="Para"/>
    <w:rsid w:val="00463D65"/>
    <w:rPr>
      <w:rFonts w:ascii="Arial" w:eastAsia="Times New Roman" w:hAnsi="Arial" w:cs="Arial"/>
      <w:spacing w:val="0"/>
      <w:sz w:val="24"/>
      <w:szCs w:val="24"/>
      <w:lang w:eastAsia="en-GB"/>
    </w:rPr>
  </w:style>
  <w:style w:type="paragraph" w:customStyle="1" w:styleId="Bullet">
    <w:name w:val="Bullet"/>
    <w:basedOn w:val="Normal"/>
    <w:next w:val="Normal"/>
    <w:rsid w:val="00463D65"/>
    <w:pPr>
      <w:autoSpaceDE w:val="0"/>
      <w:autoSpaceDN w:val="0"/>
      <w:adjustRightInd w:val="0"/>
      <w:spacing w:after="0" w:line="240" w:lineRule="auto"/>
    </w:pPr>
    <w:rPr>
      <w:rFonts w:ascii="Arial" w:eastAsia="Times New Roman" w:hAnsi="Arial" w:cs="Times New Roman"/>
      <w:spacing w:val="0"/>
      <w:sz w:val="24"/>
      <w:szCs w:val="24"/>
      <w:lang w:eastAsia="en-GB"/>
    </w:rPr>
  </w:style>
  <w:style w:type="paragraph" w:styleId="Title">
    <w:name w:val="Title"/>
    <w:basedOn w:val="Normal"/>
    <w:link w:val="TitleChar"/>
    <w:qFormat/>
    <w:rsid w:val="008E7B53"/>
    <w:pPr>
      <w:spacing w:after="0" w:line="240" w:lineRule="auto"/>
      <w:jc w:val="center"/>
    </w:pPr>
    <w:rPr>
      <w:rFonts w:ascii="Times New Roman" w:eastAsia="Times New Roman" w:hAnsi="Times New Roman" w:cs="Times New Roman"/>
      <w:b/>
      <w:spacing w:val="0"/>
      <w:sz w:val="24"/>
      <w:szCs w:val="20"/>
    </w:rPr>
  </w:style>
  <w:style w:type="character" w:customStyle="1" w:styleId="TitleChar">
    <w:name w:val="Title Char"/>
    <w:basedOn w:val="DefaultParagraphFont"/>
    <w:link w:val="Title"/>
    <w:rsid w:val="008E7B53"/>
    <w:rPr>
      <w:rFonts w:ascii="Times New Roman" w:eastAsia="Times New Roman" w:hAnsi="Times New Roman" w:cs="Times New Roman"/>
      <w:b/>
      <w:spacing w:val="0"/>
      <w:sz w:val="24"/>
      <w:szCs w:val="20"/>
    </w:rPr>
  </w:style>
  <w:style w:type="paragraph" w:styleId="Subtitle">
    <w:name w:val="Subtitle"/>
    <w:basedOn w:val="Normal"/>
    <w:link w:val="SubtitleChar"/>
    <w:qFormat/>
    <w:rsid w:val="008E7B53"/>
    <w:pPr>
      <w:spacing w:after="0" w:line="240" w:lineRule="auto"/>
      <w:jc w:val="center"/>
    </w:pPr>
    <w:rPr>
      <w:rFonts w:ascii="Times New Roman" w:eastAsia="Times New Roman" w:hAnsi="Times New Roman" w:cs="Times New Roman"/>
      <w:b/>
      <w:spacing w:val="0"/>
      <w:sz w:val="28"/>
      <w:szCs w:val="20"/>
    </w:rPr>
  </w:style>
  <w:style w:type="character" w:customStyle="1" w:styleId="SubtitleChar">
    <w:name w:val="Subtitle Char"/>
    <w:basedOn w:val="DefaultParagraphFont"/>
    <w:link w:val="Subtitle"/>
    <w:rsid w:val="008E7B53"/>
    <w:rPr>
      <w:rFonts w:ascii="Times New Roman" w:eastAsia="Times New Roman" w:hAnsi="Times New Roman" w:cs="Times New Roman"/>
      <w:b/>
      <w:spacing w:val="0"/>
      <w:sz w:val="28"/>
      <w:szCs w:val="20"/>
    </w:rPr>
  </w:style>
  <w:style w:type="paragraph" w:styleId="Header">
    <w:name w:val="header"/>
    <w:basedOn w:val="Normal"/>
    <w:link w:val="HeaderChar"/>
    <w:uiPriority w:val="99"/>
    <w:unhideWhenUsed/>
    <w:rsid w:val="003805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0513"/>
  </w:style>
  <w:style w:type="paragraph" w:styleId="Footer">
    <w:name w:val="footer"/>
    <w:basedOn w:val="Normal"/>
    <w:link w:val="FooterChar"/>
    <w:uiPriority w:val="99"/>
    <w:unhideWhenUsed/>
    <w:rsid w:val="003805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0513"/>
  </w:style>
  <w:style w:type="paragraph" w:customStyle="1" w:styleId="Default">
    <w:name w:val="Default"/>
    <w:rsid w:val="0063007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038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94065-9481-4857-9426-EB87D2ED2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1616</Words>
  <Characters>9215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NLNHS &amp; NELCTP</Company>
  <LinksUpToDate>false</LinksUpToDate>
  <CharactersWithSpaces>10810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Creed</dc:creator>
  <cp:lastModifiedBy>Karen Stamp</cp:lastModifiedBy>
  <cp:revision>3</cp:revision>
  <cp:lastPrinted>2012-03-19T15:49:00Z</cp:lastPrinted>
  <dcterms:created xsi:type="dcterms:W3CDTF">2016-02-05T10:06:00Z</dcterms:created>
  <dcterms:modified xsi:type="dcterms:W3CDTF">2016-02-08T13:33:00Z</dcterms:modified>
</cp:coreProperties>
</file>