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0" w:rsidRPr="006C0490" w:rsidRDefault="00550080">
      <w:pPr>
        <w:rPr>
          <w:b/>
          <w:sz w:val="32"/>
          <w:u w:val="single"/>
        </w:rPr>
      </w:pPr>
      <w:r w:rsidRPr="006C0490">
        <w:rPr>
          <w:b/>
          <w:sz w:val="32"/>
          <w:u w:val="single"/>
        </w:rPr>
        <w:t>Lessons Learned</w:t>
      </w:r>
      <w:r w:rsidR="006C0490" w:rsidRPr="006C0490">
        <w:rPr>
          <w:b/>
          <w:sz w:val="32"/>
          <w:u w:val="single"/>
        </w:rPr>
        <w:t>:</w:t>
      </w:r>
      <w:r w:rsidRPr="006C0490">
        <w:rPr>
          <w:b/>
          <w:sz w:val="32"/>
          <w:u w:val="single"/>
        </w:rPr>
        <w:t xml:space="preserve"> Immediate Termination of Contract </w:t>
      </w:r>
    </w:p>
    <w:p w:rsidR="006C0490" w:rsidRDefault="006C0490">
      <w:pPr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6AE8F" wp14:editId="1E639DDC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6202680" cy="8587740"/>
                <wp:effectExtent l="57150" t="57150" r="64770" b="609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58774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bg1"/>
                          </a:extrusionClr>
                        </a:sp3d>
                      </wps:spPr>
                      <wps:txbx>
                        <w:txbxContent>
                          <w:p w:rsidR="003A7A8D" w:rsidRPr="00D1386C" w:rsidRDefault="003A7A8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1386C">
                              <w:rPr>
                                <w:rFonts w:ascii="Century Gothic" w:hAnsi="Century Gothic"/>
                                <w:b/>
                              </w:rPr>
                              <w:t>Lesson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(s)</w:t>
                            </w:r>
                            <w:r w:rsidRPr="00D1386C">
                              <w:rPr>
                                <w:rFonts w:ascii="Century Gothic" w:hAnsi="Century Gothic"/>
                                <w:b/>
                              </w:rPr>
                              <w:t xml:space="preserve"> Learned: </w:t>
                            </w:r>
                          </w:p>
                          <w:p w:rsidR="003A7A8D" w:rsidRDefault="003A7A8D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Ensure that there is a very clear brief for any quality visit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754349">
                              <w:rPr>
                                <w:rFonts w:ascii="Century Gothic" w:hAnsi="Century Gothic"/>
                                <w:b/>
                              </w:rPr>
                              <w:t>and agree if a 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oot </w:t>
                            </w:r>
                            <w:r w:rsidRPr="00754349"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ause </w:t>
                            </w:r>
                            <w:r w:rsidRPr="00754349">
                              <w:rPr>
                                <w:rFonts w:ascii="Century Gothic" w:hAnsi="Century Gothic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nalysis (RCA)</w:t>
                            </w:r>
                            <w:r w:rsidRPr="00754349">
                              <w:rPr>
                                <w:rFonts w:ascii="Century Gothic" w:hAnsi="Century Gothic"/>
                                <w:b/>
                              </w:rPr>
                              <w:t xml:space="preserve"> is required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Ensure that the team sent to undertake quality visits have the appropriate experience, skills and ability to make judgements that can be relied upon later in the process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Where significant concerns regarding patient safety are identified during a visit, ensure reports are generated as quickly as possible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Include senior staff who are impartial / have no prior knowledge within the decision making process</w:t>
                            </w:r>
                            <w:r w:rsidR="00C02D4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02D4A" w:rsidRPr="00E91796">
                              <w:rPr>
                                <w:rFonts w:ascii="Century Gothic" w:hAnsi="Century Gothic"/>
                                <w:b/>
                              </w:rPr>
                              <w:t>(furnished with the appropriate reports)</w:t>
                            </w:r>
                            <w:r w:rsidR="00C02D4A">
                              <w:rPr>
                                <w:rFonts w:ascii="Century Gothic" w:hAnsi="Century Gothic"/>
                                <w:b/>
                              </w:rPr>
                              <w:t>, as well as those directly involved</w:t>
                            </w: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Consider ways in which the staff involved in the decision making, who might ultimately be called upon in a legal case, are effectively supported during the process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Ensure that key individuals who </w:t>
                            </w:r>
                            <w:r w:rsidRPr="00A57D3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need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to be made aware (e.g. Chair of Co-Commissioning Committee) are briefed prior to the termination, but respect that</w:t>
                            </w:r>
                            <w:r w:rsidR="00A7138E">
                              <w:rPr>
                                <w:rFonts w:ascii="Century Gothic" w:hAnsi="Century Gothic"/>
                                <w:b/>
                              </w:rPr>
                              <w:t xml:space="preserve"> this must be kept confidential</w:t>
                            </w:r>
                            <w:bookmarkStart w:id="0" w:name="_GoBack"/>
                            <w:bookmarkEnd w:id="0"/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Ensure that the interim provider is aware of the responsibilities they are taking on</w:t>
                            </w:r>
                            <w:r w:rsidR="00511B55">
                              <w:rPr>
                                <w:rFonts w:ascii="Century Gothic" w:hAnsi="Century Gothic"/>
                                <w:b/>
                              </w:rPr>
                              <w:t>; develop a checklist to support them</w:t>
                            </w:r>
                          </w:p>
                          <w:p w:rsidR="006C0490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Develop simple guide for local Practices, based on issues that led to termination</w:t>
                            </w:r>
                          </w:p>
                          <w:p w:rsidR="006C0490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 cases where there are shared premises, involve Landlord and other lease-holders in discussions regarding any difficulties with access to premises from the outset</w:t>
                            </w:r>
                          </w:p>
                          <w:p w:rsidR="006C0490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Ensure that the message to be given to staff about what actions have been taken, and what this means for their employment status</w:t>
                            </w:r>
                            <w:r w:rsidR="005B3D0C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are clear from the outset</w:t>
                            </w:r>
                            <w:r w:rsidR="003D5618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and provide support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E7EDD">
                              <w:rPr>
                                <w:rFonts w:ascii="Century Gothic" w:hAnsi="Century Gothic"/>
                                <w:b/>
                              </w:rPr>
                              <w:t>Ensure there are people available to provide support to patients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and that any communications are sent out in a timely manner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Emphasi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e professional duty to co-operate within the termination letter</w:t>
                            </w:r>
                            <w:r w:rsidR="001A74CE">
                              <w:rPr>
                                <w:rFonts w:ascii="Century Gothic" w:hAnsi="Century Gothic"/>
                                <w:b/>
                              </w:rPr>
                              <w:t>, including allowing access to premises and equipment as necessary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 xml:space="preserve">Obtain legal advice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on occupation rights as early as possible, </w:t>
                            </w: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so that stance is clear at the point the interim provider takes over</w:t>
                            </w:r>
                          </w:p>
                          <w:p w:rsidR="006C0490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Keep a chronological timeline of events and save all evidence in line with this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Retain one file only, which includes all documentation irrespective of directorate/team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Develop a checklist of operational issues that will need to be considered on the first day</w:t>
                            </w:r>
                          </w:p>
                          <w:p w:rsidR="006C0490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Ensure there is a presence of commissioning staff on site during the first few days, with sufficient seniority to make decisions regarding spend and legal issues</w:t>
                            </w:r>
                            <w:r w:rsidRPr="006C0490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6C0490" w:rsidRPr="006C0490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Commissioners should retain evidence of any ownership of assets within general practices</w:t>
                            </w:r>
                          </w:p>
                          <w:p w:rsidR="006C0490" w:rsidRPr="006C0490" w:rsidRDefault="006C0490" w:rsidP="006C049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5.95pt;width:488.4pt;height:6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" filled="f" strokeweight="2.25pt">
                <v:stroke joinstyle="bevel" endcap="round"/>
                <v:textbox>
                  <w:txbxContent>
                    <w:p w:rsidR="003A7A8D" w:rsidRPr="00D1386C" w:rsidRDefault="003A7A8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1386C">
                        <w:rPr>
                          <w:rFonts w:ascii="Century Gothic" w:hAnsi="Century Gothic"/>
                          <w:b/>
                        </w:rPr>
                        <w:t>Lesson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(s)</w:t>
                      </w:r>
                      <w:r w:rsidRPr="00D1386C">
                        <w:rPr>
                          <w:rFonts w:ascii="Century Gothic" w:hAnsi="Century Gothic"/>
                          <w:b/>
                        </w:rPr>
                        <w:t xml:space="preserve"> Learned: </w:t>
                      </w:r>
                    </w:p>
                    <w:p w:rsidR="003A7A8D" w:rsidRDefault="003A7A8D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Ensure that there is a very clear brief for any quality visit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754349">
                        <w:rPr>
                          <w:rFonts w:ascii="Century Gothic" w:hAnsi="Century Gothic"/>
                          <w:b/>
                        </w:rPr>
                        <w:t>and agree if a R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oot </w:t>
                      </w:r>
                      <w:r w:rsidRPr="00754349">
                        <w:rPr>
                          <w:rFonts w:ascii="Century Gothic" w:hAnsi="Century Gothic"/>
                          <w:b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ause </w:t>
                      </w:r>
                      <w:r w:rsidRPr="00754349">
                        <w:rPr>
                          <w:rFonts w:ascii="Century Gothic" w:hAnsi="Century Gothic"/>
                          <w:b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</w:rPr>
                        <w:t>nalysis (RCA)</w:t>
                      </w:r>
                      <w:r w:rsidRPr="00754349">
                        <w:rPr>
                          <w:rFonts w:ascii="Century Gothic" w:hAnsi="Century Gothic"/>
                          <w:b/>
                        </w:rPr>
                        <w:t xml:space="preserve"> is required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Ensure that the team sent to undertake quality visits have the appropriate experience, skills and ability to make judgements that can be relied upon later in the process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Where significant concerns regarding patient safety are identified during a visit, ensure reports are generated as quickly as possible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Include senior staff who are impartial / have no prior knowledge within the decision making process</w:t>
                      </w:r>
                      <w:r w:rsidR="00C02D4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02D4A" w:rsidRPr="00E91796">
                        <w:rPr>
                          <w:rFonts w:ascii="Century Gothic" w:hAnsi="Century Gothic"/>
                          <w:b/>
                        </w:rPr>
                        <w:t>(furnished with the appropriate reports)</w:t>
                      </w:r>
                      <w:r w:rsidR="00C02D4A">
                        <w:rPr>
                          <w:rFonts w:ascii="Century Gothic" w:hAnsi="Century Gothic"/>
                          <w:b/>
                        </w:rPr>
                        <w:t>, as well as those directly involved</w:t>
                      </w:r>
                      <w:r w:rsidRPr="00E91796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Consider ways in which the staff involved in the decision making, who might ultimately be called upon in a legal case, are effectively supported during the process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Ensure that key individuals who </w:t>
                      </w:r>
                      <w:r w:rsidRPr="00A57D3E">
                        <w:rPr>
                          <w:rFonts w:ascii="Century Gothic" w:hAnsi="Century Gothic"/>
                          <w:b/>
                          <w:u w:val="single"/>
                        </w:rPr>
                        <w:t>need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to be made aware (e.g. Chair of Co-Commissioning Committee) are briefed prior to the termination, but respect that</w:t>
                      </w:r>
                      <w:r w:rsidR="00A7138E">
                        <w:rPr>
                          <w:rFonts w:ascii="Century Gothic" w:hAnsi="Century Gothic"/>
                          <w:b/>
                        </w:rPr>
                        <w:t xml:space="preserve"> this must be kept confidential</w:t>
                      </w:r>
                      <w:bookmarkStart w:id="1" w:name="_GoBack"/>
                      <w:bookmarkEnd w:id="1"/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Ensure that the interim provider is aware of the responsibilities they are taking on</w:t>
                      </w:r>
                      <w:r w:rsidR="00511B55">
                        <w:rPr>
                          <w:rFonts w:ascii="Century Gothic" w:hAnsi="Century Gothic"/>
                          <w:b/>
                        </w:rPr>
                        <w:t>; develop a checklist to support them</w:t>
                      </w:r>
                    </w:p>
                    <w:p w:rsidR="006C0490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Develop simple guide for local Practices, based on issues that led to termination</w:t>
                      </w:r>
                    </w:p>
                    <w:p w:rsidR="006C0490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 cases where there are shared premises, involve Landlord and other lease-holders in discussions regarding any difficulties with access to premises from the outset</w:t>
                      </w:r>
                    </w:p>
                    <w:p w:rsidR="006C0490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Ensure that the message to be given to staff about what actions have been taken, and what this means for their employment status</w:t>
                      </w:r>
                      <w:r w:rsidR="005B3D0C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are clear from the outset</w:t>
                      </w:r>
                      <w:r w:rsidR="003D5618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and provide support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E7EDD">
                        <w:rPr>
                          <w:rFonts w:ascii="Century Gothic" w:hAnsi="Century Gothic"/>
                          <w:b/>
                        </w:rPr>
                        <w:t>Ensure there are people available to provide support to patients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and that any communications are sent out in a timely manner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Emphasi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E91796">
                        <w:rPr>
                          <w:rFonts w:ascii="Century Gothic" w:hAnsi="Century Gothic"/>
                          <w:b/>
                        </w:rPr>
                        <w:t>e professional duty to co-operate within the termination letter</w:t>
                      </w:r>
                      <w:r w:rsidR="001A74CE">
                        <w:rPr>
                          <w:rFonts w:ascii="Century Gothic" w:hAnsi="Century Gothic"/>
                          <w:b/>
                        </w:rPr>
                        <w:t>, including allowing access to premises and equipment as necessary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 xml:space="preserve">Obtain legal advice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on occupation rights as early as possible, </w:t>
                      </w:r>
                      <w:r w:rsidRPr="00E91796">
                        <w:rPr>
                          <w:rFonts w:ascii="Century Gothic" w:hAnsi="Century Gothic"/>
                          <w:b/>
                        </w:rPr>
                        <w:t>so that stance is clear at the point the interim provider takes over</w:t>
                      </w:r>
                    </w:p>
                    <w:p w:rsidR="006C0490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Keep a chronological timeline of events and save all evidence in line with this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Retain one file only, which includes all documentation irrespective of directorate/team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Develop a checklist of operational issues that will need to be considered on the first day</w:t>
                      </w:r>
                    </w:p>
                    <w:p w:rsidR="006C0490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Ensure there is a presence of commissioning staff on site during the first few days, with sufficient seniority to make decisions regarding spend and legal issues</w:t>
                      </w:r>
                      <w:r w:rsidRPr="006C049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6C0490" w:rsidRPr="006C0490" w:rsidRDefault="006C0490" w:rsidP="006C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Commissioners should retain evidence of any ownership of assets within general practices</w:t>
                      </w:r>
                    </w:p>
                    <w:p w:rsidR="006C0490" w:rsidRPr="006C0490" w:rsidRDefault="006C0490" w:rsidP="006C049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490" w:rsidRDefault="006C0490">
      <w:pPr>
        <w:rPr>
          <w:b/>
          <w:sz w:val="24"/>
          <w:u w:val="single"/>
        </w:rPr>
      </w:pPr>
    </w:p>
    <w:p w:rsidR="00914F7F" w:rsidRDefault="00914F7F"/>
    <w:p w:rsidR="00D1386C" w:rsidRDefault="00D1386C"/>
    <w:p w:rsidR="00D1386C" w:rsidRDefault="00D1386C"/>
    <w:p w:rsidR="00D1386C" w:rsidRDefault="00D1386C"/>
    <w:p w:rsidR="0001795F" w:rsidRDefault="0001795F"/>
    <w:p w:rsidR="0001795F" w:rsidRPr="0001795F" w:rsidRDefault="0001795F" w:rsidP="0001795F"/>
    <w:p w:rsidR="0001795F" w:rsidRDefault="0001795F" w:rsidP="0001795F"/>
    <w:p w:rsidR="00771D55" w:rsidRDefault="00771D55" w:rsidP="0001795F"/>
    <w:p w:rsidR="00771D55" w:rsidRDefault="00771D55" w:rsidP="0001795F"/>
    <w:p w:rsidR="00771D55" w:rsidRDefault="00771D55" w:rsidP="0001795F"/>
    <w:p w:rsidR="00771D55" w:rsidRDefault="00771D55" w:rsidP="0001795F"/>
    <w:p w:rsidR="00771D55" w:rsidRDefault="00771D55" w:rsidP="0001795F"/>
    <w:p w:rsidR="00771D55" w:rsidRDefault="00771D55" w:rsidP="0001795F"/>
    <w:p w:rsidR="00A57D3E" w:rsidRDefault="00A57D3E" w:rsidP="0001795F"/>
    <w:p w:rsidR="00A57D3E" w:rsidRDefault="00A57D3E" w:rsidP="0001795F"/>
    <w:p w:rsidR="00A57D3E" w:rsidRDefault="00A57D3E" w:rsidP="0001795F"/>
    <w:p w:rsidR="00A57D3E" w:rsidRDefault="00A57D3E" w:rsidP="0001795F"/>
    <w:p w:rsidR="00761C08" w:rsidRDefault="00761C08" w:rsidP="0001795F"/>
    <w:p w:rsidR="00D5334F" w:rsidRDefault="00D5334F" w:rsidP="0053117F"/>
    <w:p w:rsidR="00D5334F" w:rsidRDefault="00D5334F" w:rsidP="0053117F"/>
    <w:p w:rsidR="004E4B04" w:rsidRDefault="004E4B04" w:rsidP="0053117F"/>
    <w:p w:rsidR="00D5334F" w:rsidRDefault="00D5334F" w:rsidP="0053117F"/>
    <w:p w:rsidR="004E4B04" w:rsidRDefault="004E4B04" w:rsidP="0053117F"/>
    <w:p w:rsidR="004E4B04" w:rsidRDefault="004E4B04" w:rsidP="0053117F"/>
    <w:p w:rsidR="00F2669C" w:rsidRDefault="006C0490" w:rsidP="005311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0F79E" wp14:editId="6F38483B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156960" cy="1409700"/>
                <wp:effectExtent l="57150" t="57150" r="110490" b="1143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accent1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7A8D" w:rsidRDefault="003A7A8D" w:rsidP="000179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Level 3 Delegated Commissioning Developmental Area</w:t>
                            </w:r>
                            <w:r w:rsidRPr="00D1386C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:rsidR="003A7A8D" w:rsidRDefault="003A7A8D" w:rsidP="006C04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96">
                              <w:rPr>
                                <w:rFonts w:ascii="Century Gothic" w:hAnsi="Century Gothic"/>
                                <w:b/>
                              </w:rPr>
                              <w:t>Develop a process, and identify named individuals, for the CCG to liaise with regarding quality and safety concerns</w:t>
                            </w:r>
                          </w:p>
                          <w:p w:rsidR="006C0490" w:rsidRPr="00E91796" w:rsidRDefault="006C0490" w:rsidP="006C04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Develop agreed protocol for creating and maintaining files pertaining to safety, quality and contractual issues</w:t>
                            </w:r>
                          </w:p>
                          <w:p w:rsidR="006C0490" w:rsidRPr="006C0490" w:rsidRDefault="006C0490" w:rsidP="006C0490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6pt;margin-top:1.2pt;width:484.8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" strokecolor="#4f81bd [3204]" strokeweight="2.25pt">
                <v:stroke joinstyle="bevel" endcap="round"/>
                <v:shadow on="t" color="black" opacity="26214f" origin="-.5,-.5" offset=".74836mm,.74836mm"/>
                <v:textbox>
                  <w:txbxContent>
                    <w:p w:rsidR="003A7A8D" w:rsidRDefault="003A7A8D" w:rsidP="0001795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Level 3 Delegated Commissioning Developmental Area</w:t>
                      </w:r>
                      <w:r w:rsidRPr="00D1386C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:rsidR="003A7A8D" w:rsidRDefault="003A7A8D" w:rsidP="006C04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E91796">
                        <w:rPr>
                          <w:rFonts w:ascii="Century Gothic" w:hAnsi="Century Gothic"/>
                          <w:b/>
                        </w:rPr>
                        <w:t>Develop a process, and identify named individuals, for the CCG to liaise with regarding quality and safety concerns</w:t>
                      </w:r>
                    </w:p>
                    <w:p w:rsidR="006C0490" w:rsidRPr="00E91796" w:rsidRDefault="006C0490" w:rsidP="006C04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Develop agreed protocol for creating and maintaining files pertaining to safety, quality and contractual issues</w:t>
                      </w:r>
                    </w:p>
                    <w:p w:rsidR="006C0490" w:rsidRPr="006C0490" w:rsidRDefault="006C0490" w:rsidP="006C0490">
                      <w:p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A8D" w:rsidRDefault="003A7A8D" w:rsidP="00FD4C68"/>
    <w:p w:rsidR="008E2C71" w:rsidRDefault="008E2C71" w:rsidP="00960F04"/>
    <w:p w:rsidR="008E2C71" w:rsidRDefault="008E2C71" w:rsidP="00960F04"/>
    <w:p w:rsidR="008E2C71" w:rsidRDefault="008E2C71" w:rsidP="00960F04"/>
    <w:p w:rsidR="003A7A8D" w:rsidRDefault="003A7A8D" w:rsidP="00960F04"/>
    <w:p w:rsidR="00960F04" w:rsidRDefault="00960F04" w:rsidP="0053117F"/>
    <w:p w:rsidR="00960F04" w:rsidRDefault="00960F04" w:rsidP="0053117F"/>
    <w:p w:rsidR="00960F04" w:rsidRDefault="00960F04" w:rsidP="0053117F"/>
    <w:p w:rsidR="00960F04" w:rsidRDefault="00960F04" w:rsidP="0053117F"/>
    <w:p w:rsidR="00960F04" w:rsidRDefault="00960F04" w:rsidP="0053117F"/>
    <w:p w:rsidR="003A7A8D" w:rsidRDefault="003A7A8D" w:rsidP="00960F04"/>
    <w:p w:rsidR="003A7A8D" w:rsidRDefault="003A7A8D" w:rsidP="00960F04"/>
    <w:p w:rsidR="003A7A8D" w:rsidRDefault="003A7A8D" w:rsidP="00960F04"/>
    <w:p w:rsidR="003A7A8D" w:rsidRDefault="003A7A8D" w:rsidP="00960F04"/>
    <w:p w:rsidR="003A7A8D" w:rsidRDefault="003A7A8D" w:rsidP="00960F04"/>
    <w:sectPr w:rsidR="003A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7F" w:rsidRDefault="00253D7F" w:rsidP="00550080">
      <w:pPr>
        <w:spacing w:after="0" w:line="240" w:lineRule="auto"/>
      </w:pPr>
      <w:r>
        <w:separator/>
      </w:r>
    </w:p>
  </w:endnote>
  <w:endnote w:type="continuationSeparator" w:id="0">
    <w:p w:rsidR="00253D7F" w:rsidRDefault="00253D7F" w:rsidP="0055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3" w:rsidRDefault="00C04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91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A8D" w:rsidRDefault="003A7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A8D" w:rsidRDefault="003A7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3" w:rsidRDefault="00C04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7F" w:rsidRDefault="00253D7F" w:rsidP="00550080">
      <w:pPr>
        <w:spacing w:after="0" w:line="240" w:lineRule="auto"/>
      </w:pPr>
      <w:r>
        <w:separator/>
      </w:r>
    </w:p>
  </w:footnote>
  <w:footnote w:type="continuationSeparator" w:id="0">
    <w:p w:rsidR="00253D7F" w:rsidRDefault="00253D7F" w:rsidP="0055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3" w:rsidRDefault="00A713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673" o:spid="_x0000_s2050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8D" w:rsidRDefault="00A713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674" o:spid="_x0000_s2051" type="#_x0000_t136" style="position:absolute;margin-left:0;margin-top:0;width:462.75pt;height:17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.1"/>
          <w10:wrap anchorx="margin" anchory="margin"/>
        </v:shape>
      </w:pict>
    </w:r>
    <w:r w:rsidR="003A7A8D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F68ACF6" wp14:editId="6DC04603">
          <wp:simplePos x="0" y="0"/>
          <wp:positionH relativeFrom="column">
            <wp:posOffset>4614365</wp:posOffset>
          </wp:positionH>
          <wp:positionV relativeFrom="paragraph">
            <wp:posOffset>-281940</wp:posOffset>
          </wp:positionV>
          <wp:extent cx="1786435" cy="632460"/>
          <wp:effectExtent l="0" t="0" r="4445" b="0"/>
          <wp:wrapNone/>
          <wp:docPr id="1" name="Picture 1" descr="Description: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613" cy="631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8D" w:rsidRDefault="003A7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3" w:rsidRDefault="00A713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672" o:spid="_x0000_s2049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B7"/>
    <w:multiLevelType w:val="hybridMultilevel"/>
    <w:tmpl w:val="3664F2B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0750EB"/>
    <w:multiLevelType w:val="hybridMultilevel"/>
    <w:tmpl w:val="F9FA839E"/>
    <w:lvl w:ilvl="0" w:tplc="3B5C90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1AC8"/>
    <w:multiLevelType w:val="hybridMultilevel"/>
    <w:tmpl w:val="455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871"/>
    <w:multiLevelType w:val="hybridMultilevel"/>
    <w:tmpl w:val="FBD2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A287C"/>
    <w:multiLevelType w:val="hybridMultilevel"/>
    <w:tmpl w:val="3AB0F842"/>
    <w:lvl w:ilvl="0" w:tplc="3B5C90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404F"/>
    <w:multiLevelType w:val="hybridMultilevel"/>
    <w:tmpl w:val="2026C8C8"/>
    <w:lvl w:ilvl="0" w:tplc="2A5A26F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4DA5"/>
    <w:multiLevelType w:val="hybridMultilevel"/>
    <w:tmpl w:val="C750C12E"/>
    <w:lvl w:ilvl="0" w:tplc="86A6EE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7BC8"/>
    <w:multiLevelType w:val="hybridMultilevel"/>
    <w:tmpl w:val="B1602CE6"/>
    <w:lvl w:ilvl="0" w:tplc="BA1E8E9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0B8C"/>
    <w:multiLevelType w:val="hybridMultilevel"/>
    <w:tmpl w:val="272ABE6E"/>
    <w:lvl w:ilvl="0" w:tplc="771272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6E95"/>
    <w:multiLevelType w:val="hybridMultilevel"/>
    <w:tmpl w:val="47BAFE10"/>
    <w:lvl w:ilvl="0" w:tplc="7152B6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495D"/>
    <w:multiLevelType w:val="hybridMultilevel"/>
    <w:tmpl w:val="857452F0"/>
    <w:lvl w:ilvl="0" w:tplc="4A7836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782"/>
    <w:multiLevelType w:val="hybridMultilevel"/>
    <w:tmpl w:val="F6F0F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3C5ED3"/>
    <w:multiLevelType w:val="hybridMultilevel"/>
    <w:tmpl w:val="2CB6AC1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3"/>
    <w:rsid w:val="0001795F"/>
    <w:rsid w:val="00061535"/>
    <w:rsid w:val="00081BF2"/>
    <w:rsid w:val="000E7D83"/>
    <w:rsid w:val="00167E1E"/>
    <w:rsid w:val="001806CF"/>
    <w:rsid w:val="001A74CE"/>
    <w:rsid w:val="001B0461"/>
    <w:rsid w:val="00212EC3"/>
    <w:rsid w:val="00220B89"/>
    <w:rsid w:val="00253D7F"/>
    <w:rsid w:val="002546F4"/>
    <w:rsid w:val="00333FC4"/>
    <w:rsid w:val="00352B35"/>
    <w:rsid w:val="003625D9"/>
    <w:rsid w:val="003A7A8D"/>
    <w:rsid w:val="003D5618"/>
    <w:rsid w:val="003F7977"/>
    <w:rsid w:val="004E4B04"/>
    <w:rsid w:val="00510BF2"/>
    <w:rsid w:val="00511B55"/>
    <w:rsid w:val="0053117F"/>
    <w:rsid w:val="00550080"/>
    <w:rsid w:val="005519A0"/>
    <w:rsid w:val="00564D9B"/>
    <w:rsid w:val="0058263B"/>
    <w:rsid w:val="005B3D0C"/>
    <w:rsid w:val="00653BF9"/>
    <w:rsid w:val="00673F01"/>
    <w:rsid w:val="006C0490"/>
    <w:rsid w:val="006E0B1C"/>
    <w:rsid w:val="007054A2"/>
    <w:rsid w:val="00754349"/>
    <w:rsid w:val="00761C08"/>
    <w:rsid w:val="00771D55"/>
    <w:rsid w:val="00791F48"/>
    <w:rsid w:val="008E2C71"/>
    <w:rsid w:val="008E3B98"/>
    <w:rsid w:val="00914F7F"/>
    <w:rsid w:val="00960F04"/>
    <w:rsid w:val="009722EE"/>
    <w:rsid w:val="009A03F2"/>
    <w:rsid w:val="009E574D"/>
    <w:rsid w:val="00A26049"/>
    <w:rsid w:val="00A277FC"/>
    <w:rsid w:val="00A57D3E"/>
    <w:rsid w:val="00A7138E"/>
    <w:rsid w:val="00B00E1B"/>
    <w:rsid w:val="00B11C76"/>
    <w:rsid w:val="00C02D4A"/>
    <w:rsid w:val="00C040D3"/>
    <w:rsid w:val="00CB31BA"/>
    <w:rsid w:val="00CC1C88"/>
    <w:rsid w:val="00CF01F3"/>
    <w:rsid w:val="00D1386C"/>
    <w:rsid w:val="00D43318"/>
    <w:rsid w:val="00D5334F"/>
    <w:rsid w:val="00DD67A0"/>
    <w:rsid w:val="00DE1754"/>
    <w:rsid w:val="00E743B4"/>
    <w:rsid w:val="00E91796"/>
    <w:rsid w:val="00ED0495"/>
    <w:rsid w:val="00EE145C"/>
    <w:rsid w:val="00EE7EDD"/>
    <w:rsid w:val="00F2669C"/>
    <w:rsid w:val="00FB5385"/>
    <w:rsid w:val="00FC3000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80"/>
  </w:style>
  <w:style w:type="paragraph" w:styleId="Footer">
    <w:name w:val="footer"/>
    <w:basedOn w:val="Normal"/>
    <w:link w:val="FooterChar"/>
    <w:uiPriority w:val="99"/>
    <w:unhideWhenUsed/>
    <w:rsid w:val="0055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80"/>
  </w:style>
  <w:style w:type="paragraph" w:styleId="BalloonText">
    <w:name w:val="Balloon Text"/>
    <w:basedOn w:val="Normal"/>
    <w:link w:val="BalloonTextChar"/>
    <w:uiPriority w:val="99"/>
    <w:semiHidden/>
    <w:unhideWhenUsed/>
    <w:rsid w:val="0055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0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4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80"/>
  </w:style>
  <w:style w:type="paragraph" w:styleId="Footer">
    <w:name w:val="footer"/>
    <w:basedOn w:val="Normal"/>
    <w:link w:val="FooterChar"/>
    <w:uiPriority w:val="99"/>
    <w:unhideWhenUsed/>
    <w:rsid w:val="0055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80"/>
  </w:style>
  <w:style w:type="paragraph" w:styleId="BalloonText">
    <w:name w:val="Balloon Text"/>
    <w:basedOn w:val="Normal"/>
    <w:link w:val="BalloonTextChar"/>
    <w:uiPriority w:val="99"/>
    <w:semiHidden/>
    <w:unhideWhenUsed/>
    <w:rsid w:val="0055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0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16</cp:revision>
  <dcterms:created xsi:type="dcterms:W3CDTF">2016-02-10T11:15:00Z</dcterms:created>
  <dcterms:modified xsi:type="dcterms:W3CDTF">2016-02-10T17:16:00Z</dcterms:modified>
</cp:coreProperties>
</file>