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454F7D74" wp14:editId="158CA163">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4F180910" wp14:editId="68208A32">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F21" w:rsidRPr="00DD7564" w:rsidRDefault="002B0F21" w:rsidP="00DD689C">
                            <w:pPr>
                              <w:rPr>
                                <w:rFonts w:ascii="Arial" w:hAnsi="Arial" w:cs="Arial"/>
                                <w:sz w:val="32"/>
                                <w:szCs w:val="32"/>
                              </w:rPr>
                            </w:pPr>
                            <w:proofErr w:type="gramStart"/>
                            <w:r>
                              <w:rPr>
                                <w:rFonts w:ascii="Arial" w:hAnsi="Arial" w:cs="Arial"/>
                                <w:sz w:val="32"/>
                                <w:szCs w:val="32"/>
                              </w:rPr>
                              <w:t xml:space="preserve">Attachment </w:t>
                            </w:r>
                            <w:r w:rsidR="00BC0FCC">
                              <w:rPr>
                                <w:rFonts w:ascii="Arial" w:hAnsi="Arial" w:cs="Arial"/>
                                <w:sz w:val="32"/>
                                <w:szCs w:val="32"/>
                              </w:rPr>
                              <w:t xml:space="preserve"> 21</w:t>
                            </w:r>
                            <w:proofErr w:type="gramEnd"/>
                          </w:p>
                          <w:p w:rsidR="002B0F21" w:rsidRDefault="002B0F21"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2B0F21" w:rsidRPr="00DD7564" w:rsidRDefault="002B0F21" w:rsidP="00DD689C">
                      <w:pPr>
                        <w:rPr>
                          <w:rFonts w:ascii="Arial" w:hAnsi="Arial" w:cs="Arial"/>
                          <w:sz w:val="32"/>
                          <w:szCs w:val="32"/>
                        </w:rPr>
                      </w:pPr>
                      <w:proofErr w:type="gramStart"/>
                      <w:r>
                        <w:rPr>
                          <w:rFonts w:ascii="Arial" w:hAnsi="Arial" w:cs="Arial"/>
                          <w:sz w:val="32"/>
                          <w:szCs w:val="32"/>
                        </w:rPr>
                        <w:t xml:space="preserve">Attachment </w:t>
                      </w:r>
                      <w:r w:rsidR="00BC0FCC">
                        <w:rPr>
                          <w:rFonts w:ascii="Arial" w:hAnsi="Arial" w:cs="Arial"/>
                          <w:sz w:val="32"/>
                          <w:szCs w:val="32"/>
                        </w:rPr>
                        <w:t xml:space="preserve"> 21</w:t>
                      </w:r>
                      <w:proofErr w:type="gramEnd"/>
                    </w:p>
                    <w:p w:rsidR="002B0F21" w:rsidRDefault="002B0F21"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E32E1E" w:rsidP="009306C6">
            <w:pPr>
              <w:rPr>
                <w:rFonts w:ascii="Arial" w:hAnsi="Arial" w:cs="Arial"/>
                <w:bCs/>
                <w:sz w:val="22"/>
                <w:szCs w:val="22"/>
              </w:rPr>
            </w:pPr>
            <w:r>
              <w:rPr>
                <w:rFonts w:ascii="Arial" w:hAnsi="Arial" w:cs="Arial"/>
                <w:bCs/>
                <w:sz w:val="22"/>
                <w:szCs w:val="22"/>
              </w:rPr>
              <w:t>Julie Wilson, Assistant Director Co-Commissioning</w:t>
            </w:r>
          </w:p>
        </w:tc>
        <w:bookmarkStart w:id="0" w:name="_GoBack"/>
        <w:bookmarkEnd w:id="0"/>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9B7A10" w:rsidP="00BC5CEC">
            <w:pPr>
              <w:rPr>
                <w:rFonts w:ascii="Arial" w:hAnsi="Arial" w:cs="Arial"/>
                <w:bCs/>
                <w:sz w:val="22"/>
                <w:szCs w:val="22"/>
              </w:rPr>
            </w:pPr>
            <w:r>
              <w:rPr>
                <w:rFonts w:ascii="Arial" w:hAnsi="Arial" w:cs="Arial"/>
                <w:bCs/>
                <w:sz w:val="22"/>
                <w:szCs w:val="22"/>
              </w:rPr>
              <w:t>16</w:t>
            </w:r>
            <w:r w:rsidRPr="009B7A10">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9B7A10" w:rsidRPr="006F65E5" w:rsidRDefault="009B7A10" w:rsidP="009B7A10">
            <w:pPr>
              <w:pStyle w:val="ListParagraph"/>
              <w:ind w:left="0" w:hanging="43"/>
              <w:rPr>
                <w:rFonts w:ascii="Arial" w:hAnsi="Arial" w:cs="Arial"/>
                <w:b/>
                <w:bCs/>
              </w:rPr>
            </w:pPr>
            <w:r>
              <w:rPr>
                <w:rFonts w:ascii="Arial" w:hAnsi="Arial" w:cs="Arial"/>
                <w:b/>
                <w:bCs/>
              </w:rPr>
              <w:t>Delivering the Forward View: NHS Planning Guidance 2016/17-2020/21 – Implications for Primary Care</w:t>
            </w:r>
          </w:p>
          <w:p w:rsidR="00DD689C" w:rsidRPr="00752FD6" w:rsidRDefault="00DD689C" w:rsidP="000F233C">
            <w:pPr>
              <w:pStyle w:val="ListParagraph"/>
              <w:ind w:left="0" w:hanging="43"/>
              <w:rPr>
                <w:rFonts w:ascii="Arial" w:hAnsi="Arial" w:cs="Arial"/>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1" w:name="Check4"/>
        <w:tc>
          <w:tcPr>
            <w:tcW w:w="8003" w:type="dxa"/>
            <w:shd w:val="clear" w:color="auto" w:fill="auto"/>
          </w:tcPr>
          <w:p w:rsidR="00DD689C" w:rsidRPr="00752FD6" w:rsidRDefault="009B7A10"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9B7A10"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9B7A10" w:rsidRDefault="009B7A10" w:rsidP="009B7A10">
            <w:pPr>
              <w:rPr>
                <w:rFonts w:ascii="Calibri" w:hAnsi="Calibri" w:cs="Calibri"/>
                <w:bCs/>
                <w:sz w:val="22"/>
                <w:szCs w:val="22"/>
              </w:rPr>
            </w:pPr>
            <w:r w:rsidRPr="00F50658">
              <w:rPr>
                <w:rFonts w:ascii="Calibri" w:hAnsi="Calibri" w:cs="Calibri"/>
                <w:bCs/>
                <w:sz w:val="22"/>
                <w:szCs w:val="22"/>
              </w:rPr>
              <w:t>The NHS Planning Guidance 2016/17-2020/21 ‘Delivering the Forward View’ was published on 22nd December 2015</w:t>
            </w:r>
            <w:r>
              <w:rPr>
                <w:rFonts w:ascii="Arial" w:hAnsi="Arial" w:cs="Arial"/>
                <w:bCs/>
                <w:sz w:val="22"/>
                <w:szCs w:val="22"/>
              </w:rPr>
              <w:t xml:space="preserve">. </w:t>
            </w:r>
            <w:r w:rsidRPr="00F50658">
              <w:rPr>
                <w:rFonts w:ascii="Calibri" w:hAnsi="Calibri" w:cs="Calibri"/>
                <w:bCs/>
                <w:sz w:val="22"/>
                <w:szCs w:val="22"/>
              </w:rPr>
              <w:t>The attached paper sets out an initial</w:t>
            </w:r>
            <w:r>
              <w:rPr>
                <w:rFonts w:ascii="Calibri" w:hAnsi="Calibri" w:cs="Calibri"/>
                <w:bCs/>
                <w:sz w:val="22"/>
                <w:szCs w:val="22"/>
              </w:rPr>
              <w:t xml:space="preserve"> assessment of the requirements of primary care</w:t>
            </w:r>
            <w:r w:rsidR="00646395">
              <w:rPr>
                <w:rFonts w:ascii="Calibri" w:hAnsi="Calibri" w:cs="Calibri"/>
                <w:bCs/>
                <w:sz w:val="22"/>
                <w:szCs w:val="22"/>
              </w:rPr>
              <w:t>,</w:t>
            </w:r>
            <w:r>
              <w:rPr>
                <w:rFonts w:ascii="Calibri" w:hAnsi="Calibri" w:cs="Calibri"/>
                <w:bCs/>
                <w:sz w:val="22"/>
                <w:szCs w:val="22"/>
              </w:rPr>
              <w:t xml:space="preserve"> along with an assessment of the current position and/or new requirements for each area. The GP Development Group will continue to support the development </w:t>
            </w:r>
            <w:r w:rsidR="0007646B">
              <w:rPr>
                <w:rFonts w:ascii="Calibri" w:hAnsi="Calibri" w:cs="Calibri"/>
                <w:bCs/>
                <w:sz w:val="22"/>
                <w:szCs w:val="22"/>
              </w:rPr>
              <w:t>work for these requirements, where necessary</w:t>
            </w:r>
            <w:r>
              <w:rPr>
                <w:rFonts w:ascii="Calibri" w:hAnsi="Calibri" w:cs="Calibri"/>
                <w:bCs/>
                <w:sz w:val="22"/>
                <w:szCs w:val="22"/>
              </w:rPr>
              <w:t>.</w:t>
            </w:r>
          </w:p>
          <w:p w:rsidR="009B7A10" w:rsidRDefault="009B7A10" w:rsidP="009B7A10">
            <w:pPr>
              <w:rPr>
                <w:rFonts w:ascii="Calibri" w:hAnsi="Calibri" w:cs="Calibri"/>
                <w:bCs/>
                <w:sz w:val="22"/>
                <w:szCs w:val="22"/>
              </w:rPr>
            </w:pPr>
          </w:p>
          <w:p w:rsidR="006A74AF" w:rsidRDefault="009B7A10" w:rsidP="009B7A10">
            <w:pPr>
              <w:rPr>
                <w:rFonts w:ascii="Calibri" w:hAnsi="Calibri" w:cs="Calibri"/>
                <w:bCs/>
                <w:sz w:val="22"/>
                <w:szCs w:val="22"/>
              </w:rPr>
            </w:pPr>
            <w:r>
              <w:rPr>
                <w:rFonts w:ascii="Calibri" w:hAnsi="Calibri" w:cs="Calibri"/>
                <w:bCs/>
                <w:sz w:val="22"/>
                <w:szCs w:val="22"/>
              </w:rPr>
              <w:t xml:space="preserve">The </w:t>
            </w:r>
            <w:r w:rsidR="00821FD8">
              <w:rPr>
                <w:rFonts w:ascii="Calibri" w:hAnsi="Calibri" w:cs="Calibri"/>
                <w:bCs/>
                <w:sz w:val="22"/>
                <w:szCs w:val="22"/>
              </w:rPr>
              <w:t xml:space="preserve">Joint </w:t>
            </w:r>
            <w:r>
              <w:rPr>
                <w:rFonts w:ascii="Calibri" w:hAnsi="Calibri" w:cs="Calibri"/>
                <w:bCs/>
                <w:sz w:val="22"/>
                <w:szCs w:val="22"/>
              </w:rPr>
              <w:t xml:space="preserve">Co-Commissioning Committee is asked to note the NHS Planning Guidance requirements for Primary Care, for information. </w:t>
            </w:r>
          </w:p>
          <w:p w:rsidR="009B7A10" w:rsidRPr="00752FD6" w:rsidRDefault="009B7A10" w:rsidP="009B7A10">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Default="009B7A10" w:rsidP="00B41D76">
            <w:pPr>
              <w:rPr>
                <w:rFonts w:ascii="Arial" w:hAnsi="Arial" w:cs="Arial"/>
                <w:bCs/>
                <w:sz w:val="22"/>
                <w:szCs w:val="22"/>
              </w:rPr>
            </w:pPr>
            <w:r w:rsidRPr="009B7A10">
              <w:rPr>
                <w:rFonts w:ascii="Calibri" w:hAnsi="Calibri" w:cs="Calibri"/>
                <w:bCs/>
                <w:sz w:val="22"/>
                <w:szCs w:val="22"/>
              </w:rPr>
              <w:t xml:space="preserve">The </w:t>
            </w:r>
            <w:r>
              <w:rPr>
                <w:rFonts w:ascii="Calibri" w:hAnsi="Calibri" w:cs="Calibri"/>
                <w:bCs/>
                <w:sz w:val="22"/>
                <w:szCs w:val="22"/>
              </w:rPr>
              <w:t xml:space="preserve">requirements set out in the </w:t>
            </w:r>
            <w:r w:rsidRPr="009B7A10">
              <w:rPr>
                <w:rFonts w:ascii="Calibri" w:hAnsi="Calibri" w:cs="Calibri"/>
                <w:bCs/>
                <w:sz w:val="22"/>
                <w:szCs w:val="22"/>
              </w:rPr>
              <w:t xml:space="preserve">attached paper will support, and further shape, </w:t>
            </w:r>
            <w:r w:rsidR="0007646B">
              <w:rPr>
                <w:rFonts w:ascii="Calibri" w:hAnsi="Calibri" w:cs="Calibri"/>
                <w:bCs/>
                <w:sz w:val="22"/>
                <w:szCs w:val="22"/>
              </w:rPr>
              <w:t xml:space="preserve">the delivery of the local </w:t>
            </w:r>
            <w:r w:rsidRPr="009B7A10">
              <w:rPr>
                <w:rFonts w:ascii="Calibri" w:hAnsi="Calibri" w:cs="Calibri"/>
                <w:bCs/>
                <w:sz w:val="22"/>
                <w:szCs w:val="22"/>
              </w:rPr>
              <w:t>primary care strategy</w:t>
            </w:r>
            <w:r>
              <w:rPr>
                <w:rFonts w:ascii="Arial" w:hAnsi="Arial" w:cs="Arial"/>
                <w:bCs/>
                <w:sz w:val="22"/>
                <w:szCs w:val="22"/>
              </w:rPr>
              <w:t>.</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9B7A10" w:rsidRDefault="009B7A10" w:rsidP="009B7A10">
            <w:pPr>
              <w:rPr>
                <w:rFonts w:ascii="Calibri" w:hAnsi="Calibri" w:cs="Calibri"/>
                <w:bCs/>
                <w:sz w:val="22"/>
                <w:szCs w:val="22"/>
              </w:rPr>
            </w:pPr>
            <w:r>
              <w:rPr>
                <w:rFonts w:ascii="Calibri" w:hAnsi="Calibri" w:cs="Calibri"/>
                <w:bCs/>
                <w:sz w:val="22"/>
                <w:szCs w:val="22"/>
              </w:rPr>
              <w:t>The following paper sets out more detail regarding the implications for primary care, taken from the latest planning guidance. There are no unexpected areas, and the requirements primarily relate to:</w:t>
            </w:r>
          </w:p>
          <w:p w:rsidR="009B7A10" w:rsidRDefault="009B7A10" w:rsidP="009B7A10">
            <w:pPr>
              <w:rPr>
                <w:rFonts w:ascii="Calibri" w:hAnsi="Calibri" w:cs="Calibri"/>
                <w:bCs/>
                <w:sz w:val="22"/>
                <w:szCs w:val="22"/>
              </w:rPr>
            </w:pPr>
          </w:p>
          <w:p w:rsidR="009B7A10" w:rsidRPr="00483268" w:rsidRDefault="009B7A10" w:rsidP="009B7A10">
            <w:pPr>
              <w:numPr>
                <w:ilvl w:val="0"/>
                <w:numId w:val="25"/>
              </w:numPr>
              <w:rPr>
                <w:rFonts w:ascii="Arial" w:hAnsi="Arial" w:cs="Arial"/>
                <w:bCs/>
                <w:sz w:val="22"/>
                <w:szCs w:val="22"/>
              </w:rPr>
            </w:pPr>
            <w:r w:rsidRPr="00483268">
              <w:rPr>
                <w:rFonts w:ascii="Calibri" w:hAnsi="Calibri" w:cs="Calibri"/>
                <w:bCs/>
                <w:sz w:val="22"/>
                <w:szCs w:val="22"/>
              </w:rPr>
              <w:t>E</w:t>
            </w:r>
            <w:r>
              <w:rPr>
                <w:rFonts w:ascii="Calibri" w:hAnsi="Calibri" w:cs="Calibri"/>
                <w:bCs/>
                <w:sz w:val="22"/>
                <w:szCs w:val="22"/>
              </w:rPr>
              <w:t>nhancing</w:t>
            </w:r>
            <w:r w:rsidRPr="00483268">
              <w:rPr>
                <w:rFonts w:ascii="Calibri" w:hAnsi="Calibri" w:cs="Calibri"/>
                <w:bCs/>
                <w:sz w:val="22"/>
                <w:szCs w:val="22"/>
              </w:rPr>
              <w:t xml:space="preserve"> access</w:t>
            </w:r>
          </w:p>
          <w:p w:rsidR="009B7A10" w:rsidRPr="00483268" w:rsidRDefault="009B7A10" w:rsidP="009B7A10">
            <w:pPr>
              <w:numPr>
                <w:ilvl w:val="0"/>
                <w:numId w:val="25"/>
              </w:numPr>
              <w:rPr>
                <w:rFonts w:ascii="Arial" w:hAnsi="Arial" w:cs="Arial"/>
                <w:bCs/>
                <w:sz w:val="22"/>
                <w:szCs w:val="22"/>
              </w:rPr>
            </w:pPr>
            <w:r>
              <w:rPr>
                <w:rFonts w:ascii="Calibri" w:hAnsi="Calibri" w:cs="Calibri"/>
                <w:bCs/>
                <w:sz w:val="22"/>
                <w:szCs w:val="22"/>
              </w:rPr>
              <w:t>Reducing variation</w:t>
            </w:r>
          </w:p>
          <w:p w:rsidR="009B7A10" w:rsidRPr="00483268" w:rsidRDefault="009B7A10" w:rsidP="009B7A10">
            <w:pPr>
              <w:numPr>
                <w:ilvl w:val="0"/>
                <w:numId w:val="25"/>
              </w:numPr>
              <w:rPr>
                <w:rFonts w:ascii="Arial" w:hAnsi="Arial" w:cs="Arial"/>
                <w:bCs/>
                <w:sz w:val="22"/>
                <w:szCs w:val="22"/>
              </w:rPr>
            </w:pPr>
            <w:r>
              <w:rPr>
                <w:rFonts w:ascii="Calibri" w:hAnsi="Calibri" w:cs="Calibri"/>
                <w:bCs/>
                <w:sz w:val="22"/>
                <w:szCs w:val="22"/>
              </w:rPr>
              <w:t>Increasing the use of technology</w:t>
            </w:r>
          </w:p>
          <w:p w:rsidR="009B7A10" w:rsidRDefault="009B7A10" w:rsidP="00585083">
            <w:pPr>
              <w:jc w:val="both"/>
              <w:rPr>
                <w:rFonts w:ascii="Arial" w:hAnsi="Arial" w:cs="Arial"/>
                <w:bCs/>
                <w:sz w:val="22"/>
                <w:szCs w:val="22"/>
              </w:rPr>
            </w:pPr>
          </w:p>
          <w:p w:rsidR="00646395" w:rsidRPr="009B7A10" w:rsidRDefault="009B7A10" w:rsidP="00585083">
            <w:pPr>
              <w:jc w:val="both"/>
              <w:rPr>
                <w:rFonts w:ascii="Calibri" w:hAnsi="Calibri" w:cs="Calibri"/>
                <w:bCs/>
                <w:sz w:val="22"/>
                <w:szCs w:val="22"/>
              </w:rPr>
            </w:pPr>
            <w:r w:rsidRPr="009B7A10">
              <w:rPr>
                <w:rFonts w:ascii="Calibri" w:hAnsi="Calibri" w:cs="Calibri"/>
                <w:bCs/>
                <w:sz w:val="22"/>
                <w:szCs w:val="22"/>
              </w:rPr>
              <w:t xml:space="preserve">This </w:t>
            </w:r>
            <w:r>
              <w:rPr>
                <w:rFonts w:ascii="Calibri" w:hAnsi="Calibri" w:cs="Calibri"/>
                <w:bCs/>
                <w:sz w:val="22"/>
                <w:szCs w:val="22"/>
              </w:rPr>
              <w:t xml:space="preserve">initial assessment </w:t>
            </w:r>
            <w:r w:rsidR="00646395">
              <w:rPr>
                <w:rFonts w:ascii="Calibri" w:hAnsi="Calibri" w:cs="Calibri"/>
                <w:bCs/>
                <w:sz w:val="22"/>
                <w:szCs w:val="22"/>
              </w:rPr>
              <w:t xml:space="preserve">shows that the CCG is already making good progress against the vast majority of requirements. The document </w:t>
            </w:r>
            <w:r>
              <w:rPr>
                <w:rFonts w:ascii="Calibri" w:hAnsi="Calibri" w:cs="Calibri"/>
                <w:bCs/>
                <w:sz w:val="22"/>
                <w:szCs w:val="22"/>
              </w:rPr>
              <w:t xml:space="preserve">will be used to support the development of more detailed plans, where necessary, which </w:t>
            </w:r>
            <w:r w:rsidR="0007646B">
              <w:rPr>
                <w:rFonts w:ascii="Calibri" w:hAnsi="Calibri" w:cs="Calibri"/>
                <w:bCs/>
                <w:sz w:val="22"/>
                <w:szCs w:val="22"/>
              </w:rPr>
              <w:t>will</w:t>
            </w:r>
            <w:r>
              <w:rPr>
                <w:rFonts w:ascii="Calibri" w:hAnsi="Calibri" w:cs="Calibri"/>
                <w:bCs/>
                <w:sz w:val="22"/>
                <w:szCs w:val="22"/>
              </w:rPr>
              <w:t xml:space="preserve"> be worked up and taken forward by the GP Development Group.</w:t>
            </w:r>
            <w:r w:rsidR="0007646B">
              <w:rPr>
                <w:rFonts w:ascii="Calibri" w:hAnsi="Calibri" w:cs="Calibri"/>
                <w:bCs/>
                <w:sz w:val="22"/>
                <w:szCs w:val="22"/>
              </w:rPr>
              <w:t xml:space="preserve"> </w:t>
            </w:r>
            <w:r w:rsidR="00646395">
              <w:rPr>
                <w:rFonts w:ascii="Calibri" w:hAnsi="Calibri" w:cs="Calibri"/>
                <w:bCs/>
                <w:sz w:val="22"/>
                <w:szCs w:val="22"/>
              </w:rPr>
              <w:t xml:space="preserve">Any implications pertaining to </w:t>
            </w:r>
            <w:r w:rsidR="0007646B">
              <w:rPr>
                <w:rFonts w:ascii="Calibri" w:hAnsi="Calibri" w:cs="Calibri"/>
                <w:bCs/>
                <w:sz w:val="22"/>
                <w:szCs w:val="22"/>
              </w:rPr>
              <w:t xml:space="preserve">contractual arrangements or funding decisions will be brought back to the </w:t>
            </w:r>
            <w:r w:rsidR="00821FD8">
              <w:rPr>
                <w:rFonts w:ascii="Calibri" w:hAnsi="Calibri" w:cs="Calibri"/>
                <w:bCs/>
                <w:sz w:val="22"/>
                <w:szCs w:val="22"/>
              </w:rPr>
              <w:t xml:space="preserve">Joint </w:t>
            </w:r>
            <w:r w:rsidR="0007646B">
              <w:rPr>
                <w:rFonts w:ascii="Calibri" w:hAnsi="Calibri" w:cs="Calibri"/>
                <w:bCs/>
                <w:sz w:val="22"/>
                <w:szCs w:val="22"/>
              </w:rPr>
              <w:t>Co-</w:t>
            </w:r>
            <w:r w:rsidR="0007646B">
              <w:rPr>
                <w:rFonts w:ascii="Calibri" w:hAnsi="Calibri" w:cs="Calibri"/>
                <w:bCs/>
                <w:sz w:val="22"/>
                <w:szCs w:val="22"/>
              </w:rPr>
              <w:lastRenderedPageBreak/>
              <w:t>Commissioning Committee</w:t>
            </w:r>
            <w:r w:rsidR="00646395">
              <w:rPr>
                <w:rFonts w:ascii="Calibri" w:hAnsi="Calibri" w:cs="Calibri"/>
                <w:bCs/>
                <w:sz w:val="22"/>
                <w:szCs w:val="22"/>
              </w:rPr>
              <w:t xml:space="preserve"> for decision</w:t>
            </w:r>
            <w:r w:rsidR="0007646B">
              <w:rPr>
                <w:rFonts w:ascii="Calibri" w:hAnsi="Calibri" w:cs="Calibri"/>
                <w:bCs/>
                <w:sz w:val="22"/>
                <w:szCs w:val="22"/>
              </w:rPr>
              <w:t xml:space="preserve">. </w:t>
            </w:r>
          </w:p>
          <w:p w:rsidR="00DD7564" w:rsidRPr="00752FD6" w:rsidRDefault="00DD7564" w:rsidP="000F233C">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9527E0" w:rsidRDefault="006A74AF" w:rsidP="009306C6">
            <w:pPr>
              <w:rPr>
                <w:rFonts w:ascii="Calibri" w:hAnsi="Calibri" w:cs="Calibri"/>
                <w:bCs/>
                <w:sz w:val="22"/>
                <w:szCs w:val="22"/>
              </w:rPr>
            </w:pPr>
          </w:p>
          <w:p w:rsidR="009527E0" w:rsidRPr="009527E0" w:rsidRDefault="009B7A10" w:rsidP="00646395">
            <w:pPr>
              <w:rPr>
                <w:rFonts w:ascii="Calibri" w:hAnsi="Calibri" w:cs="Calibri"/>
                <w:bCs/>
                <w:sz w:val="22"/>
                <w:szCs w:val="22"/>
              </w:rPr>
            </w:pPr>
            <w:r>
              <w:rPr>
                <w:rFonts w:ascii="Calibri" w:hAnsi="Calibri" w:cs="Calibri"/>
                <w:bCs/>
                <w:sz w:val="22"/>
                <w:szCs w:val="22"/>
              </w:rPr>
              <w:t xml:space="preserve">The </w:t>
            </w:r>
            <w:r w:rsidR="00821FD8">
              <w:rPr>
                <w:rFonts w:ascii="Calibri" w:hAnsi="Calibri" w:cs="Calibri"/>
                <w:bCs/>
                <w:sz w:val="22"/>
                <w:szCs w:val="22"/>
              </w:rPr>
              <w:t xml:space="preserve">Joint </w:t>
            </w:r>
            <w:r>
              <w:rPr>
                <w:rFonts w:ascii="Calibri" w:hAnsi="Calibri" w:cs="Calibri"/>
                <w:bCs/>
                <w:sz w:val="22"/>
                <w:szCs w:val="22"/>
              </w:rPr>
              <w:t xml:space="preserve">Co-Commissioning Committee is asked to note the NHS Planning Guidance requirements for Primary Care. </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9B7A10"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9B7A10"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9B7A10"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9B7A10"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9B7A10"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BC0FCC" w:rsidP="00D7033C">
            <w:pPr>
              <w:spacing w:before="80" w:after="80"/>
              <w:rPr>
                <w:rFonts w:ascii="Arial" w:hAnsi="Arial" w:cs="Arial"/>
                <w:sz w:val="22"/>
                <w:szCs w:val="22"/>
              </w:rPr>
            </w:pPr>
            <w:hyperlink r:id="rId10"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9B7A10"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644FC8" w:rsidRDefault="00644FC8" w:rsidP="00D7033C">
      <w:pPr>
        <w:rPr>
          <w:rFonts w:ascii="Arial" w:hAnsi="Arial" w:cs="Arial"/>
          <w:b/>
          <w:bCs/>
          <w:sz w:val="22"/>
          <w:szCs w:val="22"/>
        </w:rPr>
      </w:pPr>
    </w:p>
    <w:p w:rsidR="00644FC8" w:rsidRDefault="00644FC8"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9B7A10" w:rsidP="00D7033C">
      <w:pPr>
        <w:rPr>
          <w:rFonts w:ascii="Arial" w:hAnsi="Arial" w:cs="Arial"/>
          <w:b/>
          <w:bCs/>
          <w:sz w:val="22"/>
          <w:szCs w:val="22"/>
        </w:rPr>
      </w:pPr>
    </w:p>
    <w:p w:rsidR="009B7A10" w:rsidRDefault="0007646B" w:rsidP="0007646B">
      <w:pPr>
        <w:jc w:val="right"/>
        <w:rPr>
          <w:rFonts w:ascii="Arial" w:hAnsi="Arial" w:cs="Arial"/>
          <w:b/>
          <w:bCs/>
          <w:sz w:val="22"/>
          <w:szCs w:val="22"/>
        </w:rPr>
      </w:pPr>
      <w:r>
        <w:rPr>
          <w:b/>
          <w:noProof/>
          <w:color w:val="365F91"/>
        </w:rPr>
        <w:lastRenderedPageBreak/>
        <w:drawing>
          <wp:inline distT="0" distB="0" distL="0" distR="0" wp14:anchorId="436282C5" wp14:editId="353F9AE8">
            <wp:extent cx="1897380" cy="487680"/>
            <wp:effectExtent l="0" t="0" r="7620" b="7620"/>
            <wp:docPr id="3" name="Picture 3" descr="North East Lincolnshire Clinical Commissioning Group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Lincolnshire Clinical Commissioning Group 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380" cy="487680"/>
                    </a:xfrm>
                    <a:prstGeom prst="rect">
                      <a:avLst/>
                    </a:prstGeom>
                    <a:noFill/>
                    <a:ln>
                      <a:noFill/>
                    </a:ln>
                  </pic:spPr>
                </pic:pic>
              </a:graphicData>
            </a:graphic>
          </wp:inline>
        </w:drawing>
      </w:r>
    </w:p>
    <w:p w:rsidR="009B7A10" w:rsidRDefault="009B7A10" w:rsidP="00D7033C">
      <w:pPr>
        <w:rPr>
          <w:rFonts w:ascii="Arial" w:hAnsi="Arial" w:cs="Arial"/>
          <w:b/>
          <w:bCs/>
          <w:sz w:val="22"/>
          <w:szCs w:val="22"/>
        </w:rPr>
      </w:pPr>
    </w:p>
    <w:p w:rsidR="009B7A10" w:rsidRPr="006A7E73" w:rsidRDefault="009B7A10" w:rsidP="009B7A10">
      <w:pPr>
        <w:rPr>
          <w:rFonts w:ascii="Calibri" w:eastAsia="Calibri" w:hAnsi="Calibri"/>
          <w:b/>
          <w:szCs w:val="22"/>
          <w:lang w:eastAsia="en-US"/>
        </w:rPr>
      </w:pPr>
      <w:r w:rsidRPr="006A7E73">
        <w:rPr>
          <w:rFonts w:ascii="Calibri" w:eastAsia="Calibri" w:hAnsi="Calibri"/>
          <w:b/>
          <w:szCs w:val="22"/>
          <w:lang w:eastAsia="en-US"/>
        </w:rPr>
        <w:t>Delivering the Forward View: NHS planning guidance 2016/17 – 2020/21</w:t>
      </w:r>
    </w:p>
    <w:p w:rsidR="009B7A10" w:rsidRDefault="009B7A10" w:rsidP="009B7A10">
      <w:pPr>
        <w:spacing w:after="200" w:line="276" w:lineRule="auto"/>
        <w:rPr>
          <w:rFonts w:ascii="Calibri" w:eastAsia="Calibri" w:hAnsi="Calibri"/>
          <w:b/>
          <w:szCs w:val="22"/>
          <w:lang w:eastAsia="en-US"/>
        </w:rPr>
      </w:pPr>
    </w:p>
    <w:p w:rsidR="009B7A10" w:rsidRPr="006A7E73" w:rsidRDefault="009B7A10" w:rsidP="009B7A10">
      <w:pPr>
        <w:spacing w:after="200" w:line="276" w:lineRule="auto"/>
        <w:rPr>
          <w:rFonts w:ascii="Calibri" w:eastAsia="Calibri" w:hAnsi="Calibri"/>
          <w:b/>
          <w:szCs w:val="22"/>
          <w:lang w:eastAsia="en-US"/>
        </w:rPr>
      </w:pPr>
      <w:r w:rsidRPr="006A7E73">
        <w:rPr>
          <w:rFonts w:ascii="Calibri" w:eastAsia="Calibri" w:hAnsi="Calibri"/>
          <w:b/>
          <w:szCs w:val="22"/>
          <w:lang w:eastAsia="en-US"/>
        </w:rPr>
        <w:t>Initial assessment of implications for primary care</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237"/>
      </w:tblGrid>
      <w:tr w:rsidR="00F86DFD" w:rsidRPr="002F7B33" w:rsidTr="00F86DFD">
        <w:tc>
          <w:tcPr>
            <w:tcW w:w="4253" w:type="dxa"/>
            <w:shd w:val="clear" w:color="auto" w:fill="auto"/>
          </w:tcPr>
          <w:p w:rsidR="00F86DFD" w:rsidRPr="002F7B33" w:rsidRDefault="00F86DFD" w:rsidP="0007646B">
            <w:pPr>
              <w:rPr>
                <w:rFonts w:ascii="Calibri" w:eastAsia="Calibri" w:hAnsi="Calibri"/>
                <w:b/>
                <w:sz w:val="22"/>
                <w:szCs w:val="22"/>
                <w:lang w:eastAsia="en-US"/>
              </w:rPr>
            </w:pPr>
            <w:r w:rsidRPr="002F7B33">
              <w:rPr>
                <w:rFonts w:ascii="Calibri" w:eastAsia="Calibri" w:hAnsi="Calibri"/>
                <w:b/>
                <w:sz w:val="22"/>
                <w:szCs w:val="22"/>
                <w:lang w:eastAsia="en-US"/>
              </w:rPr>
              <w:t>Requirement</w:t>
            </w:r>
            <w:r>
              <w:rPr>
                <w:rFonts w:ascii="Calibri" w:eastAsia="Calibri" w:hAnsi="Calibri"/>
                <w:b/>
                <w:sz w:val="22"/>
                <w:szCs w:val="22"/>
                <w:lang w:eastAsia="en-US"/>
              </w:rPr>
              <w:t xml:space="preserve"> &amp;</w:t>
            </w:r>
            <w:r w:rsidR="002B0F21">
              <w:rPr>
                <w:rFonts w:ascii="Calibri" w:eastAsia="Calibri" w:hAnsi="Calibri"/>
                <w:b/>
                <w:sz w:val="22"/>
                <w:szCs w:val="22"/>
                <w:lang w:eastAsia="en-US"/>
              </w:rPr>
              <w:t xml:space="preserve"> </w:t>
            </w:r>
            <w:r w:rsidR="002B0F21" w:rsidRPr="002B0F21">
              <w:rPr>
                <w:rFonts w:ascii="Calibri" w:eastAsia="Calibri" w:hAnsi="Calibri"/>
                <w:b/>
                <w:i/>
                <w:sz w:val="22"/>
                <w:szCs w:val="22"/>
                <w:lang w:eastAsia="en-US"/>
              </w:rPr>
              <w:t>Expected</w:t>
            </w:r>
            <w:r w:rsidRPr="002B0F21">
              <w:rPr>
                <w:rFonts w:ascii="Calibri" w:eastAsia="Calibri" w:hAnsi="Calibri"/>
                <w:b/>
                <w:i/>
                <w:sz w:val="22"/>
                <w:szCs w:val="22"/>
                <w:lang w:eastAsia="en-US"/>
              </w:rPr>
              <w:t xml:space="preserve"> Date</w:t>
            </w:r>
          </w:p>
        </w:tc>
        <w:tc>
          <w:tcPr>
            <w:tcW w:w="6237" w:type="dxa"/>
            <w:shd w:val="clear" w:color="auto" w:fill="auto"/>
          </w:tcPr>
          <w:p w:rsidR="00F86DFD" w:rsidRPr="002F7B33" w:rsidRDefault="00F86DFD" w:rsidP="0007646B">
            <w:pPr>
              <w:rPr>
                <w:rFonts w:ascii="Calibri" w:eastAsia="Calibri" w:hAnsi="Calibri"/>
                <w:b/>
                <w:sz w:val="22"/>
                <w:szCs w:val="22"/>
                <w:lang w:eastAsia="en-US"/>
              </w:rPr>
            </w:pPr>
            <w:r w:rsidRPr="002F7B33">
              <w:rPr>
                <w:rFonts w:ascii="Calibri" w:eastAsia="Calibri" w:hAnsi="Calibri"/>
                <w:b/>
                <w:sz w:val="22"/>
                <w:szCs w:val="22"/>
                <w:lang w:eastAsia="en-US"/>
              </w:rPr>
              <w:t>Current position</w:t>
            </w: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20% of population will have enhanced access to primary care</w:t>
            </w:r>
            <w:r>
              <w:rPr>
                <w:rFonts w:ascii="Calibri" w:eastAsia="Calibri" w:hAnsi="Calibri"/>
                <w:sz w:val="22"/>
                <w:szCs w:val="22"/>
                <w:lang w:eastAsia="en-US"/>
              </w:rPr>
              <w:t xml:space="preserve"> - </w:t>
            </w:r>
            <w:r w:rsidRPr="002B0F21">
              <w:rPr>
                <w:rFonts w:ascii="Calibri" w:eastAsia="Calibri" w:hAnsi="Calibri"/>
                <w:i/>
                <w:sz w:val="22"/>
                <w:szCs w:val="22"/>
                <w:lang w:eastAsia="en-US"/>
              </w:rPr>
              <w:t>March 2017</w:t>
            </w:r>
          </w:p>
        </w:tc>
        <w:tc>
          <w:tcPr>
            <w:tcW w:w="6237" w:type="dxa"/>
            <w:shd w:val="clear" w:color="auto" w:fill="auto"/>
          </w:tcPr>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Existing extended access hours</w:t>
            </w:r>
            <w:r w:rsidR="002B0F21">
              <w:rPr>
                <w:rFonts w:ascii="Calibri" w:eastAsia="Calibri" w:hAnsi="Calibri"/>
                <w:sz w:val="22"/>
                <w:szCs w:val="22"/>
                <w:lang w:eastAsia="en-US"/>
              </w:rPr>
              <w:t xml:space="preserve"> (all Practices except 5</w:t>
            </w:r>
            <w:r w:rsidR="000F773D">
              <w:rPr>
                <w:rFonts w:ascii="Calibri" w:eastAsia="Calibri" w:hAnsi="Calibri"/>
                <w:sz w:val="22"/>
                <w:szCs w:val="22"/>
                <w:lang w:eastAsia="en-US"/>
              </w:rPr>
              <w:t>, 93% population</w:t>
            </w:r>
            <w:r w:rsidR="002B0F21">
              <w:rPr>
                <w:rFonts w:ascii="Calibri" w:eastAsia="Calibri" w:hAnsi="Calibri"/>
                <w:sz w:val="22"/>
                <w:szCs w:val="22"/>
                <w:lang w:eastAsia="en-US"/>
              </w:rPr>
              <w:t>)</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 xml:space="preserve">NEL Docks </w:t>
            </w:r>
            <w:r w:rsidR="002B0F21">
              <w:rPr>
                <w:rFonts w:ascii="Calibri" w:eastAsia="Calibri" w:hAnsi="Calibri"/>
                <w:sz w:val="22"/>
                <w:szCs w:val="22"/>
                <w:lang w:eastAsia="en-US"/>
              </w:rPr>
              <w:t xml:space="preserve">7 day project </w:t>
            </w:r>
            <w:r w:rsidRPr="002F7B33">
              <w:rPr>
                <w:rFonts w:ascii="Calibri" w:eastAsia="Calibri" w:hAnsi="Calibri"/>
                <w:sz w:val="22"/>
                <w:szCs w:val="22"/>
                <w:lang w:eastAsia="en-US"/>
              </w:rPr>
              <w:t xml:space="preserve">pilot for evening and weekend access </w:t>
            </w:r>
            <w:r w:rsidR="002B0F21">
              <w:rPr>
                <w:rFonts w:ascii="Calibri" w:eastAsia="Calibri" w:hAnsi="Calibri"/>
                <w:sz w:val="22"/>
                <w:szCs w:val="22"/>
                <w:lang w:eastAsia="en-US"/>
              </w:rPr>
              <w:t xml:space="preserve">from mid Feb 2016 (80,000 patients, 48% of population) </w:t>
            </w:r>
            <w:r w:rsidRPr="002F7B33">
              <w:rPr>
                <w:rFonts w:ascii="Calibri" w:eastAsia="Calibri" w:hAnsi="Calibri"/>
                <w:sz w:val="22"/>
                <w:szCs w:val="22"/>
                <w:lang w:eastAsia="en-US"/>
              </w:rPr>
              <w:t xml:space="preserve">– </w:t>
            </w:r>
            <w:r>
              <w:rPr>
                <w:rFonts w:ascii="Calibri" w:eastAsia="Calibri" w:hAnsi="Calibri"/>
                <w:sz w:val="22"/>
                <w:szCs w:val="22"/>
                <w:lang w:eastAsia="en-US"/>
              </w:rPr>
              <w:t>plans to develop specification for 7 day access, learning from pilot, to be implemented in year</w:t>
            </w:r>
            <w:r w:rsidR="002B0F21">
              <w:rPr>
                <w:rFonts w:ascii="Calibri" w:eastAsia="Calibri" w:hAnsi="Calibri"/>
                <w:sz w:val="22"/>
                <w:szCs w:val="22"/>
                <w:lang w:eastAsia="en-US"/>
              </w:rPr>
              <w:t xml:space="preserve"> 2016/17</w:t>
            </w:r>
          </w:p>
          <w:p w:rsidR="00F86DFD" w:rsidRPr="002F7B33" w:rsidRDefault="00F86DFD" w:rsidP="0007646B">
            <w:pPr>
              <w:rPr>
                <w:rFonts w:ascii="Calibri" w:eastAsia="Calibri" w:hAnsi="Calibri"/>
                <w:sz w:val="22"/>
                <w:szCs w:val="22"/>
                <w:lang w:eastAsia="en-US"/>
              </w:rPr>
            </w:pP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 xml:space="preserve">Improving access to out of hours care by achieving better integration and redesign of 111, minor injuries units, urgent care centres and GP out of hours services to enhance the patient offer and flows into hospital </w:t>
            </w:r>
            <w:r>
              <w:rPr>
                <w:rFonts w:ascii="Calibri" w:eastAsia="Calibri" w:hAnsi="Calibri"/>
                <w:sz w:val="22"/>
                <w:szCs w:val="22"/>
                <w:lang w:eastAsia="en-US"/>
              </w:rPr>
              <w:t xml:space="preserve">- </w:t>
            </w:r>
            <w:r w:rsidRPr="002B0F21">
              <w:rPr>
                <w:rFonts w:ascii="Calibri" w:eastAsia="Calibri" w:hAnsi="Calibri"/>
                <w:i/>
                <w:sz w:val="22"/>
                <w:szCs w:val="22"/>
                <w:lang w:eastAsia="en-US"/>
              </w:rPr>
              <w:t>During 2016/17, but no specific date</w:t>
            </w:r>
          </w:p>
        </w:tc>
        <w:tc>
          <w:tcPr>
            <w:tcW w:w="6237" w:type="dxa"/>
            <w:shd w:val="clear" w:color="auto" w:fill="auto"/>
          </w:tcPr>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Plans for redesigned urgent care system</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Re-procurement of GP out of hours service, in line with urgent care plans</w:t>
            </w: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 xml:space="preserve">Improving access to primary care at weekends and evenings </w:t>
            </w:r>
            <w:r w:rsidRPr="002F7B33">
              <w:rPr>
                <w:rFonts w:ascii="Calibri" w:eastAsia="Calibri" w:hAnsi="Calibri"/>
                <w:b/>
                <w:sz w:val="22"/>
                <w:szCs w:val="22"/>
                <w:lang w:eastAsia="en-US"/>
              </w:rPr>
              <w:t>where patients need it</w:t>
            </w:r>
            <w:r w:rsidRPr="002F7B33">
              <w:rPr>
                <w:rFonts w:ascii="Calibri" w:eastAsia="Calibri" w:hAnsi="Calibri"/>
                <w:sz w:val="22"/>
                <w:szCs w:val="22"/>
                <w:lang w:eastAsia="en-US"/>
              </w:rPr>
              <w:t xml:space="preserve"> by increasing the capacity and resilience of primary care over the next few years</w:t>
            </w:r>
            <w:r>
              <w:rPr>
                <w:rFonts w:ascii="Calibri" w:eastAsia="Calibri" w:hAnsi="Calibri"/>
                <w:sz w:val="22"/>
                <w:szCs w:val="22"/>
                <w:lang w:eastAsia="en-US"/>
              </w:rPr>
              <w:t xml:space="preserve"> - </w:t>
            </w:r>
            <w:r w:rsidRPr="002F7B33">
              <w:rPr>
                <w:rFonts w:ascii="Calibri" w:eastAsia="Calibri" w:hAnsi="Calibri"/>
                <w:sz w:val="22"/>
                <w:szCs w:val="22"/>
                <w:lang w:eastAsia="en-US"/>
              </w:rPr>
              <w:t xml:space="preserve">During 2016/17, although makes reference to ‘over the next few years’ – </w:t>
            </w:r>
            <w:r w:rsidRPr="002B0F21">
              <w:rPr>
                <w:rFonts w:ascii="Calibri" w:eastAsia="Calibri" w:hAnsi="Calibri"/>
                <w:i/>
                <w:sz w:val="22"/>
                <w:szCs w:val="22"/>
                <w:lang w:eastAsia="en-US"/>
              </w:rPr>
              <w:t>expectation of some progress in 2016/17, including the 20% highlighted above</w:t>
            </w:r>
          </w:p>
        </w:tc>
        <w:tc>
          <w:tcPr>
            <w:tcW w:w="6237" w:type="dxa"/>
            <w:shd w:val="clear" w:color="auto" w:fill="auto"/>
          </w:tcPr>
          <w:p w:rsidR="000F773D" w:rsidRPr="002F7B33" w:rsidRDefault="000F773D" w:rsidP="000F773D">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Existing extended access hours</w:t>
            </w:r>
            <w:r>
              <w:rPr>
                <w:rFonts w:ascii="Calibri" w:eastAsia="Calibri" w:hAnsi="Calibri"/>
                <w:sz w:val="22"/>
                <w:szCs w:val="22"/>
                <w:lang w:eastAsia="en-US"/>
              </w:rPr>
              <w:t xml:space="preserve"> (all Practices except 5, 93% population)</w:t>
            </w:r>
          </w:p>
          <w:p w:rsidR="002B0F21" w:rsidRPr="002F7B33" w:rsidRDefault="002B0F21" w:rsidP="002B0F21">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 xml:space="preserve">NEL Docks </w:t>
            </w:r>
            <w:r>
              <w:rPr>
                <w:rFonts w:ascii="Calibri" w:eastAsia="Calibri" w:hAnsi="Calibri"/>
                <w:sz w:val="22"/>
                <w:szCs w:val="22"/>
                <w:lang w:eastAsia="en-US"/>
              </w:rPr>
              <w:t xml:space="preserve">7 day project </w:t>
            </w:r>
            <w:r w:rsidRPr="002F7B33">
              <w:rPr>
                <w:rFonts w:ascii="Calibri" w:eastAsia="Calibri" w:hAnsi="Calibri"/>
                <w:sz w:val="22"/>
                <w:szCs w:val="22"/>
                <w:lang w:eastAsia="en-US"/>
              </w:rPr>
              <w:t xml:space="preserve">pilot for evening and weekend access </w:t>
            </w:r>
            <w:r>
              <w:rPr>
                <w:rFonts w:ascii="Calibri" w:eastAsia="Calibri" w:hAnsi="Calibri"/>
                <w:sz w:val="22"/>
                <w:szCs w:val="22"/>
                <w:lang w:eastAsia="en-US"/>
              </w:rPr>
              <w:t xml:space="preserve">from mid Feb 2016 (80,000 patients, 48% of population) </w:t>
            </w:r>
            <w:r w:rsidRPr="002F7B33">
              <w:rPr>
                <w:rFonts w:ascii="Calibri" w:eastAsia="Calibri" w:hAnsi="Calibri"/>
                <w:sz w:val="22"/>
                <w:szCs w:val="22"/>
                <w:lang w:eastAsia="en-US"/>
              </w:rPr>
              <w:t xml:space="preserve">– </w:t>
            </w:r>
            <w:r>
              <w:rPr>
                <w:rFonts w:ascii="Calibri" w:eastAsia="Calibri" w:hAnsi="Calibri"/>
                <w:sz w:val="22"/>
                <w:szCs w:val="22"/>
                <w:lang w:eastAsia="en-US"/>
              </w:rPr>
              <w:t>plans to develop specification for 7 day access, learning from pilot, to be implemented in year 2016/17</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Proposed bespoke support for practices regarding demand and capacity</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LINCS GP Federation commissioned to work with local practices on sustainability and resilience</w:t>
            </w:r>
          </w:p>
          <w:p w:rsidR="00F86DFD" w:rsidRDefault="00F86DFD" w:rsidP="009B7A10">
            <w:pPr>
              <w:numPr>
                <w:ilvl w:val="0"/>
                <w:numId w:val="26"/>
              </w:numPr>
              <w:contextualSpacing/>
              <w:rPr>
                <w:rFonts w:ascii="Calibri" w:eastAsia="Calibri" w:hAnsi="Calibri"/>
                <w:sz w:val="22"/>
                <w:szCs w:val="22"/>
                <w:lang w:eastAsia="en-US"/>
              </w:rPr>
            </w:pPr>
            <w:r>
              <w:rPr>
                <w:rFonts w:ascii="Calibri" w:eastAsia="Calibri" w:hAnsi="Calibri"/>
                <w:sz w:val="22"/>
                <w:szCs w:val="22"/>
                <w:lang w:eastAsia="en-US"/>
              </w:rPr>
              <w:t>Dutch recruitment initiative</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Successful bid for pharmacists in General Practice – recruitment undertaken and posts to commence from March 2016</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Joint research programme with HYMS regarding role of Physiotherapists in supporting workload of General Practice – commenced October 2015</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Established links with HYMS regarding progress with Physician Associate programme</w:t>
            </w:r>
          </w:p>
          <w:p w:rsidR="00F86DFD" w:rsidRPr="002F7B33" w:rsidRDefault="00F86DFD" w:rsidP="00C705E0">
            <w:pPr>
              <w:numPr>
                <w:ilvl w:val="0"/>
                <w:numId w:val="26"/>
              </w:numPr>
              <w:contextualSpacing/>
              <w:rPr>
                <w:rFonts w:ascii="Calibri" w:eastAsia="Calibri" w:hAnsi="Calibri"/>
                <w:sz w:val="22"/>
                <w:szCs w:val="22"/>
                <w:lang w:eastAsia="en-US"/>
              </w:rPr>
            </w:pPr>
            <w:r>
              <w:rPr>
                <w:rFonts w:ascii="Calibri" w:eastAsia="Calibri" w:hAnsi="Calibri"/>
                <w:sz w:val="22"/>
                <w:szCs w:val="22"/>
                <w:lang w:eastAsia="en-US"/>
              </w:rPr>
              <w:t xml:space="preserve">Need to understand evidence to support </w:t>
            </w:r>
            <w:r w:rsidRPr="002F7B33">
              <w:rPr>
                <w:rFonts w:ascii="Calibri" w:eastAsia="Calibri" w:hAnsi="Calibri"/>
                <w:sz w:val="22"/>
                <w:szCs w:val="22"/>
                <w:lang w:eastAsia="en-US"/>
              </w:rPr>
              <w:t xml:space="preserve">patient </w:t>
            </w:r>
            <w:r w:rsidRPr="002F7B33">
              <w:rPr>
                <w:rFonts w:ascii="Calibri" w:eastAsia="Calibri" w:hAnsi="Calibri"/>
                <w:b/>
                <w:sz w:val="22"/>
                <w:szCs w:val="22"/>
                <w:lang w:eastAsia="en-US"/>
              </w:rPr>
              <w:t xml:space="preserve">need </w:t>
            </w:r>
            <w:r w:rsidRPr="002F7B33">
              <w:rPr>
                <w:rFonts w:ascii="Calibri" w:eastAsia="Calibri" w:hAnsi="Calibri"/>
                <w:sz w:val="22"/>
                <w:szCs w:val="22"/>
                <w:lang w:eastAsia="en-US"/>
              </w:rPr>
              <w:t>during evenings and weekends</w:t>
            </w: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Continue to meet a dementia diagnosis rate of at least two thirds of the estimated population of people with dementia</w:t>
            </w:r>
            <w:r>
              <w:rPr>
                <w:rFonts w:ascii="Calibri" w:eastAsia="Calibri" w:hAnsi="Calibri"/>
                <w:sz w:val="22"/>
                <w:szCs w:val="22"/>
                <w:lang w:eastAsia="en-US"/>
              </w:rPr>
              <w:t xml:space="preserve"> -</w:t>
            </w:r>
            <w:r w:rsidRPr="002F7B33">
              <w:rPr>
                <w:rFonts w:ascii="Calibri" w:eastAsia="Calibri" w:hAnsi="Calibri"/>
                <w:sz w:val="22"/>
                <w:szCs w:val="22"/>
                <w:lang w:eastAsia="en-US"/>
              </w:rPr>
              <w:t xml:space="preserve"> </w:t>
            </w:r>
            <w:r w:rsidRPr="002B0F21">
              <w:rPr>
                <w:rFonts w:ascii="Calibri" w:eastAsia="Calibri" w:hAnsi="Calibri"/>
                <w:i/>
                <w:sz w:val="22"/>
                <w:szCs w:val="22"/>
                <w:lang w:eastAsia="en-US"/>
              </w:rPr>
              <w:t>During 2016/17</w:t>
            </w:r>
          </w:p>
        </w:tc>
        <w:tc>
          <w:tcPr>
            <w:tcW w:w="6237" w:type="dxa"/>
            <w:shd w:val="clear" w:color="auto" w:fill="auto"/>
          </w:tcPr>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Already achieving; need to maintain. Latest data (Nov 2015) shows a diagnosis rate of 72.3%, against national average of 67.1%</w:t>
            </w:r>
          </w:p>
          <w:p w:rsidR="00F86DFD" w:rsidRPr="002F7B33" w:rsidRDefault="00F86DFD" w:rsidP="0007646B">
            <w:pPr>
              <w:ind w:left="360"/>
              <w:contextualSpacing/>
              <w:rPr>
                <w:rFonts w:ascii="Calibri" w:eastAsia="Calibri" w:hAnsi="Calibri"/>
                <w:sz w:val="22"/>
                <w:szCs w:val="22"/>
                <w:lang w:eastAsia="en-US"/>
              </w:rPr>
            </w:pP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Tackling unwarranted variation in demand</w:t>
            </w:r>
            <w:r>
              <w:rPr>
                <w:rFonts w:ascii="Calibri" w:eastAsia="Calibri" w:hAnsi="Calibri"/>
                <w:sz w:val="22"/>
                <w:szCs w:val="22"/>
                <w:lang w:eastAsia="en-US"/>
              </w:rPr>
              <w:t xml:space="preserve"> - </w:t>
            </w:r>
            <w:r w:rsidRPr="002B0F21">
              <w:rPr>
                <w:rFonts w:ascii="Calibri" w:eastAsia="Calibri" w:hAnsi="Calibri"/>
                <w:i/>
                <w:sz w:val="22"/>
                <w:szCs w:val="22"/>
                <w:lang w:eastAsia="en-US"/>
              </w:rPr>
              <w:t>During 2016/17</w:t>
            </w:r>
          </w:p>
        </w:tc>
        <w:tc>
          <w:tcPr>
            <w:tcW w:w="6237" w:type="dxa"/>
            <w:shd w:val="clear" w:color="auto" w:fill="auto"/>
          </w:tcPr>
          <w:p w:rsidR="00F86DFD" w:rsidRPr="002F7B33" w:rsidRDefault="00F86DFD" w:rsidP="009B7A10">
            <w:pPr>
              <w:numPr>
                <w:ilvl w:val="0"/>
                <w:numId w:val="26"/>
              </w:numPr>
              <w:contextualSpacing/>
              <w:rPr>
                <w:rFonts w:ascii="Calibri" w:eastAsia="Calibri" w:hAnsi="Calibri"/>
                <w:i/>
                <w:sz w:val="22"/>
                <w:szCs w:val="22"/>
                <w:lang w:eastAsia="en-US"/>
              </w:rPr>
            </w:pPr>
            <w:r w:rsidRPr="002F7B33">
              <w:rPr>
                <w:rFonts w:ascii="Calibri" w:eastAsia="Calibri" w:hAnsi="Calibri"/>
                <w:sz w:val="22"/>
                <w:szCs w:val="22"/>
                <w:lang w:eastAsia="en-US"/>
              </w:rPr>
              <w:t>Local Quality Improvement Scheme</w:t>
            </w:r>
          </w:p>
          <w:p w:rsidR="00F86DFD" w:rsidRPr="002F7B33" w:rsidRDefault="00F86DFD" w:rsidP="009B7A10">
            <w:pPr>
              <w:numPr>
                <w:ilvl w:val="0"/>
                <w:numId w:val="26"/>
              </w:numPr>
              <w:contextualSpacing/>
              <w:rPr>
                <w:rFonts w:ascii="Calibri" w:eastAsia="Calibri" w:hAnsi="Calibri"/>
                <w:i/>
                <w:sz w:val="22"/>
                <w:szCs w:val="22"/>
                <w:lang w:eastAsia="en-US"/>
              </w:rPr>
            </w:pPr>
            <w:r w:rsidRPr="002F7B33">
              <w:rPr>
                <w:rFonts w:ascii="Calibri" w:eastAsia="Calibri" w:hAnsi="Calibri"/>
                <w:sz w:val="22"/>
                <w:szCs w:val="22"/>
                <w:lang w:eastAsia="en-US"/>
              </w:rPr>
              <w:t xml:space="preserve">Proposal to review with a view to continuing with a quality scheme, which is re-focused and has revised monitoring </w:t>
            </w:r>
            <w:r w:rsidRPr="002F7B33">
              <w:rPr>
                <w:rFonts w:ascii="Calibri" w:eastAsia="Calibri" w:hAnsi="Calibri"/>
                <w:sz w:val="22"/>
                <w:szCs w:val="22"/>
                <w:lang w:eastAsia="en-US"/>
              </w:rPr>
              <w:lastRenderedPageBreak/>
              <w:t>requirements</w:t>
            </w:r>
          </w:p>
          <w:p w:rsidR="00F86DFD" w:rsidRPr="002F7B33" w:rsidRDefault="00F86DFD" w:rsidP="0007646B">
            <w:pPr>
              <w:rPr>
                <w:rFonts w:ascii="Calibri" w:eastAsia="Calibri" w:hAnsi="Calibri"/>
                <w:i/>
                <w:sz w:val="22"/>
                <w:szCs w:val="22"/>
                <w:lang w:eastAsia="en-US"/>
              </w:rPr>
            </w:pPr>
          </w:p>
        </w:tc>
      </w:tr>
      <w:tr w:rsidR="00F86DFD" w:rsidRPr="002F7B33" w:rsidTr="00F86DFD">
        <w:tc>
          <w:tcPr>
            <w:tcW w:w="4253" w:type="dxa"/>
            <w:tcBorders>
              <w:bottom w:val="single" w:sz="4" w:space="0" w:color="auto"/>
            </w:tcBorders>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lastRenderedPageBreak/>
              <w:t>Plans to implement new workforce roles</w:t>
            </w:r>
            <w:r>
              <w:rPr>
                <w:rFonts w:ascii="Calibri" w:eastAsia="Calibri" w:hAnsi="Calibri"/>
                <w:sz w:val="22"/>
                <w:szCs w:val="22"/>
                <w:lang w:eastAsia="en-US"/>
              </w:rPr>
              <w:t xml:space="preserve"> - </w:t>
            </w:r>
            <w:r w:rsidRPr="002B0F21">
              <w:rPr>
                <w:rFonts w:ascii="Calibri" w:eastAsia="Calibri" w:hAnsi="Calibri"/>
                <w:i/>
                <w:sz w:val="22"/>
                <w:szCs w:val="22"/>
                <w:lang w:eastAsia="en-US"/>
              </w:rPr>
              <w:t>During 2016/17</w:t>
            </w:r>
          </w:p>
        </w:tc>
        <w:tc>
          <w:tcPr>
            <w:tcW w:w="6237" w:type="dxa"/>
            <w:tcBorders>
              <w:bottom w:val="single" w:sz="4" w:space="0" w:color="auto"/>
            </w:tcBorders>
            <w:shd w:val="clear" w:color="auto" w:fill="auto"/>
          </w:tcPr>
          <w:p w:rsidR="00F86DFD" w:rsidRPr="002F7B33" w:rsidRDefault="00F86DFD" w:rsidP="009B7A10">
            <w:pPr>
              <w:numPr>
                <w:ilvl w:val="0"/>
                <w:numId w:val="26"/>
              </w:numPr>
              <w:contextualSpacing/>
              <w:rPr>
                <w:rFonts w:ascii="Calibri" w:eastAsia="Calibri" w:hAnsi="Calibri"/>
                <w:i/>
                <w:sz w:val="22"/>
                <w:szCs w:val="22"/>
                <w:lang w:eastAsia="en-US"/>
              </w:rPr>
            </w:pPr>
            <w:r w:rsidRPr="002F7B33">
              <w:rPr>
                <w:rFonts w:ascii="Calibri" w:eastAsia="Calibri" w:hAnsi="Calibri"/>
                <w:sz w:val="22"/>
                <w:szCs w:val="22"/>
                <w:lang w:eastAsia="en-US"/>
              </w:rPr>
              <w:t>As above</w:t>
            </w:r>
          </w:p>
        </w:tc>
      </w:tr>
      <w:tr w:rsidR="00F86DFD" w:rsidRPr="002F7B33" w:rsidTr="00F86DFD">
        <w:tc>
          <w:tcPr>
            <w:tcW w:w="4253" w:type="dxa"/>
            <w:tcBorders>
              <w:bottom w:val="single" w:sz="4" w:space="0" w:color="auto"/>
            </w:tcBorders>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Efficiency improvements across primary care</w:t>
            </w:r>
            <w:r>
              <w:rPr>
                <w:rFonts w:ascii="Calibri" w:eastAsia="Calibri" w:hAnsi="Calibri"/>
                <w:sz w:val="22"/>
                <w:szCs w:val="22"/>
                <w:lang w:eastAsia="en-US"/>
              </w:rPr>
              <w:t xml:space="preserve"> - </w:t>
            </w:r>
            <w:r w:rsidRPr="002B0F21">
              <w:rPr>
                <w:rFonts w:ascii="Calibri" w:eastAsia="Calibri" w:hAnsi="Calibri"/>
                <w:i/>
                <w:sz w:val="22"/>
                <w:szCs w:val="22"/>
                <w:lang w:eastAsia="en-US"/>
              </w:rPr>
              <w:t>During 216/17</w:t>
            </w:r>
          </w:p>
        </w:tc>
        <w:tc>
          <w:tcPr>
            <w:tcW w:w="6237" w:type="dxa"/>
            <w:tcBorders>
              <w:bottom w:val="single" w:sz="4" w:space="0" w:color="auto"/>
            </w:tcBorders>
            <w:shd w:val="clear" w:color="auto" w:fill="auto"/>
          </w:tcPr>
          <w:p w:rsidR="00F86DFD" w:rsidRPr="002F7B33" w:rsidRDefault="00F86DFD" w:rsidP="009B7A10">
            <w:pPr>
              <w:numPr>
                <w:ilvl w:val="0"/>
                <w:numId w:val="26"/>
              </w:numPr>
              <w:contextualSpacing/>
              <w:rPr>
                <w:rFonts w:ascii="Calibri" w:eastAsia="Calibri" w:hAnsi="Calibri"/>
                <w:i/>
                <w:sz w:val="22"/>
                <w:szCs w:val="22"/>
                <w:lang w:eastAsia="en-US"/>
              </w:rPr>
            </w:pPr>
            <w:r>
              <w:rPr>
                <w:rFonts w:ascii="Calibri" w:eastAsia="Calibri" w:hAnsi="Calibri"/>
                <w:sz w:val="22"/>
                <w:szCs w:val="22"/>
                <w:lang w:eastAsia="en-US"/>
              </w:rPr>
              <w:t>Re</w:t>
            </w:r>
            <w:r w:rsidRPr="002F7B33">
              <w:rPr>
                <w:rFonts w:ascii="Calibri" w:eastAsia="Calibri" w:hAnsi="Calibri"/>
                <w:sz w:val="22"/>
                <w:szCs w:val="22"/>
                <w:lang w:eastAsia="en-US"/>
              </w:rPr>
              <w:t>quires further clarification from NHS England</w:t>
            </w:r>
          </w:p>
        </w:tc>
      </w:tr>
      <w:tr w:rsidR="00F86DFD" w:rsidRPr="002F7B33" w:rsidTr="00F86DFD">
        <w:tc>
          <w:tcPr>
            <w:tcW w:w="4253" w:type="dxa"/>
            <w:tcBorders>
              <w:top w:val="single" w:sz="4" w:space="0" w:color="auto"/>
              <w:left w:val="nil"/>
              <w:bottom w:val="nil"/>
              <w:right w:val="nil"/>
            </w:tcBorders>
            <w:shd w:val="clear" w:color="auto" w:fill="auto"/>
          </w:tcPr>
          <w:p w:rsidR="00F86DFD" w:rsidRPr="002F7B33" w:rsidRDefault="00F86DFD" w:rsidP="0007646B">
            <w:pPr>
              <w:rPr>
                <w:rFonts w:ascii="Calibri" w:eastAsia="Calibri" w:hAnsi="Calibri"/>
                <w:sz w:val="22"/>
                <w:szCs w:val="22"/>
                <w:lang w:eastAsia="en-US"/>
              </w:rPr>
            </w:pPr>
          </w:p>
        </w:tc>
        <w:tc>
          <w:tcPr>
            <w:tcW w:w="6237" w:type="dxa"/>
            <w:tcBorders>
              <w:top w:val="single" w:sz="4" w:space="0" w:color="auto"/>
              <w:left w:val="nil"/>
              <w:bottom w:val="nil"/>
              <w:right w:val="nil"/>
            </w:tcBorders>
            <w:shd w:val="clear" w:color="auto" w:fill="auto"/>
          </w:tcPr>
          <w:p w:rsidR="00F86DFD" w:rsidRPr="002F7B33" w:rsidRDefault="00F86DFD" w:rsidP="0007646B">
            <w:pPr>
              <w:rPr>
                <w:rFonts w:ascii="Calibri" w:eastAsia="Calibri" w:hAnsi="Calibri"/>
                <w:sz w:val="22"/>
                <w:szCs w:val="22"/>
                <w:lang w:eastAsia="en-US"/>
              </w:rPr>
            </w:pPr>
          </w:p>
        </w:tc>
      </w:tr>
      <w:tr w:rsidR="00F86DFD" w:rsidRPr="002F7B33" w:rsidTr="00F86DFD">
        <w:tc>
          <w:tcPr>
            <w:tcW w:w="4253" w:type="dxa"/>
            <w:tcBorders>
              <w:top w:val="single" w:sz="4" w:space="0" w:color="auto"/>
            </w:tcBorders>
            <w:shd w:val="clear" w:color="auto" w:fill="auto"/>
          </w:tcPr>
          <w:p w:rsidR="00F86DFD" w:rsidRPr="002F7B33" w:rsidRDefault="00F86DFD" w:rsidP="0007646B">
            <w:pPr>
              <w:rPr>
                <w:rFonts w:ascii="Calibri" w:eastAsia="Calibri" w:hAnsi="Calibri"/>
                <w:b/>
                <w:sz w:val="22"/>
                <w:szCs w:val="22"/>
                <w:lang w:eastAsia="en-US"/>
              </w:rPr>
            </w:pPr>
            <w:r w:rsidRPr="002F7B33">
              <w:rPr>
                <w:rFonts w:ascii="Calibri" w:eastAsia="Calibri" w:hAnsi="Calibri"/>
                <w:b/>
                <w:sz w:val="22"/>
                <w:szCs w:val="22"/>
                <w:lang w:eastAsia="en-US"/>
              </w:rPr>
              <w:t>Requirement</w:t>
            </w:r>
          </w:p>
        </w:tc>
        <w:tc>
          <w:tcPr>
            <w:tcW w:w="6237" w:type="dxa"/>
            <w:tcBorders>
              <w:top w:val="single" w:sz="4" w:space="0" w:color="auto"/>
            </w:tcBorders>
            <w:shd w:val="clear" w:color="auto" w:fill="auto"/>
          </w:tcPr>
          <w:p w:rsidR="00F86DFD" w:rsidRPr="002F7B33" w:rsidRDefault="00F86DFD" w:rsidP="0007646B">
            <w:pPr>
              <w:rPr>
                <w:rFonts w:ascii="Calibri" w:eastAsia="Calibri" w:hAnsi="Calibri"/>
                <w:b/>
                <w:sz w:val="22"/>
                <w:szCs w:val="22"/>
                <w:lang w:eastAsia="en-US"/>
              </w:rPr>
            </w:pPr>
            <w:r w:rsidRPr="002F7B33">
              <w:rPr>
                <w:rFonts w:ascii="Calibri" w:eastAsia="Calibri" w:hAnsi="Calibri"/>
                <w:b/>
                <w:sz w:val="22"/>
                <w:szCs w:val="22"/>
                <w:lang w:eastAsia="en-US"/>
              </w:rPr>
              <w:t>Implication for local area</w:t>
            </w:r>
          </w:p>
        </w:tc>
      </w:tr>
      <w:tr w:rsidR="00F86DFD" w:rsidRPr="002F7B33" w:rsidTr="00F86DFD">
        <w:tc>
          <w:tcPr>
            <w:tcW w:w="4253" w:type="dxa"/>
            <w:tcBorders>
              <w:top w:val="single" w:sz="4" w:space="0" w:color="auto"/>
            </w:tcBorders>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Measureable improvement in primary care productivity, including through supporting community pharmacy reform</w:t>
            </w:r>
            <w:r>
              <w:rPr>
                <w:rFonts w:ascii="Calibri" w:eastAsia="Calibri" w:hAnsi="Calibri"/>
                <w:sz w:val="22"/>
                <w:szCs w:val="22"/>
                <w:lang w:eastAsia="en-US"/>
              </w:rPr>
              <w:t xml:space="preserve"> - </w:t>
            </w:r>
            <w:r w:rsidRPr="002B0F21">
              <w:rPr>
                <w:rFonts w:ascii="Calibri" w:eastAsia="Calibri" w:hAnsi="Calibri"/>
                <w:i/>
                <w:sz w:val="22"/>
                <w:szCs w:val="22"/>
                <w:lang w:eastAsia="en-US"/>
              </w:rPr>
              <w:t>During 2016/17</w:t>
            </w:r>
          </w:p>
        </w:tc>
        <w:tc>
          <w:tcPr>
            <w:tcW w:w="6237" w:type="dxa"/>
            <w:tcBorders>
              <w:top w:val="single" w:sz="4" w:space="0" w:color="auto"/>
            </w:tcBorders>
            <w:shd w:val="clear" w:color="auto" w:fill="auto"/>
          </w:tcPr>
          <w:p w:rsidR="00F86DFD" w:rsidRPr="002F7B33" w:rsidRDefault="00F86DFD" w:rsidP="002B0F21">
            <w:pPr>
              <w:numPr>
                <w:ilvl w:val="0"/>
                <w:numId w:val="26"/>
              </w:numPr>
              <w:contextualSpacing/>
              <w:rPr>
                <w:rFonts w:ascii="Calibri" w:eastAsia="Calibri" w:hAnsi="Calibri"/>
                <w:i/>
                <w:sz w:val="22"/>
                <w:szCs w:val="22"/>
                <w:lang w:eastAsia="en-US"/>
              </w:rPr>
            </w:pPr>
            <w:r>
              <w:rPr>
                <w:rFonts w:ascii="Calibri" w:eastAsia="Calibri" w:hAnsi="Calibri"/>
                <w:sz w:val="22"/>
                <w:szCs w:val="22"/>
                <w:lang w:eastAsia="en-US"/>
              </w:rPr>
              <w:t>NHS England</w:t>
            </w:r>
            <w:r w:rsidR="002B0F21">
              <w:rPr>
                <w:rFonts w:ascii="Calibri" w:eastAsia="Calibri" w:hAnsi="Calibri"/>
                <w:sz w:val="22"/>
                <w:szCs w:val="22"/>
                <w:lang w:eastAsia="en-US"/>
              </w:rPr>
              <w:t xml:space="preserve"> requirement, pertaining to Pharmacy services. Need to understand plans and how these align with local strategy.</w:t>
            </w: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Measureable reduction in variation in management and care for people with diabetes</w:t>
            </w:r>
            <w:r>
              <w:rPr>
                <w:rFonts w:ascii="Calibri" w:eastAsia="Calibri" w:hAnsi="Calibri"/>
                <w:sz w:val="22"/>
                <w:szCs w:val="22"/>
                <w:lang w:eastAsia="en-US"/>
              </w:rPr>
              <w:t xml:space="preserve"> - </w:t>
            </w:r>
            <w:r w:rsidRPr="002B0F21">
              <w:rPr>
                <w:rFonts w:ascii="Calibri" w:eastAsia="Calibri" w:hAnsi="Calibri"/>
                <w:i/>
                <w:sz w:val="22"/>
                <w:szCs w:val="22"/>
                <w:lang w:eastAsia="en-US"/>
              </w:rPr>
              <w:t>During 2016/17</w:t>
            </w:r>
          </w:p>
        </w:tc>
        <w:tc>
          <w:tcPr>
            <w:tcW w:w="6237" w:type="dxa"/>
            <w:shd w:val="clear" w:color="auto" w:fill="auto"/>
          </w:tcPr>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 xml:space="preserve">There is variation across QOF Indicators </w:t>
            </w:r>
            <w:r w:rsidRPr="002F7B33">
              <w:rPr>
                <w:rFonts w:ascii="Calibri" w:eastAsia="Calibri" w:hAnsi="Calibri"/>
                <w:bCs/>
                <w:sz w:val="22"/>
                <w:szCs w:val="22"/>
                <w:lang w:eastAsia="en-US"/>
              </w:rPr>
              <w:t>DM02 to DM16 (13/14 data – in process of obtaining 14/15)</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Local initiatives already in place/in progress to address this:</w:t>
            </w:r>
          </w:p>
          <w:p w:rsidR="00F86DFD" w:rsidRPr="002F7B33" w:rsidRDefault="00F86DFD" w:rsidP="009B7A10">
            <w:pPr>
              <w:numPr>
                <w:ilvl w:val="1"/>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Redefined diabetes specialist nurse role to provide more direct support to Practices</w:t>
            </w:r>
          </w:p>
          <w:p w:rsidR="00F86DFD" w:rsidRPr="002F7B33" w:rsidRDefault="00F86DFD" w:rsidP="009B7A10">
            <w:pPr>
              <w:numPr>
                <w:ilvl w:val="1"/>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Development of patient guides and support group to help self-management (and on line tool in development)</w:t>
            </w:r>
          </w:p>
          <w:p w:rsidR="00F86DFD" w:rsidRPr="002F7B33" w:rsidRDefault="00F86DFD" w:rsidP="009B7A10">
            <w:pPr>
              <w:numPr>
                <w:ilvl w:val="0"/>
                <w:numId w:val="26"/>
              </w:numPr>
              <w:contextualSpacing/>
              <w:rPr>
                <w:rFonts w:ascii="Calibri" w:eastAsia="Calibri" w:hAnsi="Calibri"/>
                <w:sz w:val="22"/>
                <w:szCs w:val="22"/>
                <w:lang w:eastAsia="en-US"/>
              </w:rPr>
            </w:pPr>
            <w:r w:rsidRPr="002F7B33">
              <w:rPr>
                <w:rFonts w:ascii="Calibri" w:eastAsia="Calibri" w:hAnsi="Calibri"/>
                <w:sz w:val="22"/>
                <w:szCs w:val="22"/>
                <w:lang w:eastAsia="en-US"/>
              </w:rPr>
              <w:t xml:space="preserve">NELCCG successful in securing place on Wave 1 of National Diabetes Prevention Programme </w:t>
            </w: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Provide access to enhanced GP services, including evening and weekend access and same day GP appointments for all over 75s who need them</w:t>
            </w:r>
            <w:r>
              <w:rPr>
                <w:rFonts w:ascii="Calibri" w:eastAsia="Calibri" w:hAnsi="Calibri"/>
                <w:sz w:val="22"/>
                <w:szCs w:val="22"/>
                <w:lang w:eastAsia="en-US"/>
              </w:rPr>
              <w:t xml:space="preserve"> - </w:t>
            </w:r>
            <w:r w:rsidRPr="002B0F21">
              <w:rPr>
                <w:rFonts w:ascii="Calibri" w:eastAsia="Calibri" w:hAnsi="Calibri"/>
                <w:i/>
                <w:sz w:val="22"/>
                <w:szCs w:val="22"/>
                <w:lang w:eastAsia="en-US"/>
              </w:rPr>
              <w:t>During 2016/17</w:t>
            </w:r>
          </w:p>
        </w:tc>
        <w:tc>
          <w:tcPr>
            <w:tcW w:w="6237" w:type="dxa"/>
            <w:shd w:val="clear" w:color="auto" w:fill="auto"/>
          </w:tcPr>
          <w:p w:rsidR="00F86DFD" w:rsidRPr="002F7B33" w:rsidRDefault="00F86DFD" w:rsidP="009B7A10">
            <w:pPr>
              <w:numPr>
                <w:ilvl w:val="0"/>
                <w:numId w:val="26"/>
              </w:numPr>
              <w:contextualSpacing/>
              <w:rPr>
                <w:rFonts w:ascii="Calibri" w:eastAsia="Calibri" w:hAnsi="Calibri"/>
                <w:i/>
                <w:sz w:val="22"/>
                <w:szCs w:val="22"/>
                <w:lang w:eastAsia="en-US"/>
              </w:rPr>
            </w:pPr>
            <w:r w:rsidRPr="002F7B33">
              <w:rPr>
                <w:rFonts w:ascii="Calibri" w:eastAsia="Calibri" w:hAnsi="Calibri"/>
                <w:sz w:val="22"/>
                <w:szCs w:val="22"/>
                <w:lang w:eastAsia="en-US"/>
              </w:rPr>
              <w:t xml:space="preserve">As </w:t>
            </w:r>
            <w:r>
              <w:rPr>
                <w:rFonts w:ascii="Calibri" w:eastAsia="Calibri" w:hAnsi="Calibri"/>
                <w:sz w:val="22"/>
                <w:szCs w:val="22"/>
                <w:lang w:eastAsia="en-US"/>
              </w:rPr>
              <w:t xml:space="preserve">per table </w:t>
            </w:r>
            <w:r w:rsidRPr="002F7B33">
              <w:rPr>
                <w:rFonts w:ascii="Calibri" w:eastAsia="Calibri" w:hAnsi="Calibri"/>
                <w:sz w:val="22"/>
                <w:szCs w:val="22"/>
                <w:lang w:eastAsia="en-US"/>
              </w:rPr>
              <w:t>above</w:t>
            </w: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Publish practice-level metrics on quality of and access to GP services and, with the Health and Social Care Information Centre, provide GPs with benchmarking information for named patient lists</w:t>
            </w:r>
            <w:r>
              <w:rPr>
                <w:rFonts w:ascii="Calibri" w:eastAsia="Calibri" w:hAnsi="Calibri"/>
                <w:sz w:val="22"/>
                <w:szCs w:val="22"/>
                <w:lang w:eastAsia="en-US"/>
              </w:rPr>
              <w:t xml:space="preserve"> - </w:t>
            </w:r>
            <w:r w:rsidRPr="002B0F21">
              <w:rPr>
                <w:rFonts w:ascii="Calibri" w:eastAsia="Calibri" w:hAnsi="Calibri"/>
                <w:i/>
                <w:sz w:val="22"/>
                <w:szCs w:val="22"/>
                <w:lang w:eastAsia="en-US"/>
              </w:rPr>
              <w:t>During 2016/17</w:t>
            </w:r>
          </w:p>
        </w:tc>
        <w:tc>
          <w:tcPr>
            <w:tcW w:w="6237" w:type="dxa"/>
            <w:shd w:val="clear" w:color="auto" w:fill="auto"/>
          </w:tcPr>
          <w:p w:rsidR="00F86DFD" w:rsidRPr="002F7B33" w:rsidRDefault="00F86DFD" w:rsidP="009B7A10">
            <w:pPr>
              <w:numPr>
                <w:ilvl w:val="0"/>
                <w:numId w:val="26"/>
              </w:numPr>
              <w:contextualSpacing/>
              <w:rPr>
                <w:rFonts w:ascii="Calibri" w:eastAsia="Calibri" w:hAnsi="Calibri"/>
                <w:i/>
                <w:sz w:val="22"/>
                <w:szCs w:val="22"/>
                <w:lang w:eastAsia="en-US"/>
              </w:rPr>
            </w:pPr>
            <w:r w:rsidRPr="002F7B33">
              <w:rPr>
                <w:rFonts w:ascii="Calibri" w:eastAsia="Calibri" w:hAnsi="Calibri"/>
                <w:sz w:val="22"/>
                <w:szCs w:val="22"/>
                <w:lang w:eastAsia="en-US"/>
              </w:rPr>
              <w:t>Need development of this at national level before local action can be taken</w:t>
            </w: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Develop new voluntary contract for GPs (Multidisciplinary Community Provider contract) ready for implementation in 2017/18</w:t>
            </w:r>
            <w:r>
              <w:rPr>
                <w:rFonts w:ascii="Calibri" w:eastAsia="Calibri" w:hAnsi="Calibri"/>
                <w:sz w:val="22"/>
                <w:szCs w:val="22"/>
                <w:lang w:eastAsia="en-US"/>
              </w:rPr>
              <w:t xml:space="preserve"> - </w:t>
            </w:r>
            <w:r w:rsidRPr="002B0F21">
              <w:rPr>
                <w:rFonts w:ascii="Calibri" w:eastAsia="Calibri" w:hAnsi="Calibri"/>
                <w:i/>
                <w:sz w:val="22"/>
                <w:szCs w:val="22"/>
                <w:lang w:eastAsia="en-US"/>
              </w:rPr>
              <w:t>During 2016/17</w:t>
            </w:r>
          </w:p>
        </w:tc>
        <w:tc>
          <w:tcPr>
            <w:tcW w:w="6237" w:type="dxa"/>
            <w:shd w:val="clear" w:color="auto" w:fill="auto"/>
          </w:tcPr>
          <w:p w:rsidR="00F86DFD" w:rsidRPr="002F7B33" w:rsidRDefault="00F86DFD" w:rsidP="009B7A10">
            <w:pPr>
              <w:numPr>
                <w:ilvl w:val="0"/>
                <w:numId w:val="26"/>
              </w:numPr>
              <w:contextualSpacing/>
              <w:rPr>
                <w:rFonts w:ascii="Calibri" w:eastAsia="Calibri" w:hAnsi="Calibri"/>
                <w:i/>
                <w:sz w:val="22"/>
                <w:szCs w:val="22"/>
                <w:lang w:eastAsia="en-US"/>
              </w:rPr>
            </w:pPr>
            <w:r w:rsidRPr="002F7B33">
              <w:rPr>
                <w:rFonts w:ascii="Calibri" w:eastAsia="Calibri" w:hAnsi="Calibri"/>
                <w:sz w:val="22"/>
                <w:szCs w:val="22"/>
                <w:lang w:eastAsia="en-US"/>
              </w:rPr>
              <w:t>Need to understand likely level of interest in taking up MCP model – letter sent to general practices 22/12/2015</w:t>
            </w:r>
          </w:p>
          <w:p w:rsidR="00F86DFD" w:rsidRPr="00C705E0" w:rsidRDefault="00F86DFD" w:rsidP="009B7A10">
            <w:pPr>
              <w:numPr>
                <w:ilvl w:val="0"/>
                <w:numId w:val="26"/>
              </w:numPr>
              <w:contextualSpacing/>
              <w:rPr>
                <w:rFonts w:ascii="Calibri" w:eastAsia="Calibri" w:hAnsi="Calibri"/>
                <w:i/>
                <w:sz w:val="22"/>
                <w:szCs w:val="22"/>
                <w:lang w:eastAsia="en-US"/>
              </w:rPr>
            </w:pPr>
            <w:r w:rsidRPr="002F7B33">
              <w:rPr>
                <w:rFonts w:ascii="Calibri" w:eastAsia="Calibri" w:hAnsi="Calibri"/>
                <w:sz w:val="22"/>
                <w:szCs w:val="22"/>
                <w:lang w:eastAsia="en-US"/>
              </w:rPr>
              <w:t xml:space="preserve">Workshop </w:t>
            </w:r>
            <w:r>
              <w:rPr>
                <w:rFonts w:ascii="Calibri" w:eastAsia="Calibri" w:hAnsi="Calibri"/>
                <w:sz w:val="22"/>
                <w:szCs w:val="22"/>
                <w:lang w:eastAsia="en-US"/>
              </w:rPr>
              <w:t xml:space="preserve">discussions </w:t>
            </w:r>
            <w:r w:rsidRPr="002F7B33">
              <w:rPr>
                <w:rFonts w:ascii="Calibri" w:eastAsia="Calibri" w:hAnsi="Calibri"/>
                <w:sz w:val="22"/>
                <w:szCs w:val="22"/>
                <w:lang w:eastAsia="en-US"/>
              </w:rPr>
              <w:t xml:space="preserve">at </w:t>
            </w:r>
            <w:proofErr w:type="spellStart"/>
            <w:r w:rsidRPr="002F7B33">
              <w:rPr>
                <w:rFonts w:ascii="Calibri" w:eastAsia="Calibri" w:hAnsi="Calibri"/>
                <w:sz w:val="22"/>
                <w:szCs w:val="22"/>
                <w:lang w:eastAsia="en-US"/>
              </w:rPr>
              <w:t>CoM</w:t>
            </w:r>
            <w:proofErr w:type="spellEnd"/>
            <w:r w:rsidRPr="002F7B33">
              <w:rPr>
                <w:rFonts w:ascii="Calibri" w:eastAsia="Calibri" w:hAnsi="Calibri"/>
                <w:sz w:val="22"/>
                <w:szCs w:val="22"/>
                <w:lang w:eastAsia="en-US"/>
              </w:rPr>
              <w:t xml:space="preserve"> 07/01/2016</w:t>
            </w:r>
            <w:r>
              <w:rPr>
                <w:rFonts w:ascii="Calibri" w:eastAsia="Calibri" w:hAnsi="Calibri"/>
                <w:sz w:val="22"/>
                <w:szCs w:val="22"/>
                <w:lang w:eastAsia="en-US"/>
              </w:rPr>
              <w:t xml:space="preserve"> and 04/02/2016</w:t>
            </w:r>
          </w:p>
          <w:p w:rsidR="00F86DFD" w:rsidRPr="002F7B33" w:rsidRDefault="00F86DFD" w:rsidP="009B7A10">
            <w:pPr>
              <w:numPr>
                <w:ilvl w:val="0"/>
                <w:numId w:val="26"/>
              </w:numPr>
              <w:contextualSpacing/>
              <w:rPr>
                <w:rFonts w:ascii="Calibri" w:eastAsia="Calibri" w:hAnsi="Calibri"/>
                <w:i/>
                <w:sz w:val="22"/>
                <w:szCs w:val="22"/>
                <w:lang w:eastAsia="en-US"/>
              </w:rPr>
            </w:pPr>
            <w:r>
              <w:rPr>
                <w:rFonts w:ascii="Calibri" w:eastAsia="Calibri" w:hAnsi="Calibri"/>
                <w:sz w:val="22"/>
                <w:szCs w:val="22"/>
                <w:lang w:eastAsia="en-US"/>
              </w:rPr>
              <w:t xml:space="preserve">Linked to development of ACO </w:t>
            </w: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95% of GP patients to be offered e-consultation and other digital services; and 95% of tests to be digitally transferred between organisations</w:t>
            </w:r>
            <w:r>
              <w:rPr>
                <w:rFonts w:ascii="Calibri" w:eastAsia="Calibri" w:hAnsi="Calibri"/>
                <w:sz w:val="22"/>
                <w:szCs w:val="22"/>
                <w:lang w:eastAsia="en-US"/>
              </w:rPr>
              <w:t xml:space="preserve"> - </w:t>
            </w:r>
            <w:r w:rsidRPr="002B0F21">
              <w:rPr>
                <w:rFonts w:ascii="Calibri" w:eastAsia="Calibri" w:hAnsi="Calibri"/>
                <w:i/>
                <w:sz w:val="22"/>
                <w:szCs w:val="22"/>
                <w:lang w:eastAsia="en-US"/>
              </w:rPr>
              <w:t>By 2020</w:t>
            </w:r>
          </w:p>
        </w:tc>
        <w:tc>
          <w:tcPr>
            <w:tcW w:w="6237" w:type="dxa"/>
            <w:shd w:val="clear" w:color="auto" w:fill="auto"/>
          </w:tcPr>
          <w:p w:rsidR="00F86DFD" w:rsidRPr="002B0F21" w:rsidRDefault="00F86DFD" w:rsidP="002B0F21">
            <w:pPr>
              <w:rPr>
                <w:rFonts w:ascii="Calibri" w:eastAsia="Calibri" w:hAnsi="Calibri"/>
                <w:sz w:val="22"/>
                <w:szCs w:val="22"/>
                <w:lang w:eastAsia="en-US"/>
              </w:rPr>
            </w:pPr>
            <w:r w:rsidRPr="002B0F21">
              <w:rPr>
                <w:rFonts w:ascii="Calibri" w:eastAsia="Calibri" w:hAnsi="Calibri"/>
                <w:sz w:val="22"/>
                <w:szCs w:val="22"/>
                <w:lang w:eastAsia="en-US"/>
              </w:rPr>
              <w:t>Part of the 2020 Digital Roadmap plan</w:t>
            </w:r>
            <w:r w:rsidR="00C17F41">
              <w:rPr>
                <w:rFonts w:ascii="Calibri" w:eastAsia="Calibri" w:hAnsi="Calibri"/>
                <w:sz w:val="22"/>
                <w:szCs w:val="22"/>
                <w:lang w:eastAsia="en-US"/>
              </w:rPr>
              <w:t xml:space="preserve">; </w:t>
            </w:r>
            <w:r w:rsidRPr="002B0F21">
              <w:rPr>
                <w:rFonts w:ascii="Calibri" w:eastAsia="Calibri" w:hAnsi="Calibri"/>
                <w:sz w:val="22"/>
                <w:szCs w:val="22"/>
                <w:lang w:eastAsia="en-US"/>
              </w:rPr>
              <w:t xml:space="preserve">approach to achieving this </w:t>
            </w:r>
            <w:r w:rsidR="00C17F41">
              <w:rPr>
                <w:rFonts w:ascii="Calibri" w:eastAsia="Calibri" w:hAnsi="Calibri"/>
                <w:sz w:val="22"/>
                <w:szCs w:val="22"/>
                <w:lang w:eastAsia="en-US"/>
              </w:rPr>
              <w:t xml:space="preserve">will be outlined </w:t>
            </w:r>
            <w:r w:rsidRPr="002B0F21">
              <w:rPr>
                <w:rFonts w:ascii="Calibri" w:eastAsia="Calibri" w:hAnsi="Calibri"/>
                <w:sz w:val="22"/>
                <w:szCs w:val="22"/>
                <w:lang w:eastAsia="en-US"/>
              </w:rPr>
              <w:t xml:space="preserve">as part of the </w:t>
            </w:r>
            <w:r w:rsidR="00B90358">
              <w:rPr>
                <w:rFonts w:ascii="Calibri" w:eastAsia="Calibri" w:hAnsi="Calibri"/>
                <w:sz w:val="22"/>
                <w:szCs w:val="22"/>
                <w:lang w:eastAsia="en-US"/>
              </w:rPr>
              <w:t>planning</w:t>
            </w:r>
            <w:r w:rsidRPr="002B0F21">
              <w:rPr>
                <w:rFonts w:ascii="Calibri" w:eastAsia="Calibri" w:hAnsi="Calibri"/>
                <w:sz w:val="22"/>
                <w:szCs w:val="22"/>
                <w:lang w:eastAsia="en-US"/>
              </w:rPr>
              <w:t xml:space="preserve"> submission in June</w:t>
            </w:r>
            <w:r w:rsidR="00B90358">
              <w:rPr>
                <w:rFonts w:ascii="Calibri" w:eastAsia="Calibri" w:hAnsi="Calibri"/>
                <w:sz w:val="22"/>
                <w:szCs w:val="22"/>
                <w:lang w:eastAsia="en-US"/>
              </w:rPr>
              <w:t xml:space="preserve"> 2016</w:t>
            </w:r>
            <w:r w:rsidRPr="002B0F21">
              <w:rPr>
                <w:rFonts w:ascii="Calibri" w:eastAsia="Calibri" w:hAnsi="Calibri"/>
                <w:sz w:val="22"/>
                <w:szCs w:val="22"/>
                <w:lang w:eastAsia="en-US"/>
              </w:rPr>
              <w:t>.</w:t>
            </w:r>
          </w:p>
          <w:p w:rsidR="00F86DFD" w:rsidRPr="00C705E0" w:rsidRDefault="00C17F41" w:rsidP="00C705E0">
            <w:pPr>
              <w:numPr>
                <w:ilvl w:val="0"/>
                <w:numId w:val="26"/>
              </w:numPr>
              <w:rPr>
                <w:rFonts w:ascii="Calibri" w:eastAsia="Calibri" w:hAnsi="Calibri"/>
                <w:sz w:val="22"/>
                <w:szCs w:val="22"/>
                <w:lang w:eastAsia="en-US"/>
              </w:rPr>
            </w:pPr>
            <w:r>
              <w:rPr>
                <w:rFonts w:ascii="Calibri" w:eastAsia="Calibri" w:hAnsi="Calibri"/>
                <w:sz w:val="22"/>
                <w:szCs w:val="22"/>
                <w:lang w:eastAsia="en-US"/>
              </w:rPr>
              <w:t>C</w:t>
            </w:r>
            <w:r w:rsidR="00F86DFD" w:rsidRPr="00C705E0">
              <w:rPr>
                <w:rFonts w:ascii="Calibri" w:eastAsia="Calibri" w:hAnsi="Calibri"/>
                <w:sz w:val="22"/>
                <w:szCs w:val="22"/>
                <w:lang w:eastAsia="en-US"/>
              </w:rPr>
              <w:t>urrently piloting video consultations (Skype for business) with 5 practices across NEL – this will be evaluated in June, with a view to rolling out further</w:t>
            </w:r>
          </w:p>
          <w:p w:rsidR="00F86DFD" w:rsidRPr="00C705E0" w:rsidRDefault="00C17F41" w:rsidP="00C705E0">
            <w:pPr>
              <w:numPr>
                <w:ilvl w:val="0"/>
                <w:numId w:val="26"/>
              </w:numPr>
              <w:rPr>
                <w:rFonts w:ascii="Calibri" w:eastAsia="Calibri" w:hAnsi="Calibri"/>
                <w:sz w:val="22"/>
                <w:szCs w:val="22"/>
                <w:lang w:eastAsia="en-US"/>
              </w:rPr>
            </w:pPr>
            <w:r>
              <w:rPr>
                <w:rFonts w:ascii="Calibri" w:eastAsia="Calibri" w:hAnsi="Calibri"/>
                <w:sz w:val="22"/>
                <w:szCs w:val="22"/>
                <w:lang w:eastAsia="en-US"/>
              </w:rPr>
              <w:t xml:space="preserve">Potential </w:t>
            </w:r>
            <w:r w:rsidR="00F86DFD" w:rsidRPr="00C705E0">
              <w:rPr>
                <w:rFonts w:ascii="Calibri" w:eastAsia="Calibri" w:hAnsi="Calibri"/>
                <w:sz w:val="22"/>
                <w:szCs w:val="22"/>
                <w:lang w:eastAsia="en-US"/>
              </w:rPr>
              <w:t xml:space="preserve">to utilise </w:t>
            </w:r>
            <w:r>
              <w:rPr>
                <w:rFonts w:ascii="Calibri" w:eastAsia="Calibri" w:hAnsi="Calibri"/>
                <w:sz w:val="22"/>
                <w:szCs w:val="22"/>
                <w:lang w:eastAsia="en-US"/>
              </w:rPr>
              <w:t xml:space="preserve">Skype </w:t>
            </w:r>
            <w:r w:rsidR="00F86DFD" w:rsidRPr="00C705E0">
              <w:rPr>
                <w:rFonts w:ascii="Calibri" w:eastAsia="Calibri" w:hAnsi="Calibri"/>
                <w:sz w:val="22"/>
                <w:szCs w:val="22"/>
                <w:lang w:eastAsia="en-US"/>
              </w:rPr>
              <w:t>functionality in a number of clinical settings;  home visits, GPOOH, care homes</w:t>
            </w:r>
            <w:r>
              <w:rPr>
                <w:rFonts w:ascii="Calibri" w:eastAsia="Calibri" w:hAnsi="Calibri"/>
                <w:sz w:val="22"/>
                <w:szCs w:val="22"/>
                <w:lang w:eastAsia="en-US"/>
              </w:rPr>
              <w:t>, and to support professional to professional advice</w:t>
            </w:r>
          </w:p>
          <w:p w:rsidR="00C17F41" w:rsidRDefault="00C17F41" w:rsidP="00C705E0">
            <w:pPr>
              <w:numPr>
                <w:ilvl w:val="0"/>
                <w:numId w:val="26"/>
              </w:numPr>
              <w:rPr>
                <w:rFonts w:ascii="Calibri" w:eastAsia="Calibri" w:hAnsi="Calibri"/>
                <w:sz w:val="22"/>
                <w:szCs w:val="22"/>
                <w:lang w:eastAsia="en-US"/>
              </w:rPr>
            </w:pPr>
            <w:r w:rsidRPr="00C17F41">
              <w:rPr>
                <w:rFonts w:ascii="Calibri" w:eastAsia="Calibri" w:hAnsi="Calibri"/>
                <w:sz w:val="22"/>
                <w:szCs w:val="22"/>
                <w:lang w:eastAsia="en-US"/>
              </w:rPr>
              <w:t xml:space="preserve">Potential ideas for further development: </w:t>
            </w:r>
          </w:p>
          <w:p w:rsidR="00F86DFD" w:rsidRPr="00C17F41" w:rsidRDefault="00F86DFD" w:rsidP="00C17F41">
            <w:pPr>
              <w:numPr>
                <w:ilvl w:val="1"/>
                <w:numId w:val="26"/>
              </w:numPr>
              <w:rPr>
                <w:rFonts w:ascii="Calibri" w:eastAsia="Calibri" w:hAnsi="Calibri"/>
                <w:sz w:val="22"/>
                <w:szCs w:val="22"/>
                <w:lang w:eastAsia="en-US"/>
              </w:rPr>
            </w:pPr>
            <w:r w:rsidRPr="00C17F41">
              <w:rPr>
                <w:rFonts w:ascii="Calibri" w:eastAsia="Calibri" w:hAnsi="Calibri"/>
                <w:sz w:val="22"/>
                <w:szCs w:val="22"/>
                <w:lang w:eastAsia="en-US"/>
              </w:rPr>
              <w:t>social media (</w:t>
            </w:r>
            <w:proofErr w:type="spellStart"/>
            <w:r w:rsidRPr="00C17F41">
              <w:rPr>
                <w:rFonts w:ascii="Calibri" w:eastAsia="Calibri" w:hAnsi="Calibri"/>
                <w:sz w:val="22"/>
                <w:szCs w:val="22"/>
                <w:lang w:eastAsia="en-US"/>
              </w:rPr>
              <w:t>facebook</w:t>
            </w:r>
            <w:proofErr w:type="spellEnd"/>
            <w:r w:rsidRPr="00C17F41">
              <w:rPr>
                <w:rFonts w:ascii="Calibri" w:eastAsia="Calibri" w:hAnsi="Calibri"/>
                <w:sz w:val="22"/>
                <w:szCs w:val="22"/>
                <w:lang w:eastAsia="en-US"/>
              </w:rPr>
              <w:t>/big white wall) to provide access to on-line support groups for patients with similar conditions</w:t>
            </w:r>
          </w:p>
          <w:p w:rsidR="00F86DFD" w:rsidRPr="00C705E0" w:rsidRDefault="00F86DFD" w:rsidP="00C17F41">
            <w:pPr>
              <w:numPr>
                <w:ilvl w:val="1"/>
                <w:numId w:val="26"/>
              </w:numPr>
              <w:rPr>
                <w:rFonts w:ascii="Calibri" w:eastAsia="Calibri" w:hAnsi="Calibri"/>
                <w:sz w:val="22"/>
                <w:szCs w:val="22"/>
                <w:lang w:eastAsia="en-US"/>
              </w:rPr>
            </w:pPr>
            <w:r w:rsidRPr="00C705E0">
              <w:rPr>
                <w:rFonts w:ascii="Calibri" w:eastAsia="Calibri" w:hAnsi="Calibri"/>
                <w:sz w:val="22"/>
                <w:szCs w:val="22"/>
                <w:lang w:eastAsia="en-US"/>
              </w:rPr>
              <w:t>on-line support and one to one access to professional via email/instant messaging facilities</w:t>
            </w:r>
          </w:p>
          <w:p w:rsidR="00F86DFD" w:rsidRPr="00F86DFD" w:rsidRDefault="00F86DFD" w:rsidP="00C17F41">
            <w:pPr>
              <w:numPr>
                <w:ilvl w:val="1"/>
                <w:numId w:val="26"/>
              </w:numPr>
              <w:rPr>
                <w:rFonts w:ascii="Calibri" w:eastAsia="Calibri" w:hAnsi="Calibri"/>
                <w:sz w:val="22"/>
                <w:szCs w:val="22"/>
                <w:lang w:eastAsia="en-US"/>
              </w:rPr>
            </w:pPr>
            <w:r w:rsidRPr="00F86DFD">
              <w:rPr>
                <w:rFonts w:ascii="Calibri" w:eastAsia="Calibri" w:hAnsi="Calibri"/>
                <w:sz w:val="22"/>
                <w:szCs w:val="22"/>
                <w:lang w:eastAsia="en-US"/>
              </w:rPr>
              <w:t xml:space="preserve">access to electronic resources for self-management advice and prevention and alternative services </w:t>
            </w:r>
            <w:r w:rsidRPr="00F86DFD">
              <w:rPr>
                <w:rFonts w:ascii="Calibri" w:eastAsia="Calibri" w:hAnsi="Calibri"/>
                <w:sz w:val="22"/>
                <w:szCs w:val="22"/>
                <w:lang w:eastAsia="en-US"/>
              </w:rPr>
              <w:lastRenderedPageBreak/>
              <w:t>available (other than GP/A&amp;E)</w:t>
            </w:r>
          </w:p>
          <w:p w:rsidR="00F86DFD" w:rsidRPr="00C17F41" w:rsidRDefault="00C17F41" w:rsidP="00C705E0">
            <w:pPr>
              <w:numPr>
                <w:ilvl w:val="0"/>
                <w:numId w:val="26"/>
              </w:numPr>
              <w:rPr>
                <w:rFonts w:ascii="Calibri" w:eastAsia="Calibri" w:hAnsi="Calibri"/>
                <w:sz w:val="22"/>
                <w:szCs w:val="22"/>
                <w:lang w:eastAsia="en-US"/>
              </w:rPr>
            </w:pPr>
            <w:r w:rsidRPr="00C17F41">
              <w:rPr>
                <w:rFonts w:ascii="Calibri" w:eastAsia="Calibri" w:hAnsi="Calibri"/>
                <w:sz w:val="22"/>
                <w:szCs w:val="22"/>
                <w:lang w:eastAsia="en-US"/>
              </w:rPr>
              <w:t>P</w:t>
            </w:r>
            <w:r w:rsidR="00F86DFD" w:rsidRPr="00C17F41">
              <w:rPr>
                <w:rFonts w:ascii="Calibri" w:eastAsia="Calibri" w:hAnsi="Calibri"/>
                <w:sz w:val="22"/>
                <w:szCs w:val="22"/>
                <w:lang w:eastAsia="en-US"/>
              </w:rPr>
              <w:t xml:space="preserve">athology and radiology tests </w:t>
            </w:r>
            <w:r w:rsidRPr="00C17F41">
              <w:rPr>
                <w:rFonts w:ascii="Calibri" w:eastAsia="Calibri" w:hAnsi="Calibri"/>
                <w:sz w:val="22"/>
                <w:szCs w:val="22"/>
                <w:lang w:eastAsia="en-US"/>
              </w:rPr>
              <w:t xml:space="preserve">already received </w:t>
            </w:r>
            <w:r w:rsidR="00F86DFD" w:rsidRPr="00C17F41">
              <w:rPr>
                <w:rFonts w:ascii="Calibri" w:eastAsia="Calibri" w:hAnsi="Calibri"/>
                <w:sz w:val="22"/>
                <w:szCs w:val="22"/>
                <w:lang w:eastAsia="en-US"/>
              </w:rPr>
              <w:t>electronically f</w:t>
            </w:r>
            <w:r w:rsidRPr="00C17F41">
              <w:rPr>
                <w:rFonts w:ascii="Calibri" w:eastAsia="Calibri" w:hAnsi="Calibri"/>
                <w:sz w:val="22"/>
                <w:szCs w:val="22"/>
                <w:lang w:eastAsia="en-US"/>
              </w:rPr>
              <w:t xml:space="preserve">rom </w:t>
            </w:r>
            <w:r w:rsidR="000E71C5">
              <w:rPr>
                <w:rFonts w:ascii="Calibri" w:eastAsia="Calibri" w:hAnsi="Calibri"/>
                <w:sz w:val="22"/>
                <w:szCs w:val="22"/>
                <w:lang w:eastAsia="en-US"/>
              </w:rPr>
              <w:t>local hospital;</w:t>
            </w:r>
            <w:r w:rsidRPr="00C17F41">
              <w:rPr>
                <w:rFonts w:ascii="Calibri" w:eastAsia="Calibri" w:hAnsi="Calibri"/>
                <w:sz w:val="22"/>
                <w:szCs w:val="22"/>
                <w:lang w:eastAsia="en-US"/>
              </w:rPr>
              <w:t xml:space="preserve"> </w:t>
            </w:r>
            <w:r w:rsidR="00F86DFD" w:rsidRPr="00C17F41">
              <w:rPr>
                <w:rFonts w:ascii="Calibri" w:eastAsia="Calibri" w:hAnsi="Calibri"/>
                <w:sz w:val="22"/>
                <w:szCs w:val="22"/>
                <w:lang w:eastAsia="en-US"/>
              </w:rPr>
              <w:t xml:space="preserve">need to understand plans for extending </w:t>
            </w:r>
            <w:r>
              <w:rPr>
                <w:rFonts w:ascii="Calibri" w:eastAsia="Calibri" w:hAnsi="Calibri"/>
                <w:sz w:val="22"/>
                <w:szCs w:val="22"/>
                <w:lang w:eastAsia="en-US"/>
              </w:rPr>
              <w:t>this across other diagnostics</w:t>
            </w:r>
          </w:p>
          <w:p w:rsidR="00F86DFD" w:rsidRPr="00F86DFD" w:rsidRDefault="00F86DFD" w:rsidP="00C705E0">
            <w:pPr>
              <w:numPr>
                <w:ilvl w:val="0"/>
                <w:numId w:val="26"/>
              </w:numPr>
              <w:rPr>
                <w:rFonts w:ascii="Calibri" w:eastAsia="Calibri" w:hAnsi="Calibri"/>
                <w:sz w:val="22"/>
                <w:szCs w:val="22"/>
                <w:lang w:eastAsia="en-US"/>
              </w:rPr>
            </w:pPr>
            <w:r w:rsidRPr="00F86DFD">
              <w:rPr>
                <w:rFonts w:ascii="Calibri" w:eastAsia="Calibri" w:hAnsi="Calibri"/>
                <w:sz w:val="22"/>
                <w:szCs w:val="22"/>
                <w:lang w:eastAsia="en-US"/>
              </w:rPr>
              <w:t>Electronic prescriptions has been rolled out to 67% of the estate</w:t>
            </w:r>
            <w:r w:rsidR="00C17F41">
              <w:rPr>
                <w:rFonts w:ascii="Calibri" w:eastAsia="Calibri" w:hAnsi="Calibri"/>
                <w:sz w:val="22"/>
                <w:szCs w:val="22"/>
                <w:lang w:eastAsia="en-US"/>
              </w:rPr>
              <w:t>;</w:t>
            </w:r>
            <w:r w:rsidRPr="00F86DFD">
              <w:rPr>
                <w:rFonts w:ascii="Calibri" w:eastAsia="Calibri" w:hAnsi="Calibri"/>
                <w:sz w:val="22"/>
                <w:szCs w:val="22"/>
                <w:lang w:eastAsia="en-US"/>
              </w:rPr>
              <w:t xml:space="preserve"> there are plans to reach 75% by end of January and 100% by April 17</w:t>
            </w:r>
          </w:p>
          <w:p w:rsidR="00F86DFD" w:rsidRPr="00C17F41" w:rsidRDefault="00F86DFD" w:rsidP="00C705E0">
            <w:pPr>
              <w:numPr>
                <w:ilvl w:val="0"/>
                <w:numId w:val="26"/>
              </w:numPr>
              <w:rPr>
                <w:rFonts w:ascii="Calibri" w:eastAsia="Calibri" w:hAnsi="Calibri"/>
                <w:sz w:val="22"/>
                <w:szCs w:val="22"/>
                <w:lang w:eastAsia="en-US"/>
              </w:rPr>
            </w:pPr>
            <w:r w:rsidRPr="00C17F41">
              <w:rPr>
                <w:rFonts w:ascii="Calibri" w:eastAsia="Calibri" w:hAnsi="Calibri"/>
                <w:sz w:val="22"/>
                <w:szCs w:val="22"/>
                <w:lang w:eastAsia="en-US"/>
              </w:rPr>
              <w:t>E-Referrals</w:t>
            </w:r>
            <w:r w:rsidR="00C17F41" w:rsidRPr="00C17F41">
              <w:rPr>
                <w:rFonts w:ascii="Calibri" w:eastAsia="Calibri" w:hAnsi="Calibri"/>
                <w:sz w:val="22"/>
                <w:szCs w:val="22"/>
                <w:lang w:eastAsia="en-US"/>
              </w:rPr>
              <w:t xml:space="preserve"> (was Choose and Book) in place in all Practices;</w:t>
            </w:r>
            <w:r w:rsidRPr="00C17F41">
              <w:rPr>
                <w:rFonts w:ascii="Calibri" w:eastAsia="Calibri" w:hAnsi="Calibri"/>
                <w:sz w:val="22"/>
                <w:szCs w:val="22"/>
                <w:lang w:eastAsia="en-US"/>
              </w:rPr>
              <w:t xml:space="preserve"> information is not currently available on our utilisation r</w:t>
            </w:r>
            <w:r w:rsidR="00C17F41" w:rsidRPr="00C17F41">
              <w:rPr>
                <w:rFonts w:ascii="Calibri" w:eastAsia="Calibri" w:hAnsi="Calibri"/>
                <w:sz w:val="22"/>
                <w:szCs w:val="22"/>
                <w:lang w:eastAsia="en-US"/>
              </w:rPr>
              <w:t>ates, HSCIC are working on this.</w:t>
            </w:r>
            <w:r w:rsidR="00C17F41">
              <w:rPr>
                <w:rFonts w:ascii="Calibri" w:eastAsia="Calibri" w:hAnsi="Calibri"/>
                <w:sz w:val="22"/>
                <w:szCs w:val="22"/>
                <w:lang w:eastAsia="en-US"/>
              </w:rPr>
              <w:t xml:space="preserve"> T</w:t>
            </w:r>
            <w:r w:rsidRPr="00C17F41">
              <w:rPr>
                <w:rFonts w:ascii="Calibri" w:eastAsia="Calibri" w:hAnsi="Calibri"/>
                <w:sz w:val="22"/>
                <w:szCs w:val="22"/>
                <w:lang w:eastAsia="en-US"/>
              </w:rPr>
              <w:t xml:space="preserve">arget </w:t>
            </w:r>
            <w:r w:rsidR="00C17F41">
              <w:rPr>
                <w:rFonts w:ascii="Calibri" w:eastAsia="Calibri" w:hAnsi="Calibri"/>
                <w:sz w:val="22"/>
                <w:szCs w:val="22"/>
                <w:lang w:eastAsia="en-US"/>
              </w:rPr>
              <w:t>for percentage e-referrals</w:t>
            </w:r>
            <w:r w:rsidRPr="00C17F41">
              <w:rPr>
                <w:rFonts w:ascii="Calibri" w:eastAsia="Calibri" w:hAnsi="Calibri"/>
                <w:sz w:val="22"/>
                <w:szCs w:val="22"/>
                <w:lang w:eastAsia="en-US"/>
              </w:rPr>
              <w:t xml:space="preserve"> yet to be confirmed</w:t>
            </w:r>
            <w:r w:rsidR="00B90358">
              <w:rPr>
                <w:rFonts w:ascii="Calibri" w:eastAsia="Calibri" w:hAnsi="Calibri"/>
                <w:sz w:val="22"/>
                <w:szCs w:val="22"/>
                <w:lang w:eastAsia="en-US"/>
              </w:rPr>
              <w:t xml:space="preserve"> (still being negotiated)</w:t>
            </w:r>
          </w:p>
          <w:p w:rsidR="00F86DFD" w:rsidRPr="00F86DFD" w:rsidRDefault="00F86DFD" w:rsidP="00C705E0">
            <w:pPr>
              <w:numPr>
                <w:ilvl w:val="0"/>
                <w:numId w:val="26"/>
              </w:numPr>
              <w:rPr>
                <w:rFonts w:ascii="Calibri" w:eastAsia="Calibri" w:hAnsi="Calibri"/>
                <w:sz w:val="22"/>
                <w:szCs w:val="22"/>
                <w:lang w:eastAsia="en-US"/>
              </w:rPr>
            </w:pPr>
            <w:r w:rsidRPr="00F86DFD">
              <w:rPr>
                <w:rFonts w:ascii="Calibri" w:eastAsia="Calibri" w:hAnsi="Calibri"/>
                <w:sz w:val="22"/>
                <w:szCs w:val="22"/>
                <w:lang w:eastAsia="en-US"/>
              </w:rPr>
              <w:t>Tele-dermatology – plan to start a pilot imminently with a number of practices in NEL</w:t>
            </w:r>
          </w:p>
          <w:p w:rsidR="00F86DFD" w:rsidRPr="00C705E0" w:rsidRDefault="00F86DFD" w:rsidP="00C705E0">
            <w:pPr>
              <w:numPr>
                <w:ilvl w:val="0"/>
                <w:numId w:val="26"/>
              </w:numPr>
              <w:rPr>
                <w:rFonts w:ascii="Calibri" w:eastAsia="Calibri" w:hAnsi="Calibri"/>
                <w:sz w:val="22"/>
                <w:szCs w:val="22"/>
                <w:lang w:eastAsia="en-US"/>
              </w:rPr>
            </w:pPr>
            <w:r w:rsidRPr="00C705E0">
              <w:rPr>
                <w:rFonts w:ascii="Calibri" w:eastAsia="Calibri" w:hAnsi="Calibri"/>
                <w:sz w:val="22"/>
                <w:szCs w:val="22"/>
                <w:lang w:eastAsia="en-US"/>
              </w:rPr>
              <w:t>All practices receive discharge summaries electronically and 70% of practices are ITK compliant, which means they are able to receive fully digitised messages when they are sent.  The target is to reach 100% by June 17</w:t>
            </w:r>
          </w:p>
        </w:tc>
      </w:tr>
      <w:tr w:rsidR="00F86DFD" w:rsidRPr="002F7B33" w:rsidTr="00F86DFD">
        <w:tc>
          <w:tcPr>
            <w:tcW w:w="4253" w:type="dxa"/>
            <w:shd w:val="clear" w:color="auto" w:fill="auto"/>
          </w:tcPr>
          <w:p w:rsidR="00F86DFD" w:rsidRPr="002F7B33" w:rsidRDefault="00F86DFD" w:rsidP="00B90358">
            <w:pPr>
              <w:rPr>
                <w:rFonts w:ascii="Calibri" w:eastAsia="Calibri" w:hAnsi="Calibri"/>
                <w:sz w:val="22"/>
                <w:szCs w:val="22"/>
                <w:lang w:eastAsia="en-US"/>
              </w:rPr>
            </w:pPr>
            <w:r w:rsidRPr="002F7B33">
              <w:rPr>
                <w:rFonts w:ascii="Calibri" w:eastAsia="Calibri" w:hAnsi="Calibri"/>
                <w:sz w:val="22"/>
                <w:szCs w:val="22"/>
                <w:lang w:eastAsia="en-US"/>
              </w:rPr>
              <w:lastRenderedPageBreak/>
              <w:t>Minimum of 10% of patients actively accessing primary care services online or through apps, and set trajectory and plan for achieving a significant increase by 2020</w:t>
            </w:r>
            <w:r>
              <w:rPr>
                <w:rFonts w:ascii="Calibri" w:eastAsia="Calibri" w:hAnsi="Calibri"/>
                <w:sz w:val="22"/>
                <w:szCs w:val="22"/>
                <w:lang w:eastAsia="en-US"/>
              </w:rPr>
              <w:t xml:space="preserve"> </w:t>
            </w:r>
            <w:r w:rsidR="00B90358">
              <w:rPr>
                <w:rFonts w:ascii="Calibri" w:eastAsia="Calibri" w:hAnsi="Calibri"/>
                <w:sz w:val="22"/>
                <w:szCs w:val="22"/>
                <w:lang w:eastAsia="en-US"/>
              </w:rPr>
              <w:t>–</w:t>
            </w:r>
            <w:r>
              <w:rPr>
                <w:rFonts w:ascii="Calibri" w:eastAsia="Calibri" w:hAnsi="Calibri"/>
                <w:sz w:val="22"/>
                <w:szCs w:val="22"/>
                <w:lang w:eastAsia="en-US"/>
              </w:rPr>
              <w:t xml:space="preserve"> </w:t>
            </w:r>
            <w:r w:rsidR="00B90358" w:rsidRPr="00B90358">
              <w:rPr>
                <w:rFonts w:ascii="Calibri" w:eastAsia="Calibri" w:hAnsi="Calibri"/>
                <w:i/>
                <w:sz w:val="22"/>
                <w:szCs w:val="22"/>
                <w:lang w:eastAsia="en-US"/>
              </w:rPr>
              <w:t>10%  minimum in</w:t>
            </w:r>
            <w:r w:rsidR="00B90358">
              <w:rPr>
                <w:rFonts w:ascii="Calibri" w:eastAsia="Calibri" w:hAnsi="Calibri"/>
                <w:sz w:val="22"/>
                <w:szCs w:val="22"/>
                <w:lang w:eastAsia="en-US"/>
              </w:rPr>
              <w:t xml:space="preserve"> </w:t>
            </w:r>
            <w:r w:rsidRPr="002B0F21">
              <w:rPr>
                <w:rFonts w:ascii="Calibri" w:eastAsia="Calibri" w:hAnsi="Calibri"/>
                <w:i/>
                <w:sz w:val="22"/>
                <w:szCs w:val="22"/>
                <w:lang w:eastAsia="en-US"/>
              </w:rPr>
              <w:t>2016/17</w:t>
            </w:r>
          </w:p>
        </w:tc>
        <w:tc>
          <w:tcPr>
            <w:tcW w:w="6237" w:type="dxa"/>
            <w:shd w:val="clear" w:color="auto" w:fill="auto"/>
          </w:tcPr>
          <w:p w:rsidR="00F86DFD" w:rsidRPr="00672492" w:rsidRDefault="00F86DFD" w:rsidP="00672492">
            <w:pPr>
              <w:numPr>
                <w:ilvl w:val="0"/>
                <w:numId w:val="26"/>
              </w:numPr>
              <w:contextualSpacing/>
              <w:rPr>
                <w:rFonts w:ascii="Calibri" w:eastAsia="Calibri" w:hAnsi="Calibri"/>
                <w:sz w:val="22"/>
                <w:szCs w:val="22"/>
                <w:lang w:eastAsia="en-US"/>
              </w:rPr>
            </w:pPr>
            <w:r w:rsidRPr="00672492">
              <w:rPr>
                <w:rFonts w:ascii="Calibri" w:eastAsia="Calibri" w:hAnsi="Calibri"/>
                <w:sz w:val="22"/>
                <w:szCs w:val="22"/>
                <w:lang w:eastAsia="en-US"/>
              </w:rPr>
              <w:t>All Practices are now able to offer online booking of appointments and repeat prescription requests</w:t>
            </w:r>
            <w:r w:rsidR="00B90358">
              <w:rPr>
                <w:rFonts w:ascii="Calibri" w:eastAsia="Calibri" w:hAnsi="Calibri"/>
                <w:sz w:val="22"/>
                <w:szCs w:val="22"/>
                <w:lang w:eastAsia="en-US"/>
              </w:rPr>
              <w:t xml:space="preserve">; </w:t>
            </w:r>
            <w:r w:rsidRPr="00672492">
              <w:rPr>
                <w:rFonts w:ascii="Calibri" w:eastAsia="Calibri" w:hAnsi="Calibri"/>
                <w:sz w:val="22"/>
                <w:szCs w:val="22"/>
                <w:lang w:eastAsia="en-US"/>
              </w:rPr>
              <w:t>need to look at opportunities for extending the number and type of appointments offered.</w:t>
            </w:r>
          </w:p>
          <w:p w:rsidR="00F86DFD" w:rsidRPr="00672492" w:rsidRDefault="00F86DFD" w:rsidP="00672492">
            <w:pPr>
              <w:numPr>
                <w:ilvl w:val="0"/>
                <w:numId w:val="26"/>
              </w:numPr>
              <w:contextualSpacing/>
              <w:rPr>
                <w:rFonts w:ascii="Calibri" w:eastAsia="Calibri" w:hAnsi="Calibri"/>
                <w:sz w:val="22"/>
                <w:szCs w:val="22"/>
                <w:lang w:eastAsia="en-US"/>
              </w:rPr>
            </w:pPr>
            <w:r w:rsidRPr="00672492">
              <w:rPr>
                <w:rFonts w:ascii="Calibri" w:eastAsia="Calibri" w:hAnsi="Calibri"/>
                <w:sz w:val="22"/>
                <w:szCs w:val="22"/>
                <w:lang w:eastAsia="en-US"/>
              </w:rPr>
              <w:t>Patients will be able to access their GP coded record by end of March 2016</w:t>
            </w:r>
            <w:r w:rsidR="00B90358">
              <w:rPr>
                <w:rFonts w:ascii="Calibri" w:eastAsia="Calibri" w:hAnsi="Calibri"/>
                <w:sz w:val="22"/>
                <w:szCs w:val="22"/>
                <w:lang w:eastAsia="en-US"/>
              </w:rPr>
              <w:t>, and work currently underway</w:t>
            </w:r>
            <w:r w:rsidRPr="00672492">
              <w:rPr>
                <w:rFonts w:ascii="Calibri" w:eastAsia="Calibri" w:hAnsi="Calibri"/>
                <w:sz w:val="22"/>
                <w:szCs w:val="22"/>
                <w:lang w:eastAsia="en-US"/>
              </w:rPr>
              <w:t xml:space="preserve"> with practices to make this available to patients.  </w:t>
            </w:r>
            <w:r w:rsidR="00B90358">
              <w:rPr>
                <w:rFonts w:ascii="Calibri" w:eastAsia="Calibri" w:hAnsi="Calibri"/>
                <w:sz w:val="22"/>
                <w:szCs w:val="22"/>
                <w:lang w:eastAsia="en-US"/>
              </w:rPr>
              <w:t xml:space="preserve">Unable to monitor status of this locally at the moment, </w:t>
            </w:r>
            <w:r w:rsidRPr="00672492">
              <w:rPr>
                <w:rFonts w:ascii="Calibri" w:eastAsia="Calibri" w:hAnsi="Calibri"/>
                <w:sz w:val="22"/>
                <w:szCs w:val="22"/>
                <w:lang w:eastAsia="en-US"/>
              </w:rPr>
              <w:t>but we hope this will be made available (via HS</w:t>
            </w:r>
            <w:r w:rsidR="00B90358">
              <w:rPr>
                <w:rFonts w:ascii="Calibri" w:eastAsia="Calibri" w:hAnsi="Calibri"/>
                <w:sz w:val="22"/>
                <w:szCs w:val="22"/>
                <w:lang w:eastAsia="en-US"/>
              </w:rPr>
              <w:t>CIC) within the next 2/3 months</w:t>
            </w:r>
          </w:p>
          <w:p w:rsidR="00F86DFD" w:rsidRPr="00672492" w:rsidRDefault="00B90358" w:rsidP="00672492">
            <w:pPr>
              <w:numPr>
                <w:ilvl w:val="0"/>
                <w:numId w:val="26"/>
              </w:numPr>
              <w:contextualSpacing/>
              <w:rPr>
                <w:rFonts w:ascii="Calibri" w:eastAsia="Calibri" w:hAnsi="Calibri"/>
                <w:sz w:val="22"/>
                <w:szCs w:val="22"/>
                <w:lang w:eastAsia="en-US"/>
              </w:rPr>
            </w:pPr>
            <w:r>
              <w:rPr>
                <w:rFonts w:ascii="Calibri" w:eastAsia="Calibri" w:hAnsi="Calibri"/>
                <w:sz w:val="22"/>
                <w:szCs w:val="22"/>
                <w:lang w:eastAsia="en-US"/>
              </w:rPr>
              <w:t>Potential development a</w:t>
            </w:r>
            <w:r w:rsidR="00F86DFD" w:rsidRPr="00672492">
              <w:rPr>
                <w:rFonts w:ascii="Calibri" w:eastAsia="Calibri" w:hAnsi="Calibri"/>
                <w:sz w:val="22"/>
                <w:szCs w:val="22"/>
                <w:lang w:eastAsia="en-US"/>
              </w:rPr>
              <w:t>reas over the next 3 years:</w:t>
            </w:r>
          </w:p>
          <w:p w:rsidR="00F86DFD" w:rsidRPr="00672492" w:rsidRDefault="00F86DFD" w:rsidP="00672492">
            <w:pPr>
              <w:numPr>
                <w:ilvl w:val="1"/>
                <w:numId w:val="26"/>
              </w:numPr>
              <w:contextualSpacing/>
              <w:rPr>
                <w:rFonts w:ascii="Calibri" w:eastAsia="Calibri" w:hAnsi="Calibri"/>
                <w:sz w:val="22"/>
                <w:szCs w:val="22"/>
                <w:lang w:eastAsia="en-US"/>
              </w:rPr>
            </w:pPr>
            <w:r w:rsidRPr="00672492">
              <w:rPr>
                <w:rFonts w:ascii="Calibri" w:eastAsia="Calibri" w:hAnsi="Calibri"/>
                <w:sz w:val="22"/>
                <w:szCs w:val="22"/>
                <w:lang w:eastAsia="en-US"/>
              </w:rPr>
              <w:t>Opportunities for patients to edit their own records</w:t>
            </w:r>
          </w:p>
          <w:p w:rsidR="00F86DFD" w:rsidRPr="00672492" w:rsidRDefault="00F86DFD" w:rsidP="00672492">
            <w:pPr>
              <w:numPr>
                <w:ilvl w:val="1"/>
                <w:numId w:val="26"/>
              </w:numPr>
              <w:contextualSpacing/>
              <w:rPr>
                <w:rFonts w:ascii="Calibri" w:eastAsia="Calibri" w:hAnsi="Calibri"/>
                <w:sz w:val="22"/>
                <w:szCs w:val="22"/>
                <w:lang w:eastAsia="en-US"/>
              </w:rPr>
            </w:pPr>
            <w:r w:rsidRPr="00672492">
              <w:rPr>
                <w:rFonts w:ascii="Calibri" w:eastAsia="Calibri" w:hAnsi="Calibri"/>
                <w:sz w:val="22"/>
                <w:szCs w:val="22"/>
                <w:lang w:eastAsia="en-US"/>
              </w:rPr>
              <w:t xml:space="preserve">Potential for prescribing accredited apps to support patients in self-monitoring, </w:t>
            </w:r>
            <w:r w:rsidR="00B90358" w:rsidRPr="00672492">
              <w:rPr>
                <w:rFonts w:ascii="Calibri" w:eastAsia="Calibri" w:hAnsi="Calibri"/>
                <w:sz w:val="22"/>
                <w:szCs w:val="22"/>
                <w:lang w:eastAsia="en-US"/>
              </w:rPr>
              <w:t>self-care</w:t>
            </w:r>
            <w:r w:rsidRPr="00672492">
              <w:rPr>
                <w:rFonts w:ascii="Calibri" w:eastAsia="Calibri" w:hAnsi="Calibri"/>
                <w:sz w:val="22"/>
                <w:szCs w:val="22"/>
                <w:lang w:eastAsia="en-US"/>
              </w:rPr>
              <w:t xml:space="preserve"> and prevention – some of which could potentially be incorporated into the electronic record</w:t>
            </w:r>
          </w:p>
          <w:p w:rsidR="00F86DFD" w:rsidRPr="002F7B33" w:rsidRDefault="00F86DFD" w:rsidP="00C705E0">
            <w:pPr>
              <w:numPr>
                <w:ilvl w:val="0"/>
                <w:numId w:val="26"/>
              </w:numPr>
              <w:contextualSpacing/>
              <w:rPr>
                <w:rFonts w:ascii="Calibri" w:eastAsia="Calibri" w:hAnsi="Calibri"/>
                <w:i/>
                <w:sz w:val="22"/>
                <w:szCs w:val="22"/>
                <w:lang w:eastAsia="en-US"/>
              </w:rPr>
            </w:pPr>
            <w:r w:rsidRPr="002F7B33">
              <w:rPr>
                <w:rFonts w:ascii="Calibri" w:eastAsia="Calibri" w:hAnsi="Calibri"/>
                <w:sz w:val="22"/>
                <w:szCs w:val="22"/>
                <w:lang w:eastAsia="en-US"/>
              </w:rPr>
              <w:t>CCG submitted bid through 2015/16 P</w:t>
            </w:r>
            <w:r w:rsidR="00B90358">
              <w:rPr>
                <w:rFonts w:ascii="Calibri" w:eastAsia="Calibri" w:hAnsi="Calibri"/>
                <w:sz w:val="22"/>
                <w:szCs w:val="22"/>
                <w:lang w:eastAsia="en-US"/>
              </w:rPr>
              <w:t xml:space="preserve">rimary </w:t>
            </w:r>
            <w:r w:rsidRPr="002F7B33">
              <w:rPr>
                <w:rFonts w:ascii="Calibri" w:eastAsia="Calibri" w:hAnsi="Calibri"/>
                <w:sz w:val="22"/>
                <w:szCs w:val="22"/>
                <w:lang w:eastAsia="en-US"/>
              </w:rPr>
              <w:t>C</w:t>
            </w:r>
            <w:r w:rsidR="00B90358">
              <w:rPr>
                <w:rFonts w:ascii="Calibri" w:eastAsia="Calibri" w:hAnsi="Calibri"/>
                <w:sz w:val="22"/>
                <w:szCs w:val="22"/>
                <w:lang w:eastAsia="en-US"/>
              </w:rPr>
              <w:t xml:space="preserve">are </w:t>
            </w:r>
            <w:r w:rsidRPr="002F7B33">
              <w:rPr>
                <w:rFonts w:ascii="Calibri" w:eastAsia="Calibri" w:hAnsi="Calibri"/>
                <w:sz w:val="22"/>
                <w:szCs w:val="22"/>
                <w:lang w:eastAsia="en-US"/>
              </w:rPr>
              <w:t>T</w:t>
            </w:r>
            <w:r w:rsidR="00B90358">
              <w:rPr>
                <w:rFonts w:ascii="Calibri" w:eastAsia="Calibri" w:hAnsi="Calibri"/>
                <w:sz w:val="22"/>
                <w:szCs w:val="22"/>
                <w:lang w:eastAsia="en-US"/>
              </w:rPr>
              <w:t xml:space="preserve">ransformation </w:t>
            </w:r>
            <w:r w:rsidRPr="002F7B33">
              <w:rPr>
                <w:rFonts w:ascii="Calibri" w:eastAsia="Calibri" w:hAnsi="Calibri"/>
                <w:sz w:val="22"/>
                <w:szCs w:val="22"/>
                <w:lang w:eastAsia="en-US"/>
              </w:rPr>
              <w:t>F</w:t>
            </w:r>
            <w:r w:rsidR="00B90358">
              <w:rPr>
                <w:rFonts w:ascii="Calibri" w:eastAsia="Calibri" w:hAnsi="Calibri"/>
                <w:sz w:val="22"/>
                <w:szCs w:val="22"/>
                <w:lang w:eastAsia="en-US"/>
              </w:rPr>
              <w:t>und (PCTF)</w:t>
            </w:r>
            <w:r w:rsidRPr="002F7B33">
              <w:rPr>
                <w:rFonts w:ascii="Calibri" w:eastAsia="Calibri" w:hAnsi="Calibri"/>
                <w:sz w:val="22"/>
                <w:szCs w:val="22"/>
                <w:lang w:eastAsia="en-US"/>
              </w:rPr>
              <w:t xml:space="preserve"> for supporting implementation of ‘Ask My GP’ app – still awaiting outcome</w:t>
            </w:r>
          </w:p>
          <w:p w:rsidR="00F86DFD" w:rsidRPr="002F7B33" w:rsidRDefault="00F86DFD" w:rsidP="0007646B">
            <w:pPr>
              <w:ind w:left="360"/>
              <w:contextualSpacing/>
              <w:rPr>
                <w:rFonts w:ascii="Calibri" w:eastAsia="Calibri" w:hAnsi="Calibri"/>
                <w:i/>
                <w:sz w:val="22"/>
                <w:szCs w:val="22"/>
                <w:lang w:eastAsia="en-US"/>
              </w:rPr>
            </w:pPr>
          </w:p>
        </w:tc>
      </w:tr>
      <w:tr w:rsidR="00F86DFD" w:rsidRPr="002F7B33" w:rsidTr="00F86DFD">
        <w:tc>
          <w:tcPr>
            <w:tcW w:w="4253" w:type="dxa"/>
            <w:shd w:val="clear" w:color="auto" w:fill="auto"/>
          </w:tcPr>
          <w:p w:rsidR="00F86DFD" w:rsidRPr="002F7B33" w:rsidRDefault="00F86DFD" w:rsidP="0007646B">
            <w:pPr>
              <w:rPr>
                <w:rFonts w:ascii="Calibri" w:eastAsia="Calibri" w:hAnsi="Calibri"/>
                <w:sz w:val="22"/>
                <w:szCs w:val="22"/>
                <w:lang w:eastAsia="en-US"/>
              </w:rPr>
            </w:pPr>
            <w:r w:rsidRPr="002F7B33">
              <w:rPr>
                <w:rFonts w:ascii="Calibri" w:eastAsia="Calibri" w:hAnsi="Calibri"/>
                <w:sz w:val="22"/>
                <w:szCs w:val="22"/>
                <w:lang w:eastAsia="en-US"/>
              </w:rPr>
              <w:t>Ensure high quality appointment booking app with access to full medical record and agreed data sharing opt-out available from April 2016</w:t>
            </w:r>
            <w:r>
              <w:rPr>
                <w:rFonts w:ascii="Calibri" w:eastAsia="Calibri" w:hAnsi="Calibri"/>
                <w:sz w:val="22"/>
                <w:szCs w:val="22"/>
                <w:lang w:eastAsia="en-US"/>
              </w:rPr>
              <w:t xml:space="preserve"> - </w:t>
            </w:r>
            <w:r w:rsidRPr="00B90358">
              <w:rPr>
                <w:rFonts w:ascii="Calibri" w:eastAsia="Calibri" w:hAnsi="Calibri"/>
                <w:i/>
                <w:sz w:val="22"/>
                <w:szCs w:val="22"/>
                <w:lang w:eastAsia="en-US"/>
              </w:rPr>
              <w:t>April 2016</w:t>
            </w:r>
          </w:p>
        </w:tc>
        <w:tc>
          <w:tcPr>
            <w:tcW w:w="6237" w:type="dxa"/>
            <w:shd w:val="clear" w:color="auto" w:fill="auto"/>
          </w:tcPr>
          <w:p w:rsidR="00B90358" w:rsidRDefault="00B90358" w:rsidP="00C705E0">
            <w:pPr>
              <w:numPr>
                <w:ilvl w:val="0"/>
                <w:numId w:val="26"/>
              </w:numPr>
              <w:contextualSpacing/>
              <w:rPr>
                <w:rFonts w:ascii="Calibri" w:eastAsia="Calibri" w:hAnsi="Calibri"/>
                <w:sz w:val="22"/>
                <w:szCs w:val="22"/>
                <w:lang w:eastAsia="en-US"/>
              </w:rPr>
            </w:pPr>
            <w:r>
              <w:rPr>
                <w:rFonts w:ascii="Calibri" w:eastAsia="Calibri" w:hAnsi="Calibri"/>
                <w:sz w:val="22"/>
                <w:szCs w:val="22"/>
                <w:lang w:eastAsia="en-US"/>
              </w:rPr>
              <w:t xml:space="preserve">As per above </w:t>
            </w:r>
          </w:p>
          <w:p w:rsidR="00F86DFD" w:rsidRPr="002F7B33" w:rsidRDefault="00F86DFD" w:rsidP="00B90358">
            <w:pPr>
              <w:numPr>
                <w:ilvl w:val="0"/>
                <w:numId w:val="26"/>
              </w:numPr>
              <w:contextualSpacing/>
              <w:rPr>
                <w:rFonts w:ascii="Calibri" w:eastAsia="Calibri" w:hAnsi="Calibri"/>
                <w:i/>
                <w:sz w:val="22"/>
                <w:szCs w:val="22"/>
                <w:lang w:eastAsia="en-US"/>
              </w:rPr>
            </w:pPr>
            <w:r w:rsidRPr="00C705E0">
              <w:rPr>
                <w:rFonts w:ascii="Calibri" w:eastAsia="Calibri" w:hAnsi="Calibri"/>
                <w:sz w:val="22"/>
                <w:szCs w:val="22"/>
                <w:lang w:eastAsia="en-US"/>
              </w:rPr>
              <w:t>The need to develop, consult and implement data sharing agreements is a high priority across the whole of Humber</w:t>
            </w:r>
          </w:p>
        </w:tc>
      </w:tr>
    </w:tbl>
    <w:p w:rsidR="009B7A10" w:rsidRPr="009D14DD" w:rsidRDefault="009B7A10" w:rsidP="009B7A10">
      <w:pPr>
        <w:rPr>
          <w:rFonts w:ascii="Arial" w:hAnsi="Arial" w:cs="Arial"/>
          <w:b/>
          <w:bCs/>
          <w:sz w:val="22"/>
          <w:szCs w:val="22"/>
        </w:rPr>
      </w:pPr>
    </w:p>
    <w:p w:rsidR="009B7A10" w:rsidRDefault="009B7A10" w:rsidP="00D7033C">
      <w:pPr>
        <w:rPr>
          <w:rFonts w:ascii="Arial" w:hAnsi="Arial" w:cs="Arial"/>
          <w:b/>
          <w:bCs/>
          <w:sz w:val="22"/>
          <w:szCs w:val="22"/>
        </w:rPr>
      </w:pPr>
    </w:p>
    <w:sectPr w:rsidR="009B7A10" w:rsidSect="00DD7564">
      <w:footerReference w:type="default" r:id="rId12"/>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21" w:rsidRDefault="002B0F21">
      <w:r>
        <w:separator/>
      </w:r>
    </w:p>
  </w:endnote>
  <w:endnote w:type="continuationSeparator" w:id="0">
    <w:p w:rsidR="002B0F21" w:rsidRDefault="002B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1" w:rsidRDefault="002B0F21" w:rsidP="00DC3218">
    <w:pPr>
      <w:pStyle w:val="Footer"/>
      <w:jc w:val="right"/>
    </w:pPr>
    <w:r>
      <w:rPr>
        <w:noProof/>
      </w:rPr>
      <w:drawing>
        <wp:inline distT="0" distB="0" distL="0" distR="0" wp14:anchorId="22F2BEB0" wp14:editId="558A37FC">
          <wp:extent cx="2658110" cy="353695"/>
          <wp:effectExtent l="0" t="0" r="889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3292946A" wp14:editId="3C54867E">
          <wp:extent cx="1036320" cy="878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21" w:rsidRDefault="002B0F21">
      <w:r>
        <w:separator/>
      </w:r>
    </w:p>
  </w:footnote>
  <w:footnote w:type="continuationSeparator" w:id="0">
    <w:p w:rsidR="002B0F21" w:rsidRDefault="002B0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A009E"/>
    <w:multiLevelType w:val="hybridMultilevel"/>
    <w:tmpl w:val="BA62E89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1F24718C"/>
    <w:multiLevelType w:val="hybridMultilevel"/>
    <w:tmpl w:val="9BCC653A"/>
    <w:lvl w:ilvl="0" w:tplc="BD18CE4A">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E20FB"/>
    <w:multiLevelType w:val="hybridMultilevel"/>
    <w:tmpl w:val="624C5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8">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322776D"/>
    <w:multiLevelType w:val="hybridMultilevel"/>
    <w:tmpl w:val="9B2EE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28">
    <w:nsid w:val="7D6F5DA2"/>
    <w:multiLevelType w:val="hybridMultilevel"/>
    <w:tmpl w:val="98127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26"/>
  </w:num>
  <w:num w:numId="5">
    <w:abstractNumId w:val="18"/>
  </w:num>
  <w:num w:numId="6">
    <w:abstractNumId w:val="24"/>
  </w:num>
  <w:num w:numId="7">
    <w:abstractNumId w:val="3"/>
  </w:num>
  <w:num w:numId="8">
    <w:abstractNumId w:val="17"/>
  </w:num>
  <w:num w:numId="9">
    <w:abstractNumId w:val="20"/>
  </w:num>
  <w:num w:numId="10">
    <w:abstractNumId w:val="5"/>
  </w:num>
  <w:num w:numId="11">
    <w:abstractNumId w:val="10"/>
  </w:num>
  <w:num w:numId="12">
    <w:abstractNumId w:val="23"/>
  </w:num>
  <w:num w:numId="13">
    <w:abstractNumId w:val="14"/>
  </w:num>
  <w:num w:numId="14">
    <w:abstractNumId w:val="1"/>
  </w:num>
  <w:num w:numId="15">
    <w:abstractNumId w:val="16"/>
  </w:num>
  <w:num w:numId="16">
    <w:abstractNumId w:val="11"/>
  </w:num>
  <w:num w:numId="17">
    <w:abstractNumId w:val="19"/>
  </w:num>
  <w:num w:numId="18">
    <w:abstractNumId w:val="15"/>
  </w:num>
  <w:num w:numId="19">
    <w:abstractNumId w:val="25"/>
  </w:num>
  <w:num w:numId="20">
    <w:abstractNumId w:val="9"/>
  </w:num>
  <w:num w:numId="21">
    <w:abstractNumId w:val="6"/>
  </w:num>
  <w:num w:numId="22">
    <w:abstractNumId w:val="12"/>
  </w:num>
  <w:num w:numId="23">
    <w:abstractNumId w:val="4"/>
  </w:num>
  <w:num w:numId="24">
    <w:abstractNumId w:val="27"/>
  </w:num>
  <w:num w:numId="25">
    <w:abstractNumId w:val="7"/>
  </w:num>
  <w:num w:numId="26">
    <w:abstractNumId w:val="8"/>
  </w:num>
  <w:num w:numId="27">
    <w:abstractNumId w:val="13"/>
  </w:num>
  <w:num w:numId="28">
    <w:abstractNumId w:val="21"/>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7646B"/>
    <w:rsid w:val="000804F5"/>
    <w:rsid w:val="00086901"/>
    <w:rsid w:val="00091E11"/>
    <w:rsid w:val="000920DD"/>
    <w:rsid w:val="00095E6B"/>
    <w:rsid w:val="000B1D82"/>
    <w:rsid w:val="000B1EEB"/>
    <w:rsid w:val="000B4521"/>
    <w:rsid w:val="000C440F"/>
    <w:rsid w:val="000E4269"/>
    <w:rsid w:val="000E71C5"/>
    <w:rsid w:val="000F233C"/>
    <w:rsid w:val="000F773D"/>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0F21"/>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4FC8"/>
    <w:rsid w:val="00646395"/>
    <w:rsid w:val="006468ED"/>
    <w:rsid w:val="006569A3"/>
    <w:rsid w:val="00657CC2"/>
    <w:rsid w:val="00664815"/>
    <w:rsid w:val="00672492"/>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1FD8"/>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B7A10"/>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0358"/>
    <w:rsid w:val="00B93457"/>
    <w:rsid w:val="00B961A5"/>
    <w:rsid w:val="00B97B0B"/>
    <w:rsid w:val="00BA763E"/>
    <w:rsid w:val="00BB4739"/>
    <w:rsid w:val="00BB5C36"/>
    <w:rsid w:val="00BB7DF9"/>
    <w:rsid w:val="00BC0FCC"/>
    <w:rsid w:val="00BC24D2"/>
    <w:rsid w:val="00BC27AF"/>
    <w:rsid w:val="00BC4508"/>
    <w:rsid w:val="00BC5CEC"/>
    <w:rsid w:val="00BC6D92"/>
    <w:rsid w:val="00BE2812"/>
    <w:rsid w:val="00BE6E0D"/>
    <w:rsid w:val="00BE7009"/>
    <w:rsid w:val="00BF4C1F"/>
    <w:rsid w:val="00BF64D8"/>
    <w:rsid w:val="00C053D3"/>
    <w:rsid w:val="00C0569D"/>
    <w:rsid w:val="00C07D8B"/>
    <w:rsid w:val="00C17F41"/>
    <w:rsid w:val="00C20949"/>
    <w:rsid w:val="00C523B4"/>
    <w:rsid w:val="00C52D50"/>
    <w:rsid w:val="00C628C9"/>
    <w:rsid w:val="00C703B6"/>
    <w:rsid w:val="00C705E0"/>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32E1E"/>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86DFD"/>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157812404">
      <w:bodyDiv w:val="1"/>
      <w:marLeft w:val="0"/>
      <w:marRight w:val="0"/>
      <w:marTop w:val="0"/>
      <w:marBottom w:val="0"/>
      <w:divBdr>
        <w:top w:val="none" w:sz="0" w:space="0" w:color="auto"/>
        <w:left w:val="none" w:sz="0" w:space="0" w:color="auto"/>
        <w:bottom w:val="none" w:sz="0" w:space="0" w:color="auto"/>
        <w:right w:val="none" w:sz="0" w:space="0" w:color="auto"/>
      </w:divBdr>
    </w:div>
    <w:div w:id="377437781">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77549491">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6362290">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B7AF-4FAB-4977-9954-0E7FCE79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1566</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10329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12</cp:revision>
  <cp:lastPrinted>2011-06-01T15:50:00Z</cp:lastPrinted>
  <dcterms:created xsi:type="dcterms:W3CDTF">2016-02-04T19:17:00Z</dcterms:created>
  <dcterms:modified xsi:type="dcterms:W3CDTF">2016-02-08T13:10:00Z</dcterms:modified>
</cp:coreProperties>
</file>