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763E" w:rsidRDefault="006A74AF"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7FAD" w:rsidRPr="00DD7564" w:rsidRDefault="005C7FAD" w:rsidP="00DD689C">
                            <w:pPr>
                              <w:rPr>
                                <w:rFonts w:ascii="Arial" w:hAnsi="Arial" w:cs="Arial"/>
                                <w:sz w:val="32"/>
                                <w:szCs w:val="32"/>
                              </w:rPr>
                            </w:pPr>
                            <w:r>
                              <w:rPr>
                                <w:rFonts w:ascii="Arial" w:hAnsi="Arial" w:cs="Arial"/>
                                <w:sz w:val="32"/>
                                <w:szCs w:val="32"/>
                              </w:rPr>
                              <w:t xml:space="preserve">Attachment </w:t>
                            </w:r>
                          </w:p>
                          <w:p w:rsidR="005C7FAD" w:rsidRDefault="005C7FAD"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8412C1" w:rsidRPr="00DD7564" w:rsidRDefault="008412C1" w:rsidP="00DD689C">
                      <w:pPr>
                        <w:rPr>
                          <w:rFonts w:ascii="Arial" w:hAnsi="Arial" w:cs="Arial"/>
                          <w:sz w:val="32"/>
                          <w:szCs w:val="32"/>
                        </w:rPr>
                      </w:pPr>
                      <w:r>
                        <w:rPr>
                          <w:rFonts w:ascii="Arial" w:hAnsi="Arial" w:cs="Arial"/>
                          <w:sz w:val="32"/>
                          <w:szCs w:val="32"/>
                        </w:rPr>
                        <w:t xml:space="preserve">Attachment </w:t>
                      </w:r>
                    </w:p>
                    <w:p w:rsidR="008412C1" w:rsidRDefault="008412C1" w:rsidP="00DD689C">
                      <w:pPr>
                        <w:rPr>
                          <w:sz w:val="36"/>
                        </w:rPr>
                      </w:pPr>
                    </w:p>
                  </w:txbxContent>
                </v:textbox>
              </v:shape>
            </w:pict>
          </mc:Fallback>
        </mc:AlternateContent>
      </w:r>
      <w:r w:rsidR="001D78A2">
        <w:rPr>
          <w:noProof/>
        </w:rPr>
        <w:drawing>
          <wp:inline distT="0" distB="0" distL="0" distR="0" wp14:anchorId="219E91CC" wp14:editId="5B4C0398">
            <wp:extent cx="777240" cy="312225"/>
            <wp:effectExtent l="0" t="0" r="3810" b="0"/>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312225"/>
                    </a:xfrm>
                    <a:prstGeom prst="rect">
                      <a:avLst/>
                    </a:prstGeom>
                    <a:noFill/>
                    <a:ln>
                      <a:noFill/>
                    </a:ln>
                  </pic:spPr>
                </pic:pic>
              </a:graphicData>
            </a:graphic>
          </wp:inline>
        </w:drawing>
      </w:r>
    </w:p>
    <w:p w:rsidR="00DD689C" w:rsidRPr="00635173" w:rsidRDefault="00BA763E" w:rsidP="006A74AF">
      <w:pPr>
        <w:pStyle w:val="Header"/>
        <w:jc w:val="right"/>
        <w:rPr>
          <w:rFonts w:ascii="Arial" w:hAnsi="Arial" w:cs="Arial"/>
          <w:b/>
          <w:color w:val="365F91"/>
        </w:rPr>
      </w:pPr>
      <w:r w:rsidRPr="00635173">
        <w:rPr>
          <w:rFonts w:ascii="Arial" w:hAnsi="Arial" w:cs="Arial"/>
          <w:b/>
          <w:color w:val="365F91"/>
        </w:rPr>
        <w:t>North East Lincolnshire CCG</w:t>
      </w:r>
    </w:p>
    <w:p w:rsidR="006A74AF" w:rsidRPr="006A74AF" w:rsidRDefault="006A74AF" w:rsidP="006A74AF">
      <w:pPr>
        <w:pStyle w:val="Header"/>
        <w:rPr>
          <w:b/>
          <w:color w:val="365F91"/>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7E6A63" w:rsidP="00F059BD">
            <w:pPr>
              <w:rPr>
                <w:rFonts w:ascii="Arial" w:hAnsi="Arial" w:cs="Arial"/>
                <w:bCs/>
                <w:sz w:val="22"/>
                <w:szCs w:val="22"/>
              </w:rPr>
            </w:pPr>
            <w:r>
              <w:rPr>
                <w:rFonts w:ascii="Arial" w:hAnsi="Arial" w:cs="Arial"/>
                <w:bCs/>
                <w:sz w:val="22"/>
                <w:szCs w:val="22"/>
              </w:rPr>
              <w:t xml:space="preserve">NEL </w:t>
            </w:r>
            <w:r w:rsidR="00F059BD">
              <w:rPr>
                <w:rFonts w:ascii="Arial" w:hAnsi="Arial" w:cs="Arial"/>
                <w:bCs/>
                <w:sz w:val="22"/>
                <w:szCs w:val="22"/>
              </w:rPr>
              <w:t xml:space="preserve">CCG Joint Co-Commissioning </w:t>
            </w:r>
            <w:r w:rsidR="009E3C5B">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A018C8" w:rsidP="009306C6">
            <w:pPr>
              <w:rPr>
                <w:rFonts w:ascii="Arial" w:hAnsi="Arial" w:cs="Arial"/>
                <w:bCs/>
                <w:sz w:val="22"/>
                <w:szCs w:val="22"/>
              </w:rPr>
            </w:pPr>
            <w:r>
              <w:rPr>
                <w:rFonts w:ascii="Arial" w:hAnsi="Arial" w:cs="Arial"/>
                <w:bCs/>
                <w:sz w:val="22"/>
                <w:szCs w:val="22"/>
              </w:rPr>
              <w:t>Julie Wilson</w:t>
            </w:r>
            <w:r w:rsidR="00DE47E9">
              <w:rPr>
                <w:rFonts w:ascii="Arial" w:hAnsi="Arial" w:cs="Arial"/>
                <w:bCs/>
                <w:sz w:val="22"/>
                <w:szCs w:val="22"/>
              </w:rPr>
              <w:t>, Assistant Director Co-Commissioning</w:t>
            </w:r>
            <w:r>
              <w:rPr>
                <w:rFonts w:ascii="Arial" w:hAnsi="Arial" w:cs="Arial"/>
                <w:bCs/>
                <w:sz w:val="22"/>
                <w:szCs w:val="22"/>
              </w:rPr>
              <w:t xml:space="preserve"> </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E47E9" w:rsidP="00BC5CEC">
            <w:pPr>
              <w:rPr>
                <w:rFonts w:ascii="Arial" w:hAnsi="Arial" w:cs="Arial"/>
                <w:bCs/>
                <w:sz w:val="22"/>
                <w:szCs w:val="22"/>
              </w:rPr>
            </w:pPr>
            <w:r>
              <w:rPr>
                <w:rFonts w:ascii="Arial" w:hAnsi="Arial" w:cs="Arial"/>
                <w:bCs/>
                <w:sz w:val="22"/>
                <w:szCs w:val="22"/>
              </w:rPr>
              <w:t>23</w:t>
            </w:r>
            <w:r w:rsidRPr="00DE47E9">
              <w:rPr>
                <w:rFonts w:ascii="Arial" w:hAnsi="Arial" w:cs="Arial"/>
                <w:bCs/>
                <w:sz w:val="22"/>
                <w:szCs w:val="22"/>
                <w:vertAlign w:val="superscript"/>
              </w:rPr>
              <w:t>rd</w:t>
            </w:r>
            <w:r>
              <w:rPr>
                <w:rFonts w:ascii="Arial" w:hAnsi="Arial" w:cs="Arial"/>
                <w:bCs/>
                <w:sz w:val="22"/>
                <w:szCs w:val="22"/>
              </w:rPr>
              <w:t xml:space="preserve"> July 2015</w:t>
            </w:r>
          </w:p>
        </w:tc>
      </w:tr>
      <w:tr w:rsidR="00DD689C" w:rsidRPr="00752FD6" w:rsidTr="00D7033C">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E47E9" w:rsidP="009306C6">
            <w:pPr>
              <w:rPr>
                <w:rFonts w:ascii="Arial" w:hAnsi="Arial" w:cs="Arial"/>
                <w:bCs/>
                <w:sz w:val="22"/>
                <w:szCs w:val="22"/>
              </w:rPr>
            </w:pPr>
            <w:r>
              <w:rPr>
                <w:rFonts w:ascii="Arial" w:hAnsi="Arial" w:cs="Arial"/>
                <w:bCs/>
                <w:sz w:val="22"/>
                <w:szCs w:val="22"/>
              </w:rPr>
              <w:t>Update on pilot schemes for testing 7 day GP Access</w:t>
            </w:r>
          </w:p>
        </w:tc>
      </w:tr>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D26686">
            <w:pPr>
              <w:rPr>
                <w:rFonts w:ascii="Arial" w:hAnsi="Arial" w:cs="Arial"/>
                <w:b/>
                <w:bCs/>
                <w:sz w:val="22"/>
                <w:szCs w:val="22"/>
              </w:rPr>
            </w:pPr>
          </w:p>
        </w:tc>
        <w:bookmarkStart w:id="1" w:name="Check4"/>
        <w:tc>
          <w:tcPr>
            <w:tcW w:w="8003" w:type="dxa"/>
            <w:shd w:val="clear" w:color="auto" w:fill="auto"/>
          </w:tcPr>
          <w:p w:rsidR="00DD689C" w:rsidRPr="00752FD6" w:rsidRDefault="00150AC3" w:rsidP="00752FD6">
            <w:pPr>
              <w:spacing w:before="60"/>
              <w:rPr>
                <w:rFonts w:ascii="Arial" w:hAnsi="Arial" w:cs="Arial"/>
                <w:sz w:val="22"/>
                <w:szCs w:val="22"/>
              </w:rPr>
            </w:pPr>
            <w:r>
              <w:rPr>
                <w:rFonts w:ascii="Arial" w:hAnsi="Arial" w:cs="Arial"/>
                <w:sz w:val="22"/>
                <w:szCs w:val="22"/>
              </w:rPr>
              <w:fldChar w:fldCharType="begin">
                <w:ffData>
                  <w:name w:val="Check4"/>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
            <w:r w:rsidR="00DD689C" w:rsidRPr="00752FD6">
              <w:rPr>
                <w:rFonts w:ascii="Arial" w:hAnsi="Arial" w:cs="Arial"/>
                <w:sz w:val="22"/>
                <w:szCs w:val="22"/>
              </w:rPr>
              <w:t xml:space="preserve"> 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9E3C5B" w:rsidRPr="00752FD6" w:rsidTr="00D7033C">
        <w:tc>
          <w:tcPr>
            <w:tcW w:w="2028" w:type="dxa"/>
            <w:shd w:val="clear" w:color="auto" w:fill="auto"/>
          </w:tcPr>
          <w:p w:rsidR="009E3C5B" w:rsidRPr="00752FD6" w:rsidRDefault="009E3C5B" w:rsidP="00D26686">
            <w:pPr>
              <w:rPr>
                <w:rFonts w:ascii="Arial" w:hAnsi="Arial" w:cs="Arial"/>
                <w:b/>
                <w:bCs/>
                <w:sz w:val="22"/>
                <w:szCs w:val="22"/>
              </w:rPr>
            </w:pPr>
          </w:p>
        </w:tc>
        <w:tc>
          <w:tcPr>
            <w:tcW w:w="8003" w:type="dxa"/>
            <w:shd w:val="clear" w:color="auto" w:fill="auto"/>
          </w:tcPr>
          <w:p w:rsidR="00D26686" w:rsidRDefault="00DE47E9" w:rsidP="00D26686">
            <w:pPr>
              <w:rPr>
                <w:rFonts w:asciiTheme="minorHAnsi" w:hAnsiTheme="minorHAnsi" w:cstheme="minorHAnsi"/>
              </w:rPr>
            </w:pP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D26686">
              <w:rPr>
                <w:rFonts w:ascii="Arial" w:hAnsi="Arial" w:cs="Arial"/>
                <w:sz w:val="22"/>
                <w:szCs w:val="22"/>
              </w:rPr>
              <w:t xml:space="preserve"> </w:t>
            </w:r>
            <w:r w:rsidR="00D26686" w:rsidRPr="00D26686">
              <w:rPr>
                <w:rFonts w:asciiTheme="minorHAnsi" w:hAnsiTheme="minorHAnsi" w:cstheme="minorHAnsi"/>
                <w:sz w:val="22"/>
                <w:szCs w:val="22"/>
              </w:rPr>
              <w:t>C</w:t>
            </w:r>
            <w:r w:rsidR="00D26686" w:rsidRPr="00D26686">
              <w:rPr>
                <w:rFonts w:asciiTheme="minorHAnsi" w:hAnsiTheme="minorHAnsi" w:cstheme="minorHAnsi"/>
              </w:rPr>
              <w:t>omplies with latest CCG Strategy for Primary Medical Services</w:t>
            </w:r>
            <w:r w:rsidR="00D26686">
              <w:rPr>
                <w:rFonts w:asciiTheme="minorHAnsi" w:hAnsiTheme="minorHAnsi" w:cstheme="minorHAnsi"/>
              </w:rPr>
              <w:t>, if not,             please give a brief reason why:</w:t>
            </w:r>
          </w:p>
          <w:p w:rsidR="00D26686" w:rsidRDefault="00D26686" w:rsidP="00D26686">
            <w:pPr>
              <w:rPr>
                <w:rFonts w:asciiTheme="minorHAnsi" w:hAnsiTheme="minorHAnsi" w:cstheme="minorHAnsi"/>
              </w:rPr>
            </w:pPr>
          </w:p>
          <w:p w:rsidR="00D26686" w:rsidRDefault="00D26686" w:rsidP="00D26686">
            <w:pPr>
              <w:rPr>
                <w:rFonts w:asciiTheme="minorHAnsi" w:hAnsiTheme="minorHAnsi" w:cstheme="minorHAnsi"/>
              </w:rPr>
            </w:pPr>
          </w:p>
          <w:p w:rsidR="00D26686" w:rsidRDefault="00D26686" w:rsidP="00D26686">
            <w:pPr>
              <w:rPr>
                <w:rFonts w:ascii="Arial" w:hAnsi="Arial" w:cs="Arial"/>
                <w:bCs/>
                <w:sz w:val="22"/>
                <w:szCs w:val="22"/>
              </w:rPr>
            </w:pPr>
          </w:p>
          <w:p w:rsidR="009E3C5B"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DD7564" w:rsidRDefault="00150AC3" w:rsidP="00B41D76">
            <w:pPr>
              <w:rPr>
                <w:rFonts w:ascii="Arial" w:hAnsi="Arial" w:cs="Arial"/>
                <w:bCs/>
                <w:sz w:val="22"/>
                <w:szCs w:val="22"/>
              </w:rPr>
            </w:pPr>
            <w:r>
              <w:rPr>
                <w:rFonts w:ascii="Arial" w:hAnsi="Arial" w:cs="Arial"/>
                <w:bCs/>
                <w:sz w:val="22"/>
                <w:szCs w:val="22"/>
              </w:rPr>
              <w:t>This report has been prepared to provide an update to the Joint Co-Commissioning Committee regarding plans for pilot schemes to test out 7 day working models across North East Lincolnshire</w:t>
            </w:r>
            <w:r w:rsidR="006919AB">
              <w:rPr>
                <w:rFonts w:ascii="Arial" w:hAnsi="Arial" w:cs="Arial"/>
                <w:bCs/>
                <w:sz w:val="22"/>
                <w:szCs w:val="22"/>
              </w:rPr>
              <w:t xml:space="preserve"> general practices</w:t>
            </w:r>
            <w:r>
              <w:rPr>
                <w:rFonts w:ascii="Arial" w:hAnsi="Arial" w:cs="Arial"/>
                <w:bCs/>
                <w:sz w:val="22"/>
                <w:szCs w:val="22"/>
              </w:rPr>
              <w:t>, and the potential implications for the future commissioning of extended access within General Practice.</w:t>
            </w:r>
          </w:p>
          <w:p w:rsidR="006A74AF" w:rsidRDefault="006A74AF" w:rsidP="00B41D76">
            <w:pPr>
              <w:rPr>
                <w:rFonts w:ascii="Arial" w:hAnsi="Arial" w:cs="Arial"/>
                <w:bCs/>
                <w:sz w:val="22"/>
                <w:szCs w:val="22"/>
              </w:rPr>
            </w:pP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6A74AF" w:rsidRDefault="00150AC3" w:rsidP="00B41D76">
            <w:pPr>
              <w:rPr>
                <w:rFonts w:ascii="Arial" w:hAnsi="Arial" w:cs="Arial"/>
                <w:bCs/>
                <w:sz w:val="22"/>
                <w:szCs w:val="22"/>
              </w:rPr>
            </w:pPr>
            <w:r>
              <w:rPr>
                <w:rFonts w:ascii="Arial" w:hAnsi="Arial" w:cs="Arial"/>
                <w:bCs/>
                <w:sz w:val="22"/>
                <w:szCs w:val="22"/>
              </w:rPr>
              <w:t>The plans for testing 7 day access are consistent with the primary care strategy presented to the Committee at the meeting on 23</w:t>
            </w:r>
            <w:r w:rsidRPr="00150AC3">
              <w:rPr>
                <w:rFonts w:ascii="Arial" w:hAnsi="Arial" w:cs="Arial"/>
                <w:bCs/>
                <w:sz w:val="22"/>
                <w:szCs w:val="22"/>
                <w:vertAlign w:val="superscript"/>
              </w:rPr>
              <w:t>rd</w:t>
            </w:r>
            <w:r>
              <w:rPr>
                <w:rFonts w:ascii="Arial" w:hAnsi="Arial" w:cs="Arial"/>
                <w:bCs/>
                <w:sz w:val="22"/>
                <w:szCs w:val="22"/>
              </w:rPr>
              <w:t xml:space="preserve"> April 2015.</w:t>
            </w: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150AC3" w:rsidRDefault="00150AC3" w:rsidP="00585083">
            <w:pPr>
              <w:jc w:val="both"/>
              <w:rPr>
                <w:rFonts w:ascii="Arial" w:hAnsi="Arial" w:cs="Arial"/>
                <w:bCs/>
                <w:sz w:val="22"/>
                <w:szCs w:val="22"/>
              </w:rPr>
            </w:pPr>
            <w:r>
              <w:rPr>
                <w:rFonts w:ascii="Arial" w:hAnsi="Arial" w:cs="Arial"/>
                <w:bCs/>
                <w:sz w:val="22"/>
                <w:szCs w:val="22"/>
              </w:rPr>
              <w:t>The attached paper provides a high level overview of the plans for testing 7 day working models within general practice. There are currently two separate groupings of Practices that are working together to test out new models:</w:t>
            </w:r>
          </w:p>
          <w:p w:rsidR="00150AC3" w:rsidRDefault="00150AC3" w:rsidP="00585083">
            <w:pPr>
              <w:jc w:val="both"/>
              <w:rPr>
                <w:rFonts w:ascii="Arial" w:hAnsi="Arial" w:cs="Arial"/>
                <w:bCs/>
                <w:sz w:val="22"/>
                <w:szCs w:val="22"/>
              </w:rPr>
            </w:pPr>
          </w:p>
          <w:p w:rsidR="00150AC3" w:rsidRDefault="00DA2D96" w:rsidP="00150AC3">
            <w:pPr>
              <w:pStyle w:val="ListParagraph"/>
              <w:numPr>
                <w:ilvl w:val="0"/>
                <w:numId w:val="24"/>
              </w:numPr>
              <w:jc w:val="both"/>
              <w:rPr>
                <w:rFonts w:ascii="Arial" w:hAnsi="Arial" w:cs="Arial"/>
                <w:bCs/>
                <w:sz w:val="22"/>
                <w:szCs w:val="22"/>
              </w:rPr>
            </w:pPr>
            <w:r>
              <w:rPr>
                <w:rFonts w:ascii="Arial" w:hAnsi="Arial" w:cs="Arial"/>
                <w:bCs/>
                <w:sz w:val="22"/>
                <w:szCs w:val="22"/>
              </w:rPr>
              <w:t>The North East Lincolnshire Docks Collaborative</w:t>
            </w:r>
            <w:r w:rsidR="00150AC3">
              <w:rPr>
                <w:rFonts w:ascii="Arial" w:hAnsi="Arial" w:cs="Arial"/>
                <w:bCs/>
                <w:sz w:val="22"/>
                <w:szCs w:val="22"/>
              </w:rPr>
              <w:t xml:space="preserve"> includes </w:t>
            </w:r>
            <w:r w:rsidR="00BB2DA4">
              <w:rPr>
                <w:rFonts w:ascii="Arial" w:hAnsi="Arial" w:cs="Arial"/>
                <w:bCs/>
                <w:sz w:val="22"/>
                <w:szCs w:val="22"/>
              </w:rPr>
              <w:t xml:space="preserve">10 Practices, covering a population of approximately 80,000. This scheme was submitted as part of the NHS England ‘Prime Ministers Challenge Fund’ (PMCF) initiative. Whilst it was not formally approved through that process, as it didn’t exactly meet the criteria, NHS England </w:t>
            </w:r>
            <w:r w:rsidR="005C7FAD">
              <w:rPr>
                <w:rFonts w:ascii="Arial" w:hAnsi="Arial" w:cs="Arial"/>
                <w:bCs/>
                <w:sz w:val="22"/>
                <w:szCs w:val="22"/>
              </w:rPr>
              <w:t xml:space="preserve">were very supportive of the </w:t>
            </w:r>
            <w:r w:rsidR="005C7FAD">
              <w:rPr>
                <w:rFonts w:ascii="Arial" w:hAnsi="Arial" w:cs="Arial"/>
                <w:bCs/>
                <w:sz w:val="22"/>
                <w:szCs w:val="22"/>
              </w:rPr>
              <w:lastRenderedPageBreak/>
              <w:t xml:space="preserve">proposal and agreed to fund it </w:t>
            </w:r>
            <w:r w:rsidR="00BB2DA4">
              <w:rPr>
                <w:rFonts w:ascii="Arial" w:hAnsi="Arial" w:cs="Arial"/>
                <w:bCs/>
                <w:sz w:val="22"/>
                <w:szCs w:val="22"/>
              </w:rPr>
              <w:t>from the national primary care infrastructure fund.</w:t>
            </w:r>
            <w:r w:rsidR="005C7FAD">
              <w:rPr>
                <w:rFonts w:ascii="Arial" w:hAnsi="Arial" w:cs="Arial"/>
                <w:bCs/>
                <w:sz w:val="22"/>
                <w:szCs w:val="22"/>
              </w:rPr>
              <w:t xml:space="preserve"> </w:t>
            </w:r>
          </w:p>
          <w:p w:rsidR="00BB2DA4" w:rsidRPr="00150AC3" w:rsidRDefault="00BB2DA4" w:rsidP="00150AC3">
            <w:pPr>
              <w:pStyle w:val="ListParagraph"/>
              <w:numPr>
                <w:ilvl w:val="0"/>
                <w:numId w:val="24"/>
              </w:numPr>
              <w:jc w:val="both"/>
              <w:rPr>
                <w:rFonts w:ascii="Arial" w:hAnsi="Arial" w:cs="Arial"/>
                <w:bCs/>
                <w:sz w:val="22"/>
                <w:szCs w:val="22"/>
              </w:rPr>
            </w:pPr>
            <w:r>
              <w:rPr>
                <w:rFonts w:ascii="Arial" w:hAnsi="Arial" w:cs="Arial"/>
                <w:bCs/>
                <w:sz w:val="22"/>
                <w:szCs w:val="22"/>
              </w:rPr>
              <w:t xml:space="preserve">The </w:t>
            </w:r>
            <w:r w:rsidR="00DA2D96">
              <w:rPr>
                <w:rFonts w:ascii="Arial" w:hAnsi="Arial" w:cs="Arial"/>
                <w:bCs/>
                <w:sz w:val="22"/>
                <w:szCs w:val="22"/>
              </w:rPr>
              <w:t>Grimsby Central GP Collaborative</w:t>
            </w:r>
            <w:r>
              <w:rPr>
                <w:rFonts w:ascii="Arial" w:hAnsi="Arial" w:cs="Arial"/>
                <w:bCs/>
                <w:sz w:val="22"/>
                <w:szCs w:val="22"/>
              </w:rPr>
              <w:t xml:space="preserve"> includes 12 Practices, covering a population of approximately 70,000.</w:t>
            </w:r>
            <w:r w:rsidR="006919AB">
              <w:rPr>
                <w:rFonts w:ascii="Arial" w:hAnsi="Arial" w:cs="Arial"/>
                <w:bCs/>
                <w:sz w:val="22"/>
                <w:szCs w:val="22"/>
              </w:rPr>
              <w:t xml:space="preserve"> </w:t>
            </w:r>
            <w:r w:rsidR="005C7FAD">
              <w:rPr>
                <w:rFonts w:ascii="Arial" w:hAnsi="Arial" w:cs="Arial"/>
                <w:bCs/>
                <w:sz w:val="22"/>
                <w:szCs w:val="22"/>
              </w:rPr>
              <w:t>This is in response to a CCG offer to fund a pilot from within 2015/16 non-recurrent transformational funding. The</w:t>
            </w:r>
            <w:r w:rsidR="006919AB">
              <w:rPr>
                <w:rFonts w:ascii="Arial" w:hAnsi="Arial" w:cs="Arial"/>
                <w:bCs/>
                <w:sz w:val="22"/>
                <w:szCs w:val="22"/>
              </w:rPr>
              <w:t xml:space="preserve"> group are currently developing their model, and have submitted an initial high level proposal to the CCG. The plan is to have a final model agreed by the end of July, for implementation by 1</w:t>
            </w:r>
            <w:r w:rsidR="006919AB" w:rsidRPr="006919AB">
              <w:rPr>
                <w:rFonts w:ascii="Arial" w:hAnsi="Arial" w:cs="Arial"/>
                <w:bCs/>
                <w:sz w:val="22"/>
                <w:szCs w:val="22"/>
                <w:vertAlign w:val="superscript"/>
              </w:rPr>
              <w:t>st</w:t>
            </w:r>
            <w:r w:rsidR="006919AB">
              <w:rPr>
                <w:rFonts w:ascii="Arial" w:hAnsi="Arial" w:cs="Arial"/>
                <w:bCs/>
                <w:sz w:val="22"/>
                <w:szCs w:val="22"/>
              </w:rPr>
              <w:t xml:space="preserve"> October 2015.</w:t>
            </w:r>
          </w:p>
          <w:p w:rsidR="00150AC3" w:rsidRDefault="00150AC3" w:rsidP="00585083">
            <w:pPr>
              <w:jc w:val="both"/>
              <w:rPr>
                <w:rFonts w:ascii="Arial" w:hAnsi="Arial" w:cs="Arial"/>
                <w:bCs/>
                <w:sz w:val="22"/>
                <w:szCs w:val="22"/>
              </w:rPr>
            </w:pPr>
          </w:p>
          <w:p w:rsidR="006A74AF" w:rsidRDefault="00150AC3" w:rsidP="00585083">
            <w:pPr>
              <w:jc w:val="both"/>
              <w:rPr>
                <w:rFonts w:ascii="Arial" w:hAnsi="Arial" w:cs="Arial"/>
                <w:bCs/>
                <w:sz w:val="22"/>
                <w:szCs w:val="22"/>
              </w:rPr>
            </w:pPr>
            <w:r>
              <w:rPr>
                <w:rFonts w:ascii="Arial" w:hAnsi="Arial" w:cs="Arial"/>
                <w:bCs/>
                <w:sz w:val="22"/>
                <w:szCs w:val="22"/>
              </w:rPr>
              <w:t>The attached paper</w:t>
            </w:r>
            <w:r w:rsidR="008412C1">
              <w:rPr>
                <w:rFonts w:ascii="Arial" w:hAnsi="Arial" w:cs="Arial"/>
                <w:bCs/>
                <w:sz w:val="22"/>
                <w:szCs w:val="22"/>
              </w:rPr>
              <w:t xml:space="preserve"> – Appendix 1 – se</w:t>
            </w:r>
            <w:r>
              <w:rPr>
                <w:rFonts w:ascii="Arial" w:hAnsi="Arial" w:cs="Arial"/>
                <w:bCs/>
                <w:sz w:val="22"/>
                <w:szCs w:val="22"/>
              </w:rPr>
              <w:t xml:space="preserve">ts out some of the </w:t>
            </w:r>
            <w:r w:rsidR="00E42F5E">
              <w:rPr>
                <w:rFonts w:ascii="Arial" w:hAnsi="Arial" w:cs="Arial"/>
                <w:bCs/>
                <w:sz w:val="22"/>
                <w:szCs w:val="22"/>
              </w:rPr>
              <w:t>key features of the two test models.</w:t>
            </w:r>
          </w:p>
          <w:p w:rsidR="00C211B2" w:rsidRDefault="00C211B2" w:rsidP="00585083">
            <w:pPr>
              <w:jc w:val="both"/>
              <w:rPr>
                <w:rFonts w:ascii="Arial" w:hAnsi="Arial" w:cs="Arial"/>
                <w:bCs/>
                <w:sz w:val="22"/>
                <w:szCs w:val="22"/>
              </w:rPr>
            </w:pPr>
          </w:p>
          <w:p w:rsidR="00C211B2" w:rsidRDefault="00C211B2" w:rsidP="00585083">
            <w:pPr>
              <w:jc w:val="both"/>
              <w:rPr>
                <w:rFonts w:ascii="Arial" w:hAnsi="Arial" w:cs="Arial"/>
                <w:bCs/>
                <w:sz w:val="22"/>
                <w:szCs w:val="22"/>
              </w:rPr>
            </w:pPr>
            <w:r>
              <w:rPr>
                <w:rFonts w:ascii="Arial" w:hAnsi="Arial" w:cs="Arial"/>
                <w:bCs/>
                <w:sz w:val="22"/>
                <w:szCs w:val="22"/>
              </w:rPr>
              <w:t>It is important to note that both of the pilots are at an early stage and communication and engagement plans for the registered population</w:t>
            </w:r>
            <w:r w:rsidR="00B06275">
              <w:rPr>
                <w:rFonts w:ascii="Arial" w:hAnsi="Arial" w:cs="Arial"/>
                <w:bCs/>
                <w:sz w:val="22"/>
                <w:szCs w:val="22"/>
              </w:rPr>
              <w:t xml:space="preserve"> will be a key part of the work. These plans</w:t>
            </w:r>
            <w:r>
              <w:rPr>
                <w:rFonts w:ascii="Arial" w:hAnsi="Arial" w:cs="Arial"/>
                <w:bCs/>
                <w:sz w:val="22"/>
                <w:szCs w:val="22"/>
              </w:rPr>
              <w:t xml:space="preserve"> are being developed. </w:t>
            </w:r>
          </w:p>
          <w:p w:rsidR="006A74AF" w:rsidRDefault="006A74AF" w:rsidP="00585083">
            <w:pPr>
              <w:jc w:val="both"/>
              <w:rPr>
                <w:rFonts w:ascii="Arial" w:hAnsi="Arial" w:cs="Arial"/>
                <w:bCs/>
                <w:sz w:val="22"/>
                <w:szCs w:val="22"/>
              </w:rPr>
            </w:pPr>
          </w:p>
          <w:p w:rsidR="00E42F5E" w:rsidRDefault="00E42F5E" w:rsidP="00585083">
            <w:pPr>
              <w:jc w:val="both"/>
              <w:rPr>
                <w:rFonts w:ascii="Arial" w:hAnsi="Arial" w:cs="Arial"/>
                <w:bCs/>
                <w:sz w:val="22"/>
                <w:szCs w:val="22"/>
              </w:rPr>
            </w:pPr>
            <w:r>
              <w:rPr>
                <w:rFonts w:ascii="Arial" w:hAnsi="Arial" w:cs="Arial"/>
                <w:bCs/>
                <w:sz w:val="22"/>
                <w:szCs w:val="22"/>
              </w:rPr>
              <w:t>Once the evaluation of the 7 day pilots is available,</w:t>
            </w:r>
            <w:r w:rsidR="00830D29">
              <w:rPr>
                <w:rFonts w:ascii="Arial" w:hAnsi="Arial" w:cs="Arial"/>
                <w:bCs/>
                <w:sz w:val="22"/>
                <w:szCs w:val="22"/>
              </w:rPr>
              <w:t xml:space="preserve"> within the final quarter of 2015/16,</w:t>
            </w:r>
            <w:r>
              <w:rPr>
                <w:rFonts w:ascii="Arial" w:hAnsi="Arial" w:cs="Arial"/>
                <w:bCs/>
                <w:sz w:val="22"/>
                <w:szCs w:val="22"/>
              </w:rPr>
              <w:t xml:space="preserve"> this Committee will be presented with the findings and asked to take a view on how the current commissioning arrangements for extended GP access could be reviewed to support a new model, should it prove </w:t>
            </w:r>
            <w:proofErr w:type="gramStart"/>
            <w:r>
              <w:rPr>
                <w:rFonts w:ascii="Arial" w:hAnsi="Arial" w:cs="Arial"/>
                <w:bCs/>
                <w:sz w:val="22"/>
                <w:szCs w:val="22"/>
              </w:rPr>
              <w:t>successful.</w:t>
            </w:r>
            <w:proofErr w:type="gramEnd"/>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9373"/>
      </w:tblGrid>
      <w:tr w:rsidR="006A2E19" w:rsidRPr="00752FD6" w:rsidTr="00D7033C">
        <w:trPr>
          <w:trHeight w:val="567"/>
        </w:trPr>
        <w:tc>
          <w:tcPr>
            <w:tcW w:w="10031" w:type="dxa"/>
            <w:gridSpan w:val="2"/>
            <w:shd w:val="clear" w:color="auto" w:fill="auto"/>
          </w:tcPr>
          <w:p w:rsidR="006A2E19" w:rsidRPr="00752FD6" w:rsidRDefault="006A2E19" w:rsidP="009306C6">
            <w:pPr>
              <w:rPr>
                <w:rFonts w:ascii="Arial" w:hAnsi="Arial" w:cs="Arial"/>
                <w:b/>
                <w:bCs/>
                <w:sz w:val="22"/>
                <w:szCs w:val="22"/>
              </w:rPr>
            </w:pPr>
          </w:p>
          <w:p w:rsidR="006A2E19" w:rsidRDefault="006A2E19" w:rsidP="006A74AF">
            <w:pPr>
              <w:rPr>
                <w:rFonts w:ascii="Arial" w:hAnsi="Arial" w:cs="Arial"/>
                <w:b/>
                <w:bCs/>
                <w:sz w:val="22"/>
                <w:szCs w:val="22"/>
              </w:rPr>
            </w:pPr>
            <w:r w:rsidRPr="00752FD6">
              <w:rPr>
                <w:rFonts w:ascii="Arial" w:hAnsi="Arial" w:cs="Arial"/>
                <w:b/>
                <w:bCs/>
                <w:sz w:val="22"/>
                <w:szCs w:val="22"/>
              </w:rPr>
              <w:t>RECOMMENDATIONS (R) AND ACTIONS (A) FOR AGREEMENT</w:t>
            </w:r>
            <w:r w:rsidR="006A74AF">
              <w:rPr>
                <w:rFonts w:ascii="Arial" w:hAnsi="Arial" w:cs="Arial"/>
                <w:b/>
                <w:bCs/>
                <w:sz w:val="22"/>
                <w:szCs w:val="22"/>
              </w:rPr>
              <w:t>:</w:t>
            </w:r>
          </w:p>
          <w:p w:rsidR="00150AC3" w:rsidRDefault="00150AC3" w:rsidP="006A74AF">
            <w:pPr>
              <w:rPr>
                <w:rFonts w:ascii="Arial" w:hAnsi="Arial" w:cs="Arial"/>
                <w:b/>
                <w:bCs/>
                <w:sz w:val="22"/>
                <w:szCs w:val="22"/>
              </w:rPr>
            </w:pPr>
          </w:p>
          <w:p w:rsidR="00150AC3" w:rsidRPr="00752FD6" w:rsidRDefault="00150AC3" w:rsidP="006A74AF">
            <w:pPr>
              <w:rPr>
                <w:rFonts w:ascii="Arial" w:hAnsi="Arial" w:cs="Arial"/>
                <w:b/>
                <w:bCs/>
                <w:sz w:val="22"/>
                <w:szCs w:val="22"/>
              </w:rPr>
            </w:pPr>
            <w:r>
              <w:rPr>
                <w:rFonts w:ascii="Arial" w:hAnsi="Arial" w:cs="Arial"/>
                <w:b/>
                <w:bCs/>
                <w:sz w:val="22"/>
                <w:szCs w:val="22"/>
              </w:rPr>
              <w:t>The Joint Co-Commissioning Committee is asked to note the plans for testing 7 day access, and the potential impact on future commissioning arrangements for extended GP access.</w:t>
            </w:r>
          </w:p>
        </w:tc>
      </w:tr>
      <w:tr w:rsidR="006A74AF" w:rsidRPr="00752FD6" w:rsidTr="00D7033C">
        <w:trPr>
          <w:trHeight w:val="370"/>
        </w:trPr>
        <w:tc>
          <w:tcPr>
            <w:tcW w:w="658"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r w:rsidR="006A74AF" w:rsidRPr="00752FD6" w:rsidTr="00D7033C">
        <w:trPr>
          <w:trHeight w:val="379"/>
        </w:trPr>
        <w:tc>
          <w:tcPr>
            <w:tcW w:w="658" w:type="dxa"/>
            <w:shd w:val="clear" w:color="auto" w:fill="auto"/>
          </w:tcPr>
          <w:p w:rsidR="006A74AF" w:rsidRPr="00752FD6" w:rsidRDefault="006A74AF" w:rsidP="009306C6">
            <w:pPr>
              <w:rPr>
                <w:rFonts w:ascii="Arial" w:hAnsi="Arial" w:cs="Arial"/>
                <w:bCs/>
                <w:sz w:val="22"/>
                <w:szCs w:val="22"/>
              </w:rPr>
            </w:pPr>
          </w:p>
        </w:tc>
        <w:tc>
          <w:tcPr>
            <w:tcW w:w="9373" w:type="dxa"/>
            <w:shd w:val="clear" w:color="auto" w:fill="auto"/>
          </w:tcPr>
          <w:p w:rsidR="006A74AF" w:rsidRDefault="006A74AF" w:rsidP="009306C6">
            <w:pPr>
              <w:rPr>
                <w:rFonts w:ascii="Arial" w:hAnsi="Arial" w:cs="Arial"/>
                <w:bCs/>
                <w:sz w:val="22"/>
                <w:szCs w:val="22"/>
              </w:rPr>
            </w:pPr>
          </w:p>
          <w:p w:rsidR="006A74AF" w:rsidRPr="00752FD6" w:rsidRDefault="006A74AF" w:rsidP="009306C6">
            <w:pPr>
              <w:rPr>
                <w:rFonts w:ascii="Arial" w:hAnsi="Arial" w:cs="Arial"/>
                <w:bCs/>
                <w:sz w:val="22"/>
                <w:szCs w:val="22"/>
              </w:rPr>
            </w:pPr>
          </w:p>
        </w:tc>
      </w:tr>
    </w:tbl>
    <w:tbl>
      <w:tblPr>
        <w:tblpPr w:leftFromText="180" w:rightFromText="180" w:vertAnchor="text" w:horzAnchor="margin" w:tblpX="-34" w:tblpY="-540"/>
        <w:tblW w:w="103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409"/>
      </w:tblGrid>
      <w:tr w:rsidR="00540287" w:rsidRPr="00752FD6" w:rsidTr="00D7033C">
        <w:trPr>
          <w:trHeight w:val="822"/>
          <w:tblHeader/>
        </w:trPr>
        <w:tc>
          <w:tcPr>
            <w:tcW w:w="568"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D7033C">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D7033C">
            <w:pPr>
              <w:spacing w:before="80" w:after="80"/>
              <w:jc w:val="center"/>
              <w:rPr>
                <w:rFonts w:ascii="Arial" w:hAnsi="Arial" w:cs="Arial"/>
                <w:b/>
                <w:sz w:val="22"/>
                <w:szCs w:val="22"/>
              </w:rPr>
            </w:pPr>
          </w:p>
          <w:p w:rsidR="006A74AF" w:rsidRDefault="006A74AF" w:rsidP="00D7033C">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No</w:t>
            </w:r>
          </w:p>
        </w:tc>
        <w:tc>
          <w:tcPr>
            <w:tcW w:w="2409" w:type="dxa"/>
            <w:shd w:val="clear" w:color="auto" w:fill="C0C0C0"/>
            <w:vAlign w:val="center"/>
          </w:tcPr>
          <w:p w:rsidR="006A74AF" w:rsidRPr="00752FD6" w:rsidRDefault="006A74AF" w:rsidP="00D7033C">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D7033C">
            <w:pPr>
              <w:spacing w:before="80" w:after="80"/>
              <w:jc w:val="center"/>
              <w:rPr>
                <w:rFonts w:ascii="Arial" w:hAnsi="Arial" w:cs="Arial"/>
                <w:sz w:val="22"/>
                <w:szCs w:val="22"/>
              </w:rPr>
            </w:pP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E30635" w:rsidP="00D7033C">
            <w:pPr>
              <w:spacing w:before="80" w:after="80"/>
              <w:jc w:val="center"/>
              <w:rPr>
                <w:rFonts w:ascii="Arial" w:hAnsi="Arial" w:cs="Arial"/>
                <w:sz w:val="22"/>
                <w:szCs w:val="22"/>
              </w:rPr>
            </w:pPr>
            <w:r>
              <w:rPr>
                <w:rFonts w:ascii="Arial" w:hAnsi="Arial" w:cs="Arial"/>
                <w:sz w:val="22"/>
                <w:szCs w:val="22"/>
              </w:rPr>
              <w:t>N</w:t>
            </w:r>
          </w:p>
        </w:tc>
        <w:tc>
          <w:tcPr>
            <w:tcW w:w="2409" w:type="dxa"/>
            <w:shd w:val="clear" w:color="auto" w:fill="auto"/>
          </w:tcPr>
          <w:p w:rsidR="006A74AF" w:rsidRPr="00752FD6" w:rsidRDefault="00E30635" w:rsidP="00D7033C">
            <w:pPr>
              <w:spacing w:before="80" w:after="80"/>
              <w:rPr>
                <w:rFonts w:ascii="Arial" w:hAnsi="Arial" w:cs="Arial"/>
                <w:sz w:val="22"/>
                <w:szCs w:val="22"/>
              </w:rPr>
            </w:pPr>
            <w:r>
              <w:rPr>
                <w:rFonts w:ascii="Arial" w:hAnsi="Arial" w:cs="Arial"/>
                <w:sz w:val="22"/>
                <w:szCs w:val="22"/>
              </w:rPr>
              <w:t>This will be considered as services develop</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D7033C">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E30635" w:rsidP="00D7033C">
            <w:pPr>
              <w:spacing w:before="80" w:after="80"/>
              <w:jc w:val="center"/>
              <w:rPr>
                <w:rFonts w:ascii="Arial" w:hAnsi="Arial" w:cs="Arial"/>
                <w:sz w:val="22"/>
                <w:szCs w:val="22"/>
              </w:rPr>
            </w:pPr>
            <w:r>
              <w:rPr>
                <w:rFonts w:ascii="Arial" w:hAnsi="Arial" w:cs="Arial"/>
                <w:sz w:val="22"/>
                <w:szCs w:val="22"/>
              </w:rPr>
              <w:t>N</w:t>
            </w:r>
          </w:p>
        </w:tc>
        <w:tc>
          <w:tcPr>
            <w:tcW w:w="2409" w:type="dxa"/>
            <w:shd w:val="clear" w:color="auto" w:fill="auto"/>
          </w:tcPr>
          <w:p w:rsidR="006A74AF" w:rsidRPr="00752FD6" w:rsidRDefault="00E30635" w:rsidP="00D7033C">
            <w:pPr>
              <w:spacing w:before="80" w:after="80"/>
              <w:rPr>
                <w:rFonts w:ascii="Arial" w:hAnsi="Arial" w:cs="Arial"/>
                <w:sz w:val="22"/>
                <w:szCs w:val="22"/>
              </w:rPr>
            </w:pPr>
            <w:r>
              <w:rPr>
                <w:rFonts w:ascii="Arial" w:hAnsi="Arial" w:cs="Arial"/>
                <w:sz w:val="22"/>
                <w:szCs w:val="22"/>
              </w:rPr>
              <w:t>A full equality impact assessment will be undertaken for each service</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E30635" w:rsidP="00D7033C">
            <w:pPr>
              <w:spacing w:before="80" w:after="80"/>
              <w:jc w:val="center"/>
              <w:rPr>
                <w:rFonts w:ascii="Arial" w:hAnsi="Arial" w:cs="Arial"/>
                <w:sz w:val="22"/>
                <w:szCs w:val="22"/>
              </w:rPr>
            </w:pPr>
            <w:r>
              <w:rPr>
                <w:rFonts w:ascii="Arial" w:hAnsi="Arial" w:cs="Arial"/>
                <w:sz w:val="22"/>
                <w:szCs w:val="22"/>
              </w:rPr>
              <w:t>N</w:t>
            </w:r>
          </w:p>
        </w:tc>
        <w:tc>
          <w:tcPr>
            <w:tcW w:w="2409" w:type="dxa"/>
            <w:shd w:val="clear" w:color="auto" w:fill="auto"/>
          </w:tcPr>
          <w:p w:rsidR="006A74AF" w:rsidRPr="00752FD6" w:rsidRDefault="00E30635" w:rsidP="00D7033C">
            <w:pPr>
              <w:spacing w:before="80" w:after="80"/>
              <w:rPr>
                <w:rFonts w:ascii="Arial" w:hAnsi="Arial" w:cs="Arial"/>
                <w:sz w:val="22"/>
                <w:szCs w:val="22"/>
              </w:rPr>
            </w:pPr>
            <w:r>
              <w:rPr>
                <w:rFonts w:ascii="Arial" w:hAnsi="Arial" w:cs="Arial"/>
                <w:sz w:val="22"/>
                <w:szCs w:val="22"/>
              </w:rPr>
              <w:t>This will be considered as services develop</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E30635" w:rsidP="00D7033C">
            <w:pPr>
              <w:spacing w:before="80" w:after="80"/>
              <w:jc w:val="center"/>
              <w:rPr>
                <w:rFonts w:ascii="Arial" w:hAnsi="Arial" w:cs="Arial"/>
                <w:sz w:val="22"/>
                <w:szCs w:val="22"/>
              </w:rPr>
            </w:pPr>
            <w:r>
              <w:rPr>
                <w:rFonts w:ascii="Arial" w:hAnsi="Arial" w:cs="Arial"/>
                <w:sz w:val="22"/>
                <w:szCs w:val="22"/>
              </w:rPr>
              <w:t>N</w:t>
            </w:r>
          </w:p>
        </w:tc>
        <w:tc>
          <w:tcPr>
            <w:tcW w:w="2409" w:type="dxa"/>
            <w:shd w:val="clear" w:color="auto" w:fill="auto"/>
          </w:tcPr>
          <w:p w:rsidR="006A74AF" w:rsidRPr="00752FD6" w:rsidRDefault="00E30635" w:rsidP="00D7033C">
            <w:pPr>
              <w:spacing w:before="80" w:after="80"/>
              <w:rPr>
                <w:rFonts w:ascii="Arial" w:hAnsi="Arial" w:cs="Arial"/>
                <w:sz w:val="22"/>
                <w:szCs w:val="22"/>
              </w:rPr>
            </w:pPr>
            <w:r>
              <w:rPr>
                <w:rFonts w:ascii="Arial" w:hAnsi="Arial" w:cs="Arial"/>
                <w:sz w:val="22"/>
                <w:szCs w:val="22"/>
              </w:rPr>
              <w:t>This will be considered as services develop</w:t>
            </w: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E30635"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r w:rsidR="00540287" w:rsidRPr="00752FD6" w:rsidTr="00D7033C">
        <w:tc>
          <w:tcPr>
            <w:tcW w:w="568" w:type="dxa"/>
            <w:shd w:val="clear" w:color="auto" w:fill="auto"/>
          </w:tcPr>
          <w:p w:rsidR="006A74AF" w:rsidRPr="00752FD6" w:rsidRDefault="006A74AF" w:rsidP="00D7033C">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D7033C">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6D4AE8" w:rsidP="00D7033C">
            <w:pPr>
              <w:spacing w:before="80" w:after="80"/>
              <w:rPr>
                <w:rFonts w:ascii="Arial" w:hAnsi="Arial" w:cs="Arial"/>
                <w:sz w:val="22"/>
                <w:szCs w:val="22"/>
              </w:rPr>
            </w:pPr>
            <w:hyperlink r:id="rId9"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E30635" w:rsidP="00D7033C">
            <w:pPr>
              <w:spacing w:before="80" w:after="80"/>
              <w:jc w:val="center"/>
              <w:rPr>
                <w:rFonts w:ascii="Arial" w:hAnsi="Arial" w:cs="Arial"/>
                <w:sz w:val="22"/>
                <w:szCs w:val="22"/>
              </w:rPr>
            </w:pPr>
            <w:r>
              <w:rPr>
                <w:rFonts w:ascii="Arial" w:hAnsi="Arial" w:cs="Arial"/>
                <w:sz w:val="22"/>
                <w:szCs w:val="22"/>
              </w:rPr>
              <w:t>Y</w:t>
            </w:r>
          </w:p>
        </w:tc>
        <w:tc>
          <w:tcPr>
            <w:tcW w:w="2409" w:type="dxa"/>
            <w:shd w:val="clear" w:color="auto" w:fill="auto"/>
          </w:tcPr>
          <w:p w:rsidR="006A74AF" w:rsidRPr="00752FD6" w:rsidRDefault="006A74AF" w:rsidP="00D7033C">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p w:rsidR="008412C1" w:rsidRDefault="008412C1" w:rsidP="00D7033C">
      <w:pPr>
        <w:rPr>
          <w:rFonts w:ascii="Arial" w:hAnsi="Arial" w:cs="Arial"/>
          <w:b/>
          <w:bCs/>
          <w:sz w:val="22"/>
          <w:szCs w:val="22"/>
        </w:rPr>
      </w:pPr>
    </w:p>
    <w:p w:rsidR="008412C1" w:rsidRDefault="008412C1" w:rsidP="00D7033C">
      <w:pPr>
        <w:rPr>
          <w:rFonts w:ascii="Arial" w:hAnsi="Arial" w:cs="Arial"/>
          <w:b/>
          <w:bCs/>
          <w:sz w:val="22"/>
          <w:szCs w:val="22"/>
        </w:rPr>
      </w:pPr>
    </w:p>
    <w:p w:rsidR="00934782" w:rsidRDefault="00934782">
      <w:pPr>
        <w:rPr>
          <w:rFonts w:ascii="Arial" w:hAnsi="Arial" w:cs="Arial"/>
          <w:b/>
          <w:bCs/>
          <w:szCs w:val="22"/>
        </w:rPr>
      </w:pPr>
      <w:r>
        <w:rPr>
          <w:rFonts w:ascii="Arial" w:hAnsi="Arial" w:cs="Arial"/>
          <w:b/>
          <w:bCs/>
          <w:szCs w:val="22"/>
        </w:rPr>
        <w:br w:type="page"/>
      </w:r>
    </w:p>
    <w:p w:rsidR="008412C1" w:rsidRPr="008412C1" w:rsidRDefault="00934782" w:rsidP="008412C1">
      <w:pPr>
        <w:jc w:val="center"/>
        <w:rPr>
          <w:rFonts w:ascii="Arial" w:hAnsi="Arial" w:cs="Arial"/>
          <w:bCs/>
          <w:szCs w:val="22"/>
        </w:rPr>
      </w:pPr>
      <w:r w:rsidRPr="00934782">
        <w:rPr>
          <w:rFonts w:ascii="Arial" w:hAnsi="Arial" w:cs="Arial"/>
          <w:b/>
          <w:bCs/>
          <w:noProof/>
          <w:szCs w:val="22"/>
        </w:rPr>
        <w:lastRenderedPageBreak/>
        <mc:AlternateContent>
          <mc:Choice Requires="wps">
            <w:drawing>
              <wp:anchor distT="0" distB="0" distL="114300" distR="114300" simplePos="0" relativeHeight="251659776" behindDoc="0" locked="0" layoutInCell="1" allowOverlap="1" wp14:editId="36B11C9B">
                <wp:simplePos x="0" y="0"/>
                <wp:positionH relativeFrom="column">
                  <wp:posOffset>-485775</wp:posOffset>
                </wp:positionH>
                <wp:positionV relativeFrom="paragraph">
                  <wp:posOffset>-435610</wp:posOffset>
                </wp:positionV>
                <wp:extent cx="1059180" cy="297180"/>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97180"/>
                        </a:xfrm>
                        <a:prstGeom prst="rect">
                          <a:avLst/>
                        </a:prstGeom>
                        <a:solidFill>
                          <a:srgbClr val="FFFFFF"/>
                        </a:solidFill>
                        <a:ln w="9525">
                          <a:solidFill>
                            <a:srgbClr val="000000"/>
                          </a:solidFill>
                          <a:miter lim="800000"/>
                          <a:headEnd/>
                          <a:tailEnd/>
                        </a:ln>
                      </wps:spPr>
                      <wps:txbx>
                        <w:txbxContent>
                          <w:p w:rsidR="00934782" w:rsidRPr="00934782" w:rsidRDefault="00934782">
                            <w:pPr>
                              <w:rPr>
                                <w:rFonts w:ascii="Arial" w:hAnsi="Arial" w:cs="Arial"/>
                                <w:b/>
                              </w:rPr>
                            </w:pPr>
                            <w:r w:rsidRPr="00934782">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8.25pt;margin-top:-34.3pt;width:83.4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JwgJAIAAE0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">
                <v:textbox>
                  <w:txbxContent>
                    <w:p w:rsidR="00934782" w:rsidRPr="00934782" w:rsidRDefault="00934782">
                      <w:pPr>
                        <w:rPr>
                          <w:rFonts w:ascii="Arial" w:hAnsi="Arial" w:cs="Arial"/>
                          <w:b/>
                        </w:rPr>
                      </w:pPr>
                      <w:r w:rsidRPr="00934782">
                        <w:rPr>
                          <w:rFonts w:ascii="Arial" w:hAnsi="Arial" w:cs="Arial"/>
                          <w:b/>
                        </w:rPr>
                        <w:t>Appendix 1</w:t>
                      </w:r>
                    </w:p>
                  </w:txbxContent>
                </v:textbox>
              </v:shape>
            </w:pict>
          </mc:Fallback>
        </mc:AlternateContent>
      </w:r>
      <w:r w:rsidR="008412C1" w:rsidRPr="008412C1">
        <w:rPr>
          <w:rFonts w:ascii="Arial" w:hAnsi="Arial" w:cs="Arial"/>
          <w:b/>
          <w:bCs/>
          <w:szCs w:val="22"/>
        </w:rPr>
        <w:t xml:space="preserve">Testing </w:t>
      </w:r>
      <w:r w:rsidR="008412C1">
        <w:rPr>
          <w:rFonts w:ascii="Arial" w:hAnsi="Arial" w:cs="Arial"/>
          <w:b/>
          <w:bCs/>
          <w:szCs w:val="22"/>
        </w:rPr>
        <w:t xml:space="preserve">models for </w:t>
      </w:r>
      <w:r w:rsidR="008412C1" w:rsidRPr="008412C1">
        <w:rPr>
          <w:rFonts w:ascii="Arial" w:hAnsi="Arial" w:cs="Arial"/>
          <w:b/>
          <w:bCs/>
          <w:szCs w:val="22"/>
        </w:rPr>
        <w:t>7 day working with General Practice</w:t>
      </w:r>
      <w:r w:rsidR="00B06275">
        <w:rPr>
          <w:rFonts w:ascii="Arial" w:hAnsi="Arial" w:cs="Arial"/>
          <w:b/>
          <w:bCs/>
          <w:szCs w:val="22"/>
        </w:rPr>
        <w:t>: Key Features</w:t>
      </w:r>
    </w:p>
    <w:p w:rsidR="008412C1" w:rsidRPr="00B06275" w:rsidRDefault="00B06275" w:rsidP="008412C1">
      <w:pPr>
        <w:jc w:val="center"/>
        <w:rPr>
          <w:rFonts w:ascii="Arial" w:hAnsi="Arial" w:cs="Arial"/>
          <w:bCs/>
          <w:i/>
          <w:sz w:val="22"/>
          <w:szCs w:val="22"/>
        </w:rPr>
      </w:pPr>
      <w:r w:rsidRPr="00B06275">
        <w:rPr>
          <w:rFonts w:ascii="Arial" w:hAnsi="Arial" w:cs="Arial"/>
          <w:bCs/>
          <w:i/>
          <w:sz w:val="22"/>
          <w:szCs w:val="22"/>
        </w:rPr>
        <w:t>[N.B.: Comms and engagement plans with registered patients will be developed prior to changes taking place]</w:t>
      </w:r>
    </w:p>
    <w:p w:rsidR="008412C1" w:rsidRDefault="008412C1" w:rsidP="008412C1">
      <w:pPr>
        <w:rPr>
          <w:rFonts w:ascii="Arial" w:hAnsi="Arial" w:cs="Arial"/>
          <w:bCs/>
          <w:sz w:val="22"/>
          <w:szCs w:val="22"/>
        </w:rPr>
      </w:pPr>
    </w:p>
    <w:p w:rsidR="008412C1" w:rsidRDefault="008412C1" w:rsidP="008412C1">
      <w:pPr>
        <w:rPr>
          <w:rFonts w:ascii="Arial" w:hAnsi="Arial" w:cs="Arial"/>
          <w:b/>
          <w:bCs/>
          <w:sz w:val="22"/>
          <w:szCs w:val="22"/>
        </w:rPr>
      </w:pPr>
      <w:r w:rsidRPr="00B06275">
        <w:rPr>
          <w:rFonts w:ascii="Arial" w:hAnsi="Arial" w:cs="Arial"/>
          <w:b/>
          <w:bCs/>
          <w:sz w:val="22"/>
          <w:szCs w:val="22"/>
        </w:rPr>
        <w:t>North East Lincolnshire Docks Collaborative</w:t>
      </w:r>
    </w:p>
    <w:p w:rsidR="00B06275" w:rsidRDefault="00B06275" w:rsidP="008412C1">
      <w:pPr>
        <w:rPr>
          <w:rFonts w:ascii="Arial" w:hAnsi="Arial" w:cs="Arial"/>
          <w:b/>
          <w:bCs/>
          <w:sz w:val="22"/>
          <w:szCs w:val="22"/>
        </w:rPr>
      </w:pPr>
    </w:p>
    <w:p w:rsidR="00E30635" w:rsidRDefault="00E30635" w:rsidP="00B06275">
      <w:pPr>
        <w:spacing w:line="288" w:lineRule="auto"/>
        <w:jc w:val="both"/>
        <w:rPr>
          <w:rFonts w:ascii="Arial" w:eastAsia="Cambria" w:hAnsi="Arial" w:cs="Arial"/>
          <w:sz w:val="22"/>
          <w:szCs w:val="22"/>
          <w:lang w:eastAsia="ja-JP"/>
        </w:rPr>
      </w:pPr>
      <w:r>
        <w:rPr>
          <w:rFonts w:ascii="Arial" w:eastAsia="Cambria" w:hAnsi="Arial" w:cs="Arial"/>
          <w:sz w:val="22"/>
          <w:szCs w:val="22"/>
          <w:lang w:eastAsia="ja-JP"/>
        </w:rPr>
        <w:t>The current proposal is as follows:</w:t>
      </w:r>
    </w:p>
    <w:p w:rsidR="00E30635" w:rsidRDefault="00E30635" w:rsidP="00B06275">
      <w:pPr>
        <w:spacing w:line="288" w:lineRule="auto"/>
        <w:jc w:val="both"/>
        <w:rPr>
          <w:rFonts w:ascii="Arial" w:eastAsia="Cambria" w:hAnsi="Arial" w:cs="Arial"/>
          <w:sz w:val="22"/>
          <w:szCs w:val="22"/>
          <w:lang w:eastAsia="ja-JP"/>
        </w:rPr>
      </w:pPr>
    </w:p>
    <w:p w:rsidR="00B06275" w:rsidRPr="00B06275" w:rsidRDefault="00B06275" w:rsidP="00B06275">
      <w:pPr>
        <w:spacing w:line="288" w:lineRule="auto"/>
        <w:jc w:val="both"/>
        <w:rPr>
          <w:rFonts w:ascii="Arial" w:eastAsia="Cambria" w:hAnsi="Arial" w:cs="Arial"/>
          <w:sz w:val="22"/>
          <w:szCs w:val="22"/>
          <w:lang w:eastAsia="ja-JP"/>
        </w:rPr>
      </w:pPr>
      <w:r w:rsidRPr="00B06275">
        <w:rPr>
          <w:rFonts w:ascii="Arial" w:eastAsia="Cambria" w:hAnsi="Arial" w:cs="Arial"/>
          <w:sz w:val="22"/>
          <w:szCs w:val="22"/>
          <w:lang w:eastAsia="ja-JP"/>
        </w:rPr>
        <w:t>Based on the evidence gathered we are looking to introduce a centralised triage service. The service will be GP led, placing a senior clinical decision maker at the ‘front door’ ensuring patients are managed by the right person in the right place at the right time. The proposed model would be delivered as follows:</w:t>
      </w:r>
    </w:p>
    <w:p w:rsidR="00B06275" w:rsidRPr="00B06275" w:rsidRDefault="00B06275" w:rsidP="00B06275">
      <w:pPr>
        <w:spacing w:line="288" w:lineRule="auto"/>
        <w:jc w:val="both"/>
        <w:rPr>
          <w:rFonts w:ascii="Arial" w:hAnsi="Arial" w:cs="Arial"/>
          <w:noProof/>
          <w:sz w:val="22"/>
          <w:szCs w:val="22"/>
        </w:rPr>
      </w:pPr>
    </w:p>
    <w:p w:rsidR="00B06275" w:rsidRPr="00B06275" w:rsidRDefault="00B06275" w:rsidP="00B06275">
      <w:pPr>
        <w:spacing w:line="288" w:lineRule="auto"/>
        <w:jc w:val="both"/>
        <w:rPr>
          <w:rFonts w:ascii="Arial" w:eastAsia="Cambria" w:hAnsi="Arial" w:cs="Arial"/>
          <w:sz w:val="22"/>
          <w:szCs w:val="22"/>
          <w:lang w:val="en-US" w:eastAsia="ja-JP"/>
        </w:rPr>
      </w:pPr>
      <w:r w:rsidRPr="00B06275">
        <w:rPr>
          <w:rFonts w:ascii="Arial" w:hAnsi="Arial" w:cs="Arial"/>
          <w:sz w:val="22"/>
          <w:szCs w:val="22"/>
          <w:lang w:val="en-US" w:eastAsia="en-US"/>
        </w:rPr>
        <w:object w:dxaOrig="9012" w:dyaOrig="5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297pt" o:ole="">
            <v:imagedata r:id="rId10" o:title=""/>
          </v:shape>
          <o:OLEObject Type="Embed" ProgID="PBrush" ShapeID="_x0000_i1025" DrawAspect="Content" ObjectID="_1498380918" r:id="rId11"/>
        </w:object>
      </w:r>
    </w:p>
    <w:p w:rsidR="00B06275" w:rsidRPr="00B06275" w:rsidRDefault="00B06275" w:rsidP="00B06275">
      <w:pPr>
        <w:spacing w:line="288" w:lineRule="auto"/>
        <w:jc w:val="both"/>
        <w:rPr>
          <w:rFonts w:ascii="Arial" w:eastAsia="Cambria" w:hAnsi="Arial" w:cs="Arial"/>
          <w:sz w:val="22"/>
          <w:szCs w:val="22"/>
          <w:lang w:eastAsia="ja-JP"/>
        </w:rPr>
      </w:pPr>
      <w:r w:rsidRPr="00B06275">
        <w:rPr>
          <w:rFonts w:ascii="Arial" w:eastAsia="Cambria" w:hAnsi="Arial" w:cs="Arial"/>
          <w:sz w:val="22"/>
          <w:szCs w:val="22"/>
          <w:lang w:eastAsia="ja-JP"/>
        </w:rPr>
        <w:t>The proposed implementation of the above model would offer patients:</w:t>
      </w:r>
    </w:p>
    <w:p w:rsidR="00B06275" w:rsidRPr="00B06275" w:rsidRDefault="00B06275" w:rsidP="00B06275">
      <w:pPr>
        <w:spacing w:line="288" w:lineRule="auto"/>
        <w:jc w:val="both"/>
        <w:rPr>
          <w:rFonts w:ascii="Arial" w:eastAsia="Cambria" w:hAnsi="Arial" w:cs="Arial"/>
          <w:sz w:val="22"/>
          <w:szCs w:val="22"/>
          <w:lang w:eastAsia="ja-JP"/>
        </w:rPr>
      </w:pPr>
    </w:p>
    <w:p w:rsidR="00B06275" w:rsidRPr="00B06275" w:rsidRDefault="00B06275" w:rsidP="00B06275">
      <w:pPr>
        <w:numPr>
          <w:ilvl w:val="0"/>
          <w:numId w:val="25"/>
        </w:numPr>
        <w:spacing w:line="288" w:lineRule="auto"/>
        <w:jc w:val="both"/>
        <w:rPr>
          <w:rFonts w:ascii="Arial" w:eastAsia="Cambria" w:hAnsi="Arial" w:cs="Arial"/>
          <w:sz w:val="22"/>
          <w:szCs w:val="22"/>
          <w:lang w:eastAsia="ja-JP"/>
        </w:rPr>
      </w:pPr>
      <w:r w:rsidRPr="00B06275">
        <w:rPr>
          <w:rFonts w:ascii="Arial" w:eastAsia="Cambria" w:hAnsi="Arial" w:cs="Arial"/>
          <w:sz w:val="22"/>
          <w:szCs w:val="22"/>
          <w:lang w:eastAsia="ja-JP"/>
        </w:rPr>
        <w:t xml:space="preserve">Timely triage from a GP (target 30 </w:t>
      </w:r>
      <w:proofErr w:type="spellStart"/>
      <w:r w:rsidRPr="00B06275">
        <w:rPr>
          <w:rFonts w:ascii="Arial" w:eastAsia="Cambria" w:hAnsi="Arial" w:cs="Arial"/>
          <w:sz w:val="22"/>
          <w:szCs w:val="22"/>
          <w:lang w:eastAsia="ja-JP"/>
        </w:rPr>
        <w:t>mins</w:t>
      </w:r>
      <w:proofErr w:type="spellEnd"/>
      <w:r w:rsidRPr="00B06275">
        <w:rPr>
          <w:rFonts w:ascii="Arial" w:eastAsia="Cambria" w:hAnsi="Arial" w:cs="Arial"/>
          <w:sz w:val="22"/>
          <w:szCs w:val="22"/>
          <w:lang w:eastAsia="ja-JP"/>
        </w:rPr>
        <w:t>) to determine the most appropriate service to manage the presentation including:</w:t>
      </w:r>
    </w:p>
    <w:p w:rsidR="00B06275" w:rsidRPr="00B06275" w:rsidRDefault="00B06275" w:rsidP="00B06275">
      <w:pPr>
        <w:numPr>
          <w:ilvl w:val="0"/>
          <w:numId w:val="25"/>
        </w:numPr>
        <w:spacing w:line="288" w:lineRule="auto"/>
        <w:ind w:firstLine="590"/>
        <w:jc w:val="both"/>
        <w:rPr>
          <w:rFonts w:ascii="Arial" w:eastAsia="Cambria" w:hAnsi="Arial" w:cs="Arial"/>
          <w:sz w:val="22"/>
          <w:szCs w:val="22"/>
          <w:lang w:eastAsia="ja-JP"/>
        </w:rPr>
      </w:pPr>
      <w:r w:rsidRPr="00B06275">
        <w:rPr>
          <w:rFonts w:ascii="Arial" w:eastAsia="Cambria" w:hAnsi="Arial" w:cs="Arial"/>
          <w:sz w:val="22"/>
          <w:szCs w:val="22"/>
          <w:lang w:eastAsia="ja-JP"/>
        </w:rPr>
        <w:t xml:space="preserve">  Advice / Reassurance (no appointment requirement)</w:t>
      </w:r>
    </w:p>
    <w:p w:rsidR="00B06275" w:rsidRPr="00B06275" w:rsidRDefault="00B06275" w:rsidP="00B06275">
      <w:pPr>
        <w:numPr>
          <w:ilvl w:val="0"/>
          <w:numId w:val="25"/>
        </w:numPr>
        <w:spacing w:line="288" w:lineRule="auto"/>
        <w:ind w:left="1593" w:hanging="283"/>
        <w:jc w:val="both"/>
        <w:rPr>
          <w:rFonts w:ascii="Arial" w:eastAsia="Cambria" w:hAnsi="Arial" w:cs="Arial"/>
          <w:sz w:val="22"/>
          <w:szCs w:val="22"/>
          <w:lang w:eastAsia="ja-JP"/>
        </w:rPr>
      </w:pPr>
      <w:r w:rsidRPr="00B06275">
        <w:rPr>
          <w:rFonts w:ascii="Arial" w:eastAsia="Cambria" w:hAnsi="Arial" w:cs="Arial"/>
          <w:sz w:val="22"/>
          <w:szCs w:val="22"/>
          <w:lang w:eastAsia="ja-JP"/>
        </w:rPr>
        <w:t xml:space="preserve">  Sign posting to alternative support services</w:t>
      </w:r>
    </w:p>
    <w:p w:rsidR="00B06275" w:rsidRPr="00B06275" w:rsidRDefault="00B06275" w:rsidP="00B06275">
      <w:pPr>
        <w:numPr>
          <w:ilvl w:val="0"/>
          <w:numId w:val="25"/>
        </w:numPr>
        <w:spacing w:line="288" w:lineRule="auto"/>
        <w:ind w:left="1593" w:hanging="283"/>
        <w:jc w:val="both"/>
        <w:rPr>
          <w:rFonts w:ascii="Arial" w:eastAsia="Cambria" w:hAnsi="Arial" w:cs="Arial"/>
          <w:sz w:val="22"/>
          <w:szCs w:val="22"/>
          <w:lang w:eastAsia="ja-JP"/>
        </w:rPr>
      </w:pPr>
      <w:r w:rsidRPr="00B06275">
        <w:rPr>
          <w:rFonts w:ascii="Arial" w:eastAsia="Cambria" w:hAnsi="Arial" w:cs="Arial"/>
          <w:sz w:val="22"/>
          <w:szCs w:val="22"/>
          <w:lang w:eastAsia="ja-JP"/>
        </w:rPr>
        <w:t xml:space="preserve">  Urgent Appointment:</w:t>
      </w:r>
    </w:p>
    <w:p w:rsidR="00B06275" w:rsidRPr="00B06275" w:rsidRDefault="00B06275" w:rsidP="00B06275">
      <w:pPr>
        <w:numPr>
          <w:ilvl w:val="0"/>
          <w:numId w:val="25"/>
        </w:numPr>
        <w:spacing w:line="288" w:lineRule="auto"/>
        <w:ind w:left="2444" w:hanging="283"/>
        <w:jc w:val="both"/>
        <w:rPr>
          <w:rFonts w:ascii="Arial" w:eastAsia="Cambria" w:hAnsi="Arial" w:cs="Arial"/>
          <w:sz w:val="22"/>
          <w:szCs w:val="22"/>
          <w:lang w:eastAsia="ja-JP"/>
        </w:rPr>
      </w:pPr>
      <w:r w:rsidRPr="00B06275">
        <w:rPr>
          <w:rFonts w:ascii="Arial" w:eastAsia="Cambria" w:hAnsi="Arial" w:cs="Arial"/>
          <w:sz w:val="22"/>
          <w:szCs w:val="22"/>
          <w:lang w:eastAsia="ja-JP"/>
        </w:rPr>
        <w:t>In hours - within registered practice or at an alternative practice involved in the trial if no appointments are available</w:t>
      </w:r>
    </w:p>
    <w:p w:rsidR="00B06275" w:rsidRPr="00B06275" w:rsidRDefault="00B06275" w:rsidP="00B06275">
      <w:pPr>
        <w:numPr>
          <w:ilvl w:val="0"/>
          <w:numId w:val="25"/>
        </w:numPr>
        <w:spacing w:line="288" w:lineRule="auto"/>
        <w:ind w:left="2444" w:hanging="283"/>
        <w:jc w:val="both"/>
        <w:rPr>
          <w:rFonts w:ascii="Arial" w:eastAsia="Cambria" w:hAnsi="Arial" w:cs="Arial"/>
          <w:sz w:val="22"/>
          <w:szCs w:val="22"/>
          <w:lang w:eastAsia="ja-JP"/>
        </w:rPr>
      </w:pPr>
      <w:r w:rsidRPr="00B06275">
        <w:rPr>
          <w:rFonts w:ascii="Arial" w:eastAsia="Cambria" w:hAnsi="Arial" w:cs="Arial"/>
          <w:sz w:val="22"/>
          <w:szCs w:val="22"/>
          <w:lang w:eastAsia="ja-JP"/>
        </w:rPr>
        <w:t>Out of hours – an appointment is made within the GP out of hours service</w:t>
      </w:r>
    </w:p>
    <w:p w:rsidR="00B06275" w:rsidRPr="00B06275" w:rsidRDefault="00B06275" w:rsidP="00B06275">
      <w:pPr>
        <w:numPr>
          <w:ilvl w:val="0"/>
          <w:numId w:val="25"/>
        </w:numPr>
        <w:spacing w:line="288" w:lineRule="auto"/>
        <w:ind w:left="1593" w:hanging="283"/>
        <w:jc w:val="both"/>
        <w:rPr>
          <w:rFonts w:ascii="Arial" w:eastAsia="Cambria" w:hAnsi="Arial" w:cs="Arial"/>
          <w:sz w:val="22"/>
          <w:szCs w:val="22"/>
          <w:lang w:eastAsia="ja-JP"/>
        </w:rPr>
      </w:pPr>
      <w:r w:rsidRPr="00B06275">
        <w:rPr>
          <w:rFonts w:ascii="Arial" w:eastAsia="Cambria" w:hAnsi="Arial" w:cs="Arial"/>
          <w:sz w:val="22"/>
          <w:szCs w:val="22"/>
          <w:lang w:eastAsia="ja-JP"/>
        </w:rPr>
        <w:t xml:space="preserve">  Routine Appointment (redirected to Patient Partner)</w:t>
      </w:r>
    </w:p>
    <w:p w:rsidR="00B06275" w:rsidRPr="00B06275" w:rsidRDefault="00B06275" w:rsidP="00B06275">
      <w:pPr>
        <w:numPr>
          <w:ilvl w:val="0"/>
          <w:numId w:val="25"/>
        </w:numPr>
        <w:spacing w:line="288" w:lineRule="auto"/>
        <w:ind w:left="1593" w:hanging="283"/>
        <w:jc w:val="both"/>
        <w:rPr>
          <w:rFonts w:ascii="Arial" w:eastAsia="Cambria" w:hAnsi="Arial" w:cs="Arial"/>
          <w:sz w:val="22"/>
          <w:szCs w:val="22"/>
          <w:lang w:eastAsia="ja-JP"/>
        </w:rPr>
      </w:pPr>
      <w:r w:rsidRPr="00B06275">
        <w:rPr>
          <w:rFonts w:ascii="Arial" w:eastAsia="Cambria" w:hAnsi="Arial" w:cs="Arial"/>
          <w:sz w:val="22"/>
          <w:szCs w:val="22"/>
          <w:lang w:eastAsia="ja-JP"/>
        </w:rPr>
        <w:t xml:space="preserve">  Urgent Visit (supported by the ‘mobile GP’, a concept currently being </w:t>
      </w:r>
      <w:proofErr w:type="spellStart"/>
      <w:r w:rsidRPr="00B06275">
        <w:rPr>
          <w:rFonts w:ascii="Arial" w:eastAsia="Cambria" w:hAnsi="Arial" w:cs="Arial"/>
          <w:sz w:val="22"/>
          <w:szCs w:val="22"/>
          <w:lang w:eastAsia="ja-JP"/>
        </w:rPr>
        <w:t>trialed</w:t>
      </w:r>
      <w:proofErr w:type="spellEnd"/>
      <w:r w:rsidRPr="00B06275">
        <w:rPr>
          <w:rFonts w:ascii="Arial" w:eastAsia="Cambria" w:hAnsi="Arial" w:cs="Arial"/>
          <w:sz w:val="22"/>
          <w:szCs w:val="22"/>
          <w:lang w:eastAsia="ja-JP"/>
        </w:rPr>
        <w:t xml:space="preserve"> by CCL to increase primary care capacity)</w:t>
      </w:r>
    </w:p>
    <w:p w:rsidR="00B06275" w:rsidRPr="00B06275" w:rsidRDefault="00B06275" w:rsidP="00B06275">
      <w:pPr>
        <w:numPr>
          <w:ilvl w:val="0"/>
          <w:numId w:val="25"/>
        </w:numPr>
        <w:spacing w:line="288" w:lineRule="auto"/>
        <w:ind w:left="1593" w:hanging="283"/>
        <w:jc w:val="both"/>
        <w:rPr>
          <w:rFonts w:ascii="Arial" w:eastAsia="Cambria" w:hAnsi="Arial" w:cs="Arial"/>
          <w:sz w:val="22"/>
          <w:szCs w:val="22"/>
          <w:lang w:eastAsia="ja-JP"/>
        </w:rPr>
      </w:pPr>
      <w:r w:rsidRPr="00B06275">
        <w:rPr>
          <w:rFonts w:ascii="Arial" w:eastAsia="Cambria" w:hAnsi="Arial" w:cs="Arial"/>
          <w:sz w:val="22"/>
          <w:szCs w:val="22"/>
          <w:lang w:eastAsia="ja-JP"/>
        </w:rPr>
        <w:lastRenderedPageBreak/>
        <w:t xml:space="preserve">  Routine Visit</w:t>
      </w:r>
    </w:p>
    <w:p w:rsidR="00B06275" w:rsidRPr="00B06275" w:rsidRDefault="00B06275" w:rsidP="00B06275">
      <w:pPr>
        <w:numPr>
          <w:ilvl w:val="0"/>
          <w:numId w:val="25"/>
        </w:numPr>
        <w:spacing w:line="288" w:lineRule="auto"/>
        <w:ind w:left="1593" w:hanging="283"/>
        <w:jc w:val="both"/>
        <w:rPr>
          <w:rFonts w:ascii="Arial" w:eastAsia="Cambria" w:hAnsi="Arial" w:cs="Arial"/>
          <w:sz w:val="22"/>
          <w:szCs w:val="22"/>
          <w:lang w:eastAsia="ja-JP"/>
        </w:rPr>
      </w:pPr>
      <w:r w:rsidRPr="00B06275">
        <w:rPr>
          <w:rFonts w:ascii="Arial" w:eastAsia="Cambria" w:hAnsi="Arial" w:cs="Arial"/>
          <w:sz w:val="22"/>
          <w:szCs w:val="22"/>
          <w:lang w:eastAsia="ja-JP"/>
        </w:rPr>
        <w:t xml:space="preserve">  A&amp;E – liaison with A&amp;E GP service (provided by CCL) will ensure the patients care is coordinated / fast tracked and where possible, patients don’t enter the A&amp;E system unnecessarily</w:t>
      </w:r>
    </w:p>
    <w:p w:rsidR="00B06275" w:rsidRPr="00B06275" w:rsidRDefault="00B06275" w:rsidP="00B06275">
      <w:pPr>
        <w:numPr>
          <w:ilvl w:val="0"/>
          <w:numId w:val="25"/>
        </w:numPr>
        <w:spacing w:line="288" w:lineRule="auto"/>
        <w:ind w:left="1593" w:hanging="283"/>
        <w:jc w:val="both"/>
        <w:rPr>
          <w:rFonts w:ascii="Arial" w:eastAsia="Cambria" w:hAnsi="Arial" w:cs="Arial"/>
          <w:sz w:val="22"/>
          <w:szCs w:val="22"/>
          <w:lang w:eastAsia="ja-JP"/>
        </w:rPr>
      </w:pPr>
      <w:r w:rsidRPr="00B06275">
        <w:rPr>
          <w:rFonts w:ascii="Arial" w:eastAsia="Cambria" w:hAnsi="Arial" w:cs="Arial"/>
          <w:sz w:val="22"/>
          <w:szCs w:val="22"/>
          <w:lang w:eastAsia="ja-JP"/>
        </w:rPr>
        <w:t xml:space="preserve">  999 </w:t>
      </w:r>
    </w:p>
    <w:p w:rsidR="00B06275" w:rsidRPr="00B06275" w:rsidRDefault="00B06275" w:rsidP="00B06275">
      <w:pPr>
        <w:numPr>
          <w:ilvl w:val="0"/>
          <w:numId w:val="25"/>
        </w:numPr>
        <w:spacing w:line="288" w:lineRule="auto"/>
        <w:jc w:val="both"/>
        <w:rPr>
          <w:rFonts w:ascii="Arial" w:eastAsia="Cambria" w:hAnsi="Arial" w:cs="Arial"/>
          <w:sz w:val="22"/>
          <w:szCs w:val="22"/>
          <w:lang w:eastAsia="ja-JP"/>
        </w:rPr>
      </w:pPr>
      <w:r w:rsidRPr="00B06275">
        <w:rPr>
          <w:rFonts w:ascii="Arial" w:eastAsia="Cambria" w:hAnsi="Arial" w:cs="Arial"/>
          <w:sz w:val="22"/>
          <w:szCs w:val="22"/>
          <w:lang w:eastAsia="ja-JP"/>
        </w:rPr>
        <w:t>24/7 access to book, cancel and rearrange routine appointments</w:t>
      </w:r>
    </w:p>
    <w:p w:rsidR="00B06275" w:rsidRPr="00B06275" w:rsidRDefault="00B06275" w:rsidP="00B06275">
      <w:pPr>
        <w:numPr>
          <w:ilvl w:val="0"/>
          <w:numId w:val="25"/>
        </w:numPr>
        <w:spacing w:line="288" w:lineRule="auto"/>
        <w:jc w:val="both"/>
        <w:rPr>
          <w:rFonts w:ascii="Arial" w:eastAsia="Cambria" w:hAnsi="Arial" w:cs="Arial"/>
          <w:sz w:val="22"/>
          <w:szCs w:val="22"/>
          <w:lang w:eastAsia="ja-JP"/>
        </w:rPr>
      </w:pPr>
      <w:r w:rsidRPr="00B06275">
        <w:rPr>
          <w:rFonts w:ascii="Arial" w:eastAsia="Cambria" w:hAnsi="Arial" w:cs="Arial"/>
          <w:sz w:val="22"/>
          <w:szCs w:val="22"/>
          <w:lang w:eastAsia="ja-JP"/>
        </w:rPr>
        <w:t xml:space="preserve">Centralised service for the processing of repeat prescriptions </w:t>
      </w:r>
    </w:p>
    <w:p w:rsidR="00B06275" w:rsidRPr="00B06275" w:rsidRDefault="00B06275" w:rsidP="00B06275">
      <w:pPr>
        <w:spacing w:line="288" w:lineRule="auto"/>
        <w:ind w:left="1593"/>
        <w:jc w:val="both"/>
        <w:rPr>
          <w:rFonts w:ascii="Arial" w:eastAsia="Cambria" w:hAnsi="Arial" w:cs="Arial"/>
          <w:sz w:val="22"/>
          <w:szCs w:val="22"/>
          <w:lang w:eastAsia="ja-JP"/>
        </w:rPr>
      </w:pPr>
    </w:p>
    <w:p w:rsidR="00B06275" w:rsidRPr="00B06275" w:rsidRDefault="00B06275" w:rsidP="00B06275">
      <w:pPr>
        <w:spacing w:line="288" w:lineRule="auto"/>
        <w:ind w:left="34"/>
        <w:jc w:val="both"/>
        <w:rPr>
          <w:rFonts w:ascii="Arial" w:eastAsia="Cambria" w:hAnsi="Arial" w:cs="Arial"/>
          <w:sz w:val="22"/>
          <w:szCs w:val="22"/>
          <w:lang w:eastAsia="ja-JP"/>
        </w:rPr>
      </w:pPr>
      <w:r w:rsidRPr="00B06275">
        <w:rPr>
          <w:rFonts w:ascii="Arial" w:eastAsia="Cambria" w:hAnsi="Arial" w:cs="Arial"/>
          <w:sz w:val="22"/>
          <w:szCs w:val="22"/>
          <w:lang w:eastAsia="ja-JP"/>
        </w:rPr>
        <w:t>The above model would be available Monday – Friday, 8am – 8pm and Saturday and Sunday, 8am – 12pm. This approach would offer improved extended access to services, in line with the feedback received via the local survey.</w:t>
      </w:r>
    </w:p>
    <w:p w:rsidR="00B06275" w:rsidRPr="00B06275" w:rsidRDefault="00B06275" w:rsidP="00B06275">
      <w:pPr>
        <w:spacing w:line="288" w:lineRule="auto"/>
        <w:ind w:left="34"/>
        <w:jc w:val="both"/>
        <w:rPr>
          <w:rFonts w:ascii="Arial" w:eastAsia="Cambria" w:hAnsi="Arial" w:cs="Arial"/>
          <w:sz w:val="22"/>
          <w:szCs w:val="22"/>
          <w:lang w:eastAsia="ja-JP"/>
        </w:rPr>
      </w:pPr>
    </w:p>
    <w:p w:rsidR="00B06275" w:rsidRPr="00B06275" w:rsidRDefault="00B06275" w:rsidP="00B06275">
      <w:pPr>
        <w:spacing w:line="288" w:lineRule="auto"/>
        <w:ind w:left="34"/>
        <w:jc w:val="both"/>
        <w:rPr>
          <w:rFonts w:ascii="Arial" w:eastAsia="Cambria" w:hAnsi="Arial" w:cs="Arial"/>
          <w:sz w:val="22"/>
          <w:szCs w:val="22"/>
          <w:lang w:eastAsia="ja-JP"/>
        </w:rPr>
      </w:pPr>
      <w:r w:rsidRPr="00B06275">
        <w:rPr>
          <w:rFonts w:ascii="Arial" w:eastAsia="Cambria" w:hAnsi="Arial" w:cs="Arial"/>
          <w:sz w:val="22"/>
          <w:szCs w:val="22"/>
          <w:lang w:eastAsia="ja-JP"/>
        </w:rPr>
        <w:t xml:space="preserve">All services provided by the practices and Core Care Links operate using </w:t>
      </w:r>
      <w:proofErr w:type="spellStart"/>
      <w:r w:rsidRPr="00B06275">
        <w:rPr>
          <w:rFonts w:ascii="Arial" w:eastAsia="Cambria" w:hAnsi="Arial" w:cs="Arial"/>
          <w:sz w:val="22"/>
          <w:szCs w:val="22"/>
          <w:lang w:eastAsia="ja-JP"/>
        </w:rPr>
        <w:t>SystmOne</w:t>
      </w:r>
      <w:proofErr w:type="spellEnd"/>
      <w:r w:rsidRPr="00B06275">
        <w:rPr>
          <w:rFonts w:ascii="Arial" w:eastAsia="Cambria" w:hAnsi="Arial" w:cs="Arial"/>
          <w:sz w:val="22"/>
          <w:szCs w:val="22"/>
          <w:lang w:eastAsia="ja-JP"/>
        </w:rPr>
        <w:t>. This interoperability supports the central triage service being able to access patient records and book appointments. It also enables instant communication with the additional services detailed in the bid, ensuring seamless, coordinated care</w:t>
      </w:r>
    </w:p>
    <w:p w:rsidR="00B06275" w:rsidRPr="00B06275" w:rsidRDefault="00B06275" w:rsidP="00B06275">
      <w:pPr>
        <w:spacing w:line="288" w:lineRule="auto"/>
        <w:ind w:left="1593" w:hanging="1559"/>
        <w:jc w:val="both"/>
        <w:rPr>
          <w:rFonts w:ascii="Arial" w:eastAsia="Cambria" w:hAnsi="Arial" w:cs="Arial"/>
          <w:sz w:val="22"/>
          <w:szCs w:val="22"/>
          <w:lang w:eastAsia="ja-JP"/>
        </w:rPr>
      </w:pPr>
    </w:p>
    <w:p w:rsidR="00B06275" w:rsidRPr="00B06275" w:rsidRDefault="00B06275" w:rsidP="00B06275">
      <w:pPr>
        <w:spacing w:line="288" w:lineRule="auto"/>
        <w:ind w:left="34"/>
        <w:jc w:val="both"/>
        <w:rPr>
          <w:rFonts w:ascii="Arial" w:eastAsia="Cambria" w:hAnsi="Arial" w:cs="Arial"/>
          <w:sz w:val="22"/>
          <w:szCs w:val="22"/>
          <w:lang w:eastAsia="ja-JP"/>
        </w:rPr>
      </w:pPr>
      <w:r w:rsidRPr="00B06275">
        <w:rPr>
          <w:rFonts w:ascii="Arial" w:eastAsia="Cambria" w:hAnsi="Arial" w:cs="Arial"/>
          <w:sz w:val="22"/>
          <w:szCs w:val="22"/>
          <w:lang w:eastAsia="ja-JP"/>
        </w:rPr>
        <w:t xml:space="preserve">One of the predicted outcomes of the implementation of the model is the reduction in the requirement for face to face consultations. </w:t>
      </w:r>
      <w:proofErr w:type="gramStart"/>
      <w:r w:rsidRPr="00B06275">
        <w:rPr>
          <w:rFonts w:ascii="Arial" w:eastAsia="Cambria" w:hAnsi="Arial" w:cs="Arial"/>
          <w:sz w:val="22"/>
          <w:szCs w:val="22"/>
          <w:lang w:eastAsia="ja-JP"/>
        </w:rPr>
        <w:t>Although not a benefit / outcome included within this bid, the providers involved in the proposal are committed to use this freed up capacity to develop a specialist service across the practices to support the management of patients with Long Term Conditions (LTCs), specifically those that are poorly controlled.</w:t>
      </w:r>
      <w:proofErr w:type="gramEnd"/>
      <w:r w:rsidRPr="00B06275">
        <w:rPr>
          <w:rFonts w:ascii="Arial" w:eastAsia="Cambria" w:hAnsi="Arial" w:cs="Arial"/>
          <w:sz w:val="22"/>
          <w:szCs w:val="22"/>
          <w:lang w:eastAsia="ja-JP"/>
        </w:rPr>
        <w:t xml:space="preserve"> This will be achieved through:</w:t>
      </w:r>
    </w:p>
    <w:p w:rsidR="00B06275" w:rsidRPr="00B06275" w:rsidRDefault="00B06275" w:rsidP="00B06275">
      <w:pPr>
        <w:spacing w:line="288" w:lineRule="auto"/>
        <w:ind w:left="34"/>
        <w:jc w:val="both"/>
        <w:rPr>
          <w:rFonts w:ascii="Arial" w:eastAsia="Cambria" w:hAnsi="Arial" w:cs="Arial"/>
          <w:sz w:val="22"/>
          <w:szCs w:val="22"/>
          <w:lang w:eastAsia="ja-JP"/>
        </w:rPr>
      </w:pPr>
    </w:p>
    <w:p w:rsidR="00B06275" w:rsidRPr="00B06275" w:rsidRDefault="00B06275" w:rsidP="00B06275">
      <w:pPr>
        <w:numPr>
          <w:ilvl w:val="0"/>
          <w:numId w:val="26"/>
        </w:numPr>
        <w:spacing w:line="288" w:lineRule="auto"/>
        <w:jc w:val="both"/>
        <w:rPr>
          <w:rFonts w:ascii="Arial" w:eastAsia="Cambria" w:hAnsi="Arial" w:cs="Arial"/>
          <w:sz w:val="22"/>
          <w:szCs w:val="22"/>
          <w:lang w:eastAsia="ja-JP"/>
        </w:rPr>
      </w:pPr>
      <w:r w:rsidRPr="00B06275">
        <w:rPr>
          <w:rFonts w:ascii="Arial" w:eastAsia="Cambria" w:hAnsi="Arial" w:cs="Arial"/>
          <w:sz w:val="22"/>
          <w:szCs w:val="22"/>
          <w:lang w:eastAsia="ja-JP"/>
        </w:rPr>
        <w:t xml:space="preserve">Ability to provide longer consultations </w:t>
      </w:r>
    </w:p>
    <w:p w:rsidR="00B06275" w:rsidRPr="00B06275" w:rsidRDefault="00B06275" w:rsidP="00B06275">
      <w:pPr>
        <w:numPr>
          <w:ilvl w:val="0"/>
          <w:numId w:val="26"/>
        </w:numPr>
        <w:spacing w:line="288" w:lineRule="auto"/>
        <w:jc w:val="both"/>
        <w:rPr>
          <w:rFonts w:ascii="Arial" w:eastAsia="Cambria" w:hAnsi="Arial" w:cs="Arial"/>
          <w:sz w:val="22"/>
          <w:szCs w:val="22"/>
          <w:lang w:eastAsia="ja-JP"/>
        </w:rPr>
      </w:pPr>
      <w:r w:rsidRPr="00B06275">
        <w:rPr>
          <w:rFonts w:ascii="Arial" w:eastAsia="Cambria" w:hAnsi="Arial" w:cs="Arial"/>
          <w:sz w:val="22"/>
          <w:szCs w:val="22"/>
          <w:lang w:eastAsia="ja-JP"/>
        </w:rPr>
        <w:t>Development of a specialist team to work across all practices, providing ‘wrap around’ services for patients with multiple LTCs</w:t>
      </w:r>
    </w:p>
    <w:p w:rsidR="00B06275" w:rsidRPr="00B06275" w:rsidRDefault="00B06275" w:rsidP="00B06275">
      <w:pPr>
        <w:numPr>
          <w:ilvl w:val="0"/>
          <w:numId w:val="26"/>
        </w:numPr>
        <w:spacing w:line="288" w:lineRule="auto"/>
        <w:jc w:val="both"/>
        <w:rPr>
          <w:rFonts w:ascii="Arial" w:eastAsia="Cambria" w:hAnsi="Arial" w:cs="Arial"/>
          <w:sz w:val="22"/>
          <w:szCs w:val="22"/>
          <w:lang w:eastAsia="ja-JP"/>
        </w:rPr>
      </w:pPr>
      <w:r w:rsidRPr="00B06275">
        <w:rPr>
          <w:rFonts w:ascii="Arial" w:eastAsia="Cambria" w:hAnsi="Arial" w:cs="Arial"/>
          <w:sz w:val="22"/>
          <w:szCs w:val="22"/>
          <w:lang w:eastAsia="ja-JP"/>
        </w:rPr>
        <w:t>Establish ‘one stop shop’ clinics in the community for patients with LTCs, including working with secondary care consultants in the community.</w:t>
      </w:r>
    </w:p>
    <w:p w:rsidR="00B06275" w:rsidRPr="00B06275" w:rsidRDefault="00B06275" w:rsidP="00B06275">
      <w:pPr>
        <w:numPr>
          <w:ilvl w:val="0"/>
          <w:numId w:val="26"/>
        </w:numPr>
        <w:rPr>
          <w:rFonts w:ascii="Arial" w:eastAsia="Cambria" w:hAnsi="Arial" w:cs="Arial"/>
          <w:sz w:val="22"/>
          <w:szCs w:val="22"/>
          <w:lang w:eastAsia="ja-JP"/>
        </w:rPr>
      </w:pPr>
      <w:r w:rsidRPr="00B06275">
        <w:rPr>
          <w:rFonts w:ascii="Arial" w:eastAsia="Cambria" w:hAnsi="Arial" w:cs="Arial"/>
          <w:sz w:val="22"/>
          <w:szCs w:val="22"/>
          <w:lang w:eastAsia="ja-JP"/>
        </w:rPr>
        <w:t>Promoting continuity of care, improving overall quality and productivity of local services and reducing health inequalities.</w:t>
      </w:r>
    </w:p>
    <w:p w:rsidR="00B06275" w:rsidRPr="00B06275" w:rsidRDefault="00B06275" w:rsidP="00B06275">
      <w:pPr>
        <w:spacing w:line="288" w:lineRule="auto"/>
        <w:ind w:left="34"/>
        <w:jc w:val="both"/>
        <w:rPr>
          <w:rFonts w:ascii="Arial" w:eastAsia="Cambria" w:hAnsi="Arial" w:cs="Arial"/>
          <w:sz w:val="22"/>
          <w:szCs w:val="22"/>
          <w:lang w:eastAsia="ja-JP"/>
        </w:rPr>
      </w:pPr>
    </w:p>
    <w:p w:rsidR="00B06275" w:rsidRPr="00B06275" w:rsidRDefault="00B06275" w:rsidP="00B06275">
      <w:pPr>
        <w:spacing w:line="288" w:lineRule="auto"/>
        <w:jc w:val="both"/>
        <w:rPr>
          <w:rFonts w:ascii="Arial" w:eastAsia="Cambria" w:hAnsi="Arial" w:cs="Arial"/>
          <w:sz w:val="22"/>
          <w:szCs w:val="22"/>
          <w:lang w:eastAsia="ja-JP"/>
        </w:rPr>
      </w:pPr>
      <w:r w:rsidRPr="00B06275">
        <w:rPr>
          <w:rFonts w:ascii="Arial" w:eastAsia="Cambria" w:hAnsi="Arial" w:cs="Arial"/>
          <w:sz w:val="22"/>
          <w:szCs w:val="22"/>
          <w:lang w:eastAsia="ja-JP"/>
        </w:rPr>
        <w:t>Docks Collaborative are looking for the opportunity to ‘prove the concept’ of a centralised triage service. We would then look to work with NHS England and the CCG to help them to determine how best to roll out the learning and implement if successful across the whole area, and support practices outside of the CCG to utilise our learning for the benefit of their patient population.</w:t>
      </w:r>
    </w:p>
    <w:p w:rsidR="00B06275" w:rsidRDefault="00B06275" w:rsidP="008412C1">
      <w:pPr>
        <w:rPr>
          <w:rFonts w:ascii="Arial" w:hAnsi="Arial" w:cs="Arial"/>
          <w:bCs/>
          <w:sz w:val="22"/>
          <w:szCs w:val="22"/>
        </w:rPr>
      </w:pPr>
    </w:p>
    <w:p w:rsidR="00B06275" w:rsidRDefault="00B06275" w:rsidP="008412C1">
      <w:pPr>
        <w:rPr>
          <w:rFonts w:ascii="Arial" w:hAnsi="Arial" w:cs="Arial"/>
          <w:bCs/>
          <w:sz w:val="22"/>
          <w:szCs w:val="22"/>
        </w:rPr>
      </w:pPr>
    </w:p>
    <w:p w:rsidR="00B06275" w:rsidRDefault="00B06275" w:rsidP="008412C1">
      <w:pPr>
        <w:rPr>
          <w:rFonts w:ascii="Arial" w:hAnsi="Arial" w:cs="Arial"/>
          <w:bCs/>
          <w:sz w:val="22"/>
          <w:szCs w:val="22"/>
        </w:rPr>
      </w:pPr>
    </w:p>
    <w:p w:rsidR="00B06275" w:rsidRDefault="00B06275" w:rsidP="008412C1">
      <w:pPr>
        <w:rPr>
          <w:rFonts w:ascii="Arial" w:hAnsi="Arial" w:cs="Arial"/>
          <w:bCs/>
          <w:sz w:val="22"/>
          <w:szCs w:val="22"/>
        </w:rPr>
      </w:pPr>
    </w:p>
    <w:p w:rsidR="00B06275" w:rsidRDefault="00B06275" w:rsidP="008412C1">
      <w:pPr>
        <w:rPr>
          <w:rFonts w:ascii="Arial" w:hAnsi="Arial" w:cs="Arial"/>
          <w:bCs/>
          <w:sz w:val="22"/>
          <w:szCs w:val="22"/>
        </w:rPr>
      </w:pPr>
      <w:r w:rsidRPr="00B06275">
        <w:rPr>
          <w:rFonts w:ascii="Arial" w:hAnsi="Arial" w:cs="Arial"/>
          <w:b/>
          <w:bCs/>
          <w:sz w:val="22"/>
          <w:szCs w:val="22"/>
        </w:rPr>
        <w:t>Grimsby Central GP Collaborative</w:t>
      </w:r>
      <w:r>
        <w:rPr>
          <w:rFonts w:ascii="Arial" w:hAnsi="Arial" w:cs="Arial"/>
          <w:bCs/>
          <w:sz w:val="22"/>
          <w:szCs w:val="22"/>
        </w:rPr>
        <w:t>:</w:t>
      </w:r>
    </w:p>
    <w:p w:rsidR="00B06275" w:rsidRDefault="00B06275" w:rsidP="008412C1">
      <w:pPr>
        <w:rPr>
          <w:rFonts w:ascii="Arial" w:hAnsi="Arial" w:cs="Arial"/>
          <w:bCs/>
          <w:sz w:val="22"/>
          <w:szCs w:val="22"/>
        </w:rPr>
      </w:pPr>
    </w:p>
    <w:p w:rsidR="00B06275" w:rsidRDefault="00B06275" w:rsidP="008412C1">
      <w:pPr>
        <w:rPr>
          <w:rFonts w:ascii="Arial" w:hAnsi="Arial" w:cs="Arial"/>
          <w:bCs/>
          <w:sz w:val="22"/>
          <w:szCs w:val="22"/>
        </w:rPr>
      </w:pPr>
      <w:r>
        <w:rPr>
          <w:rFonts w:ascii="Arial" w:hAnsi="Arial" w:cs="Arial"/>
          <w:bCs/>
          <w:sz w:val="22"/>
          <w:szCs w:val="22"/>
        </w:rPr>
        <w:t>The proposal for this group of Practices is still in development (full proposal is due to be completed by the end of July). The criteria that have been developed by the CCG, which this proposal will be seeking to address, are as follows:</w:t>
      </w:r>
    </w:p>
    <w:p w:rsidR="00B06275" w:rsidRDefault="00B06275" w:rsidP="008412C1">
      <w:pPr>
        <w:rPr>
          <w:rFonts w:ascii="Arial" w:hAnsi="Arial" w:cs="Arial"/>
          <w:bCs/>
          <w:sz w:val="22"/>
          <w:szCs w:val="22"/>
        </w:rPr>
      </w:pPr>
    </w:p>
    <w:p w:rsidR="00B06275" w:rsidRDefault="00B06275" w:rsidP="00B06275">
      <w:pPr>
        <w:pStyle w:val="Default"/>
      </w:pPr>
    </w:p>
    <w:p w:rsidR="00B06275" w:rsidRDefault="00B06275" w:rsidP="00B06275">
      <w:pPr>
        <w:pStyle w:val="Default"/>
        <w:rPr>
          <w:sz w:val="23"/>
          <w:szCs w:val="23"/>
        </w:rPr>
      </w:pPr>
      <w:r>
        <w:rPr>
          <w:sz w:val="23"/>
          <w:szCs w:val="23"/>
        </w:rPr>
        <w:lastRenderedPageBreak/>
        <w:t xml:space="preserve">To be supported by the CCG the pilot must demonstrate how it will meet all of the following criteria (which reflect those required in the Prime Ministers Challenge Fund). </w:t>
      </w:r>
    </w:p>
    <w:p w:rsidR="00B06275" w:rsidRDefault="00B06275" w:rsidP="00B06275">
      <w:pPr>
        <w:pStyle w:val="Default"/>
        <w:rPr>
          <w:sz w:val="23"/>
          <w:szCs w:val="23"/>
        </w:rPr>
      </w:pPr>
    </w:p>
    <w:p w:rsidR="00B06275" w:rsidRDefault="00B06275" w:rsidP="00B06275">
      <w:pPr>
        <w:pStyle w:val="Default"/>
        <w:numPr>
          <w:ilvl w:val="0"/>
          <w:numId w:val="27"/>
        </w:numPr>
        <w:rPr>
          <w:b/>
          <w:sz w:val="23"/>
          <w:szCs w:val="23"/>
        </w:rPr>
      </w:pPr>
      <w:r>
        <w:rPr>
          <w:b/>
          <w:sz w:val="23"/>
          <w:szCs w:val="23"/>
        </w:rPr>
        <w:t xml:space="preserve">Improved access </w:t>
      </w:r>
    </w:p>
    <w:p w:rsidR="00B06275" w:rsidRDefault="00B06275" w:rsidP="00B06275">
      <w:pPr>
        <w:pStyle w:val="Default"/>
        <w:rPr>
          <w:sz w:val="23"/>
          <w:szCs w:val="23"/>
        </w:rPr>
      </w:pPr>
    </w:p>
    <w:p w:rsidR="00B06275" w:rsidRDefault="00B06275" w:rsidP="00B06275">
      <w:pPr>
        <w:pStyle w:val="Default"/>
        <w:rPr>
          <w:sz w:val="23"/>
          <w:szCs w:val="23"/>
        </w:rPr>
      </w:pPr>
      <w:r>
        <w:rPr>
          <w:sz w:val="23"/>
          <w:szCs w:val="23"/>
        </w:rPr>
        <w:t xml:space="preserve">This </w:t>
      </w:r>
      <w:r>
        <w:rPr>
          <w:sz w:val="23"/>
          <w:szCs w:val="23"/>
          <w:u w:val="single"/>
        </w:rPr>
        <w:t>must</w:t>
      </w:r>
      <w:r>
        <w:rPr>
          <w:sz w:val="23"/>
          <w:szCs w:val="23"/>
        </w:rPr>
        <w:t xml:space="preserve"> include: </w:t>
      </w:r>
    </w:p>
    <w:p w:rsidR="00B06275" w:rsidRDefault="00B06275" w:rsidP="00B06275">
      <w:pPr>
        <w:pStyle w:val="Default"/>
        <w:numPr>
          <w:ilvl w:val="0"/>
          <w:numId w:val="28"/>
        </w:numPr>
        <w:spacing w:after="37"/>
        <w:rPr>
          <w:sz w:val="23"/>
          <w:szCs w:val="23"/>
        </w:rPr>
      </w:pPr>
      <w:r>
        <w:rPr>
          <w:sz w:val="23"/>
          <w:szCs w:val="23"/>
        </w:rPr>
        <w:t xml:space="preserve">longer opening hours, as a minimum 8am-8pm weekdays and opening on weekends and bank holidays; </w:t>
      </w:r>
    </w:p>
    <w:p w:rsidR="00B06275" w:rsidRDefault="00B06275" w:rsidP="00B06275">
      <w:pPr>
        <w:pStyle w:val="Default"/>
        <w:numPr>
          <w:ilvl w:val="0"/>
          <w:numId w:val="28"/>
        </w:numPr>
        <w:spacing w:after="37"/>
        <w:rPr>
          <w:sz w:val="23"/>
          <w:szCs w:val="23"/>
        </w:rPr>
      </w:pPr>
      <w:r>
        <w:rPr>
          <w:sz w:val="23"/>
          <w:szCs w:val="23"/>
        </w:rPr>
        <w:t xml:space="preserve">joining-up of urgent care and out-of-hours care; </w:t>
      </w:r>
    </w:p>
    <w:p w:rsidR="00B06275" w:rsidRDefault="00B06275" w:rsidP="00B06275">
      <w:pPr>
        <w:pStyle w:val="Default"/>
        <w:numPr>
          <w:ilvl w:val="0"/>
          <w:numId w:val="28"/>
        </w:numPr>
        <w:spacing w:after="37"/>
        <w:rPr>
          <w:sz w:val="23"/>
          <w:szCs w:val="23"/>
        </w:rPr>
      </w:pPr>
      <w:r>
        <w:rPr>
          <w:sz w:val="23"/>
          <w:szCs w:val="23"/>
        </w:rPr>
        <w:t xml:space="preserve">greater flexibility about how people access general practice; </w:t>
      </w:r>
    </w:p>
    <w:p w:rsidR="00B06275" w:rsidRDefault="00B06275" w:rsidP="00B06275">
      <w:pPr>
        <w:pStyle w:val="Default"/>
        <w:numPr>
          <w:ilvl w:val="0"/>
          <w:numId w:val="28"/>
        </w:numPr>
        <w:spacing w:after="37"/>
        <w:rPr>
          <w:sz w:val="23"/>
          <w:szCs w:val="23"/>
        </w:rPr>
      </w:pPr>
      <w:r>
        <w:rPr>
          <w:sz w:val="23"/>
          <w:szCs w:val="23"/>
        </w:rPr>
        <w:t xml:space="preserve">greater use of technology to provide alternatives to face-to-face consultations e.g. via phone, email, webcam and instant messaging; </w:t>
      </w:r>
    </w:p>
    <w:p w:rsidR="00B06275" w:rsidRDefault="00B06275" w:rsidP="00B06275">
      <w:pPr>
        <w:pStyle w:val="Default"/>
        <w:numPr>
          <w:ilvl w:val="0"/>
          <w:numId w:val="28"/>
        </w:numPr>
        <w:spacing w:after="37"/>
        <w:rPr>
          <w:sz w:val="23"/>
          <w:szCs w:val="23"/>
        </w:rPr>
      </w:pPr>
      <w:r>
        <w:rPr>
          <w:sz w:val="23"/>
          <w:szCs w:val="23"/>
        </w:rPr>
        <w:t>greater use of patient online services</w:t>
      </w:r>
    </w:p>
    <w:p w:rsidR="00B06275" w:rsidRDefault="00B06275" w:rsidP="00B06275">
      <w:pPr>
        <w:pStyle w:val="Default"/>
        <w:numPr>
          <w:ilvl w:val="0"/>
          <w:numId w:val="28"/>
        </w:numPr>
        <w:spacing w:after="37"/>
        <w:rPr>
          <w:sz w:val="23"/>
          <w:szCs w:val="23"/>
        </w:rPr>
      </w:pPr>
      <w:r>
        <w:rPr>
          <w:sz w:val="23"/>
          <w:szCs w:val="23"/>
        </w:rPr>
        <w:t>more innovative ways for people to access and relate to general practice, including for children and young people and from groups that find it hard to access general practice</w:t>
      </w:r>
    </w:p>
    <w:p w:rsidR="00B06275" w:rsidRDefault="00B06275" w:rsidP="00B06275">
      <w:pPr>
        <w:pStyle w:val="Default"/>
        <w:spacing w:after="37"/>
        <w:rPr>
          <w:sz w:val="23"/>
          <w:szCs w:val="23"/>
        </w:rPr>
      </w:pPr>
    </w:p>
    <w:p w:rsidR="00B06275" w:rsidRDefault="00B06275" w:rsidP="00B06275">
      <w:pPr>
        <w:pStyle w:val="Default"/>
        <w:spacing w:after="37"/>
        <w:rPr>
          <w:sz w:val="23"/>
          <w:szCs w:val="23"/>
        </w:rPr>
      </w:pPr>
      <w:r>
        <w:rPr>
          <w:sz w:val="23"/>
          <w:szCs w:val="23"/>
        </w:rPr>
        <w:t xml:space="preserve">Other improvement such as greater use of </w:t>
      </w:r>
      <w:proofErr w:type="spellStart"/>
      <w:r>
        <w:rPr>
          <w:sz w:val="23"/>
          <w:szCs w:val="23"/>
        </w:rPr>
        <w:t>telecare</w:t>
      </w:r>
      <w:proofErr w:type="spellEnd"/>
      <w:r>
        <w:rPr>
          <w:sz w:val="23"/>
          <w:szCs w:val="23"/>
        </w:rPr>
        <w:t xml:space="preserve"> and healthy living apps to help people manage their health without having to visit their GP surgery as often, would also be welcomed.. </w:t>
      </w:r>
    </w:p>
    <w:p w:rsidR="00B06275" w:rsidRDefault="00B06275" w:rsidP="00B06275">
      <w:pPr>
        <w:pStyle w:val="Default"/>
        <w:rPr>
          <w:b/>
          <w:sz w:val="23"/>
          <w:szCs w:val="23"/>
        </w:rPr>
      </w:pPr>
    </w:p>
    <w:p w:rsidR="00B06275" w:rsidRDefault="00B06275" w:rsidP="00B06275">
      <w:pPr>
        <w:pStyle w:val="Default"/>
        <w:numPr>
          <w:ilvl w:val="0"/>
          <w:numId w:val="27"/>
        </w:numPr>
        <w:rPr>
          <w:b/>
          <w:sz w:val="23"/>
          <w:szCs w:val="23"/>
        </w:rPr>
      </w:pPr>
      <w:r>
        <w:rPr>
          <w:b/>
          <w:sz w:val="23"/>
          <w:szCs w:val="23"/>
        </w:rPr>
        <w:t>Improved patient experience</w:t>
      </w:r>
    </w:p>
    <w:p w:rsidR="00B06275" w:rsidRDefault="00B06275" w:rsidP="00B06275">
      <w:pPr>
        <w:pStyle w:val="Default"/>
        <w:rPr>
          <w:sz w:val="23"/>
          <w:szCs w:val="23"/>
        </w:rPr>
      </w:pPr>
    </w:p>
    <w:p w:rsidR="00B06275" w:rsidRDefault="00B06275" w:rsidP="00B06275">
      <w:pPr>
        <w:pStyle w:val="Default"/>
        <w:rPr>
          <w:sz w:val="23"/>
          <w:szCs w:val="23"/>
        </w:rPr>
      </w:pPr>
      <w:r>
        <w:rPr>
          <w:sz w:val="23"/>
          <w:szCs w:val="23"/>
        </w:rPr>
        <w:t>Practices must also be able to demonstrate how the pilot responds to local patient insight, preferences and priorities, with a clear goal of improving patient experience of access e.g. as measured through the GP Patient Survey.</w:t>
      </w:r>
    </w:p>
    <w:p w:rsidR="00B06275" w:rsidRDefault="00B06275" w:rsidP="00B06275">
      <w:pPr>
        <w:pStyle w:val="Default"/>
        <w:rPr>
          <w:sz w:val="23"/>
          <w:szCs w:val="23"/>
        </w:rPr>
      </w:pPr>
    </w:p>
    <w:p w:rsidR="00B06275" w:rsidRDefault="00B06275" w:rsidP="00B06275">
      <w:pPr>
        <w:pStyle w:val="Default"/>
        <w:numPr>
          <w:ilvl w:val="0"/>
          <w:numId w:val="27"/>
        </w:numPr>
        <w:rPr>
          <w:b/>
          <w:sz w:val="23"/>
          <w:szCs w:val="23"/>
        </w:rPr>
      </w:pPr>
      <w:r>
        <w:rPr>
          <w:b/>
          <w:sz w:val="23"/>
          <w:szCs w:val="23"/>
        </w:rPr>
        <w:t>Integration with local plans &amp; priorities for out of hospital care by demonstrating</w:t>
      </w:r>
    </w:p>
    <w:p w:rsidR="00B06275" w:rsidRDefault="00B06275" w:rsidP="00B06275">
      <w:pPr>
        <w:pStyle w:val="Default"/>
        <w:ind w:left="360"/>
        <w:rPr>
          <w:b/>
          <w:sz w:val="23"/>
          <w:szCs w:val="23"/>
        </w:rPr>
      </w:pPr>
    </w:p>
    <w:p w:rsidR="00B06275" w:rsidRDefault="00B06275" w:rsidP="00B06275">
      <w:pPr>
        <w:pStyle w:val="Default"/>
        <w:numPr>
          <w:ilvl w:val="0"/>
          <w:numId w:val="29"/>
        </w:numPr>
        <w:spacing w:after="37"/>
        <w:rPr>
          <w:sz w:val="23"/>
          <w:szCs w:val="23"/>
        </w:rPr>
      </w:pPr>
      <w:r>
        <w:rPr>
          <w:sz w:val="23"/>
          <w:szCs w:val="23"/>
        </w:rPr>
        <w:t xml:space="preserve">a more integrated approach to providing general practice and wider out-of-hospital services, including ‘wrap-around’ community services such as community pharmacy, diagnostic services and voluntary sector provision; </w:t>
      </w:r>
    </w:p>
    <w:p w:rsidR="00B06275" w:rsidRDefault="00B06275" w:rsidP="00B06275">
      <w:pPr>
        <w:pStyle w:val="Default"/>
        <w:numPr>
          <w:ilvl w:val="0"/>
          <w:numId w:val="29"/>
        </w:numPr>
        <w:spacing w:after="37"/>
        <w:rPr>
          <w:sz w:val="23"/>
          <w:szCs w:val="23"/>
        </w:rPr>
      </w:pPr>
      <w:r>
        <w:rPr>
          <w:sz w:val="23"/>
          <w:szCs w:val="23"/>
        </w:rPr>
        <w:t>Access to senior clinical decision maker as first point of contact for urgent requests;</w:t>
      </w:r>
    </w:p>
    <w:p w:rsidR="00B06275" w:rsidRDefault="00B06275" w:rsidP="00B06275">
      <w:pPr>
        <w:pStyle w:val="Default"/>
        <w:numPr>
          <w:ilvl w:val="0"/>
          <w:numId w:val="29"/>
        </w:numPr>
        <w:spacing w:after="37"/>
        <w:rPr>
          <w:sz w:val="23"/>
          <w:szCs w:val="23"/>
        </w:rPr>
      </w:pPr>
      <w:r>
        <w:rPr>
          <w:sz w:val="23"/>
          <w:szCs w:val="23"/>
        </w:rPr>
        <w:t>Extended access for both routine and urgent appointments across general practices (with appropriate governance arrangements);</w:t>
      </w:r>
    </w:p>
    <w:p w:rsidR="00B06275" w:rsidRDefault="00B06275" w:rsidP="00B06275">
      <w:pPr>
        <w:pStyle w:val="Default"/>
        <w:numPr>
          <w:ilvl w:val="0"/>
          <w:numId w:val="29"/>
        </w:numPr>
        <w:spacing w:after="37"/>
        <w:rPr>
          <w:sz w:val="23"/>
          <w:szCs w:val="23"/>
        </w:rPr>
      </w:pPr>
      <w:r>
        <w:rPr>
          <w:sz w:val="23"/>
          <w:szCs w:val="23"/>
        </w:rPr>
        <w:t>For routine appointments, use of technology for booking appointments and ordering repeat prescriptions;</w:t>
      </w:r>
    </w:p>
    <w:p w:rsidR="00B06275" w:rsidRDefault="00B06275" w:rsidP="00B06275">
      <w:pPr>
        <w:pStyle w:val="Default"/>
        <w:numPr>
          <w:ilvl w:val="0"/>
          <w:numId w:val="29"/>
        </w:numPr>
        <w:spacing w:after="37"/>
        <w:rPr>
          <w:sz w:val="23"/>
          <w:szCs w:val="23"/>
        </w:rPr>
      </w:pPr>
      <w:r>
        <w:rPr>
          <w:sz w:val="23"/>
          <w:szCs w:val="23"/>
        </w:rPr>
        <w:t>Ability for despatch of GP for urgent home visit (within 1 hour) where assessed as clinically required.</w:t>
      </w:r>
    </w:p>
    <w:p w:rsidR="00B06275" w:rsidRDefault="00B06275" w:rsidP="00B06275">
      <w:pPr>
        <w:autoSpaceDE w:val="0"/>
        <w:autoSpaceDN w:val="0"/>
        <w:adjustRightInd w:val="0"/>
        <w:spacing w:after="37"/>
        <w:rPr>
          <w:rFonts w:ascii="Arial" w:hAnsi="Arial" w:cs="Arial"/>
          <w:color w:val="000000"/>
          <w:sz w:val="23"/>
          <w:szCs w:val="23"/>
        </w:rPr>
      </w:pPr>
    </w:p>
    <w:p w:rsidR="00B06275" w:rsidRDefault="00B06275" w:rsidP="00B06275">
      <w:pPr>
        <w:pStyle w:val="ListParagraph"/>
        <w:numPr>
          <w:ilvl w:val="0"/>
          <w:numId w:val="27"/>
        </w:numPr>
        <w:autoSpaceDE w:val="0"/>
        <w:autoSpaceDN w:val="0"/>
        <w:adjustRightInd w:val="0"/>
        <w:spacing w:after="37"/>
        <w:rPr>
          <w:rFonts w:ascii="Arial" w:hAnsi="Arial" w:cs="Arial"/>
          <w:b/>
          <w:color w:val="000000"/>
          <w:sz w:val="23"/>
          <w:szCs w:val="23"/>
        </w:rPr>
      </w:pPr>
      <w:r>
        <w:rPr>
          <w:rFonts w:ascii="Arial" w:hAnsi="Arial" w:cs="Arial"/>
          <w:b/>
          <w:color w:val="000000"/>
          <w:sz w:val="23"/>
          <w:szCs w:val="23"/>
        </w:rPr>
        <w:t>Sustainability beyond the life of the pilot scheme in terms of:</w:t>
      </w:r>
    </w:p>
    <w:p w:rsidR="00B06275" w:rsidRDefault="00B06275" w:rsidP="00B06275">
      <w:pPr>
        <w:pStyle w:val="ListParagraph"/>
        <w:autoSpaceDE w:val="0"/>
        <w:autoSpaceDN w:val="0"/>
        <w:adjustRightInd w:val="0"/>
        <w:spacing w:after="37"/>
        <w:ind w:left="1080"/>
        <w:rPr>
          <w:rFonts w:ascii="Arial" w:hAnsi="Arial" w:cs="Arial"/>
          <w:color w:val="000000"/>
          <w:sz w:val="23"/>
          <w:szCs w:val="23"/>
        </w:rPr>
      </w:pPr>
    </w:p>
    <w:p w:rsidR="00B06275" w:rsidRDefault="00B06275" w:rsidP="00B06275">
      <w:pPr>
        <w:pStyle w:val="ListParagraph"/>
        <w:numPr>
          <w:ilvl w:val="0"/>
          <w:numId w:val="30"/>
        </w:numPr>
        <w:autoSpaceDE w:val="0"/>
        <w:autoSpaceDN w:val="0"/>
        <w:adjustRightInd w:val="0"/>
        <w:spacing w:after="37"/>
        <w:rPr>
          <w:rFonts w:ascii="Arial" w:hAnsi="Arial" w:cs="Arial"/>
          <w:color w:val="000000"/>
          <w:sz w:val="23"/>
          <w:szCs w:val="23"/>
        </w:rPr>
      </w:pPr>
      <w:r>
        <w:rPr>
          <w:rFonts w:ascii="Arial" w:hAnsi="Arial" w:cs="Arial"/>
          <w:color w:val="000000"/>
          <w:sz w:val="23"/>
          <w:szCs w:val="23"/>
        </w:rPr>
        <w:t xml:space="preserve">recurrent financial costs </w:t>
      </w:r>
    </w:p>
    <w:p w:rsidR="00B06275" w:rsidRDefault="00B06275" w:rsidP="00B06275">
      <w:pPr>
        <w:pStyle w:val="ListParagraph"/>
        <w:numPr>
          <w:ilvl w:val="0"/>
          <w:numId w:val="30"/>
        </w:numPr>
        <w:autoSpaceDE w:val="0"/>
        <w:autoSpaceDN w:val="0"/>
        <w:adjustRightInd w:val="0"/>
        <w:spacing w:after="37"/>
        <w:rPr>
          <w:rFonts w:ascii="Arial" w:hAnsi="Arial" w:cs="Arial"/>
          <w:color w:val="000000"/>
          <w:sz w:val="23"/>
          <w:szCs w:val="23"/>
        </w:rPr>
      </w:pPr>
      <w:r>
        <w:rPr>
          <w:rFonts w:ascii="Arial" w:hAnsi="Arial" w:cs="Arial"/>
          <w:color w:val="000000"/>
          <w:sz w:val="23"/>
          <w:szCs w:val="23"/>
        </w:rPr>
        <w:t xml:space="preserve">clear, credible plans for delivering benefits to patients on an </w:t>
      </w:r>
      <w:proofErr w:type="spellStart"/>
      <w:r>
        <w:rPr>
          <w:rFonts w:ascii="Arial" w:hAnsi="Arial" w:cs="Arial"/>
          <w:color w:val="000000"/>
          <w:sz w:val="23"/>
          <w:szCs w:val="23"/>
        </w:rPr>
        <w:t>ongoing</w:t>
      </w:r>
      <w:proofErr w:type="spellEnd"/>
      <w:r>
        <w:rPr>
          <w:rFonts w:ascii="Arial" w:hAnsi="Arial" w:cs="Arial"/>
          <w:color w:val="000000"/>
          <w:sz w:val="23"/>
          <w:szCs w:val="23"/>
        </w:rPr>
        <w:t xml:space="preserve"> basis beyond the lifetime of the pilots</w:t>
      </w:r>
    </w:p>
    <w:p w:rsidR="00B06275" w:rsidRDefault="00B06275" w:rsidP="00B06275">
      <w:pPr>
        <w:autoSpaceDE w:val="0"/>
        <w:autoSpaceDN w:val="0"/>
        <w:adjustRightInd w:val="0"/>
        <w:spacing w:after="37"/>
        <w:rPr>
          <w:rFonts w:ascii="Arial" w:hAnsi="Arial" w:cs="Arial"/>
          <w:color w:val="000000"/>
          <w:sz w:val="23"/>
          <w:szCs w:val="23"/>
        </w:rPr>
      </w:pPr>
    </w:p>
    <w:p w:rsidR="00B06275" w:rsidRDefault="00B06275" w:rsidP="00B06275">
      <w:pPr>
        <w:pStyle w:val="ListParagraph"/>
        <w:numPr>
          <w:ilvl w:val="0"/>
          <w:numId w:val="27"/>
        </w:numPr>
        <w:autoSpaceDE w:val="0"/>
        <w:autoSpaceDN w:val="0"/>
        <w:adjustRightInd w:val="0"/>
        <w:spacing w:after="37"/>
        <w:rPr>
          <w:rFonts w:ascii="Arial" w:hAnsi="Arial" w:cs="Arial"/>
          <w:b/>
          <w:color w:val="000000"/>
          <w:sz w:val="23"/>
          <w:szCs w:val="23"/>
        </w:rPr>
      </w:pPr>
      <w:r>
        <w:rPr>
          <w:rFonts w:ascii="Arial" w:hAnsi="Arial" w:cs="Arial"/>
          <w:b/>
          <w:color w:val="000000"/>
          <w:sz w:val="23"/>
          <w:szCs w:val="23"/>
        </w:rPr>
        <w:t>Good governance including:</w:t>
      </w:r>
    </w:p>
    <w:p w:rsidR="00B06275" w:rsidRDefault="00B06275" w:rsidP="00B06275">
      <w:pPr>
        <w:pStyle w:val="ListParagraph"/>
        <w:numPr>
          <w:ilvl w:val="0"/>
          <w:numId w:val="31"/>
        </w:numPr>
        <w:autoSpaceDE w:val="0"/>
        <w:autoSpaceDN w:val="0"/>
        <w:adjustRightInd w:val="0"/>
        <w:spacing w:after="37"/>
        <w:rPr>
          <w:rFonts w:ascii="Arial" w:hAnsi="Arial" w:cs="Arial"/>
          <w:i/>
          <w:color w:val="000000"/>
          <w:sz w:val="23"/>
          <w:szCs w:val="23"/>
        </w:rPr>
      </w:pPr>
      <w:r>
        <w:rPr>
          <w:rFonts w:ascii="Arial" w:hAnsi="Arial" w:cs="Arial"/>
          <w:i/>
          <w:color w:val="000000"/>
          <w:sz w:val="23"/>
          <w:szCs w:val="23"/>
        </w:rPr>
        <w:t>strong leadership and commitment/buy-in from all practices involved</w:t>
      </w:r>
    </w:p>
    <w:p w:rsidR="00B06275" w:rsidRDefault="00B06275" w:rsidP="00B06275">
      <w:pPr>
        <w:pStyle w:val="ListParagraph"/>
        <w:numPr>
          <w:ilvl w:val="0"/>
          <w:numId w:val="31"/>
        </w:numPr>
        <w:autoSpaceDE w:val="0"/>
        <w:autoSpaceDN w:val="0"/>
        <w:adjustRightInd w:val="0"/>
        <w:spacing w:after="37"/>
        <w:rPr>
          <w:rFonts w:ascii="Arial" w:hAnsi="Arial" w:cs="Arial"/>
          <w:color w:val="000000"/>
          <w:sz w:val="23"/>
          <w:szCs w:val="23"/>
        </w:rPr>
      </w:pPr>
      <w:r>
        <w:rPr>
          <w:rFonts w:ascii="Arial" w:hAnsi="Arial" w:cs="Arial"/>
          <w:color w:val="000000"/>
          <w:sz w:val="23"/>
          <w:szCs w:val="23"/>
        </w:rPr>
        <w:t>minimum scale of a population of 30,000</w:t>
      </w:r>
    </w:p>
    <w:p w:rsidR="00B06275" w:rsidRDefault="00B06275" w:rsidP="00B06275">
      <w:pPr>
        <w:pStyle w:val="ListParagraph"/>
        <w:numPr>
          <w:ilvl w:val="0"/>
          <w:numId w:val="31"/>
        </w:numPr>
        <w:autoSpaceDE w:val="0"/>
        <w:autoSpaceDN w:val="0"/>
        <w:adjustRightInd w:val="0"/>
        <w:spacing w:after="37"/>
        <w:rPr>
          <w:rFonts w:ascii="Arial" w:hAnsi="Arial" w:cs="Arial"/>
          <w:color w:val="000000"/>
          <w:sz w:val="23"/>
          <w:szCs w:val="23"/>
        </w:rPr>
      </w:pPr>
      <w:r>
        <w:rPr>
          <w:rFonts w:ascii="Arial" w:hAnsi="Arial" w:cs="Arial"/>
          <w:color w:val="000000"/>
          <w:sz w:val="23"/>
          <w:szCs w:val="23"/>
        </w:rPr>
        <w:t>project management arrangement and project plan that demonstrates how implementation can be achieved by 1</w:t>
      </w:r>
      <w:r>
        <w:rPr>
          <w:rFonts w:ascii="Arial" w:hAnsi="Arial" w:cs="Arial"/>
          <w:color w:val="000000"/>
          <w:sz w:val="23"/>
          <w:szCs w:val="23"/>
          <w:vertAlign w:val="superscript"/>
        </w:rPr>
        <w:t>st</w:t>
      </w:r>
      <w:r>
        <w:rPr>
          <w:rFonts w:ascii="Arial" w:hAnsi="Arial" w:cs="Arial"/>
          <w:color w:val="000000"/>
          <w:sz w:val="23"/>
          <w:szCs w:val="23"/>
        </w:rPr>
        <w:t xml:space="preserve"> October 2015</w:t>
      </w:r>
    </w:p>
    <w:p w:rsidR="00B06275" w:rsidRDefault="00B06275" w:rsidP="00B06275">
      <w:pPr>
        <w:pStyle w:val="ListParagraph"/>
        <w:numPr>
          <w:ilvl w:val="0"/>
          <w:numId w:val="31"/>
        </w:numPr>
        <w:autoSpaceDE w:val="0"/>
        <w:autoSpaceDN w:val="0"/>
        <w:adjustRightInd w:val="0"/>
        <w:spacing w:after="37"/>
        <w:rPr>
          <w:rFonts w:ascii="Arial" w:hAnsi="Arial" w:cs="Arial"/>
          <w:color w:val="000000"/>
          <w:sz w:val="23"/>
          <w:szCs w:val="23"/>
        </w:rPr>
      </w:pPr>
      <w:r>
        <w:rPr>
          <w:rFonts w:ascii="Arial" w:hAnsi="Arial" w:cs="Arial"/>
          <w:color w:val="000000"/>
          <w:sz w:val="23"/>
          <w:szCs w:val="23"/>
        </w:rPr>
        <w:lastRenderedPageBreak/>
        <w:t>telephony and IT capability</w:t>
      </w:r>
    </w:p>
    <w:p w:rsidR="00B06275" w:rsidRDefault="00B06275" w:rsidP="00B06275">
      <w:pPr>
        <w:pStyle w:val="ListParagraph"/>
        <w:numPr>
          <w:ilvl w:val="0"/>
          <w:numId w:val="31"/>
        </w:numPr>
        <w:autoSpaceDE w:val="0"/>
        <w:autoSpaceDN w:val="0"/>
        <w:adjustRightInd w:val="0"/>
        <w:spacing w:after="37"/>
        <w:rPr>
          <w:rFonts w:ascii="Arial" w:hAnsi="Arial" w:cs="Arial"/>
          <w:color w:val="000000"/>
          <w:sz w:val="23"/>
          <w:szCs w:val="23"/>
        </w:rPr>
      </w:pPr>
      <w:r>
        <w:rPr>
          <w:rFonts w:ascii="Arial" w:hAnsi="Arial" w:cs="Arial"/>
          <w:color w:val="000000"/>
          <w:sz w:val="23"/>
          <w:szCs w:val="23"/>
        </w:rPr>
        <w:t xml:space="preserve">SMART performance measures and improvement targets </w:t>
      </w:r>
    </w:p>
    <w:p w:rsidR="00B06275" w:rsidRDefault="00B06275" w:rsidP="00B06275">
      <w:pPr>
        <w:pStyle w:val="ListParagraph"/>
        <w:numPr>
          <w:ilvl w:val="0"/>
          <w:numId w:val="31"/>
        </w:numPr>
        <w:autoSpaceDE w:val="0"/>
        <w:autoSpaceDN w:val="0"/>
        <w:adjustRightInd w:val="0"/>
        <w:spacing w:after="37"/>
        <w:rPr>
          <w:rFonts w:ascii="Arial" w:hAnsi="Arial" w:cs="Arial"/>
          <w:color w:val="000000"/>
          <w:sz w:val="23"/>
          <w:szCs w:val="23"/>
        </w:rPr>
      </w:pPr>
      <w:r>
        <w:rPr>
          <w:rFonts w:ascii="Arial" w:hAnsi="Arial" w:cs="Arial"/>
          <w:color w:val="000000"/>
          <w:sz w:val="23"/>
          <w:szCs w:val="23"/>
        </w:rPr>
        <w:t>Performance management and evaluation arrangements</w:t>
      </w:r>
    </w:p>
    <w:p w:rsidR="00B06275" w:rsidRDefault="00B06275" w:rsidP="00B06275">
      <w:pPr>
        <w:pStyle w:val="ListParagraph"/>
        <w:numPr>
          <w:ilvl w:val="0"/>
          <w:numId w:val="31"/>
        </w:numPr>
        <w:autoSpaceDE w:val="0"/>
        <w:autoSpaceDN w:val="0"/>
        <w:adjustRightInd w:val="0"/>
        <w:spacing w:after="37"/>
        <w:rPr>
          <w:rFonts w:asciiTheme="minorHAnsi" w:hAnsiTheme="minorHAnsi" w:cstheme="minorBidi"/>
          <w:sz w:val="22"/>
          <w:szCs w:val="22"/>
        </w:rPr>
      </w:pPr>
      <w:r>
        <w:rPr>
          <w:rFonts w:ascii="Arial" w:hAnsi="Arial" w:cs="Arial"/>
          <w:color w:val="000000"/>
          <w:sz w:val="23"/>
          <w:szCs w:val="23"/>
        </w:rPr>
        <w:t>capability to be rolled out to other local practices not covered by either this or the PMCF pilot operating in NEL</w:t>
      </w:r>
    </w:p>
    <w:p w:rsidR="00B06275" w:rsidRPr="00B06275" w:rsidRDefault="00B06275" w:rsidP="008412C1">
      <w:pPr>
        <w:rPr>
          <w:rFonts w:ascii="Arial" w:hAnsi="Arial" w:cs="Arial"/>
          <w:bCs/>
          <w:sz w:val="22"/>
          <w:szCs w:val="22"/>
        </w:rPr>
      </w:pPr>
    </w:p>
    <w:sectPr w:rsidR="00B06275" w:rsidRPr="00B06275" w:rsidSect="00DD7564">
      <w:footerReference w:type="default" r:id="rId12"/>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AD" w:rsidRDefault="005C7FAD">
      <w:r>
        <w:separator/>
      </w:r>
    </w:p>
  </w:endnote>
  <w:endnote w:type="continuationSeparator" w:id="0">
    <w:p w:rsidR="005C7FAD" w:rsidRDefault="005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FAD" w:rsidRDefault="005C7FAD"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AD" w:rsidRDefault="005C7FAD">
      <w:r>
        <w:separator/>
      </w:r>
    </w:p>
  </w:footnote>
  <w:footnote w:type="continuationSeparator" w:id="0">
    <w:p w:rsidR="005C7FAD" w:rsidRDefault="005C7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151A70"/>
    <w:multiLevelType w:val="hybridMultilevel"/>
    <w:tmpl w:val="441A04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9F01F8"/>
    <w:multiLevelType w:val="hybridMultilevel"/>
    <w:tmpl w:val="612A1D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73668E"/>
    <w:multiLevelType w:val="hybridMultilevel"/>
    <w:tmpl w:val="262CE284"/>
    <w:lvl w:ilvl="0" w:tplc="EE2A4A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733813"/>
    <w:multiLevelType w:val="hybridMultilevel"/>
    <w:tmpl w:val="21D8C2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5">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68C1FDD"/>
    <w:multiLevelType w:val="hybridMultilevel"/>
    <w:tmpl w:val="125E27B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0">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3">
    <w:nsid w:val="55EC0826"/>
    <w:multiLevelType w:val="hybridMultilevel"/>
    <w:tmpl w:val="8B3048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CD3162"/>
    <w:multiLevelType w:val="hybridMultilevel"/>
    <w:tmpl w:val="EC24C390"/>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29">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2F205B6"/>
    <w:multiLevelType w:val="hybridMultilevel"/>
    <w:tmpl w:val="900C8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0"/>
  </w:num>
  <w:num w:numId="4">
    <w:abstractNumId w:val="29"/>
  </w:num>
  <w:num w:numId="5">
    <w:abstractNumId w:val="20"/>
  </w:num>
  <w:num w:numId="6">
    <w:abstractNumId w:val="26"/>
  </w:num>
  <w:num w:numId="7">
    <w:abstractNumId w:val="3"/>
  </w:num>
  <w:num w:numId="8">
    <w:abstractNumId w:val="19"/>
  </w:num>
  <w:num w:numId="9">
    <w:abstractNumId w:val="22"/>
  </w:num>
  <w:num w:numId="10">
    <w:abstractNumId w:val="5"/>
  </w:num>
  <w:num w:numId="11">
    <w:abstractNumId w:val="9"/>
  </w:num>
  <w:num w:numId="12">
    <w:abstractNumId w:val="25"/>
  </w:num>
  <w:num w:numId="13">
    <w:abstractNumId w:val="15"/>
  </w:num>
  <w:num w:numId="14">
    <w:abstractNumId w:val="1"/>
  </w:num>
  <w:num w:numId="15">
    <w:abstractNumId w:val="18"/>
  </w:num>
  <w:num w:numId="16">
    <w:abstractNumId w:val="10"/>
  </w:num>
  <w:num w:numId="17">
    <w:abstractNumId w:val="21"/>
  </w:num>
  <w:num w:numId="18">
    <w:abstractNumId w:val="17"/>
  </w:num>
  <w:num w:numId="19">
    <w:abstractNumId w:val="27"/>
  </w:num>
  <w:num w:numId="20">
    <w:abstractNumId w:val="8"/>
  </w:num>
  <w:num w:numId="21">
    <w:abstractNumId w:val="6"/>
  </w:num>
  <w:num w:numId="22">
    <w:abstractNumId w:val="12"/>
  </w:num>
  <w:num w:numId="23">
    <w:abstractNumId w:val="4"/>
  </w:num>
  <w:num w:numId="24">
    <w:abstractNumId w:val="13"/>
  </w:num>
  <w:num w:numId="25">
    <w:abstractNumId w:val="30"/>
  </w:num>
  <w:num w:numId="26">
    <w:abstractNumId w:val="28"/>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0AC3"/>
    <w:rsid w:val="0015293E"/>
    <w:rsid w:val="00157D2B"/>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A3C39"/>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360E"/>
    <w:rsid w:val="00532C2C"/>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C7FAD"/>
    <w:rsid w:val="005E01FA"/>
    <w:rsid w:val="005F0C84"/>
    <w:rsid w:val="005F11AA"/>
    <w:rsid w:val="005F195A"/>
    <w:rsid w:val="0060216B"/>
    <w:rsid w:val="00604967"/>
    <w:rsid w:val="00607C7F"/>
    <w:rsid w:val="006203A2"/>
    <w:rsid w:val="00625124"/>
    <w:rsid w:val="00635173"/>
    <w:rsid w:val="006468ED"/>
    <w:rsid w:val="006569A3"/>
    <w:rsid w:val="00657CC2"/>
    <w:rsid w:val="00664815"/>
    <w:rsid w:val="0067295A"/>
    <w:rsid w:val="00675C73"/>
    <w:rsid w:val="0068471B"/>
    <w:rsid w:val="0068496F"/>
    <w:rsid w:val="006919AB"/>
    <w:rsid w:val="0069645B"/>
    <w:rsid w:val="0069733F"/>
    <w:rsid w:val="006A2E19"/>
    <w:rsid w:val="006A74AF"/>
    <w:rsid w:val="006A788A"/>
    <w:rsid w:val="006A7D61"/>
    <w:rsid w:val="006B7C64"/>
    <w:rsid w:val="006C03B7"/>
    <w:rsid w:val="006C1DEF"/>
    <w:rsid w:val="006C5536"/>
    <w:rsid w:val="006D2FBF"/>
    <w:rsid w:val="006D4AE8"/>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C1372"/>
    <w:rsid w:val="007C7176"/>
    <w:rsid w:val="007D373C"/>
    <w:rsid w:val="007D696B"/>
    <w:rsid w:val="007E2B49"/>
    <w:rsid w:val="007E6A63"/>
    <w:rsid w:val="007F26DD"/>
    <w:rsid w:val="007F5413"/>
    <w:rsid w:val="00803AA5"/>
    <w:rsid w:val="008254CA"/>
    <w:rsid w:val="00830D29"/>
    <w:rsid w:val="00831338"/>
    <w:rsid w:val="00840F53"/>
    <w:rsid w:val="008412C1"/>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4782"/>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3C5B"/>
    <w:rsid w:val="009E7323"/>
    <w:rsid w:val="00A018C8"/>
    <w:rsid w:val="00A01B48"/>
    <w:rsid w:val="00A03A97"/>
    <w:rsid w:val="00A07A07"/>
    <w:rsid w:val="00A1183A"/>
    <w:rsid w:val="00A14275"/>
    <w:rsid w:val="00A17708"/>
    <w:rsid w:val="00A2084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0627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2DA4"/>
    <w:rsid w:val="00BB4739"/>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20949"/>
    <w:rsid w:val="00C211B2"/>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57BA2"/>
    <w:rsid w:val="00D655CC"/>
    <w:rsid w:val="00D6660C"/>
    <w:rsid w:val="00D7033C"/>
    <w:rsid w:val="00D76A89"/>
    <w:rsid w:val="00D803BA"/>
    <w:rsid w:val="00D91037"/>
    <w:rsid w:val="00D921A3"/>
    <w:rsid w:val="00DA2D96"/>
    <w:rsid w:val="00DA584B"/>
    <w:rsid w:val="00DA6818"/>
    <w:rsid w:val="00DA75DE"/>
    <w:rsid w:val="00DC2203"/>
    <w:rsid w:val="00DC3218"/>
    <w:rsid w:val="00DC46DB"/>
    <w:rsid w:val="00DD1E33"/>
    <w:rsid w:val="00DD27F1"/>
    <w:rsid w:val="00DD3E42"/>
    <w:rsid w:val="00DD689C"/>
    <w:rsid w:val="00DD7564"/>
    <w:rsid w:val="00DE47E9"/>
    <w:rsid w:val="00DE6E0E"/>
    <w:rsid w:val="00DF00F8"/>
    <w:rsid w:val="00DF3185"/>
    <w:rsid w:val="00DF3E42"/>
    <w:rsid w:val="00E24870"/>
    <w:rsid w:val="00E2557D"/>
    <w:rsid w:val="00E30635"/>
    <w:rsid w:val="00E320A8"/>
    <w:rsid w:val="00E42F5E"/>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059BD"/>
    <w:rsid w:val="00F12864"/>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384647903">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864662834">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1514</Words>
  <Characters>8630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10124</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2</cp:revision>
  <cp:lastPrinted>2011-06-01T15:50:00Z</cp:lastPrinted>
  <dcterms:created xsi:type="dcterms:W3CDTF">2015-07-14T11:08:00Z</dcterms:created>
  <dcterms:modified xsi:type="dcterms:W3CDTF">2015-07-14T11:08:00Z</dcterms:modified>
</cp:coreProperties>
</file>