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FAD" w:rsidRPr="00DD7564" w:rsidRDefault="005C7FAD" w:rsidP="00DD689C">
                            <w:pPr>
                              <w:rPr>
                                <w:rFonts w:ascii="Arial" w:hAnsi="Arial" w:cs="Arial"/>
                                <w:sz w:val="32"/>
                                <w:szCs w:val="32"/>
                              </w:rPr>
                            </w:pPr>
                            <w:r>
                              <w:rPr>
                                <w:rFonts w:ascii="Arial" w:hAnsi="Arial" w:cs="Arial"/>
                                <w:sz w:val="32"/>
                                <w:szCs w:val="32"/>
                              </w:rPr>
                              <w:t xml:space="preserve">Attachment </w:t>
                            </w:r>
                            <w:r w:rsidR="000F4090">
                              <w:rPr>
                                <w:rFonts w:ascii="Arial" w:hAnsi="Arial" w:cs="Arial"/>
                                <w:sz w:val="32"/>
                                <w:szCs w:val="32"/>
                              </w:rPr>
                              <w:t xml:space="preserve">  </w:t>
                            </w:r>
                            <w:r w:rsidR="003B48ED">
                              <w:rPr>
                                <w:rFonts w:ascii="Arial" w:hAnsi="Arial" w:cs="Arial"/>
                                <w:sz w:val="32"/>
                                <w:szCs w:val="32"/>
                              </w:rPr>
                              <w:t>6</w:t>
                            </w:r>
                          </w:p>
                          <w:p w:rsidR="005C7FAD" w:rsidRDefault="005C7FA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C7FAD" w:rsidRPr="00DD7564" w:rsidRDefault="005C7FAD" w:rsidP="00DD689C">
                      <w:pPr>
                        <w:rPr>
                          <w:rFonts w:ascii="Arial" w:hAnsi="Arial" w:cs="Arial"/>
                          <w:sz w:val="32"/>
                          <w:szCs w:val="32"/>
                        </w:rPr>
                      </w:pPr>
                      <w:r>
                        <w:rPr>
                          <w:rFonts w:ascii="Arial" w:hAnsi="Arial" w:cs="Arial"/>
                          <w:sz w:val="32"/>
                          <w:szCs w:val="32"/>
                        </w:rPr>
                        <w:t xml:space="preserve">Attachment </w:t>
                      </w:r>
                      <w:r w:rsidR="000F4090">
                        <w:rPr>
                          <w:rFonts w:ascii="Arial" w:hAnsi="Arial" w:cs="Arial"/>
                          <w:sz w:val="32"/>
                          <w:szCs w:val="32"/>
                        </w:rPr>
                        <w:t xml:space="preserve">  </w:t>
                      </w:r>
                      <w:r w:rsidR="003B48ED">
                        <w:rPr>
                          <w:rFonts w:ascii="Arial" w:hAnsi="Arial" w:cs="Arial"/>
                          <w:sz w:val="32"/>
                          <w:szCs w:val="32"/>
                        </w:rPr>
                        <w:t>6</w:t>
                      </w:r>
                    </w:p>
                    <w:p w:rsidR="005C7FAD" w:rsidRDefault="005C7FAD" w:rsidP="00DD689C">
                      <w:pPr>
                        <w:rPr>
                          <w:sz w:val="36"/>
                        </w:rPr>
                      </w:pPr>
                    </w:p>
                  </w:txbxContent>
                </v:textbox>
              </v:shape>
            </w:pict>
          </mc:Fallback>
        </mc:AlternateContent>
      </w:r>
      <w:r w:rsidR="000F4090">
        <w:rPr>
          <w:noProof/>
        </w:rPr>
        <w:t xml:space="preserve"> </w:t>
      </w:r>
    </w:p>
    <w:p w:rsidR="006A74AF" w:rsidRPr="006A74AF" w:rsidRDefault="007A1D3F" w:rsidP="007A1D3F">
      <w:pPr>
        <w:pStyle w:val="Header"/>
        <w:jc w:val="right"/>
        <w:rPr>
          <w:b/>
          <w:color w:val="365F91"/>
        </w:rPr>
      </w:pPr>
      <w:bookmarkStart w:id="0" w:name="_GoBack"/>
      <w:bookmarkEnd w:id="0"/>
      <w:r>
        <w:rPr>
          <w:b/>
          <w:noProof/>
          <w:color w:val="365F91"/>
        </w:rPr>
        <w:drawing>
          <wp:inline distT="0" distB="0" distL="0" distR="0">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Report to:</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E6A63" w:rsidP="00F059BD">
            <w:pPr>
              <w:rPr>
                <w:rFonts w:ascii="Arial" w:hAnsi="Arial" w:cs="Arial"/>
                <w:bCs/>
                <w:sz w:val="22"/>
                <w:szCs w:val="22"/>
              </w:rPr>
            </w:pPr>
            <w:r w:rsidRPr="001A5053">
              <w:rPr>
                <w:rFonts w:ascii="Arial" w:hAnsi="Arial" w:cs="Arial"/>
                <w:bCs/>
                <w:sz w:val="22"/>
                <w:szCs w:val="22"/>
              </w:rPr>
              <w:t xml:space="preserve">NEL </w:t>
            </w:r>
            <w:r w:rsidR="00F059BD" w:rsidRPr="001A5053">
              <w:rPr>
                <w:rFonts w:ascii="Arial" w:hAnsi="Arial" w:cs="Arial"/>
                <w:bCs/>
                <w:sz w:val="22"/>
                <w:szCs w:val="22"/>
              </w:rPr>
              <w:t xml:space="preserve">CCG Joint Co-Commissioning </w:t>
            </w:r>
            <w:r w:rsidR="009E3C5B" w:rsidRPr="001A5053">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Presented by:</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A467F0" w:rsidP="007A1D3F">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Date of Meeting:</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6B3C09" w:rsidP="00BC5CEC">
            <w:pPr>
              <w:rPr>
                <w:rFonts w:ascii="Arial" w:hAnsi="Arial" w:cs="Arial"/>
                <w:bCs/>
                <w:sz w:val="22"/>
                <w:szCs w:val="22"/>
              </w:rPr>
            </w:pPr>
            <w:r>
              <w:rPr>
                <w:rFonts w:ascii="Arial" w:hAnsi="Arial" w:cs="Arial"/>
                <w:bCs/>
                <w:sz w:val="22"/>
                <w:szCs w:val="22"/>
              </w:rPr>
              <w:t>29</w:t>
            </w:r>
            <w:r w:rsidRPr="006B3C09">
              <w:rPr>
                <w:rFonts w:ascii="Arial" w:hAnsi="Arial" w:cs="Arial"/>
                <w:bCs/>
                <w:sz w:val="22"/>
                <w:szCs w:val="22"/>
                <w:vertAlign w:val="superscript"/>
              </w:rPr>
              <w:t>th</w:t>
            </w:r>
            <w:r>
              <w:rPr>
                <w:rFonts w:ascii="Arial" w:hAnsi="Arial" w:cs="Arial"/>
                <w:bCs/>
                <w:sz w:val="22"/>
                <w:szCs w:val="22"/>
              </w:rPr>
              <w:t xml:space="preserve"> October</w:t>
            </w:r>
            <w:r w:rsidR="007A1D3F" w:rsidRPr="001A5053">
              <w:rPr>
                <w:rFonts w:ascii="Arial" w:hAnsi="Arial" w:cs="Arial"/>
                <w:bCs/>
                <w:sz w:val="22"/>
                <w:szCs w:val="22"/>
              </w:rPr>
              <w:t xml:space="preserve"> 2015</w:t>
            </w:r>
          </w:p>
        </w:tc>
      </w:tr>
      <w:tr w:rsidR="00DD689C" w:rsidRPr="00752FD6" w:rsidTr="00D7033C">
        <w:trPr>
          <w:trHeight w:val="438"/>
        </w:trPr>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Subject:</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D71436" w:rsidP="007A1D3F">
            <w:pPr>
              <w:rPr>
                <w:rFonts w:ascii="Arial" w:hAnsi="Arial" w:cs="Arial"/>
                <w:bCs/>
                <w:sz w:val="22"/>
                <w:szCs w:val="22"/>
              </w:rPr>
            </w:pPr>
            <w:r>
              <w:rPr>
                <w:rFonts w:ascii="Arial" w:hAnsi="Arial" w:cs="Arial"/>
                <w:bCs/>
                <w:sz w:val="22"/>
                <w:szCs w:val="22"/>
              </w:rPr>
              <w:t>Draft Scheme of Delegation – Co-Commissioning</w:t>
            </w:r>
          </w:p>
          <w:p w:rsidR="001A5053" w:rsidRPr="001A5053" w:rsidRDefault="001A5053" w:rsidP="007A1D3F">
            <w:pPr>
              <w:rPr>
                <w:rFonts w:ascii="Arial" w:hAnsi="Arial" w:cs="Arial"/>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Status:</w:t>
            </w:r>
          </w:p>
          <w:p w:rsidR="00DD689C" w:rsidRPr="001A5053" w:rsidRDefault="00DD689C" w:rsidP="00D26686">
            <w:pPr>
              <w:rPr>
                <w:rFonts w:ascii="Arial" w:hAnsi="Arial" w:cs="Arial"/>
                <w:b/>
                <w:bCs/>
                <w:sz w:val="22"/>
                <w:szCs w:val="22"/>
              </w:rPr>
            </w:pPr>
          </w:p>
        </w:tc>
        <w:bookmarkStart w:id="1" w:name="Check4"/>
        <w:tc>
          <w:tcPr>
            <w:tcW w:w="8003" w:type="dxa"/>
            <w:shd w:val="clear" w:color="auto" w:fill="auto"/>
          </w:tcPr>
          <w:p w:rsidR="00DD689C" w:rsidRPr="001A5053" w:rsidRDefault="00150AC3" w:rsidP="00752FD6">
            <w:pPr>
              <w:spacing w:before="60"/>
              <w:rPr>
                <w:rFonts w:ascii="Arial" w:hAnsi="Arial" w:cs="Arial"/>
                <w:sz w:val="22"/>
                <w:szCs w:val="22"/>
              </w:rPr>
            </w:pPr>
            <w:r w:rsidRPr="001A5053">
              <w:rPr>
                <w:rFonts w:ascii="Arial" w:hAnsi="Arial" w:cs="Arial"/>
                <w:sz w:val="22"/>
                <w:szCs w:val="22"/>
              </w:rPr>
              <w:fldChar w:fldCharType="begin">
                <w:ffData>
                  <w:name w:val="Check4"/>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bookmarkEnd w:id="1"/>
            <w:r w:rsidR="00DD689C" w:rsidRPr="001A5053">
              <w:rPr>
                <w:rFonts w:ascii="Arial" w:hAnsi="Arial" w:cs="Arial"/>
                <w:sz w:val="22"/>
                <w:szCs w:val="22"/>
              </w:rPr>
              <w:t xml:space="preserve"> OPEN</w:t>
            </w:r>
            <w:r w:rsidR="00DD689C" w:rsidRPr="001A5053">
              <w:rPr>
                <w:rFonts w:ascii="Arial" w:hAnsi="Arial" w:cs="Arial"/>
                <w:sz w:val="22"/>
                <w:szCs w:val="22"/>
              </w:rPr>
              <w:tab/>
              <w:t xml:space="preserve">           </w:t>
            </w:r>
            <w:r w:rsidR="00DD689C" w:rsidRPr="001A5053">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1A5053">
              <w:rPr>
                <w:rFonts w:ascii="Arial" w:hAnsi="Arial" w:cs="Arial"/>
                <w:sz w:val="22"/>
                <w:szCs w:val="22"/>
              </w:rPr>
              <w:instrText xml:space="preserve"> FORMCHECKBOX </w:instrText>
            </w:r>
            <w:r w:rsidR="00DD689C" w:rsidRPr="001A5053">
              <w:rPr>
                <w:rFonts w:ascii="Arial" w:hAnsi="Arial" w:cs="Arial"/>
                <w:sz w:val="22"/>
                <w:szCs w:val="22"/>
              </w:rPr>
            </w:r>
            <w:r w:rsidR="00DD689C" w:rsidRPr="001A5053">
              <w:rPr>
                <w:rFonts w:ascii="Arial" w:hAnsi="Arial" w:cs="Arial"/>
                <w:sz w:val="22"/>
                <w:szCs w:val="22"/>
              </w:rPr>
              <w:fldChar w:fldCharType="end"/>
            </w:r>
            <w:bookmarkEnd w:id="2"/>
            <w:r w:rsidR="00DD689C" w:rsidRPr="001A5053">
              <w:rPr>
                <w:rFonts w:ascii="Arial" w:hAnsi="Arial" w:cs="Arial"/>
                <w:sz w:val="22"/>
                <w:szCs w:val="22"/>
              </w:rPr>
              <w:t xml:space="preserve"> CLOSED</w:t>
            </w:r>
          </w:p>
        </w:tc>
      </w:tr>
      <w:tr w:rsidR="009E3C5B" w:rsidRPr="00752FD6" w:rsidTr="00D7033C">
        <w:tc>
          <w:tcPr>
            <w:tcW w:w="2028" w:type="dxa"/>
            <w:shd w:val="clear" w:color="auto" w:fill="auto"/>
          </w:tcPr>
          <w:p w:rsidR="009E3C5B" w:rsidRPr="001A5053" w:rsidRDefault="009E3C5B" w:rsidP="00D26686">
            <w:pPr>
              <w:rPr>
                <w:rFonts w:ascii="Arial" w:hAnsi="Arial" w:cs="Arial"/>
                <w:b/>
                <w:bCs/>
                <w:sz w:val="22"/>
                <w:szCs w:val="22"/>
              </w:rPr>
            </w:pPr>
          </w:p>
        </w:tc>
        <w:tc>
          <w:tcPr>
            <w:tcW w:w="8003" w:type="dxa"/>
            <w:shd w:val="clear" w:color="auto" w:fill="auto"/>
          </w:tcPr>
          <w:p w:rsidR="00D26686" w:rsidRPr="001A5053" w:rsidRDefault="00DE47E9" w:rsidP="00D26686">
            <w:pPr>
              <w:rPr>
                <w:rFonts w:ascii="Arial" w:hAnsi="Arial" w:cs="Arial"/>
                <w:sz w:val="22"/>
                <w:szCs w:val="22"/>
              </w:rPr>
            </w:pPr>
            <w:r w:rsidRPr="001A5053">
              <w:rPr>
                <w:rFonts w:ascii="Arial" w:hAnsi="Arial" w:cs="Arial"/>
                <w:sz w:val="22"/>
                <w:szCs w:val="22"/>
              </w:rPr>
              <w:fldChar w:fldCharType="begin">
                <w:ffData>
                  <w:name w:val=""/>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r w:rsidR="00D26686" w:rsidRPr="001A5053">
              <w:rPr>
                <w:rFonts w:ascii="Arial" w:hAnsi="Arial" w:cs="Arial"/>
                <w:sz w:val="22"/>
                <w:szCs w:val="22"/>
              </w:rPr>
              <w:t xml:space="preserve"> Complies with latest CCG Strategy for Primary Medical Services</w:t>
            </w:r>
            <w:r w:rsidR="007A1D3F" w:rsidRPr="001A5053">
              <w:rPr>
                <w:rFonts w:ascii="Arial" w:hAnsi="Arial" w:cs="Arial"/>
                <w:sz w:val="22"/>
                <w:szCs w:val="22"/>
              </w:rPr>
              <w:t xml:space="preserve">, if  not, </w:t>
            </w:r>
            <w:r w:rsidR="00D26686" w:rsidRPr="001A5053">
              <w:rPr>
                <w:rFonts w:ascii="Arial" w:hAnsi="Arial" w:cs="Arial"/>
                <w:sz w:val="22"/>
                <w:szCs w:val="22"/>
              </w:rPr>
              <w:t>please give a brief reason why:</w:t>
            </w:r>
          </w:p>
          <w:p w:rsidR="00D26686" w:rsidRPr="001A5053" w:rsidRDefault="00D26686" w:rsidP="00D26686">
            <w:pPr>
              <w:rPr>
                <w:rFonts w:ascii="Arial" w:hAnsi="Arial" w:cs="Arial"/>
                <w:bCs/>
                <w:sz w:val="22"/>
                <w:szCs w:val="22"/>
              </w:rPr>
            </w:pPr>
          </w:p>
          <w:p w:rsidR="009E3C5B" w:rsidRPr="001A5053"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Default="00D71436" w:rsidP="00D71436">
            <w:pPr>
              <w:jc w:val="both"/>
              <w:rPr>
                <w:rFonts w:ascii="Arial" w:hAnsi="Arial" w:cs="Arial"/>
                <w:bCs/>
                <w:sz w:val="22"/>
                <w:szCs w:val="22"/>
              </w:rPr>
            </w:pPr>
            <w:r>
              <w:rPr>
                <w:rFonts w:ascii="Arial" w:hAnsi="Arial" w:cs="Arial"/>
                <w:bCs/>
                <w:sz w:val="22"/>
                <w:szCs w:val="22"/>
              </w:rPr>
              <w:t>This report has been prepared to support a discussion amongst the members of the Joint Co-Commissioning Committee regarding a scheme of delegation for decisions on issues pertaining to general practice.</w:t>
            </w:r>
          </w:p>
          <w:p w:rsidR="00D71436" w:rsidRPr="00752FD6" w:rsidRDefault="00D71436" w:rsidP="00D71436">
            <w:pPr>
              <w:jc w:val="both"/>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6A74AF" w:rsidRDefault="006A74AF" w:rsidP="00B41D76">
            <w:pPr>
              <w:rPr>
                <w:rFonts w:ascii="Arial" w:hAnsi="Arial" w:cs="Arial"/>
                <w:bCs/>
                <w:sz w:val="22"/>
                <w:szCs w:val="22"/>
              </w:rPr>
            </w:pPr>
          </w:p>
          <w:p w:rsidR="0078458B" w:rsidRDefault="0078458B" w:rsidP="00B41D76">
            <w:pPr>
              <w:rPr>
                <w:rFonts w:ascii="Arial" w:hAnsi="Arial" w:cs="Arial"/>
                <w:bCs/>
                <w:sz w:val="22"/>
                <w:szCs w:val="22"/>
              </w:rPr>
            </w:pPr>
            <w:r>
              <w:rPr>
                <w:rFonts w:ascii="Arial" w:hAnsi="Arial" w:cs="Arial"/>
                <w:bCs/>
                <w:sz w:val="22"/>
                <w:szCs w:val="22"/>
              </w:rPr>
              <w:t>The draft scheme of delegation supports delivery of the primary care strategy.</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D71436" w:rsidRDefault="00D71436" w:rsidP="00585083">
            <w:pPr>
              <w:jc w:val="both"/>
              <w:rPr>
                <w:rFonts w:ascii="Arial" w:hAnsi="Arial" w:cs="Arial"/>
                <w:bCs/>
                <w:sz w:val="22"/>
                <w:szCs w:val="22"/>
              </w:rPr>
            </w:pPr>
            <w:r>
              <w:rPr>
                <w:rFonts w:ascii="Arial" w:hAnsi="Arial" w:cs="Arial"/>
                <w:bCs/>
                <w:sz w:val="22"/>
                <w:szCs w:val="22"/>
              </w:rPr>
              <w:t>As a joint Commissioning Committee there needs to be clarity on the remit of the Committee in terms of decision making, and who has the authority to make those decisions. The attached draft scheme of delegation sets out the range of potential decisions that will need to be taken and where the authority sits to make those decisions.</w:t>
            </w:r>
          </w:p>
          <w:p w:rsidR="00D71436" w:rsidRDefault="00D71436" w:rsidP="00585083">
            <w:pPr>
              <w:jc w:val="both"/>
              <w:rPr>
                <w:rFonts w:ascii="Arial" w:hAnsi="Arial" w:cs="Arial"/>
                <w:bCs/>
                <w:sz w:val="22"/>
                <w:szCs w:val="22"/>
              </w:rPr>
            </w:pPr>
          </w:p>
          <w:p w:rsidR="00D71436" w:rsidRDefault="00D71436" w:rsidP="00585083">
            <w:pPr>
              <w:jc w:val="both"/>
              <w:rPr>
                <w:rFonts w:ascii="Arial" w:hAnsi="Arial" w:cs="Arial"/>
                <w:bCs/>
                <w:sz w:val="22"/>
                <w:szCs w:val="22"/>
              </w:rPr>
            </w:pPr>
            <w:r>
              <w:rPr>
                <w:rFonts w:ascii="Arial" w:hAnsi="Arial" w:cs="Arial"/>
                <w:bCs/>
                <w:sz w:val="22"/>
                <w:szCs w:val="22"/>
              </w:rPr>
              <w:t>This has been produced as an initial draft for further discussion by the Committee, prior to producing a final version.</w:t>
            </w:r>
          </w:p>
          <w:p w:rsidR="00D71436" w:rsidRDefault="00D71436" w:rsidP="00585083">
            <w:pPr>
              <w:jc w:val="both"/>
              <w:rPr>
                <w:rFonts w:ascii="Arial" w:hAnsi="Arial" w:cs="Arial"/>
                <w:bCs/>
                <w:sz w:val="22"/>
                <w:szCs w:val="22"/>
              </w:rPr>
            </w:pPr>
          </w:p>
          <w:p w:rsidR="00A467F0" w:rsidRPr="00752FD6" w:rsidRDefault="00A467F0" w:rsidP="00D71436">
            <w:pPr>
              <w:jc w:val="both"/>
              <w:rPr>
                <w:rFonts w:ascii="Arial" w:hAnsi="Arial" w:cs="Arial"/>
                <w:bCs/>
                <w:sz w:val="22"/>
                <w:szCs w:val="22"/>
              </w:rPr>
            </w:pPr>
          </w:p>
        </w:tc>
      </w:tr>
    </w:tbl>
    <w:tbl>
      <w:tblPr>
        <w:tblpPr w:leftFromText="180" w:rightFromText="180" w:vertAnchor="text" w:horzAnchor="margin" w:tblpY="314"/>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A46E1F" w:rsidRPr="00752FD6" w:rsidTr="00A46E1F">
        <w:trPr>
          <w:trHeight w:val="567"/>
        </w:trPr>
        <w:tc>
          <w:tcPr>
            <w:tcW w:w="10031" w:type="dxa"/>
            <w:shd w:val="clear" w:color="auto" w:fill="auto"/>
          </w:tcPr>
          <w:p w:rsidR="00A46E1F" w:rsidRPr="00752FD6" w:rsidRDefault="00A46E1F" w:rsidP="00A46E1F">
            <w:pPr>
              <w:rPr>
                <w:rFonts w:ascii="Arial" w:hAnsi="Arial" w:cs="Arial"/>
                <w:b/>
                <w:bCs/>
                <w:sz w:val="22"/>
                <w:szCs w:val="22"/>
              </w:rPr>
            </w:pPr>
          </w:p>
          <w:p w:rsidR="00A46E1F" w:rsidRDefault="00A46E1F" w:rsidP="00A46E1F">
            <w:pPr>
              <w:rPr>
                <w:rFonts w:ascii="Arial" w:hAnsi="Arial" w:cs="Arial"/>
                <w:b/>
                <w:bCs/>
                <w:sz w:val="22"/>
                <w:szCs w:val="22"/>
              </w:rPr>
            </w:pPr>
            <w:r w:rsidRPr="00752FD6">
              <w:rPr>
                <w:rFonts w:ascii="Arial" w:hAnsi="Arial" w:cs="Arial"/>
                <w:b/>
                <w:bCs/>
                <w:sz w:val="22"/>
                <w:szCs w:val="22"/>
              </w:rPr>
              <w:t>RECOMMENDATIONS (R) AND ACTIONS (A) FOR AGREEMENT</w:t>
            </w:r>
            <w:r>
              <w:rPr>
                <w:rFonts w:ascii="Arial" w:hAnsi="Arial" w:cs="Arial"/>
                <w:b/>
                <w:bCs/>
                <w:sz w:val="22"/>
                <w:szCs w:val="22"/>
              </w:rPr>
              <w:t>:</w:t>
            </w:r>
          </w:p>
          <w:p w:rsidR="00A46E1F" w:rsidRDefault="00A46E1F" w:rsidP="00A46E1F">
            <w:pPr>
              <w:rPr>
                <w:rFonts w:ascii="Arial" w:hAnsi="Arial" w:cs="Arial"/>
                <w:b/>
                <w:bCs/>
                <w:sz w:val="22"/>
                <w:szCs w:val="22"/>
              </w:rPr>
            </w:pPr>
          </w:p>
          <w:p w:rsidR="00A467F0" w:rsidRPr="00BF62C4" w:rsidRDefault="00A467F0" w:rsidP="00D71436">
            <w:pPr>
              <w:rPr>
                <w:rFonts w:ascii="Arial" w:hAnsi="Arial" w:cs="Arial"/>
                <w:b/>
                <w:bCs/>
                <w:sz w:val="22"/>
                <w:szCs w:val="22"/>
              </w:rPr>
            </w:pPr>
            <w:r>
              <w:rPr>
                <w:rFonts w:ascii="Arial" w:hAnsi="Arial" w:cs="Arial"/>
                <w:b/>
                <w:bCs/>
                <w:sz w:val="22"/>
                <w:szCs w:val="22"/>
              </w:rPr>
              <w:lastRenderedPageBreak/>
              <w:t xml:space="preserve">The Joint Co-Commissioning Committee is asked to </w:t>
            </w:r>
            <w:r w:rsidR="00D71436">
              <w:rPr>
                <w:rFonts w:ascii="Arial" w:hAnsi="Arial" w:cs="Arial"/>
                <w:b/>
                <w:bCs/>
                <w:sz w:val="22"/>
                <w:szCs w:val="22"/>
              </w:rPr>
              <w:t xml:space="preserve">discuss the attached draft scheme of delegation and suggest any potential amendments, to support the preparation of a final version. </w:t>
            </w:r>
          </w:p>
        </w:tc>
      </w:tr>
    </w:tbl>
    <w:p w:rsidR="00A03A97" w:rsidRPr="009D14DD" w:rsidRDefault="00A03A97" w:rsidP="00DD689C">
      <w:pPr>
        <w:rPr>
          <w:rFonts w:ascii="Arial" w:hAnsi="Arial" w:cs="Arial"/>
          <w:b/>
          <w:sz w:val="22"/>
          <w:szCs w:val="22"/>
        </w:rPr>
      </w:pPr>
    </w:p>
    <w:tbl>
      <w:tblPr>
        <w:tblpPr w:leftFromText="180" w:rightFromText="180" w:vertAnchor="text" w:horzAnchor="margin" w:tblpY="2220"/>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540287" w:rsidRPr="00752FD6" w:rsidTr="00A46E1F">
        <w:trPr>
          <w:trHeight w:val="822"/>
          <w:tblHeader/>
        </w:trPr>
        <w:tc>
          <w:tcPr>
            <w:tcW w:w="568"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A46E1F">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p w:rsidR="006A74AF" w:rsidRDefault="006A74AF" w:rsidP="00A46E1F">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A46E1F">
            <w:pPr>
              <w:spacing w:before="80" w:after="80"/>
              <w:jc w:val="center"/>
              <w:rPr>
                <w:rFonts w:ascii="Arial" w:hAnsi="Arial" w:cs="Arial"/>
                <w:sz w:val="22"/>
                <w:szCs w:val="22"/>
              </w:rPr>
            </w:pP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A46E1F">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A467F0"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A46E1F">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3B48ED" w:rsidP="00A46E1F">
            <w:pPr>
              <w:spacing w:before="80" w:after="80"/>
              <w:rPr>
                <w:rFonts w:ascii="Arial" w:hAnsi="Arial" w:cs="Arial"/>
                <w:sz w:val="22"/>
                <w:szCs w:val="22"/>
              </w:rPr>
            </w:pPr>
            <w:hyperlink r:id="rId10"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A605C4" w:rsidRPr="00A605C4" w:rsidRDefault="00A605C4" w:rsidP="00A605C4">
      <w:pPr>
        <w:rPr>
          <w:rFonts w:asciiTheme="minorHAnsi" w:hAnsiTheme="minorHAnsi" w:cstheme="minorHAnsi"/>
          <w:b/>
          <w:sz w:val="28"/>
          <w:szCs w:val="28"/>
        </w:rPr>
      </w:pPr>
    </w:p>
    <w:sectPr w:rsidR="00A605C4" w:rsidRPr="00A605C4" w:rsidSect="00DD7564">
      <w:headerReference w:type="even" r:id="rId11"/>
      <w:headerReference w:type="default" r:id="rId12"/>
      <w:footerReference w:type="even" r:id="rId13"/>
      <w:footerReference w:type="default" r:id="rId14"/>
      <w:headerReference w:type="first" r:id="rId15"/>
      <w:footerReference w:type="first" r:id="rId16"/>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AD" w:rsidRDefault="005C7FAD">
      <w:r>
        <w:separator/>
      </w:r>
    </w:p>
  </w:endnote>
  <w:endnote w:type="continuationSeparator" w:id="0">
    <w:p w:rsidR="005C7FAD" w:rsidRDefault="005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AD" w:rsidRDefault="005C7FAD" w:rsidP="00DC3218">
    <w:pPr>
      <w:pStyle w:val="Footer"/>
      <w:jc w:val="right"/>
    </w:pPr>
    <w:r>
      <w:rPr>
        <w:noProof/>
      </w:rPr>
      <w:drawing>
        <wp:inline distT="0" distB="0" distL="0" distR="0" wp14:anchorId="26FC87BD" wp14:editId="40F0243E">
          <wp:extent cx="2658110" cy="353695"/>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7AB3C68" wp14:editId="5F395279">
          <wp:extent cx="1036320" cy="878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AD" w:rsidRDefault="005C7FAD">
      <w:r>
        <w:separator/>
      </w:r>
    </w:p>
  </w:footnote>
  <w:footnote w:type="continuationSeparator" w:id="0">
    <w:p w:rsidR="005C7FAD" w:rsidRDefault="005C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958"/>
    <w:multiLevelType w:val="hybridMultilevel"/>
    <w:tmpl w:val="F88C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7608D0"/>
    <w:multiLevelType w:val="hybridMultilevel"/>
    <w:tmpl w:val="7DF4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7F297F"/>
    <w:multiLevelType w:val="hybridMultilevel"/>
    <w:tmpl w:val="D0EA4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2">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3">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6">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
  </w:num>
  <w:num w:numId="4">
    <w:abstractNumId w:val="32"/>
  </w:num>
  <w:num w:numId="5">
    <w:abstractNumId w:val="23"/>
  </w:num>
  <w:num w:numId="6">
    <w:abstractNumId w:val="29"/>
  </w:num>
  <w:num w:numId="7">
    <w:abstractNumId w:val="4"/>
  </w:num>
  <w:num w:numId="8">
    <w:abstractNumId w:val="22"/>
  </w:num>
  <w:num w:numId="9">
    <w:abstractNumId w:val="25"/>
  </w:num>
  <w:num w:numId="10">
    <w:abstractNumId w:val="6"/>
  </w:num>
  <w:num w:numId="11">
    <w:abstractNumId w:val="12"/>
  </w:num>
  <w:num w:numId="12">
    <w:abstractNumId w:val="28"/>
  </w:num>
  <w:num w:numId="13">
    <w:abstractNumId w:val="18"/>
  </w:num>
  <w:num w:numId="14">
    <w:abstractNumId w:val="2"/>
  </w:num>
  <w:num w:numId="15">
    <w:abstractNumId w:val="21"/>
  </w:num>
  <w:num w:numId="16">
    <w:abstractNumId w:val="13"/>
  </w:num>
  <w:num w:numId="17">
    <w:abstractNumId w:val="24"/>
  </w:num>
  <w:num w:numId="18">
    <w:abstractNumId w:val="20"/>
  </w:num>
  <w:num w:numId="19">
    <w:abstractNumId w:val="30"/>
  </w:num>
  <w:num w:numId="20">
    <w:abstractNumId w:val="11"/>
  </w:num>
  <w:num w:numId="21">
    <w:abstractNumId w:val="9"/>
  </w:num>
  <w:num w:numId="22">
    <w:abstractNumId w:val="15"/>
  </w:num>
  <w:num w:numId="23">
    <w:abstractNumId w:val="5"/>
  </w:num>
  <w:num w:numId="24">
    <w:abstractNumId w:val="16"/>
  </w:num>
  <w:num w:numId="25">
    <w:abstractNumId w:val="33"/>
  </w:num>
  <w:num w:numId="26">
    <w:abstractNumId w:val="3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0"/>
  </w:num>
  <w:num w:numId="33">
    <w:abstractNumId w:val="8"/>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0F4090"/>
    <w:rsid w:val="00101E52"/>
    <w:rsid w:val="00105599"/>
    <w:rsid w:val="00105BD8"/>
    <w:rsid w:val="00112B21"/>
    <w:rsid w:val="001154A6"/>
    <w:rsid w:val="00120909"/>
    <w:rsid w:val="001209C1"/>
    <w:rsid w:val="00124B07"/>
    <w:rsid w:val="00132B3D"/>
    <w:rsid w:val="00136A3D"/>
    <w:rsid w:val="00146F56"/>
    <w:rsid w:val="00150AC3"/>
    <w:rsid w:val="0015293E"/>
    <w:rsid w:val="00157D2B"/>
    <w:rsid w:val="00175527"/>
    <w:rsid w:val="00176D4A"/>
    <w:rsid w:val="00180D44"/>
    <w:rsid w:val="00185707"/>
    <w:rsid w:val="00190670"/>
    <w:rsid w:val="00192CB4"/>
    <w:rsid w:val="00193741"/>
    <w:rsid w:val="00197B68"/>
    <w:rsid w:val="001A4E90"/>
    <w:rsid w:val="001A5053"/>
    <w:rsid w:val="001B3A86"/>
    <w:rsid w:val="001B6258"/>
    <w:rsid w:val="001D2A55"/>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54ED"/>
    <w:rsid w:val="002A3C39"/>
    <w:rsid w:val="002A3E34"/>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8602B"/>
    <w:rsid w:val="00386A41"/>
    <w:rsid w:val="00394F30"/>
    <w:rsid w:val="003A03CB"/>
    <w:rsid w:val="003B0A06"/>
    <w:rsid w:val="003B48ED"/>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3941"/>
    <w:rsid w:val="00464A6D"/>
    <w:rsid w:val="00466602"/>
    <w:rsid w:val="00470C33"/>
    <w:rsid w:val="004756D3"/>
    <w:rsid w:val="00477196"/>
    <w:rsid w:val="004822A5"/>
    <w:rsid w:val="00490D15"/>
    <w:rsid w:val="00494EE4"/>
    <w:rsid w:val="004958B6"/>
    <w:rsid w:val="004A5EE0"/>
    <w:rsid w:val="004A75B1"/>
    <w:rsid w:val="004B29A9"/>
    <w:rsid w:val="004B4F56"/>
    <w:rsid w:val="004C0EC8"/>
    <w:rsid w:val="004C5FA2"/>
    <w:rsid w:val="004C677C"/>
    <w:rsid w:val="004C6F5C"/>
    <w:rsid w:val="004D0321"/>
    <w:rsid w:val="004D7118"/>
    <w:rsid w:val="004D7487"/>
    <w:rsid w:val="004E1517"/>
    <w:rsid w:val="004E7A80"/>
    <w:rsid w:val="004F2E71"/>
    <w:rsid w:val="004F3209"/>
    <w:rsid w:val="004F64DF"/>
    <w:rsid w:val="005109BE"/>
    <w:rsid w:val="00517805"/>
    <w:rsid w:val="00517C3A"/>
    <w:rsid w:val="0052360E"/>
    <w:rsid w:val="00532C2C"/>
    <w:rsid w:val="00532EC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7FAD"/>
    <w:rsid w:val="005E01FA"/>
    <w:rsid w:val="005E4C50"/>
    <w:rsid w:val="005F0C84"/>
    <w:rsid w:val="005F11AA"/>
    <w:rsid w:val="005F195A"/>
    <w:rsid w:val="0060216B"/>
    <w:rsid w:val="00604967"/>
    <w:rsid w:val="00607C7F"/>
    <w:rsid w:val="006203A2"/>
    <w:rsid w:val="00623387"/>
    <w:rsid w:val="00625124"/>
    <w:rsid w:val="00635173"/>
    <w:rsid w:val="006468ED"/>
    <w:rsid w:val="006569A3"/>
    <w:rsid w:val="00657CC2"/>
    <w:rsid w:val="00664815"/>
    <w:rsid w:val="0067295A"/>
    <w:rsid w:val="00675C73"/>
    <w:rsid w:val="0068471B"/>
    <w:rsid w:val="0068496F"/>
    <w:rsid w:val="00691369"/>
    <w:rsid w:val="006919AB"/>
    <w:rsid w:val="0069645B"/>
    <w:rsid w:val="0069733F"/>
    <w:rsid w:val="006A2E19"/>
    <w:rsid w:val="006A74AF"/>
    <w:rsid w:val="006A788A"/>
    <w:rsid w:val="006A7D61"/>
    <w:rsid w:val="006B3C09"/>
    <w:rsid w:val="006B7C64"/>
    <w:rsid w:val="006C03B7"/>
    <w:rsid w:val="006C1DEF"/>
    <w:rsid w:val="006C5536"/>
    <w:rsid w:val="006D2FBF"/>
    <w:rsid w:val="006D4AE8"/>
    <w:rsid w:val="006D535E"/>
    <w:rsid w:val="006E2F1F"/>
    <w:rsid w:val="006F1162"/>
    <w:rsid w:val="006F45C7"/>
    <w:rsid w:val="006F5C8A"/>
    <w:rsid w:val="006F7B59"/>
    <w:rsid w:val="0070365F"/>
    <w:rsid w:val="00710714"/>
    <w:rsid w:val="00714C64"/>
    <w:rsid w:val="00716CAF"/>
    <w:rsid w:val="00730C39"/>
    <w:rsid w:val="0073457C"/>
    <w:rsid w:val="007351D1"/>
    <w:rsid w:val="00736E79"/>
    <w:rsid w:val="00740BB8"/>
    <w:rsid w:val="00752F56"/>
    <w:rsid w:val="00752FD6"/>
    <w:rsid w:val="007542CB"/>
    <w:rsid w:val="007556C3"/>
    <w:rsid w:val="007559C0"/>
    <w:rsid w:val="00765D56"/>
    <w:rsid w:val="007673BA"/>
    <w:rsid w:val="0077428E"/>
    <w:rsid w:val="00775657"/>
    <w:rsid w:val="00775E08"/>
    <w:rsid w:val="00777C4C"/>
    <w:rsid w:val="007818CA"/>
    <w:rsid w:val="0078458B"/>
    <w:rsid w:val="007927F8"/>
    <w:rsid w:val="007943EA"/>
    <w:rsid w:val="007A1CE6"/>
    <w:rsid w:val="007A1D3F"/>
    <w:rsid w:val="007A356A"/>
    <w:rsid w:val="007A4383"/>
    <w:rsid w:val="007A7384"/>
    <w:rsid w:val="007B20A8"/>
    <w:rsid w:val="007B2FB2"/>
    <w:rsid w:val="007C1372"/>
    <w:rsid w:val="007C7176"/>
    <w:rsid w:val="007D373C"/>
    <w:rsid w:val="007D696B"/>
    <w:rsid w:val="007E2B49"/>
    <w:rsid w:val="007E6A63"/>
    <w:rsid w:val="007F26DD"/>
    <w:rsid w:val="007F5413"/>
    <w:rsid w:val="00803AA5"/>
    <w:rsid w:val="008254CA"/>
    <w:rsid w:val="00830D29"/>
    <w:rsid w:val="00831338"/>
    <w:rsid w:val="00840F53"/>
    <w:rsid w:val="008412C1"/>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D76F0"/>
    <w:rsid w:val="008E204E"/>
    <w:rsid w:val="008E206C"/>
    <w:rsid w:val="008F140F"/>
    <w:rsid w:val="008F677B"/>
    <w:rsid w:val="00905151"/>
    <w:rsid w:val="00907378"/>
    <w:rsid w:val="009119AD"/>
    <w:rsid w:val="0091688E"/>
    <w:rsid w:val="00920543"/>
    <w:rsid w:val="00923556"/>
    <w:rsid w:val="009269E7"/>
    <w:rsid w:val="009306C6"/>
    <w:rsid w:val="00934782"/>
    <w:rsid w:val="00936BC2"/>
    <w:rsid w:val="0094097A"/>
    <w:rsid w:val="00946B7B"/>
    <w:rsid w:val="00960460"/>
    <w:rsid w:val="00961032"/>
    <w:rsid w:val="009615DA"/>
    <w:rsid w:val="009646FA"/>
    <w:rsid w:val="00975B74"/>
    <w:rsid w:val="009846C1"/>
    <w:rsid w:val="00995D16"/>
    <w:rsid w:val="009A0C1E"/>
    <w:rsid w:val="009B25F1"/>
    <w:rsid w:val="009B290B"/>
    <w:rsid w:val="009B32B5"/>
    <w:rsid w:val="009C33D4"/>
    <w:rsid w:val="009D14DD"/>
    <w:rsid w:val="009D4815"/>
    <w:rsid w:val="009E0D79"/>
    <w:rsid w:val="009E3C5B"/>
    <w:rsid w:val="009E7323"/>
    <w:rsid w:val="00A018C8"/>
    <w:rsid w:val="00A01B48"/>
    <w:rsid w:val="00A03A97"/>
    <w:rsid w:val="00A07A07"/>
    <w:rsid w:val="00A1183A"/>
    <w:rsid w:val="00A14275"/>
    <w:rsid w:val="00A17708"/>
    <w:rsid w:val="00A2083C"/>
    <w:rsid w:val="00A20848"/>
    <w:rsid w:val="00A31B98"/>
    <w:rsid w:val="00A35F42"/>
    <w:rsid w:val="00A40291"/>
    <w:rsid w:val="00A45733"/>
    <w:rsid w:val="00A45F00"/>
    <w:rsid w:val="00A467F0"/>
    <w:rsid w:val="00A46E1F"/>
    <w:rsid w:val="00A531CD"/>
    <w:rsid w:val="00A605C4"/>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627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18F1"/>
    <w:rsid w:val="00B847DA"/>
    <w:rsid w:val="00B8770E"/>
    <w:rsid w:val="00B90280"/>
    <w:rsid w:val="00B93457"/>
    <w:rsid w:val="00B961A5"/>
    <w:rsid w:val="00B97B0B"/>
    <w:rsid w:val="00BA763E"/>
    <w:rsid w:val="00BB2DA4"/>
    <w:rsid w:val="00BB4739"/>
    <w:rsid w:val="00BB5C36"/>
    <w:rsid w:val="00BB7DF9"/>
    <w:rsid w:val="00BC24D2"/>
    <w:rsid w:val="00BC27AF"/>
    <w:rsid w:val="00BC4508"/>
    <w:rsid w:val="00BC5CEC"/>
    <w:rsid w:val="00BC6D92"/>
    <w:rsid w:val="00BE2812"/>
    <w:rsid w:val="00BE6E0D"/>
    <w:rsid w:val="00BE7009"/>
    <w:rsid w:val="00BF4C1F"/>
    <w:rsid w:val="00BF62C4"/>
    <w:rsid w:val="00BF64D8"/>
    <w:rsid w:val="00C01BFB"/>
    <w:rsid w:val="00C053D3"/>
    <w:rsid w:val="00C0569D"/>
    <w:rsid w:val="00C07D8B"/>
    <w:rsid w:val="00C20949"/>
    <w:rsid w:val="00C211B2"/>
    <w:rsid w:val="00C523B4"/>
    <w:rsid w:val="00C52D50"/>
    <w:rsid w:val="00C628C9"/>
    <w:rsid w:val="00C703B6"/>
    <w:rsid w:val="00C734A2"/>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57BA2"/>
    <w:rsid w:val="00D655CC"/>
    <w:rsid w:val="00D6660C"/>
    <w:rsid w:val="00D7033C"/>
    <w:rsid w:val="00D71436"/>
    <w:rsid w:val="00D76A89"/>
    <w:rsid w:val="00D803BA"/>
    <w:rsid w:val="00D91037"/>
    <w:rsid w:val="00D921A3"/>
    <w:rsid w:val="00DA2D96"/>
    <w:rsid w:val="00DA584B"/>
    <w:rsid w:val="00DA6818"/>
    <w:rsid w:val="00DA75DE"/>
    <w:rsid w:val="00DC2203"/>
    <w:rsid w:val="00DC3218"/>
    <w:rsid w:val="00DC46DB"/>
    <w:rsid w:val="00DD1E33"/>
    <w:rsid w:val="00DD27F1"/>
    <w:rsid w:val="00DD3E42"/>
    <w:rsid w:val="00DD689C"/>
    <w:rsid w:val="00DD7564"/>
    <w:rsid w:val="00DE47E9"/>
    <w:rsid w:val="00DE6E0E"/>
    <w:rsid w:val="00DF00F8"/>
    <w:rsid w:val="00DF3185"/>
    <w:rsid w:val="00DF3E42"/>
    <w:rsid w:val="00E0729A"/>
    <w:rsid w:val="00E150F2"/>
    <w:rsid w:val="00E1783C"/>
    <w:rsid w:val="00E24870"/>
    <w:rsid w:val="00E2557D"/>
    <w:rsid w:val="00E30635"/>
    <w:rsid w:val="00E320A8"/>
    <w:rsid w:val="00E42F5E"/>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C2B"/>
    <w:rsid w:val="00F45C7E"/>
    <w:rsid w:val="00F50D5F"/>
    <w:rsid w:val="00F51B57"/>
    <w:rsid w:val="00F524C7"/>
    <w:rsid w:val="00F55731"/>
    <w:rsid w:val="00F55EFB"/>
    <w:rsid w:val="00F56366"/>
    <w:rsid w:val="00F6631C"/>
    <w:rsid w:val="00F768A3"/>
    <w:rsid w:val="00F76D98"/>
    <w:rsid w:val="00F8597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AB53-1EA1-4CB8-901D-A30A7F37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2082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Julie Wilson</cp:lastModifiedBy>
  <cp:revision>5</cp:revision>
  <cp:lastPrinted>2011-06-01T15:50:00Z</cp:lastPrinted>
  <dcterms:created xsi:type="dcterms:W3CDTF">2015-10-20T18:47:00Z</dcterms:created>
  <dcterms:modified xsi:type="dcterms:W3CDTF">2015-10-20T18:53:00Z</dcterms:modified>
</cp:coreProperties>
</file>