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61" w:rsidRDefault="004E1B61" w:rsidP="00B263FB">
      <w:pPr>
        <w:jc w:val="center"/>
        <w:rPr>
          <w:b/>
          <w:sz w:val="28"/>
        </w:rPr>
      </w:pPr>
      <w:bookmarkStart w:id="0" w:name="_GoBack"/>
      <w:bookmarkEnd w:id="0"/>
    </w:p>
    <w:p w:rsidR="00D51CF1" w:rsidRDefault="00D51CF1" w:rsidP="00B263FB">
      <w:pPr>
        <w:jc w:val="center"/>
        <w:rPr>
          <w:b/>
          <w:sz w:val="28"/>
        </w:rPr>
      </w:pPr>
    </w:p>
    <w:p w:rsidR="00D51CF1" w:rsidRDefault="00D51CF1" w:rsidP="00B263FB">
      <w:pPr>
        <w:jc w:val="center"/>
        <w:rPr>
          <w:b/>
          <w:sz w:val="28"/>
        </w:rPr>
      </w:pPr>
    </w:p>
    <w:p w:rsidR="00AE4CFF" w:rsidRPr="00B263FB" w:rsidRDefault="00E86E94" w:rsidP="00B263FB">
      <w:pPr>
        <w:jc w:val="center"/>
        <w:rPr>
          <w:b/>
          <w:sz w:val="28"/>
        </w:rPr>
      </w:pPr>
      <w:r w:rsidRPr="00B263FB">
        <w:rPr>
          <w:b/>
          <w:sz w:val="28"/>
        </w:rPr>
        <w:t xml:space="preserve">Supporting </w:t>
      </w:r>
      <w:r w:rsidR="00377DA9" w:rsidRPr="00B263FB">
        <w:rPr>
          <w:b/>
          <w:sz w:val="28"/>
        </w:rPr>
        <w:t>the s</w:t>
      </w:r>
      <w:r w:rsidR="003B579A" w:rsidRPr="00B263FB">
        <w:rPr>
          <w:b/>
          <w:sz w:val="28"/>
        </w:rPr>
        <w:t>ustainability of</w:t>
      </w:r>
      <w:r w:rsidRPr="00B263FB">
        <w:rPr>
          <w:b/>
          <w:sz w:val="28"/>
        </w:rPr>
        <w:t xml:space="preserve"> General Practice</w:t>
      </w:r>
      <w:r w:rsidR="00896CDC">
        <w:rPr>
          <w:b/>
          <w:sz w:val="28"/>
        </w:rPr>
        <w:t>: A guide for G</w:t>
      </w:r>
      <w:r w:rsidR="00B263FB">
        <w:rPr>
          <w:b/>
          <w:sz w:val="28"/>
        </w:rPr>
        <w:t xml:space="preserve">eneral </w:t>
      </w:r>
      <w:r w:rsidR="00896CDC">
        <w:rPr>
          <w:b/>
          <w:sz w:val="28"/>
        </w:rPr>
        <w:t>P</w:t>
      </w:r>
      <w:r w:rsidR="00B263FB">
        <w:rPr>
          <w:b/>
          <w:sz w:val="28"/>
        </w:rPr>
        <w:t>ractitioners</w:t>
      </w:r>
    </w:p>
    <w:p w:rsidR="007B4071" w:rsidRDefault="007B4071" w:rsidP="00AE4CFF">
      <w:pPr>
        <w:rPr>
          <w:b/>
          <w:sz w:val="24"/>
        </w:rPr>
      </w:pPr>
      <w:r>
        <w:rPr>
          <w:b/>
          <w:sz w:val="24"/>
        </w:rPr>
        <w:t>Introduction</w:t>
      </w:r>
    </w:p>
    <w:p w:rsidR="007B4071" w:rsidRPr="007B4071" w:rsidRDefault="00EB5FB4" w:rsidP="00AE4CFF">
      <w:r w:rsidRPr="00223E9E">
        <w:t xml:space="preserve">This document has been prepared for General Practitioners within the North East Lincolnshire area </w:t>
      </w:r>
      <w:r w:rsidR="00B72334" w:rsidRPr="00223E9E">
        <w:t xml:space="preserve">as a guide </w:t>
      </w:r>
      <w:r w:rsidR="00A4494D" w:rsidRPr="00223E9E">
        <w:t>to support</w:t>
      </w:r>
      <w:r w:rsidR="00B72334" w:rsidRPr="00223E9E">
        <w:t xml:space="preserve"> decisions regarding the </w:t>
      </w:r>
      <w:r w:rsidR="00B7469C" w:rsidRPr="00223E9E">
        <w:t xml:space="preserve">sustainability and future direction of </w:t>
      </w:r>
      <w:r w:rsidR="00B72334" w:rsidRPr="00223E9E">
        <w:t xml:space="preserve">their </w:t>
      </w:r>
      <w:r w:rsidR="00055E50" w:rsidRPr="00223E9E">
        <w:t>services</w:t>
      </w:r>
      <w:r w:rsidRPr="00223E9E">
        <w:t>.</w:t>
      </w:r>
      <w:r w:rsidR="00CB2D81" w:rsidRPr="00223E9E">
        <w:t xml:space="preserve"> </w:t>
      </w:r>
      <w:r w:rsidRPr="00223E9E">
        <w:t xml:space="preserve">It is intended to provide a </w:t>
      </w:r>
      <w:r w:rsidRPr="00223E9E">
        <w:rPr>
          <w:b/>
        </w:rPr>
        <w:t>set of principles</w:t>
      </w:r>
      <w:r w:rsidR="00CB2D81" w:rsidRPr="00223E9E">
        <w:rPr>
          <w:b/>
        </w:rPr>
        <w:t xml:space="preserve"> to support </w:t>
      </w:r>
      <w:r w:rsidR="00CB2D81" w:rsidRPr="00223E9E">
        <w:rPr>
          <w:b/>
          <w:u w:val="single"/>
        </w:rPr>
        <w:t>future</w:t>
      </w:r>
      <w:r w:rsidR="00CB2D81" w:rsidRPr="00223E9E">
        <w:rPr>
          <w:b/>
        </w:rPr>
        <w:t xml:space="preserve"> commissioning decisions</w:t>
      </w:r>
      <w:r w:rsidR="00CB2D81" w:rsidRPr="00223E9E">
        <w:t xml:space="preserve"> regarding changes within general practices</w:t>
      </w:r>
      <w:r w:rsidRPr="00223E9E">
        <w:t xml:space="preserve">, </w:t>
      </w:r>
      <w:r w:rsidR="00402DF9" w:rsidRPr="00223E9E">
        <w:t xml:space="preserve">primarily in relation to sustaining core services, </w:t>
      </w:r>
      <w:r w:rsidRPr="00223E9E">
        <w:t xml:space="preserve">and </w:t>
      </w:r>
      <w:r w:rsidR="00A4494D" w:rsidRPr="00223E9E">
        <w:t xml:space="preserve">to be </w:t>
      </w:r>
      <w:r w:rsidRPr="00223E9E">
        <w:t>a supportive resource</w:t>
      </w:r>
      <w:r w:rsidR="00CB2D81" w:rsidRPr="00223E9E">
        <w:t xml:space="preserve"> to local practices. It is i</w:t>
      </w:r>
      <w:r w:rsidRPr="00223E9E">
        <w:t xml:space="preserve">n no way intended to undermine the </w:t>
      </w:r>
      <w:r w:rsidR="00B72334" w:rsidRPr="00223E9E">
        <w:t xml:space="preserve">integrity of individual </w:t>
      </w:r>
      <w:r w:rsidRPr="00223E9E">
        <w:t>practices.</w:t>
      </w:r>
    </w:p>
    <w:p w:rsidR="00A4494D" w:rsidRDefault="00A4494D" w:rsidP="00A4494D">
      <w:pPr>
        <w:rPr>
          <w:b/>
          <w:sz w:val="24"/>
        </w:rPr>
      </w:pPr>
      <w:r>
        <w:rPr>
          <w:b/>
          <w:sz w:val="24"/>
        </w:rPr>
        <w:t>Context</w:t>
      </w:r>
    </w:p>
    <w:p w:rsidR="009E5121" w:rsidRDefault="00055E50" w:rsidP="0063274C">
      <w:r>
        <w:rPr>
          <w:sz w:val="24"/>
        </w:rPr>
        <w:t xml:space="preserve">We are all aware of the </w:t>
      </w:r>
      <w:r w:rsidR="003256D5">
        <w:rPr>
          <w:sz w:val="24"/>
        </w:rPr>
        <w:t xml:space="preserve">significant </w:t>
      </w:r>
      <w:r w:rsidR="006716B9">
        <w:rPr>
          <w:sz w:val="24"/>
        </w:rPr>
        <w:t xml:space="preserve">challenges </w:t>
      </w:r>
      <w:r>
        <w:rPr>
          <w:sz w:val="24"/>
        </w:rPr>
        <w:t xml:space="preserve">that the NHS is facing </w:t>
      </w:r>
      <w:r w:rsidR="006716B9">
        <w:rPr>
          <w:sz w:val="24"/>
        </w:rPr>
        <w:t>–</w:t>
      </w:r>
      <w:r>
        <w:rPr>
          <w:sz w:val="24"/>
        </w:rPr>
        <w:t xml:space="preserve"> </w:t>
      </w:r>
      <w:r w:rsidR="006716B9">
        <w:rPr>
          <w:sz w:val="24"/>
        </w:rPr>
        <w:t>rising demand</w:t>
      </w:r>
      <w:r>
        <w:rPr>
          <w:sz w:val="24"/>
        </w:rPr>
        <w:t xml:space="preserve"> and changes in patients’ health needs and preferences</w:t>
      </w:r>
      <w:r w:rsidR="006716B9">
        <w:rPr>
          <w:sz w:val="24"/>
        </w:rPr>
        <w:t xml:space="preserve">, </w:t>
      </w:r>
      <w:r>
        <w:rPr>
          <w:sz w:val="24"/>
        </w:rPr>
        <w:t>changes in treatments and technologies and changes in health services funding growth</w:t>
      </w:r>
      <w:r w:rsidR="006716B9">
        <w:rPr>
          <w:sz w:val="24"/>
        </w:rPr>
        <w:t>. General practice in particular</w:t>
      </w:r>
      <w:r w:rsidR="005619DE">
        <w:rPr>
          <w:sz w:val="24"/>
        </w:rPr>
        <w:t xml:space="preserve"> has to cope with</w:t>
      </w:r>
      <w:r w:rsidR="006716B9">
        <w:rPr>
          <w:sz w:val="24"/>
        </w:rPr>
        <w:t>:</w:t>
      </w:r>
    </w:p>
    <w:p w:rsidR="00C678D9" w:rsidRPr="00DE052B" w:rsidRDefault="00055E50" w:rsidP="00DE052B">
      <w:pPr>
        <w:pStyle w:val="ListParagraph"/>
        <w:numPr>
          <w:ilvl w:val="0"/>
          <w:numId w:val="5"/>
        </w:numPr>
        <w:spacing w:after="0"/>
      </w:pPr>
      <w:r w:rsidRPr="00DE052B">
        <w:t xml:space="preserve">Strategic direction </w:t>
      </w:r>
      <w:r w:rsidR="00C678D9" w:rsidRPr="00DE052B">
        <w:t xml:space="preserve">for more </w:t>
      </w:r>
      <w:r w:rsidR="007A56F1" w:rsidRPr="00DE052B">
        <w:t xml:space="preserve">services to be delivered </w:t>
      </w:r>
      <w:r w:rsidR="00C678D9" w:rsidRPr="00DE052B">
        <w:t xml:space="preserve">in </w:t>
      </w:r>
      <w:r w:rsidR="007A56F1" w:rsidRPr="00DE052B">
        <w:t>“</w:t>
      </w:r>
      <w:r w:rsidR="00C678D9" w:rsidRPr="00DE052B">
        <w:t>out of hospital</w:t>
      </w:r>
      <w:r w:rsidR="007A56F1" w:rsidRPr="00DE052B">
        <w:t>”</w:t>
      </w:r>
      <w:r w:rsidR="00C678D9" w:rsidRPr="00DE052B">
        <w:t xml:space="preserve"> settings</w:t>
      </w:r>
    </w:p>
    <w:p w:rsidR="00A61F85" w:rsidRPr="00DE052B" w:rsidRDefault="00AE4CFF" w:rsidP="00DE052B">
      <w:pPr>
        <w:pStyle w:val="ListParagraph"/>
        <w:numPr>
          <w:ilvl w:val="0"/>
          <w:numId w:val="5"/>
        </w:numPr>
        <w:spacing w:after="0"/>
      </w:pPr>
      <w:r w:rsidRPr="00DE052B">
        <w:t>F</w:t>
      </w:r>
      <w:r w:rsidR="00030E02" w:rsidRPr="00DE052B">
        <w:t xml:space="preserve">inancial resource constraints </w:t>
      </w:r>
      <w:r w:rsidR="00C678D9" w:rsidRPr="00DE052B">
        <w:t>due to changes to contractual arrangements and payments</w:t>
      </w:r>
    </w:p>
    <w:p w:rsidR="00DE052B" w:rsidRPr="00DE052B" w:rsidRDefault="00DE052B" w:rsidP="00DE052B">
      <w:pPr>
        <w:pStyle w:val="ListParagraph"/>
        <w:numPr>
          <w:ilvl w:val="0"/>
          <w:numId w:val="5"/>
        </w:numPr>
        <w:spacing w:after="0"/>
        <w:contextualSpacing w:val="0"/>
        <w:rPr>
          <w:rFonts w:ascii="Calibri" w:hAnsi="Calibri" w:cs="Calibri"/>
        </w:rPr>
      </w:pPr>
      <w:r w:rsidRPr="00DE052B">
        <w:rPr>
          <w:rFonts w:ascii="Calibri" w:hAnsi="Calibri" w:cs="Calibri"/>
        </w:rPr>
        <w:t>Requirement for GPs to engage in commissioning role, as constituent members of CCG</w:t>
      </w:r>
    </w:p>
    <w:p w:rsidR="00D539F8" w:rsidRPr="00DE052B" w:rsidRDefault="00AE4CFF" w:rsidP="00DE052B">
      <w:pPr>
        <w:pStyle w:val="ListParagraph"/>
        <w:numPr>
          <w:ilvl w:val="0"/>
          <w:numId w:val="5"/>
        </w:numPr>
        <w:spacing w:after="0"/>
      </w:pPr>
      <w:r w:rsidRPr="00DE052B">
        <w:t>I</w:t>
      </w:r>
      <w:r w:rsidR="00030E02" w:rsidRPr="00DE052B">
        <w:t xml:space="preserve">nequalities in access and quality of </w:t>
      </w:r>
      <w:r w:rsidR="007A56F1" w:rsidRPr="00DE052B">
        <w:t xml:space="preserve">current </w:t>
      </w:r>
      <w:r w:rsidR="00030E02" w:rsidRPr="00DE052B">
        <w:t>primary care</w:t>
      </w:r>
      <w:r w:rsidR="007A56F1" w:rsidRPr="00DE052B">
        <w:t xml:space="preserve"> provision</w:t>
      </w:r>
      <w:r w:rsidR="00A4494D" w:rsidRPr="00DE052B">
        <w:t xml:space="preserve"> – these </w:t>
      </w:r>
      <w:r w:rsidR="00D539F8" w:rsidRPr="00DE052B">
        <w:t xml:space="preserve">have been </w:t>
      </w:r>
      <w:r w:rsidR="00A4494D" w:rsidRPr="00DE052B">
        <w:t xml:space="preserve">highlighted within a recent report following an independent review by the local </w:t>
      </w:r>
      <w:proofErr w:type="spellStart"/>
      <w:r w:rsidR="00A4494D" w:rsidRPr="00DE052B">
        <w:t>Healthwatch</w:t>
      </w:r>
      <w:proofErr w:type="spellEnd"/>
      <w:r w:rsidR="00D539F8" w:rsidRPr="00DE052B">
        <w:t xml:space="preserve"> and by the results of a number of benchmarking and quality assessments </w:t>
      </w:r>
    </w:p>
    <w:p w:rsidR="00D539F8" w:rsidRPr="00DE052B" w:rsidRDefault="00D539F8" w:rsidP="00DE052B">
      <w:pPr>
        <w:pStyle w:val="ListParagraph"/>
        <w:numPr>
          <w:ilvl w:val="0"/>
          <w:numId w:val="5"/>
        </w:numPr>
        <w:spacing w:after="0"/>
      </w:pPr>
      <w:r w:rsidRPr="00DE052B">
        <w:t xml:space="preserve">New service models that require primary care to deliver services at much larger scale than most of our current individual practice lists   </w:t>
      </w:r>
    </w:p>
    <w:p w:rsidR="007A56F1" w:rsidRPr="00223E9E" w:rsidRDefault="007A56F1" w:rsidP="00DE052B">
      <w:pPr>
        <w:pStyle w:val="ListParagraph"/>
        <w:numPr>
          <w:ilvl w:val="0"/>
          <w:numId w:val="5"/>
        </w:numPr>
        <w:spacing w:after="0"/>
      </w:pPr>
      <w:r w:rsidRPr="00DE052B">
        <w:t xml:space="preserve">Requirement </w:t>
      </w:r>
      <w:r w:rsidR="00A4494D" w:rsidRPr="00DE052B">
        <w:t xml:space="preserve">for access to primary medical care </w:t>
      </w:r>
      <w:r w:rsidR="00402DF9">
        <w:t xml:space="preserve">7 days per </w:t>
      </w:r>
      <w:r w:rsidR="00402DF9" w:rsidRPr="00223E9E">
        <w:t>week</w:t>
      </w:r>
      <w:r w:rsidR="0013640C" w:rsidRPr="00223E9E">
        <w:t xml:space="preserve"> (government timescales state this should be in place across the country by 2020, but the CCG would be looking for ways to implement earlier, in line with service strategy)</w:t>
      </w:r>
    </w:p>
    <w:p w:rsidR="00A61F85" w:rsidRPr="00DE052B" w:rsidRDefault="00AE4CFF" w:rsidP="00DE052B">
      <w:pPr>
        <w:pStyle w:val="ListParagraph"/>
        <w:numPr>
          <w:ilvl w:val="0"/>
          <w:numId w:val="5"/>
        </w:numPr>
        <w:spacing w:after="0"/>
      </w:pPr>
      <w:r w:rsidRPr="00DE052B">
        <w:t>R</w:t>
      </w:r>
      <w:r w:rsidR="00030E02" w:rsidRPr="00DE052B">
        <w:t xml:space="preserve">ecruitment and retention </w:t>
      </w:r>
      <w:r w:rsidR="005619DE" w:rsidRPr="00DE052B">
        <w:t>challenges</w:t>
      </w:r>
    </w:p>
    <w:p w:rsidR="004F6AE6" w:rsidRPr="00DE052B" w:rsidRDefault="00AE4CFF" w:rsidP="00DE052B">
      <w:pPr>
        <w:pStyle w:val="ListParagraph"/>
        <w:numPr>
          <w:ilvl w:val="0"/>
          <w:numId w:val="5"/>
        </w:numPr>
        <w:spacing w:after="0"/>
      </w:pPr>
      <w:r w:rsidRPr="00DE052B">
        <w:t>N</w:t>
      </w:r>
      <w:r w:rsidR="00030E02" w:rsidRPr="00DE052B">
        <w:t>ew inspection regimes</w:t>
      </w:r>
    </w:p>
    <w:p w:rsidR="007B4071" w:rsidRDefault="007B4071" w:rsidP="007B4071">
      <w:pPr>
        <w:spacing w:after="0"/>
      </w:pPr>
    </w:p>
    <w:p w:rsidR="0075451C" w:rsidRDefault="005619DE" w:rsidP="00651A8B">
      <w:pPr>
        <w:spacing w:after="0"/>
      </w:pPr>
      <w:r>
        <w:t xml:space="preserve">The NHS Five Year Forward View </w:t>
      </w:r>
      <w:r w:rsidR="0075451C">
        <w:t xml:space="preserve">(FYFV) </w:t>
      </w:r>
      <w:r>
        <w:t xml:space="preserve">sets out how the NHS needs to change in order to respond to these challenges and </w:t>
      </w:r>
      <w:r w:rsidR="003256D5">
        <w:t xml:space="preserve">sets a </w:t>
      </w:r>
      <w:r>
        <w:t xml:space="preserve">clear direction of travel for </w:t>
      </w:r>
      <w:r w:rsidR="003256D5">
        <w:t xml:space="preserve">the introduction of </w:t>
      </w:r>
      <w:r>
        <w:t>alternative care models</w:t>
      </w:r>
      <w:r w:rsidR="003256D5">
        <w:t xml:space="preserve">. It is also very </w:t>
      </w:r>
      <w:r w:rsidR="003256D5">
        <w:lastRenderedPageBreak/>
        <w:t xml:space="preserve">clear that </w:t>
      </w:r>
      <w:r w:rsidR="0075451C">
        <w:t xml:space="preserve">list-based </w:t>
      </w:r>
      <w:r w:rsidR="003256D5">
        <w:t xml:space="preserve">primary care will remain </w:t>
      </w:r>
      <w:r w:rsidR="0075451C">
        <w:t xml:space="preserve">the foundation of the NHS, giving general practice an important and prominent role. For example, one of the proposed alternative models within the FYFV is a ‘Multispecialty Community Provider’ (MCP), combining GPs, nurses, other community health services, hospital specialists, mental health and social care. </w:t>
      </w:r>
    </w:p>
    <w:p w:rsidR="0075451C" w:rsidRDefault="0075451C" w:rsidP="00651A8B">
      <w:pPr>
        <w:spacing w:after="0"/>
      </w:pPr>
    </w:p>
    <w:p w:rsidR="0075451C" w:rsidRDefault="0075451C" w:rsidP="00651A8B">
      <w:pPr>
        <w:spacing w:after="0"/>
      </w:pPr>
      <w:r>
        <w:t xml:space="preserve">The local strategic direction aligns with the vision set out in FYFV and the local service strategy, although not strictly </w:t>
      </w:r>
      <w:r w:rsidR="0063274C">
        <w:t xml:space="preserve">the MCP </w:t>
      </w:r>
      <w:proofErr w:type="gramStart"/>
      <w:r w:rsidR="0063274C">
        <w:t>model,</w:t>
      </w:r>
      <w:proofErr w:type="gramEnd"/>
      <w:r w:rsidR="0063274C">
        <w:t xml:space="preserve"> will see more care delivered within community </w:t>
      </w:r>
      <w:r w:rsidR="0063274C" w:rsidRPr="00223E9E">
        <w:t>settings and</w:t>
      </w:r>
      <w:r w:rsidR="0063274C">
        <w:t xml:space="preserve"> better integration of care between the various sectors and organisations. </w:t>
      </w:r>
    </w:p>
    <w:p w:rsidR="0075451C" w:rsidRDefault="0075451C" w:rsidP="00651A8B">
      <w:pPr>
        <w:spacing w:after="0"/>
      </w:pPr>
    </w:p>
    <w:p w:rsidR="006716B9" w:rsidRDefault="0063274C" w:rsidP="00651A8B">
      <w:pPr>
        <w:spacing w:after="0"/>
      </w:pPr>
      <w:r>
        <w:t>In this context</w:t>
      </w:r>
      <w:r w:rsidRPr="00223E9E">
        <w:t xml:space="preserve">, </w:t>
      </w:r>
      <w:r w:rsidR="002F3C2C" w:rsidRPr="00223E9E">
        <w:t xml:space="preserve">some </w:t>
      </w:r>
      <w:r w:rsidR="00EB5FB4" w:rsidRPr="00223E9E">
        <w:t xml:space="preserve">practices </w:t>
      </w:r>
      <w:r w:rsidR="00402DF9" w:rsidRPr="00223E9E">
        <w:t xml:space="preserve">may </w:t>
      </w:r>
      <w:r w:rsidRPr="00223E9E">
        <w:t xml:space="preserve">need </w:t>
      </w:r>
      <w:r w:rsidR="00EB5FB4" w:rsidRPr="00223E9E">
        <w:t xml:space="preserve">to think differently about the way in which they deliver </w:t>
      </w:r>
      <w:r w:rsidR="00402DF9" w:rsidRPr="00223E9E">
        <w:t xml:space="preserve">core </w:t>
      </w:r>
      <w:r w:rsidR="00EB5FB4" w:rsidRPr="00223E9E">
        <w:t xml:space="preserve">services, and </w:t>
      </w:r>
      <w:r w:rsidR="00402DF9" w:rsidRPr="00223E9E">
        <w:t xml:space="preserve">also about </w:t>
      </w:r>
      <w:r w:rsidR="00EB5FB4" w:rsidRPr="00223E9E">
        <w:t xml:space="preserve">how they can work together to </w:t>
      </w:r>
      <w:r w:rsidR="009E5121" w:rsidRPr="00223E9E">
        <w:t xml:space="preserve">maximise access to service and </w:t>
      </w:r>
      <w:r w:rsidR="004031B7" w:rsidRPr="00223E9E">
        <w:t>improvements in quality of care</w:t>
      </w:r>
      <w:r w:rsidR="009E5121" w:rsidRPr="00223E9E">
        <w:t xml:space="preserve"> within the resources available.</w:t>
      </w:r>
      <w:r w:rsidR="00420554" w:rsidRPr="00223E9E">
        <w:t xml:space="preserve"> Whilst not all services would need to be planned and delivered ‘at scale’, t</w:t>
      </w:r>
      <w:r w:rsidR="006716B9" w:rsidRPr="00223E9E">
        <w:t xml:space="preserve">he CCG </w:t>
      </w:r>
      <w:r w:rsidR="00402DF9" w:rsidRPr="00223E9E">
        <w:t xml:space="preserve">recognises that the smaller a practice </w:t>
      </w:r>
      <w:r w:rsidR="00420554" w:rsidRPr="00223E9E">
        <w:t xml:space="preserve">is </w:t>
      </w:r>
      <w:r w:rsidR="00402DF9" w:rsidRPr="00223E9E">
        <w:t xml:space="preserve">the greater the challenge may be in terms of being able to sustain core services, as there is less flexibility and resilience to cope with changing demand and constrained resources. It </w:t>
      </w:r>
      <w:r w:rsidR="006716B9" w:rsidRPr="00223E9E">
        <w:t xml:space="preserve">would </w:t>
      </w:r>
      <w:r w:rsidRPr="00223E9E">
        <w:t xml:space="preserve">therefore </w:t>
      </w:r>
      <w:r w:rsidR="006716B9" w:rsidRPr="00223E9E">
        <w:t>encourage a move towards larger practice</w:t>
      </w:r>
      <w:r w:rsidRPr="00223E9E">
        <w:t>s</w:t>
      </w:r>
      <w:r w:rsidR="00603C5F" w:rsidRPr="00223E9E">
        <w:t xml:space="preserve"> </w:t>
      </w:r>
      <w:r w:rsidR="005E4BF4" w:rsidRPr="00223E9E">
        <w:t xml:space="preserve">in cases </w:t>
      </w:r>
      <w:r w:rsidR="00603C5F" w:rsidRPr="00223E9E">
        <w:t>where viability is threatened</w:t>
      </w:r>
      <w:r w:rsidR="00402DF9" w:rsidRPr="00223E9E">
        <w:t>, although ther</w:t>
      </w:r>
      <w:r w:rsidR="002F3C2C" w:rsidRPr="00223E9E">
        <w:t>e is no ‘one size fits all’ approach, nor any specified ideal size.</w:t>
      </w:r>
      <w:r w:rsidR="006716B9" w:rsidRPr="00223E9E">
        <w:t xml:space="preserve"> </w:t>
      </w:r>
      <w:r w:rsidR="00402DF9" w:rsidRPr="00223E9E">
        <w:t xml:space="preserve">In terms of being able to deliver enhanced services across larger footprints in line with the service </w:t>
      </w:r>
      <w:r w:rsidR="00402DF9" w:rsidRPr="0098532E">
        <w:t xml:space="preserve">strategy, </w:t>
      </w:r>
      <w:r w:rsidR="00B7469C" w:rsidRPr="0098532E">
        <w:t>the</w:t>
      </w:r>
      <w:r w:rsidR="00B7469C">
        <w:t xml:space="preserve"> </w:t>
      </w:r>
      <w:r w:rsidR="00402DF9">
        <w:t xml:space="preserve">future </w:t>
      </w:r>
      <w:r w:rsidR="00B7469C">
        <w:t xml:space="preserve">commissioning and payment arrangements will focus on collaborative arrangements across larger populations, in order to ensure they are deliverable within the resources available. North East Lincolnshire’s primary care estate provides an ideal </w:t>
      </w:r>
      <w:r w:rsidR="00F50038">
        <w:t>infrastructure</w:t>
      </w:r>
      <w:r w:rsidR="004B4F8B">
        <w:t xml:space="preserve"> </w:t>
      </w:r>
      <w:r w:rsidR="00B7469C">
        <w:t xml:space="preserve">for delivering care in this way. </w:t>
      </w:r>
    </w:p>
    <w:p w:rsidR="00EB5FB4" w:rsidRDefault="00EB5FB4" w:rsidP="00651A8B">
      <w:pPr>
        <w:spacing w:after="0"/>
      </w:pPr>
    </w:p>
    <w:p w:rsidR="00857CDA" w:rsidRDefault="009E5121" w:rsidP="00651A8B">
      <w:pPr>
        <w:spacing w:after="0"/>
      </w:pPr>
      <w:r>
        <w:t xml:space="preserve">The next section outlines a set of </w:t>
      </w:r>
      <w:r w:rsidR="00541E9C">
        <w:t xml:space="preserve">principles upon which </w:t>
      </w:r>
      <w:r w:rsidR="0063274C">
        <w:t xml:space="preserve">general practice should base their </w:t>
      </w:r>
      <w:r w:rsidR="00541E9C">
        <w:t xml:space="preserve">decisions </w:t>
      </w:r>
      <w:r w:rsidR="0063274C">
        <w:t xml:space="preserve">regarding any potential changes to current organisational arrangements, </w:t>
      </w:r>
      <w:r w:rsidR="00541E9C">
        <w:t xml:space="preserve">to ensure </w:t>
      </w:r>
      <w:r w:rsidR="0063274C">
        <w:t xml:space="preserve">viability of services and </w:t>
      </w:r>
      <w:r w:rsidR="00541E9C">
        <w:t>alignment of general practice provision with the strateg</w:t>
      </w:r>
      <w:r w:rsidR="00814E32">
        <w:t>i</w:t>
      </w:r>
      <w:r w:rsidR="0063274C">
        <w:t>c direction for local services. These will be used by NHS England and the CCG, who are currently working together on primary care commissioning (through our ‘Co-Commissioning’ arrangem</w:t>
      </w:r>
      <w:r w:rsidR="004B4F8B">
        <w:t>ents),</w:t>
      </w:r>
      <w:r w:rsidR="0063274C">
        <w:t xml:space="preserve"> to consider any applications for </w:t>
      </w:r>
      <w:r w:rsidR="00F50038">
        <w:t>variations to contract, or to make decisions about appropriate routes for procurement in the event of any notices to terminate contracts.</w:t>
      </w:r>
    </w:p>
    <w:p w:rsidR="00651A8B" w:rsidRDefault="00651A8B" w:rsidP="00651A8B">
      <w:pPr>
        <w:spacing w:after="0"/>
      </w:pPr>
    </w:p>
    <w:p w:rsidR="007B38FF" w:rsidRDefault="00541E9C">
      <w:pPr>
        <w:rPr>
          <w:b/>
          <w:sz w:val="24"/>
        </w:rPr>
      </w:pPr>
      <w:r w:rsidRPr="00541E9C">
        <w:rPr>
          <w:b/>
          <w:sz w:val="24"/>
        </w:rPr>
        <w:t>Principles</w:t>
      </w:r>
    </w:p>
    <w:p w:rsidR="00EB5FB4" w:rsidRPr="00541E9C" w:rsidRDefault="00EB5FB4">
      <w:pPr>
        <w:rPr>
          <w:b/>
          <w:sz w:val="24"/>
        </w:rPr>
      </w:pPr>
      <w:r>
        <w:t>The CCG and the constituent members clearly have a collective interest in protecting, maintaining and developing the quality of primary care services for the population of North East Lincolnshire</w:t>
      </w:r>
      <w:r w:rsidR="00134F00">
        <w:t xml:space="preserve">. Any proposals for </w:t>
      </w:r>
      <w:r w:rsidR="0079348C">
        <w:t>proposed changes to organisational arrangements should be based upon the following principles</w:t>
      </w:r>
      <w:r w:rsidR="009E5121">
        <w:t>:</w:t>
      </w:r>
    </w:p>
    <w:p w:rsidR="008D241F" w:rsidRDefault="00A4494D" w:rsidP="007B38FF">
      <w:pPr>
        <w:pStyle w:val="ListParagraph"/>
        <w:numPr>
          <w:ilvl w:val="0"/>
          <w:numId w:val="1"/>
        </w:numPr>
      </w:pPr>
      <w:r>
        <w:t xml:space="preserve">Continuity of access to high quality primary medical services for patients </w:t>
      </w:r>
      <w:r w:rsidR="007B38FF">
        <w:t xml:space="preserve">is </w:t>
      </w:r>
      <w:r w:rsidR="001138C6">
        <w:t xml:space="preserve">an absolute </w:t>
      </w:r>
      <w:r w:rsidR="00C45AD1">
        <w:t xml:space="preserve">and minimum </w:t>
      </w:r>
      <w:r w:rsidR="001138C6">
        <w:t xml:space="preserve">requirement, and </w:t>
      </w:r>
      <w:r w:rsidR="00C45AD1">
        <w:t xml:space="preserve">future </w:t>
      </w:r>
      <w:r w:rsidR="001138C6">
        <w:t xml:space="preserve">arrangements </w:t>
      </w:r>
      <w:r w:rsidR="00C45AD1">
        <w:t xml:space="preserve">that </w:t>
      </w:r>
      <w:r w:rsidR="001138C6">
        <w:t xml:space="preserve">enable </w:t>
      </w:r>
      <w:r w:rsidR="00C45AD1">
        <w:t xml:space="preserve">sustained </w:t>
      </w:r>
      <w:r w:rsidR="001138C6">
        <w:t xml:space="preserve">improvement to access and quality of care will be </w:t>
      </w:r>
      <w:r w:rsidR="007B38FF">
        <w:t>the first priority</w:t>
      </w:r>
    </w:p>
    <w:p w:rsidR="008D241F" w:rsidRDefault="008D241F" w:rsidP="007B38FF">
      <w:pPr>
        <w:pStyle w:val="ListParagraph"/>
        <w:numPr>
          <w:ilvl w:val="0"/>
          <w:numId w:val="1"/>
        </w:numPr>
      </w:pPr>
      <w:r>
        <w:lastRenderedPageBreak/>
        <w:t>Future arrangements should clearly demonstrate how the</w:t>
      </w:r>
      <w:r w:rsidR="00A4494D">
        <w:t xml:space="preserve"> change links to the CCG strategy and will </w:t>
      </w:r>
      <w:r>
        <w:t xml:space="preserve">deliver continuity </w:t>
      </w:r>
      <w:r w:rsidRPr="007B38FF">
        <w:rPr>
          <w:b/>
        </w:rPr>
        <w:t>and</w:t>
      </w:r>
      <w:r>
        <w:t xml:space="preserve"> </w:t>
      </w:r>
      <w:r w:rsidR="001138C6">
        <w:t xml:space="preserve">long term </w:t>
      </w:r>
      <w:r>
        <w:t>sustainability of service</w:t>
      </w:r>
      <w:r w:rsidR="001138C6">
        <w:t xml:space="preserve"> </w:t>
      </w:r>
      <w:r>
        <w:t xml:space="preserve"> </w:t>
      </w:r>
    </w:p>
    <w:p w:rsidR="008D241F" w:rsidRDefault="009D06A8" w:rsidP="007B38FF">
      <w:pPr>
        <w:pStyle w:val="ListParagraph"/>
        <w:numPr>
          <w:ilvl w:val="0"/>
          <w:numId w:val="1"/>
        </w:numPr>
      </w:pPr>
      <w:r>
        <w:t>Doctors considering</w:t>
      </w:r>
      <w:r w:rsidR="00AC2B20">
        <w:t xml:space="preserve"> </w:t>
      </w:r>
      <w:r w:rsidR="00AC2B20" w:rsidRPr="00223E9E">
        <w:t xml:space="preserve">retirement, particularly those who work alone, </w:t>
      </w:r>
      <w:r w:rsidR="008D241F" w:rsidRPr="00223E9E">
        <w:t xml:space="preserve">should always </w:t>
      </w:r>
      <w:r w:rsidR="00AC2B20" w:rsidRPr="00223E9E">
        <w:t xml:space="preserve">plan ahead to </w:t>
      </w:r>
      <w:r w:rsidR="008D241F" w:rsidRPr="00223E9E">
        <w:t>seek</w:t>
      </w:r>
      <w:r w:rsidR="008D241F">
        <w:t xml:space="preserve"> a solution that does not put in jeopardy </w:t>
      </w:r>
      <w:r w:rsidR="001138C6">
        <w:t xml:space="preserve">either </w:t>
      </w:r>
      <w:r w:rsidR="008D241F">
        <w:t xml:space="preserve">the </w:t>
      </w:r>
      <w:r w:rsidR="001138C6">
        <w:t xml:space="preserve">immediate or longer term </w:t>
      </w:r>
      <w:r w:rsidR="008D241F">
        <w:t xml:space="preserve">sustainability of the </w:t>
      </w:r>
      <w:r>
        <w:t>services being delivered</w:t>
      </w:r>
      <w:r w:rsidR="00B7469C">
        <w:t>,</w:t>
      </w:r>
      <w:r>
        <w:t xml:space="preserve"> </w:t>
      </w:r>
      <w:r w:rsidR="008D241F">
        <w:t xml:space="preserve"> </w:t>
      </w:r>
      <w:r w:rsidR="00973E24">
        <w:t>and are encouraged to take early advice regarding continuity of service to patients</w:t>
      </w:r>
    </w:p>
    <w:p w:rsidR="007B38FF" w:rsidRDefault="008D241F" w:rsidP="007B38FF">
      <w:pPr>
        <w:pStyle w:val="ListParagraph"/>
        <w:numPr>
          <w:ilvl w:val="0"/>
          <w:numId w:val="1"/>
        </w:numPr>
      </w:pPr>
      <w:r>
        <w:t xml:space="preserve">Potential solutions should demonstrate how the future arrangements will support </w:t>
      </w:r>
      <w:r w:rsidR="007B38FF">
        <w:t>collaboration with other Practices</w:t>
      </w:r>
      <w:r w:rsidR="0063274C">
        <w:t xml:space="preserve"> and/or other providers,</w:t>
      </w:r>
      <w:r w:rsidR="00940579">
        <w:t xml:space="preserve"> and ensure they are of a sufficient size and infrastructure to deliver </w:t>
      </w:r>
      <w:r w:rsidR="00EB5FB4">
        <w:t xml:space="preserve">in line with the </w:t>
      </w:r>
      <w:r w:rsidR="00973E24">
        <w:t xml:space="preserve">CCG </w:t>
      </w:r>
      <w:r w:rsidR="007B38FF">
        <w:t>strategy</w:t>
      </w:r>
    </w:p>
    <w:p w:rsidR="00134F00" w:rsidRDefault="0079348C" w:rsidP="007B38FF">
      <w:pPr>
        <w:pStyle w:val="ListParagraph"/>
        <w:numPr>
          <w:ilvl w:val="0"/>
          <w:numId w:val="1"/>
        </w:numPr>
      </w:pPr>
      <w:r>
        <w:t xml:space="preserve">Proposals should ensure the most effective and efficient use of existing </w:t>
      </w:r>
      <w:r w:rsidR="0030358C">
        <w:t xml:space="preserve">resources, including facilities, ideally delivering reductions in costs which </w:t>
      </w:r>
      <w:r w:rsidR="00B263FB">
        <w:t>can be</w:t>
      </w:r>
      <w:r w:rsidR="0030358C">
        <w:t xml:space="preserve"> reinvested into </w:t>
      </w:r>
      <w:r w:rsidR="00B263FB">
        <w:t xml:space="preserve">the delivery of </w:t>
      </w:r>
      <w:r w:rsidR="0030358C">
        <w:t xml:space="preserve">services </w:t>
      </w:r>
      <w:r w:rsidR="00B263FB">
        <w:t>in line with strategic direction</w:t>
      </w:r>
    </w:p>
    <w:p w:rsidR="0079348C" w:rsidRPr="00223E9E" w:rsidRDefault="0079348C" w:rsidP="007B38FF">
      <w:pPr>
        <w:pStyle w:val="ListParagraph"/>
        <w:numPr>
          <w:ilvl w:val="0"/>
          <w:numId w:val="1"/>
        </w:numPr>
      </w:pPr>
      <w:r>
        <w:t xml:space="preserve">Proposals should not include any elements that would increase </w:t>
      </w:r>
      <w:r w:rsidRPr="00223E9E">
        <w:t xml:space="preserve">the cost of existing </w:t>
      </w:r>
      <w:r w:rsidR="002F3C2C" w:rsidRPr="00223E9E">
        <w:t xml:space="preserve">general practice </w:t>
      </w:r>
      <w:r w:rsidRPr="00223E9E">
        <w:t>provision for commissioners</w:t>
      </w:r>
      <w:r w:rsidR="002F3C2C" w:rsidRPr="00223E9E">
        <w:t xml:space="preserve"> (except in the case where Practices are reorganising in order to take on enhanced work, over and above core, as a result of service strategy. In these cases, the costs of provision within general practice may increase, but would still be less than, and not exceed, the CCG’s overall commissioning envelope for the service/care area that has shifted across into primary care).</w:t>
      </w:r>
    </w:p>
    <w:p w:rsidR="002C329E" w:rsidRPr="002C329E" w:rsidRDefault="002C329E" w:rsidP="002C329E">
      <w:pPr>
        <w:rPr>
          <w:b/>
        </w:rPr>
      </w:pPr>
      <w:r w:rsidRPr="002C329E">
        <w:rPr>
          <w:b/>
        </w:rPr>
        <w:t>Alternative Workforce Models</w:t>
      </w:r>
    </w:p>
    <w:p w:rsidR="00B7469C" w:rsidRDefault="002C329E" w:rsidP="00541E9C">
      <w:pPr>
        <w:spacing w:after="0"/>
      </w:pPr>
      <w:r>
        <w:t>A number of new roles within general practice are being explored, for example Physician Associates and Clinical Pharmacists as part of the core team, and are increasingly being supported by the local Medical Schools and other bodies. Practices are encouraged to consider how such roles could support their capacity and ability to continue to deliver high quality care, and to seek support and further advice from the sources listed below.</w:t>
      </w:r>
    </w:p>
    <w:p w:rsidR="002C329E" w:rsidRPr="002C329E" w:rsidRDefault="002C329E" w:rsidP="00541E9C">
      <w:pPr>
        <w:spacing w:after="0"/>
      </w:pPr>
    </w:p>
    <w:p w:rsidR="004E1B61" w:rsidRDefault="004E1B61" w:rsidP="00541E9C">
      <w:pPr>
        <w:spacing w:after="0"/>
        <w:rPr>
          <w:b/>
        </w:rPr>
      </w:pPr>
    </w:p>
    <w:p w:rsidR="00F50038" w:rsidRPr="00F50038" w:rsidRDefault="00655F0A" w:rsidP="00541E9C">
      <w:pPr>
        <w:spacing w:after="0"/>
        <w:rPr>
          <w:b/>
        </w:rPr>
      </w:pPr>
      <w:r>
        <w:rPr>
          <w:b/>
        </w:rPr>
        <w:t>S</w:t>
      </w:r>
      <w:r w:rsidR="00B7469C">
        <w:rPr>
          <w:b/>
        </w:rPr>
        <w:t xml:space="preserve">ources of support </w:t>
      </w:r>
    </w:p>
    <w:p w:rsidR="00F50038" w:rsidRDefault="00F50038" w:rsidP="00541E9C">
      <w:pPr>
        <w:spacing w:after="0"/>
      </w:pPr>
    </w:p>
    <w:p w:rsidR="009E5121" w:rsidRDefault="0063274C" w:rsidP="00B263FB">
      <w:pPr>
        <w:spacing w:after="0"/>
      </w:pPr>
      <w:r>
        <w:t xml:space="preserve">Practices </w:t>
      </w:r>
      <w:r w:rsidR="00F50038">
        <w:t xml:space="preserve">that find themselves in </w:t>
      </w:r>
      <w:r w:rsidR="00B7469C">
        <w:t xml:space="preserve">the </w:t>
      </w:r>
      <w:r w:rsidR="00F50038">
        <w:t xml:space="preserve">position </w:t>
      </w:r>
      <w:r w:rsidR="00B7469C">
        <w:t xml:space="preserve">of reviewing their arrangements in order to continue to deliver high quality care and meet service requirements </w:t>
      </w:r>
      <w:r w:rsidR="00B263FB">
        <w:t>should seek early confidential advice regarding the most appropriate solution. A</w:t>
      </w:r>
      <w:r w:rsidR="009E5121">
        <w:t xml:space="preserve"> range of sources of support </w:t>
      </w:r>
      <w:r w:rsidR="00B263FB">
        <w:t xml:space="preserve">are available, </w:t>
      </w:r>
      <w:r w:rsidR="009E5121">
        <w:t xml:space="preserve">including: </w:t>
      </w:r>
    </w:p>
    <w:p w:rsidR="00B263FB" w:rsidRPr="009E5121" w:rsidRDefault="00B263FB" w:rsidP="00B263FB">
      <w:pPr>
        <w:spacing w:after="0"/>
      </w:pPr>
    </w:p>
    <w:p w:rsidR="006716B9" w:rsidRDefault="00B7469C" w:rsidP="006716B9">
      <w:pPr>
        <w:pStyle w:val="ListParagraph"/>
        <w:numPr>
          <w:ilvl w:val="0"/>
          <w:numId w:val="6"/>
        </w:numPr>
      </w:pPr>
      <w:r>
        <w:t xml:space="preserve">Humberside </w:t>
      </w:r>
      <w:r w:rsidR="006716B9">
        <w:t>LMC</w:t>
      </w:r>
      <w:r>
        <w:t xml:space="preserve"> (</w:t>
      </w:r>
      <w:hyperlink r:id="rId8" w:history="1">
        <w:r w:rsidRPr="0009003F">
          <w:rPr>
            <w:rStyle w:val="Hyperlink"/>
          </w:rPr>
          <w:t>humberside.lmcgroup@nhs.net</w:t>
        </w:r>
      </w:hyperlink>
      <w:r>
        <w:t xml:space="preserve">) </w:t>
      </w:r>
    </w:p>
    <w:p w:rsidR="009E5121" w:rsidRDefault="009E5121" w:rsidP="00B7469C">
      <w:pPr>
        <w:pStyle w:val="ListParagraph"/>
        <w:numPr>
          <w:ilvl w:val="0"/>
          <w:numId w:val="6"/>
        </w:numPr>
      </w:pPr>
      <w:proofErr w:type="spellStart"/>
      <w:r>
        <w:t>Lincs</w:t>
      </w:r>
      <w:proofErr w:type="spellEnd"/>
      <w:r>
        <w:t xml:space="preserve"> GP Federation</w:t>
      </w:r>
      <w:r w:rsidR="00B7469C">
        <w:t xml:space="preserve"> (</w:t>
      </w:r>
      <w:hyperlink r:id="rId9" w:history="1">
        <w:r w:rsidR="00B7469C" w:rsidRPr="0009003F">
          <w:rPr>
            <w:rStyle w:val="Hyperlink"/>
          </w:rPr>
          <w:t>sjwsolutionsinp@gmail.com</w:t>
        </w:r>
      </w:hyperlink>
      <w:r w:rsidR="00B7469C">
        <w:t xml:space="preserve">) </w:t>
      </w:r>
    </w:p>
    <w:p w:rsidR="00541E9C" w:rsidRDefault="00541E9C" w:rsidP="00814E32">
      <w:pPr>
        <w:pStyle w:val="ListParagraph"/>
        <w:numPr>
          <w:ilvl w:val="0"/>
          <w:numId w:val="6"/>
        </w:numPr>
      </w:pPr>
      <w:r>
        <w:t>CCG primary care support staff</w:t>
      </w:r>
      <w:r w:rsidR="00B7469C">
        <w:t xml:space="preserve"> (</w:t>
      </w:r>
      <w:hyperlink r:id="rId10" w:history="1">
        <w:r w:rsidR="004B2CE4" w:rsidRPr="0009003F">
          <w:rPr>
            <w:rStyle w:val="Hyperlink"/>
          </w:rPr>
          <w:t>julie.wilson25@nhs.net</w:t>
        </w:r>
      </w:hyperlink>
      <w:r w:rsidR="004B2CE4">
        <w:t xml:space="preserve">, </w:t>
      </w:r>
      <w:hyperlink r:id="rId11" w:history="1">
        <w:r w:rsidR="0098532E" w:rsidRPr="001C15F2">
          <w:rPr>
            <w:rStyle w:val="Hyperlink"/>
          </w:rPr>
          <w:t>eddie.mccabe@nhs.net</w:t>
        </w:r>
      </w:hyperlink>
      <w:r w:rsidR="004B2CE4">
        <w:t xml:space="preserve">) </w:t>
      </w:r>
    </w:p>
    <w:p w:rsidR="00814E32" w:rsidRDefault="00541E9C" w:rsidP="007B38FF">
      <w:pPr>
        <w:pStyle w:val="ListParagraph"/>
        <w:numPr>
          <w:ilvl w:val="0"/>
          <w:numId w:val="6"/>
        </w:numPr>
      </w:pPr>
      <w:r>
        <w:t>NHS England primary care team</w:t>
      </w:r>
      <w:r w:rsidR="00B7469C">
        <w:t xml:space="preserve"> (</w:t>
      </w:r>
      <w:hyperlink r:id="rId12" w:history="1">
        <w:r w:rsidR="00B7469C" w:rsidRPr="0009003F">
          <w:rPr>
            <w:rStyle w:val="Hyperlink"/>
          </w:rPr>
          <w:t>chris.clarke3@nhs.net</w:t>
        </w:r>
      </w:hyperlink>
      <w:r w:rsidR="00B7469C">
        <w:t xml:space="preserve">, </w:t>
      </w:r>
      <w:hyperlink r:id="rId13" w:history="1">
        <w:r w:rsidR="00B7469C" w:rsidRPr="0009003F">
          <w:rPr>
            <w:rStyle w:val="Hyperlink"/>
          </w:rPr>
          <w:t>geoff.day@nhs.net</w:t>
        </w:r>
      </w:hyperlink>
      <w:r w:rsidR="00B7469C">
        <w:t xml:space="preserve">) </w:t>
      </w:r>
    </w:p>
    <w:sectPr w:rsidR="00814E32" w:rsidSect="00F50038">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B3" w:rsidRDefault="000137B3" w:rsidP="007B38FF">
      <w:pPr>
        <w:spacing w:after="0" w:line="240" w:lineRule="auto"/>
      </w:pPr>
      <w:r>
        <w:separator/>
      </w:r>
    </w:p>
  </w:endnote>
  <w:endnote w:type="continuationSeparator" w:id="0">
    <w:p w:rsidR="000137B3" w:rsidRDefault="000137B3" w:rsidP="007B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1C" w:rsidRDefault="0002261C">
    <w:pPr>
      <w:pStyle w:val="Footer"/>
      <w:rPr>
        <w:i/>
        <w:sz w:val="18"/>
      </w:rPr>
    </w:pPr>
  </w:p>
  <w:p w:rsidR="0002261C" w:rsidRPr="00ED58B0" w:rsidRDefault="0002261C">
    <w:pPr>
      <w:pStyle w:val="Footer"/>
      <w:rPr>
        <w:i/>
        <w:sz w:val="18"/>
      </w:rPr>
    </w:pPr>
    <w:r w:rsidRPr="00ED58B0">
      <w:rPr>
        <w:i/>
        <w:sz w:val="18"/>
      </w:rPr>
      <w:t>Produced by NHS North East Lincolnshire CCG in conjunction with Humberside LMC and NHS England North (Yorkshire and the Humber)</w:t>
    </w:r>
  </w:p>
  <w:p w:rsidR="0002261C" w:rsidRPr="00ED58B0" w:rsidRDefault="0002261C">
    <w:pPr>
      <w:pStyle w:val="Footer"/>
      <w:rPr>
        <w:i/>
        <w:sz w:val="18"/>
      </w:rPr>
    </w:pPr>
    <w:r>
      <w:rPr>
        <w:i/>
        <w:sz w:val="18"/>
      </w:rPr>
      <w:t>October</w:t>
    </w:r>
    <w:r w:rsidRPr="00ED58B0">
      <w:rPr>
        <w:i/>
        <w:sz w:val="18"/>
      </w:rPr>
      <w:t xml:space="preserve"> 2015</w:t>
    </w:r>
  </w:p>
  <w:p w:rsidR="0002261C" w:rsidRDefault="0002261C" w:rsidP="00E86E9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B3" w:rsidRDefault="000137B3" w:rsidP="007B38FF">
      <w:pPr>
        <w:spacing w:after="0" w:line="240" w:lineRule="auto"/>
      </w:pPr>
      <w:r>
        <w:separator/>
      </w:r>
    </w:p>
  </w:footnote>
  <w:footnote w:type="continuationSeparator" w:id="0">
    <w:p w:rsidR="000137B3" w:rsidRDefault="000137B3" w:rsidP="007B3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1C" w:rsidRDefault="008269E8" w:rsidP="008269E8">
    <w:pPr>
      <w:pStyle w:val="Header"/>
      <w:jc w:val="center"/>
    </w:pPr>
    <w:r>
      <w:t xml:space="preserve">         </w:t>
    </w:r>
    <w:r w:rsidR="00D51CF1">
      <w:rPr>
        <w:noProof/>
        <w:lang w:eastAsia="en-GB"/>
      </w:rPr>
      <w:drawing>
        <wp:inline distT="0" distB="0" distL="0" distR="0" wp14:anchorId="445FE39B" wp14:editId="2DAB88AD">
          <wp:extent cx="914400" cy="571500"/>
          <wp:effectExtent l="0" t="0" r="0" b="0"/>
          <wp:docPr id="3" name="Picture 3" descr="NHS England col"/>
          <wp:cNvGraphicFramePr/>
          <a:graphic xmlns:a="http://schemas.openxmlformats.org/drawingml/2006/main">
            <a:graphicData uri="http://schemas.openxmlformats.org/drawingml/2006/picture">
              <pic:pic xmlns:pic="http://schemas.openxmlformats.org/drawingml/2006/picture">
                <pic:nvPicPr>
                  <pic:cNvPr id="1" name="Picture 1" descr="NHS England co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inline>
      </w:drawing>
    </w:r>
    <w:r>
      <w:t xml:space="preserve">                                                                             </w:t>
    </w:r>
    <w:r w:rsidR="0002261C">
      <w:rPr>
        <w:noProof/>
        <w:lang w:eastAsia="en-GB"/>
      </w:rPr>
      <w:drawing>
        <wp:inline distT="0" distB="0" distL="0" distR="0">
          <wp:extent cx="2523744" cy="652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CCGC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7663" cy="653143"/>
                  </a:xfrm>
                  <a:prstGeom prst="rect">
                    <a:avLst/>
                  </a:prstGeom>
                </pic:spPr>
              </pic:pic>
            </a:graphicData>
          </a:graphic>
        </wp:inline>
      </w:drawing>
    </w:r>
  </w:p>
  <w:p w:rsidR="00D51CF1" w:rsidRDefault="00D51CF1" w:rsidP="008269E8">
    <w:pPr>
      <w:pStyle w:val="Header"/>
      <w:jc w:val="center"/>
    </w:pPr>
  </w:p>
  <w:p w:rsidR="00D51CF1" w:rsidRDefault="00D51CF1" w:rsidP="008269E8">
    <w:pPr>
      <w:pStyle w:val="Header"/>
      <w:jc w:val="center"/>
    </w:pPr>
  </w:p>
  <w:p w:rsidR="00D51CF1" w:rsidRDefault="00D51CF1" w:rsidP="008269E8">
    <w:pPr>
      <w:pStyle w:val="Header"/>
      <w:jc w:val="center"/>
    </w:pPr>
  </w:p>
  <w:p w:rsidR="00D51CF1" w:rsidRDefault="00D51CF1" w:rsidP="008269E8">
    <w:pPr>
      <w:pStyle w:val="Header"/>
      <w:jc w:val="center"/>
    </w:pPr>
    <w:r>
      <w:rPr>
        <w:b/>
        <w:noProof/>
        <w:sz w:val="28"/>
        <w:lang w:eastAsia="en-GB"/>
      </w:rPr>
      <w:drawing>
        <wp:inline distT="0" distB="0" distL="0" distR="0" wp14:anchorId="43A90023" wp14:editId="457724B1">
          <wp:extent cx="4623206" cy="541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23232"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958"/>
    <w:multiLevelType w:val="hybridMultilevel"/>
    <w:tmpl w:val="F88CA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7608D0"/>
    <w:multiLevelType w:val="hybridMultilevel"/>
    <w:tmpl w:val="9A6A8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7F297F"/>
    <w:multiLevelType w:val="hybridMultilevel"/>
    <w:tmpl w:val="D0EA4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F75F55"/>
    <w:multiLevelType w:val="hybridMultilevel"/>
    <w:tmpl w:val="08761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7CA7507"/>
    <w:multiLevelType w:val="hybridMultilevel"/>
    <w:tmpl w:val="B8CC0A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FA719BB"/>
    <w:multiLevelType w:val="hybridMultilevel"/>
    <w:tmpl w:val="A59E1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6225685"/>
    <w:multiLevelType w:val="hybridMultilevel"/>
    <w:tmpl w:val="F7C848CC"/>
    <w:lvl w:ilvl="0" w:tplc="3C4CB5BC">
      <w:start w:val="1"/>
      <w:numFmt w:val="bullet"/>
      <w:lvlText w:val="•"/>
      <w:lvlJc w:val="left"/>
      <w:pPr>
        <w:tabs>
          <w:tab w:val="num" w:pos="720"/>
        </w:tabs>
        <w:ind w:left="720" w:hanging="360"/>
      </w:pPr>
      <w:rPr>
        <w:rFonts w:ascii="Arial" w:hAnsi="Arial" w:hint="default"/>
      </w:rPr>
    </w:lvl>
    <w:lvl w:ilvl="1" w:tplc="8A8696D0" w:tentative="1">
      <w:start w:val="1"/>
      <w:numFmt w:val="bullet"/>
      <w:lvlText w:val="•"/>
      <w:lvlJc w:val="left"/>
      <w:pPr>
        <w:tabs>
          <w:tab w:val="num" w:pos="1440"/>
        </w:tabs>
        <w:ind w:left="1440" w:hanging="360"/>
      </w:pPr>
      <w:rPr>
        <w:rFonts w:ascii="Arial" w:hAnsi="Arial" w:hint="default"/>
      </w:rPr>
    </w:lvl>
    <w:lvl w:ilvl="2" w:tplc="41CA5F7E" w:tentative="1">
      <w:start w:val="1"/>
      <w:numFmt w:val="bullet"/>
      <w:lvlText w:val="•"/>
      <w:lvlJc w:val="left"/>
      <w:pPr>
        <w:tabs>
          <w:tab w:val="num" w:pos="2160"/>
        </w:tabs>
        <w:ind w:left="2160" w:hanging="360"/>
      </w:pPr>
      <w:rPr>
        <w:rFonts w:ascii="Arial" w:hAnsi="Arial" w:hint="default"/>
      </w:rPr>
    </w:lvl>
    <w:lvl w:ilvl="3" w:tplc="E8AEFDF2" w:tentative="1">
      <w:start w:val="1"/>
      <w:numFmt w:val="bullet"/>
      <w:lvlText w:val="•"/>
      <w:lvlJc w:val="left"/>
      <w:pPr>
        <w:tabs>
          <w:tab w:val="num" w:pos="2880"/>
        </w:tabs>
        <w:ind w:left="2880" w:hanging="360"/>
      </w:pPr>
      <w:rPr>
        <w:rFonts w:ascii="Arial" w:hAnsi="Arial" w:hint="default"/>
      </w:rPr>
    </w:lvl>
    <w:lvl w:ilvl="4" w:tplc="C180ECCE" w:tentative="1">
      <w:start w:val="1"/>
      <w:numFmt w:val="bullet"/>
      <w:lvlText w:val="•"/>
      <w:lvlJc w:val="left"/>
      <w:pPr>
        <w:tabs>
          <w:tab w:val="num" w:pos="3600"/>
        </w:tabs>
        <w:ind w:left="3600" w:hanging="360"/>
      </w:pPr>
      <w:rPr>
        <w:rFonts w:ascii="Arial" w:hAnsi="Arial" w:hint="default"/>
      </w:rPr>
    </w:lvl>
    <w:lvl w:ilvl="5" w:tplc="1EBEA8AC" w:tentative="1">
      <w:start w:val="1"/>
      <w:numFmt w:val="bullet"/>
      <w:lvlText w:val="•"/>
      <w:lvlJc w:val="left"/>
      <w:pPr>
        <w:tabs>
          <w:tab w:val="num" w:pos="4320"/>
        </w:tabs>
        <w:ind w:left="4320" w:hanging="360"/>
      </w:pPr>
      <w:rPr>
        <w:rFonts w:ascii="Arial" w:hAnsi="Arial" w:hint="default"/>
      </w:rPr>
    </w:lvl>
    <w:lvl w:ilvl="6" w:tplc="59D6FD1A" w:tentative="1">
      <w:start w:val="1"/>
      <w:numFmt w:val="bullet"/>
      <w:lvlText w:val="•"/>
      <w:lvlJc w:val="left"/>
      <w:pPr>
        <w:tabs>
          <w:tab w:val="num" w:pos="5040"/>
        </w:tabs>
        <w:ind w:left="5040" w:hanging="360"/>
      </w:pPr>
      <w:rPr>
        <w:rFonts w:ascii="Arial" w:hAnsi="Arial" w:hint="default"/>
      </w:rPr>
    </w:lvl>
    <w:lvl w:ilvl="7" w:tplc="5226E224" w:tentative="1">
      <w:start w:val="1"/>
      <w:numFmt w:val="bullet"/>
      <w:lvlText w:val="•"/>
      <w:lvlJc w:val="left"/>
      <w:pPr>
        <w:tabs>
          <w:tab w:val="num" w:pos="5760"/>
        </w:tabs>
        <w:ind w:left="5760" w:hanging="360"/>
      </w:pPr>
      <w:rPr>
        <w:rFonts w:ascii="Arial" w:hAnsi="Arial" w:hint="default"/>
      </w:rPr>
    </w:lvl>
    <w:lvl w:ilvl="8" w:tplc="2F40329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1F"/>
    <w:rsid w:val="000137B3"/>
    <w:rsid w:val="0002261C"/>
    <w:rsid w:val="00030E02"/>
    <w:rsid w:val="00055E50"/>
    <w:rsid w:val="000D7581"/>
    <w:rsid w:val="0010762F"/>
    <w:rsid w:val="001138C6"/>
    <w:rsid w:val="00126D67"/>
    <w:rsid w:val="00134F00"/>
    <w:rsid w:val="0013640C"/>
    <w:rsid w:val="001A11AC"/>
    <w:rsid w:val="00216598"/>
    <w:rsid w:val="00220B89"/>
    <w:rsid w:val="00223E9E"/>
    <w:rsid w:val="002C329E"/>
    <w:rsid w:val="002F3C2C"/>
    <w:rsid w:val="0030358C"/>
    <w:rsid w:val="003256D5"/>
    <w:rsid w:val="00375950"/>
    <w:rsid w:val="00377DA9"/>
    <w:rsid w:val="003B579A"/>
    <w:rsid w:val="00402DF9"/>
    <w:rsid w:val="004031B7"/>
    <w:rsid w:val="00420554"/>
    <w:rsid w:val="004B2CE4"/>
    <w:rsid w:val="004B4F8B"/>
    <w:rsid w:val="004E1B61"/>
    <w:rsid w:val="004F6AE6"/>
    <w:rsid w:val="00541E9C"/>
    <w:rsid w:val="005619DE"/>
    <w:rsid w:val="005C585E"/>
    <w:rsid w:val="005E4BF4"/>
    <w:rsid w:val="00603C5F"/>
    <w:rsid w:val="0063274C"/>
    <w:rsid w:val="00651A8B"/>
    <w:rsid w:val="00655F0A"/>
    <w:rsid w:val="006716B9"/>
    <w:rsid w:val="006A3B90"/>
    <w:rsid w:val="0075451C"/>
    <w:rsid w:val="00791F48"/>
    <w:rsid w:val="0079348C"/>
    <w:rsid w:val="007A56F1"/>
    <w:rsid w:val="007B38FF"/>
    <w:rsid w:val="007B4071"/>
    <w:rsid w:val="00814E32"/>
    <w:rsid w:val="008269E8"/>
    <w:rsid w:val="00856AA4"/>
    <w:rsid w:val="00857CDA"/>
    <w:rsid w:val="00896CDC"/>
    <w:rsid w:val="008D241F"/>
    <w:rsid w:val="009233B7"/>
    <w:rsid w:val="00940579"/>
    <w:rsid w:val="00973E24"/>
    <w:rsid w:val="0098532E"/>
    <w:rsid w:val="009D06A8"/>
    <w:rsid w:val="009E5121"/>
    <w:rsid w:val="00A4494D"/>
    <w:rsid w:val="00A61F85"/>
    <w:rsid w:val="00A90145"/>
    <w:rsid w:val="00A9102F"/>
    <w:rsid w:val="00AC131F"/>
    <w:rsid w:val="00AC2B20"/>
    <w:rsid w:val="00AE4CFF"/>
    <w:rsid w:val="00B263FB"/>
    <w:rsid w:val="00B72334"/>
    <w:rsid w:val="00B7469C"/>
    <w:rsid w:val="00C45AD1"/>
    <w:rsid w:val="00C57660"/>
    <w:rsid w:val="00C6033B"/>
    <w:rsid w:val="00C678D9"/>
    <w:rsid w:val="00CB2D81"/>
    <w:rsid w:val="00D51CF1"/>
    <w:rsid w:val="00D539F8"/>
    <w:rsid w:val="00D924FA"/>
    <w:rsid w:val="00DE052B"/>
    <w:rsid w:val="00E17943"/>
    <w:rsid w:val="00E3160F"/>
    <w:rsid w:val="00E5430D"/>
    <w:rsid w:val="00E86E94"/>
    <w:rsid w:val="00EB5FB4"/>
    <w:rsid w:val="00ED58B0"/>
    <w:rsid w:val="00F50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8FF"/>
    <w:pPr>
      <w:ind w:left="720"/>
      <w:contextualSpacing/>
    </w:pPr>
  </w:style>
  <w:style w:type="paragraph" w:styleId="Header">
    <w:name w:val="header"/>
    <w:basedOn w:val="Normal"/>
    <w:link w:val="HeaderChar"/>
    <w:uiPriority w:val="99"/>
    <w:unhideWhenUsed/>
    <w:rsid w:val="007B3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8FF"/>
  </w:style>
  <w:style w:type="paragraph" w:styleId="Footer">
    <w:name w:val="footer"/>
    <w:basedOn w:val="Normal"/>
    <w:link w:val="FooterChar"/>
    <w:uiPriority w:val="99"/>
    <w:unhideWhenUsed/>
    <w:rsid w:val="007B3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8FF"/>
  </w:style>
  <w:style w:type="paragraph" w:styleId="BalloonText">
    <w:name w:val="Balloon Text"/>
    <w:basedOn w:val="Normal"/>
    <w:link w:val="BalloonTextChar"/>
    <w:uiPriority w:val="99"/>
    <w:semiHidden/>
    <w:unhideWhenUsed/>
    <w:rsid w:val="00E86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94"/>
    <w:rPr>
      <w:rFonts w:ascii="Tahoma" w:hAnsi="Tahoma" w:cs="Tahoma"/>
      <w:sz w:val="16"/>
      <w:szCs w:val="16"/>
    </w:rPr>
  </w:style>
  <w:style w:type="character" w:styleId="Hyperlink">
    <w:name w:val="Hyperlink"/>
    <w:basedOn w:val="DefaultParagraphFont"/>
    <w:uiPriority w:val="99"/>
    <w:unhideWhenUsed/>
    <w:rsid w:val="00B74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8FF"/>
    <w:pPr>
      <w:ind w:left="720"/>
      <w:contextualSpacing/>
    </w:pPr>
  </w:style>
  <w:style w:type="paragraph" w:styleId="Header">
    <w:name w:val="header"/>
    <w:basedOn w:val="Normal"/>
    <w:link w:val="HeaderChar"/>
    <w:uiPriority w:val="99"/>
    <w:unhideWhenUsed/>
    <w:rsid w:val="007B3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8FF"/>
  </w:style>
  <w:style w:type="paragraph" w:styleId="Footer">
    <w:name w:val="footer"/>
    <w:basedOn w:val="Normal"/>
    <w:link w:val="FooterChar"/>
    <w:uiPriority w:val="99"/>
    <w:unhideWhenUsed/>
    <w:rsid w:val="007B3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8FF"/>
  </w:style>
  <w:style w:type="paragraph" w:styleId="BalloonText">
    <w:name w:val="Balloon Text"/>
    <w:basedOn w:val="Normal"/>
    <w:link w:val="BalloonTextChar"/>
    <w:uiPriority w:val="99"/>
    <w:semiHidden/>
    <w:unhideWhenUsed/>
    <w:rsid w:val="00E86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94"/>
    <w:rPr>
      <w:rFonts w:ascii="Tahoma" w:hAnsi="Tahoma" w:cs="Tahoma"/>
      <w:sz w:val="16"/>
      <w:szCs w:val="16"/>
    </w:rPr>
  </w:style>
  <w:style w:type="character" w:styleId="Hyperlink">
    <w:name w:val="Hyperlink"/>
    <w:basedOn w:val="DefaultParagraphFont"/>
    <w:uiPriority w:val="99"/>
    <w:unhideWhenUsed/>
    <w:rsid w:val="00B74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6054">
      <w:bodyDiv w:val="1"/>
      <w:marLeft w:val="0"/>
      <w:marRight w:val="0"/>
      <w:marTop w:val="0"/>
      <w:marBottom w:val="0"/>
      <w:divBdr>
        <w:top w:val="none" w:sz="0" w:space="0" w:color="auto"/>
        <w:left w:val="none" w:sz="0" w:space="0" w:color="auto"/>
        <w:bottom w:val="none" w:sz="0" w:space="0" w:color="auto"/>
        <w:right w:val="none" w:sz="0" w:space="0" w:color="auto"/>
      </w:divBdr>
      <w:divsChild>
        <w:div w:id="1495491121">
          <w:marLeft w:val="547"/>
          <w:marRight w:val="0"/>
          <w:marTop w:val="115"/>
          <w:marBottom w:val="0"/>
          <w:divBdr>
            <w:top w:val="none" w:sz="0" w:space="0" w:color="auto"/>
            <w:left w:val="none" w:sz="0" w:space="0" w:color="auto"/>
            <w:bottom w:val="none" w:sz="0" w:space="0" w:color="auto"/>
            <w:right w:val="none" w:sz="0" w:space="0" w:color="auto"/>
          </w:divBdr>
        </w:div>
        <w:div w:id="862860469">
          <w:marLeft w:val="547"/>
          <w:marRight w:val="0"/>
          <w:marTop w:val="115"/>
          <w:marBottom w:val="0"/>
          <w:divBdr>
            <w:top w:val="none" w:sz="0" w:space="0" w:color="auto"/>
            <w:left w:val="none" w:sz="0" w:space="0" w:color="auto"/>
            <w:bottom w:val="none" w:sz="0" w:space="0" w:color="auto"/>
            <w:right w:val="none" w:sz="0" w:space="0" w:color="auto"/>
          </w:divBdr>
        </w:div>
        <w:div w:id="1139567354">
          <w:marLeft w:val="547"/>
          <w:marRight w:val="0"/>
          <w:marTop w:val="115"/>
          <w:marBottom w:val="0"/>
          <w:divBdr>
            <w:top w:val="none" w:sz="0" w:space="0" w:color="auto"/>
            <w:left w:val="none" w:sz="0" w:space="0" w:color="auto"/>
            <w:bottom w:val="none" w:sz="0" w:space="0" w:color="auto"/>
            <w:right w:val="none" w:sz="0" w:space="0" w:color="auto"/>
          </w:divBdr>
        </w:div>
        <w:div w:id="1598754584">
          <w:marLeft w:val="547"/>
          <w:marRight w:val="0"/>
          <w:marTop w:val="115"/>
          <w:marBottom w:val="0"/>
          <w:divBdr>
            <w:top w:val="none" w:sz="0" w:space="0" w:color="auto"/>
            <w:left w:val="none" w:sz="0" w:space="0" w:color="auto"/>
            <w:bottom w:val="none" w:sz="0" w:space="0" w:color="auto"/>
            <w:right w:val="none" w:sz="0" w:space="0" w:color="auto"/>
          </w:divBdr>
        </w:div>
        <w:div w:id="1640576798">
          <w:marLeft w:val="547"/>
          <w:marRight w:val="0"/>
          <w:marTop w:val="115"/>
          <w:marBottom w:val="0"/>
          <w:divBdr>
            <w:top w:val="none" w:sz="0" w:space="0" w:color="auto"/>
            <w:left w:val="none" w:sz="0" w:space="0" w:color="auto"/>
            <w:bottom w:val="none" w:sz="0" w:space="0" w:color="auto"/>
            <w:right w:val="none" w:sz="0" w:space="0" w:color="auto"/>
          </w:divBdr>
        </w:div>
        <w:div w:id="1653947786">
          <w:marLeft w:val="547"/>
          <w:marRight w:val="0"/>
          <w:marTop w:val="115"/>
          <w:marBottom w:val="0"/>
          <w:divBdr>
            <w:top w:val="none" w:sz="0" w:space="0" w:color="auto"/>
            <w:left w:val="none" w:sz="0" w:space="0" w:color="auto"/>
            <w:bottom w:val="none" w:sz="0" w:space="0" w:color="auto"/>
            <w:right w:val="none" w:sz="0" w:space="0" w:color="auto"/>
          </w:divBdr>
        </w:div>
        <w:div w:id="2003660562">
          <w:marLeft w:val="547"/>
          <w:marRight w:val="0"/>
          <w:marTop w:val="115"/>
          <w:marBottom w:val="0"/>
          <w:divBdr>
            <w:top w:val="none" w:sz="0" w:space="0" w:color="auto"/>
            <w:left w:val="none" w:sz="0" w:space="0" w:color="auto"/>
            <w:bottom w:val="none" w:sz="0" w:space="0" w:color="auto"/>
            <w:right w:val="none" w:sz="0" w:space="0" w:color="auto"/>
          </w:divBdr>
        </w:div>
        <w:div w:id="1218277154">
          <w:marLeft w:val="547"/>
          <w:marRight w:val="0"/>
          <w:marTop w:val="115"/>
          <w:marBottom w:val="0"/>
          <w:divBdr>
            <w:top w:val="none" w:sz="0" w:space="0" w:color="auto"/>
            <w:left w:val="none" w:sz="0" w:space="0" w:color="auto"/>
            <w:bottom w:val="none" w:sz="0" w:space="0" w:color="auto"/>
            <w:right w:val="none" w:sz="0" w:space="0" w:color="auto"/>
          </w:divBdr>
        </w:div>
      </w:divsChild>
    </w:div>
    <w:div w:id="14596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berside.lmcgroup@nhs.net" TargetMode="External"/><Relationship Id="rId13" Type="http://schemas.openxmlformats.org/officeDocument/2006/relationships/hyperlink" Target="mailto:geoff.day@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ris.clarke3@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die.mccabe@nh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lie.wilson25@nhs.net" TargetMode="External"/><Relationship Id="rId4" Type="http://schemas.openxmlformats.org/officeDocument/2006/relationships/settings" Target="settings.xml"/><Relationship Id="rId9" Type="http://schemas.openxmlformats.org/officeDocument/2006/relationships/hyperlink" Target="mailto:sjwsolutionsinp@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Wilson</dc:creator>
  <cp:lastModifiedBy>Julie Wilson</cp:lastModifiedBy>
  <cp:revision>2</cp:revision>
  <dcterms:created xsi:type="dcterms:W3CDTF">2015-10-20T07:49:00Z</dcterms:created>
  <dcterms:modified xsi:type="dcterms:W3CDTF">2015-10-20T07:49:00Z</dcterms:modified>
</cp:coreProperties>
</file>