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FAD" w:rsidRPr="00DD7564" w:rsidRDefault="005C7FAD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5C7FAD" w:rsidRDefault="005C7FAD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C7FAD" w:rsidRPr="00DD7564" w:rsidRDefault="005C7FAD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C7FAD" w:rsidRDefault="005C7FAD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7A1D3F" w:rsidP="007A1D3F">
      <w:pPr>
        <w:pStyle w:val="Header"/>
        <w:jc w:val="right"/>
        <w:rPr>
          <w:b/>
          <w:color w:val="365F91"/>
        </w:rPr>
      </w:pPr>
      <w:r>
        <w:rPr>
          <w:b/>
          <w:noProof/>
          <w:color w:val="365F91"/>
        </w:rPr>
        <w:drawing>
          <wp:inline distT="0" distB="0" distL="0" distR="0">
            <wp:extent cx="2540605" cy="656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CCG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42" cy="6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D76098" w:rsidP="00D760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Debbee Walker</w:t>
            </w:r>
            <w:r w:rsidR="00A467F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Service Manager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D76098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D760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October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2A4126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Match </w:t>
            </w:r>
            <w:r w:rsidR="00AD1126">
              <w:rPr>
                <w:rFonts w:ascii="Arial" w:hAnsi="Arial" w:cs="Arial"/>
                <w:bCs/>
                <w:sz w:val="22"/>
                <w:szCs w:val="22"/>
              </w:rPr>
              <w:t xml:space="preserve">National Recruitment Office (NRO)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Bursary Funding – Dutch Recruits</w:t>
            </w:r>
          </w:p>
          <w:p w:rsidR="001A5053" w:rsidRPr="001A5053" w:rsidRDefault="001A5053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1A5053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1A5053" w:rsidRDefault="00150AC3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1A5053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Pr="001A5053" w:rsidRDefault="00DE47E9" w:rsidP="00D26686">
            <w:pPr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 xml:space="preserve"> Complies with latest CCG Strategy for Primary Medical Services</w:t>
            </w:r>
            <w:r w:rsidR="007A1D3F" w:rsidRPr="001A5053">
              <w:rPr>
                <w:rFonts w:ascii="Arial" w:hAnsi="Arial" w:cs="Arial"/>
                <w:sz w:val="22"/>
                <w:szCs w:val="22"/>
              </w:rPr>
              <w:t xml:space="preserve">, if  not, </w:t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>please give a brief reason why:</w:t>
            </w:r>
          </w:p>
          <w:p w:rsidR="00D26686" w:rsidRPr="001A5053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Pr="001A5053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6BFD" w:rsidRPr="00D76BFD" w:rsidRDefault="00150AC3" w:rsidP="00D76BFD">
            <w:pPr>
              <w:rPr>
                <w:rFonts w:ascii="Arial" w:hAnsi="Arial" w:cs="Arial"/>
                <w:sz w:val="22"/>
                <w:szCs w:val="22"/>
              </w:rPr>
            </w:pPr>
            <w:r w:rsidRPr="00D76BFD">
              <w:rPr>
                <w:rFonts w:ascii="Arial" w:hAnsi="Arial" w:cs="Arial"/>
                <w:bCs/>
                <w:sz w:val="22"/>
                <w:szCs w:val="22"/>
              </w:rPr>
              <w:t xml:space="preserve">This report has been prepared to </w:t>
            </w:r>
            <w:r w:rsidR="002E2E11" w:rsidRPr="00D76BFD">
              <w:rPr>
                <w:rFonts w:ascii="Arial" w:hAnsi="Arial" w:cs="Arial"/>
                <w:bCs/>
                <w:sz w:val="22"/>
                <w:szCs w:val="22"/>
              </w:rPr>
              <w:t xml:space="preserve">detail the CCGs strategy to match bursary funding in relation to </w:t>
            </w:r>
            <w:r w:rsidR="00D76BFD" w:rsidRPr="00D76BFD">
              <w:rPr>
                <w:rFonts w:ascii="Arial" w:hAnsi="Arial" w:cs="Arial"/>
                <w:bCs/>
                <w:sz w:val="22"/>
                <w:szCs w:val="22"/>
              </w:rPr>
              <w:t xml:space="preserve">potential </w:t>
            </w:r>
            <w:r w:rsidR="002E2E11" w:rsidRPr="00D76BFD">
              <w:rPr>
                <w:rFonts w:ascii="Arial" w:hAnsi="Arial" w:cs="Arial"/>
                <w:bCs/>
                <w:sz w:val="22"/>
                <w:szCs w:val="22"/>
              </w:rPr>
              <w:t>Dutch GP</w:t>
            </w:r>
            <w:r w:rsidR="00A467F0" w:rsidRPr="00D76B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6BFD" w:rsidRPr="00D76BFD">
              <w:rPr>
                <w:rFonts w:ascii="Arial" w:hAnsi="Arial" w:cs="Arial"/>
                <w:bCs/>
                <w:sz w:val="22"/>
                <w:szCs w:val="22"/>
              </w:rPr>
              <w:t xml:space="preserve">recruits </w:t>
            </w:r>
            <w:r w:rsidR="00D76BFD" w:rsidRPr="00D76BFD">
              <w:rPr>
                <w:rFonts w:ascii="Arial" w:hAnsi="Arial" w:cs="Arial"/>
                <w:sz w:val="22"/>
                <w:szCs w:val="22"/>
              </w:rPr>
              <w:t>to endorse the approach/principles, and agree that final decision will get appropriate authoris</w:t>
            </w:r>
            <w:r w:rsidR="00C05FA0">
              <w:rPr>
                <w:rFonts w:ascii="Arial" w:hAnsi="Arial" w:cs="Arial"/>
                <w:sz w:val="22"/>
                <w:szCs w:val="22"/>
              </w:rPr>
              <w:t xml:space="preserve">ation within the CCG governance structure. </w:t>
            </w:r>
          </w:p>
          <w:p w:rsidR="006A74AF" w:rsidRPr="004C0EC8" w:rsidRDefault="006A74AF" w:rsidP="001755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4C0EC8" w:rsidP="0017552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proposal contained within </w:t>
            </w:r>
            <w:r w:rsidR="002E2E11">
              <w:rPr>
                <w:rFonts w:ascii="Arial" w:hAnsi="Arial" w:cs="Arial"/>
                <w:bCs/>
                <w:sz w:val="22"/>
                <w:szCs w:val="22"/>
              </w:rPr>
              <w:t>this report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="00150AC3">
              <w:rPr>
                <w:rFonts w:ascii="Arial" w:hAnsi="Arial" w:cs="Arial"/>
                <w:bCs/>
                <w:sz w:val="22"/>
                <w:szCs w:val="22"/>
              </w:rPr>
              <w:t xml:space="preserve"> consistent with the primary care strategy presented to the Committee at the meeting on 23</w:t>
            </w:r>
            <w:r w:rsidR="00150AC3" w:rsidRPr="00150AC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150AC3">
              <w:rPr>
                <w:rFonts w:ascii="Arial" w:hAnsi="Arial" w:cs="Arial"/>
                <w:bCs/>
                <w:sz w:val="22"/>
                <w:szCs w:val="22"/>
              </w:rPr>
              <w:t xml:space="preserve"> April 2015.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2E11" w:rsidRPr="00A54167" w:rsidRDefault="002E2E11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167">
              <w:rPr>
                <w:rFonts w:ascii="Arial" w:hAnsi="Arial" w:cs="Arial"/>
                <w:sz w:val="22"/>
                <w:szCs w:val="22"/>
              </w:rPr>
              <w:t>General Practice faces many and varied workforce challenges; with an increasing workload, GPs retiring earlier, the reduced popularity of General Practice as a career choice and the huge retirement risk due to the high number of experienced GPs and nurses aged over 55. North East Lincolnshire CCG is working with a number of partners to explore opportunities to stabilise, and reshape the workforce model of Primary Care.</w:t>
            </w:r>
          </w:p>
          <w:p w:rsidR="002E2E11" w:rsidRPr="00A54167" w:rsidRDefault="002E2E11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E11" w:rsidRPr="00A54167" w:rsidRDefault="002E2E11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167">
              <w:rPr>
                <w:rFonts w:ascii="Arial" w:hAnsi="Arial" w:cs="Arial"/>
                <w:sz w:val="22"/>
                <w:szCs w:val="22"/>
              </w:rPr>
              <w:t xml:space="preserve">One of these schemes has resulted in a recruitment drive in The Netherlands to attract Dutch GPs to come and work in NEL. This initiative resulted in a well organised and positive trip to The Netherlands in June 2015 with success in terms of recruitment </w:t>
            </w:r>
            <w:r w:rsidR="00D76BFD">
              <w:rPr>
                <w:rFonts w:ascii="Arial" w:hAnsi="Arial" w:cs="Arial"/>
                <w:sz w:val="22"/>
                <w:szCs w:val="22"/>
              </w:rPr>
              <w:t xml:space="preserve">of 5 GPs </w:t>
            </w:r>
            <w:r w:rsidRPr="00A54167">
              <w:rPr>
                <w:rFonts w:ascii="Arial" w:hAnsi="Arial" w:cs="Arial"/>
                <w:sz w:val="22"/>
                <w:szCs w:val="22"/>
              </w:rPr>
              <w:t>which will be realised within 2-3 years.</w:t>
            </w:r>
          </w:p>
          <w:p w:rsidR="002E2E11" w:rsidRPr="00A54167" w:rsidRDefault="002E2E11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03E5" w:rsidRDefault="00534510" w:rsidP="003E03E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54167">
              <w:rPr>
                <w:rFonts w:ascii="Arial" w:hAnsi="Arial" w:cs="Arial"/>
                <w:sz w:val="22"/>
                <w:szCs w:val="22"/>
              </w:rPr>
              <w:lastRenderedPageBreak/>
              <w:t xml:space="preserve">As part of the recruitment package, the CCG propose to match </w:t>
            </w:r>
            <w:r w:rsidR="00AD1126" w:rsidRPr="00A54167">
              <w:rPr>
                <w:rFonts w:ascii="Arial" w:hAnsi="Arial" w:cs="Arial"/>
                <w:sz w:val="22"/>
                <w:szCs w:val="22"/>
              </w:rPr>
              <w:t>N</w:t>
            </w:r>
            <w:r w:rsidR="00D76BFD"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AD1126" w:rsidRPr="00A54167">
              <w:rPr>
                <w:rFonts w:ascii="Arial" w:hAnsi="Arial" w:cs="Arial"/>
                <w:sz w:val="22"/>
                <w:szCs w:val="22"/>
              </w:rPr>
              <w:t>R</w:t>
            </w:r>
            <w:r w:rsidR="00D76BFD">
              <w:rPr>
                <w:rFonts w:ascii="Arial" w:hAnsi="Arial" w:cs="Arial"/>
                <w:sz w:val="22"/>
                <w:szCs w:val="22"/>
              </w:rPr>
              <w:t xml:space="preserve">ecruitment </w:t>
            </w:r>
            <w:r w:rsidR="00AD1126" w:rsidRPr="00A54167">
              <w:rPr>
                <w:rFonts w:ascii="Arial" w:hAnsi="Arial" w:cs="Arial"/>
                <w:sz w:val="22"/>
                <w:szCs w:val="22"/>
              </w:rPr>
              <w:t>O</w:t>
            </w:r>
            <w:r w:rsidR="00D76BFD">
              <w:rPr>
                <w:rFonts w:ascii="Arial" w:hAnsi="Arial" w:cs="Arial"/>
                <w:sz w:val="22"/>
                <w:szCs w:val="22"/>
              </w:rPr>
              <w:t>ffice (NRO)</w:t>
            </w:r>
            <w:r w:rsidR="00AD1126" w:rsidRPr="00A54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167">
              <w:rPr>
                <w:rFonts w:ascii="Arial" w:hAnsi="Arial" w:cs="Arial"/>
                <w:sz w:val="22"/>
                <w:szCs w:val="22"/>
              </w:rPr>
              <w:t xml:space="preserve">bursary funding for each candidate during their training phase, the length of which </w:t>
            </w:r>
            <w:r w:rsidR="00AD1126" w:rsidRPr="00A54167">
              <w:rPr>
                <w:rFonts w:ascii="Arial" w:hAnsi="Arial" w:cs="Arial"/>
                <w:sz w:val="22"/>
                <w:szCs w:val="22"/>
              </w:rPr>
              <w:t xml:space="preserve">will be determined by their result of the </w:t>
            </w:r>
            <w:r w:rsidR="00AD1126" w:rsidRPr="003E03E5">
              <w:rPr>
                <w:rFonts w:ascii="Arial" w:hAnsi="Arial" w:cs="Arial"/>
                <w:sz w:val="22"/>
                <w:szCs w:val="22"/>
              </w:rPr>
              <w:t>MCQ clinical knowled</w:t>
            </w:r>
            <w:r w:rsidR="00A54167" w:rsidRPr="003E03E5">
              <w:rPr>
                <w:rFonts w:ascii="Arial" w:hAnsi="Arial" w:cs="Arial"/>
                <w:sz w:val="22"/>
                <w:szCs w:val="22"/>
              </w:rPr>
              <w:t xml:space="preserve">ge test as part of the national </w:t>
            </w:r>
            <w:r w:rsidR="00A54167" w:rsidRPr="003E03E5">
              <w:rPr>
                <w:rFonts w:ascii="Arial" w:eastAsia="Calibri" w:hAnsi="Arial" w:cs="Arial"/>
                <w:sz w:val="22"/>
                <w:szCs w:val="22"/>
              </w:rPr>
              <w:t>Induction and Refresher (I&amp;R) scheme.</w:t>
            </w:r>
            <w:r w:rsidRPr="003E0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3E5" w:rsidRPr="003E03E5">
              <w:rPr>
                <w:rFonts w:ascii="Arial" w:hAnsi="Arial" w:cs="Arial"/>
                <w:iCs/>
                <w:sz w:val="22"/>
                <w:szCs w:val="22"/>
              </w:rPr>
              <w:t xml:space="preserve">If anyone does exceptionally well (Band 5) they can apply to </w:t>
            </w:r>
            <w:r w:rsidR="00924596">
              <w:rPr>
                <w:rFonts w:ascii="Arial" w:hAnsi="Arial" w:cs="Arial"/>
                <w:iCs/>
                <w:sz w:val="22"/>
                <w:szCs w:val="22"/>
              </w:rPr>
              <w:t xml:space="preserve">be on the </w:t>
            </w:r>
            <w:r w:rsidR="003E03E5" w:rsidRPr="003E03E5">
              <w:rPr>
                <w:rFonts w:ascii="Arial" w:hAnsi="Arial" w:cs="Arial"/>
                <w:iCs/>
                <w:sz w:val="22"/>
                <w:szCs w:val="22"/>
              </w:rPr>
              <w:t xml:space="preserve">performers list and be inducted into the local I&amp;R scheme – </w:t>
            </w:r>
            <w:r w:rsidR="003E03E5" w:rsidRPr="003E03E5">
              <w:rPr>
                <w:rFonts w:ascii="Arial" w:hAnsi="Arial" w:cs="Arial"/>
                <w:i/>
                <w:iCs/>
                <w:sz w:val="22"/>
                <w:szCs w:val="22"/>
              </w:rPr>
              <w:t>2 weeks maximum</w:t>
            </w:r>
            <w:r w:rsidR="003E03E5" w:rsidRPr="003E03E5">
              <w:rPr>
                <w:rFonts w:ascii="Arial" w:hAnsi="Arial" w:cs="Arial"/>
                <w:iCs/>
                <w:sz w:val="22"/>
                <w:szCs w:val="22"/>
              </w:rPr>
              <w:t xml:space="preserve"> - and then enter paid employment.</w:t>
            </w:r>
          </w:p>
          <w:p w:rsidR="00924596" w:rsidRPr="003E03E5" w:rsidRDefault="00924596" w:rsidP="003E03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E03E5" w:rsidRPr="00924596" w:rsidRDefault="003E03E5" w:rsidP="003E03E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24596">
              <w:rPr>
                <w:rFonts w:ascii="Arial" w:hAnsi="Arial" w:cs="Arial"/>
                <w:iCs/>
                <w:sz w:val="22"/>
                <w:szCs w:val="22"/>
              </w:rPr>
              <w:t xml:space="preserve">For those who do well at MCQ </w:t>
            </w:r>
            <w:r w:rsidR="00924596" w:rsidRPr="00924596">
              <w:rPr>
                <w:rFonts w:ascii="Arial" w:hAnsi="Arial" w:cs="Arial"/>
                <w:iCs/>
                <w:sz w:val="22"/>
                <w:szCs w:val="22"/>
              </w:rPr>
              <w:t>(Band 4 or 3 result</w:t>
            </w:r>
            <w:r w:rsidRPr="00924596">
              <w:rPr>
                <w:rFonts w:ascii="Arial" w:hAnsi="Arial" w:cs="Arial"/>
                <w:iCs/>
                <w:sz w:val="22"/>
                <w:szCs w:val="22"/>
              </w:rPr>
              <w:t xml:space="preserve">), they’ll need to do a simulated surgery at RCGP London. If they pass they’ll need a three month induction in an approved educational practice (Band 4 result) or six months (Band 3 result) – both with on-going assessment, 360 appraisal etc.  </w:t>
            </w:r>
          </w:p>
          <w:p w:rsidR="00924596" w:rsidRPr="00924596" w:rsidRDefault="00924596" w:rsidP="003E03E5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24596" w:rsidRDefault="00924596" w:rsidP="003E03E5">
            <w:pPr>
              <w:rPr>
                <w:rFonts w:ascii="Arial" w:hAnsi="Arial" w:cs="Arial"/>
                <w:sz w:val="23"/>
                <w:szCs w:val="23"/>
              </w:rPr>
            </w:pPr>
            <w:r w:rsidRPr="00924596">
              <w:rPr>
                <w:rFonts w:ascii="Arial" w:hAnsi="Arial" w:cs="Arial"/>
                <w:sz w:val="23"/>
                <w:szCs w:val="23"/>
              </w:rPr>
              <w:t>Doctors on the I&amp;R scheme will receive a bursary of £2300</w:t>
            </w:r>
            <w:r w:rsidR="00AD1C22">
              <w:rPr>
                <w:rFonts w:ascii="Arial" w:hAnsi="Arial" w:cs="Arial"/>
                <w:sz w:val="23"/>
                <w:szCs w:val="23"/>
              </w:rPr>
              <w:t xml:space="preserve"> per month</w:t>
            </w:r>
            <w:r w:rsidRPr="00924596">
              <w:rPr>
                <w:rFonts w:ascii="Arial" w:hAnsi="Arial" w:cs="Arial"/>
                <w:sz w:val="23"/>
                <w:szCs w:val="23"/>
              </w:rPr>
              <w:t xml:space="preserve"> full time equivalent, on a monthly pro rata basis. The CCG propose to match this funding </w:t>
            </w:r>
            <w:r w:rsidR="00AD1C22">
              <w:rPr>
                <w:rFonts w:ascii="Arial" w:hAnsi="Arial" w:cs="Arial"/>
                <w:sz w:val="23"/>
                <w:szCs w:val="23"/>
              </w:rPr>
              <w:t xml:space="preserve">(£2300 per month) </w:t>
            </w:r>
            <w:r w:rsidRPr="00924596">
              <w:rPr>
                <w:rFonts w:ascii="Arial" w:hAnsi="Arial" w:cs="Arial"/>
                <w:sz w:val="23"/>
                <w:szCs w:val="23"/>
              </w:rPr>
              <w:t xml:space="preserve">to make the package more attractive to candidates, providing a salary of £4600 during their training phase. </w:t>
            </w:r>
          </w:p>
          <w:p w:rsidR="00D76BFD" w:rsidRDefault="00D76BFD" w:rsidP="003E03E5">
            <w:pPr>
              <w:rPr>
                <w:rFonts w:ascii="Arial" w:hAnsi="Arial" w:cs="Arial"/>
                <w:sz w:val="23"/>
                <w:szCs w:val="23"/>
              </w:rPr>
            </w:pPr>
          </w:p>
          <w:p w:rsidR="00D76BFD" w:rsidRDefault="00D76BFD" w:rsidP="003E03E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 anticip</w:t>
            </w:r>
            <w:r w:rsidR="00AD1C22">
              <w:rPr>
                <w:rFonts w:ascii="Arial" w:hAnsi="Arial" w:cs="Arial"/>
                <w:sz w:val="23"/>
                <w:szCs w:val="23"/>
              </w:rPr>
              <w:t>ate that the first candidate</w:t>
            </w:r>
            <w:r>
              <w:rPr>
                <w:rFonts w:ascii="Arial" w:hAnsi="Arial" w:cs="Arial"/>
                <w:sz w:val="23"/>
                <w:szCs w:val="23"/>
              </w:rPr>
              <w:t xml:space="preserve"> is likely to commence the NRO process at the end of 2016 at the earliest. </w:t>
            </w:r>
          </w:p>
          <w:p w:rsidR="00D76BFD" w:rsidRDefault="00D76BFD" w:rsidP="003E03E5">
            <w:pPr>
              <w:rPr>
                <w:rFonts w:ascii="Arial" w:hAnsi="Arial" w:cs="Arial"/>
                <w:sz w:val="23"/>
                <w:szCs w:val="23"/>
              </w:rPr>
            </w:pPr>
          </w:p>
          <w:p w:rsidR="00A467F0" w:rsidRPr="00752FD6" w:rsidRDefault="00A467F0" w:rsidP="00D76BF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46E1F" w:rsidRPr="00752FD6" w:rsidTr="00A46E1F">
        <w:trPr>
          <w:trHeight w:val="567"/>
        </w:trPr>
        <w:tc>
          <w:tcPr>
            <w:tcW w:w="10031" w:type="dxa"/>
            <w:shd w:val="clear" w:color="auto" w:fill="auto"/>
          </w:tcPr>
          <w:p w:rsidR="00A46E1F" w:rsidRPr="00752FD6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6BFD" w:rsidRDefault="00A467F0" w:rsidP="00D76BFD">
            <w:pPr>
              <w:rPr>
                <w:color w:val="1F497D"/>
              </w:rPr>
            </w:pPr>
            <w:r w:rsidRPr="00D76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Joint Co-Commissioning Committee is asked </w:t>
            </w:r>
            <w:r w:rsidR="00D76BFD" w:rsidRPr="00D76BFD">
              <w:rPr>
                <w:rFonts w:ascii="Arial" w:hAnsi="Arial" w:cs="Arial"/>
                <w:b/>
                <w:sz w:val="22"/>
                <w:szCs w:val="22"/>
              </w:rPr>
              <w:t>to endorse the approach/principles, and agree that the final decision will get appropriate authorisation within the CCG governance</w:t>
            </w:r>
            <w:r w:rsidR="00C05FA0">
              <w:rPr>
                <w:rFonts w:ascii="Arial" w:hAnsi="Arial" w:cs="Arial"/>
                <w:b/>
                <w:sz w:val="22"/>
                <w:szCs w:val="22"/>
              </w:rPr>
              <w:t xml:space="preserve"> structure</w:t>
            </w:r>
            <w:r w:rsidR="00D76BFD">
              <w:rPr>
                <w:color w:val="1F497D"/>
              </w:rPr>
              <w:t>.</w:t>
            </w:r>
          </w:p>
          <w:p w:rsidR="00A46E1F" w:rsidRDefault="00A46E1F" w:rsidP="001D2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67F0" w:rsidRPr="00BF62C4" w:rsidRDefault="00A467F0" w:rsidP="001D2A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220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092"/>
      </w:tblGrid>
      <w:tr w:rsidR="00540287" w:rsidRPr="00752FD6" w:rsidTr="00A46E1F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A467F0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386A41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A46E1F">
        <w:tc>
          <w:tcPr>
            <w:tcW w:w="568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9E1794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E30635" w:rsidP="00A46E1F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092" w:type="dxa"/>
            <w:shd w:val="clear" w:color="auto" w:fill="auto"/>
          </w:tcPr>
          <w:p w:rsidR="006A74AF" w:rsidRPr="00752FD6" w:rsidRDefault="006A74AF" w:rsidP="00A46E1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p w:rsidR="008412C1" w:rsidRDefault="008412C1" w:rsidP="00D7033C">
      <w:pPr>
        <w:rPr>
          <w:rFonts w:ascii="Arial" w:hAnsi="Arial" w:cs="Arial"/>
          <w:b/>
          <w:bCs/>
          <w:sz w:val="22"/>
          <w:szCs w:val="22"/>
        </w:rPr>
      </w:pPr>
    </w:p>
    <w:p w:rsidR="008412C1" w:rsidRDefault="008412C1" w:rsidP="00D7033C">
      <w:pPr>
        <w:rPr>
          <w:rFonts w:ascii="Arial" w:hAnsi="Arial" w:cs="Arial"/>
          <w:b/>
          <w:bCs/>
          <w:sz w:val="22"/>
          <w:szCs w:val="22"/>
        </w:rPr>
      </w:pPr>
    </w:p>
    <w:p w:rsidR="00A605C4" w:rsidRPr="00A605C4" w:rsidRDefault="00A605C4" w:rsidP="00A605C4">
      <w:pPr>
        <w:rPr>
          <w:rFonts w:asciiTheme="minorHAnsi" w:hAnsiTheme="minorHAnsi" w:cstheme="minorHAnsi"/>
          <w:b/>
          <w:sz w:val="28"/>
          <w:szCs w:val="28"/>
        </w:rPr>
      </w:pPr>
    </w:p>
    <w:sectPr w:rsidR="00A605C4" w:rsidRPr="00A605C4" w:rsidSect="00DD7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AD" w:rsidRDefault="005C7FAD">
      <w:r>
        <w:separator/>
      </w:r>
    </w:p>
  </w:endnote>
  <w:endnote w:type="continuationSeparator" w:id="0">
    <w:p w:rsidR="005C7FAD" w:rsidRDefault="005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AD" w:rsidRDefault="005C7FAD" w:rsidP="00DC3218">
    <w:pPr>
      <w:pStyle w:val="Footer"/>
      <w:jc w:val="right"/>
    </w:pPr>
    <w:r>
      <w:rPr>
        <w:noProof/>
      </w:rPr>
      <w:drawing>
        <wp:inline distT="0" distB="0" distL="0" distR="0" wp14:anchorId="0078F7A4" wp14:editId="3BC0EC53">
          <wp:extent cx="2658110" cy="353695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370A43" wp14:editId="2191970A">
          <wp:extent cx="1036320" cy="8782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AD" w:rsidRDefault="005C7FAD">
      <w:r>
        <w:separator/>
      </w:r>
    </w:p>
  </w:footnote>
  <w:footnote w:type="continuationSeparator" w:id="0">
    <w:p w:rsidR="005C7FAD" w:rsidRDefault="005C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64" w:rsidRDefault="00714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58"/>
    <w:multiLevelType w:val="hybridMultilevel"/>
    <w:tmpl w:val="F88CA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7608D0"/>
    <w:multiLevelType w:val="hybridMultilevel"/>
    <w:tmpl w:val="7DF48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7F297F"/>
    <w:multiLevelType w:val="hybridMultilevel"/>
    <w:tmpl w:val="D0EA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51A70"/>
    <w:multiLevelType w:val="hybridMultilevel"/>
    <w:tmpl w:val="441A04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F01F8"/>
    <w:multiLevelType w:val="hybridMultilevel"/>
    <w:tmpl w:val="612A1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3668E"/>
    <w:multiLevelType w:val="hybridMultilevel"/>
    <w:tmpl w:val="262CE284"/>
    <w:lvl w:ilvl="0" w:tplc="EE2A4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33813"/>
    <w:multiLevelType w:val="hybridMultilevel"/>
    <w:tmpl w:val="21D8C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C1FDD"/>
    <w:multiLevelType w:val="hybridMultilevel"/>
    <w:tmpl w:val="125E2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3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6">
    <w:nsid w:val="55EC0826"/>
    <w:multiLevelType w:val="hybridMultilevel"/>
    <w:tmpl w:val="8B304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D3162"/>
    <w:multiLevelType w:val="hybridMultilevel"/>
    <w:tmpl w:val="EC24C3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205B6"/>
    <w:multiLevelType w:val="hybridMultilevel"/>
    <w:tmpl w:val="900C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32"/>
  </w:num>
  <w:num w:numId="5">
    <w:abstractNumId w:val="23"/>
  </w:num>
  <w:num w:numId="6">
    <w:abstractNumId w:val="29"/>
  </w:num>
  <w:num w:numId="7">
    <w:abstractNumId w:val="4"/>
  </w:num>
  <w:num w:numId="8">
    <w:abstractNumId w:val="22"/>
  </w:num>
  <w:num w:numId="9">
    <w:abstractNumId w:val="25"/>
  </w:num>
  <w:num w:numId="10">
    <w:abstractNumId w:val="6"/>
  </w:num>
  <w:num w:numId="11">
    <w:abstractNumId w:val="12"/>
  </w:num>
  <w:num w:numId="12">
    <w:abstractNumId w:val="28"/>
  </w:num>
  <w:num w:numId="13">
    <w:abstractNumId w:val="18"/>
  </w:num>
  <w:num w:numId="14">
    <w:abstractNumId w:val="2"/>
  </w:num>
  <w:num w:numId="15">
    <w:abstractNumId w:val="21"/>
  </w:num>
  <w:num w:numId="16">
    <w:abstractNumId w:val="13"/>
  </w:num>
  <w:num w:numId="17">
    <w:abstractNumId w:val="24"/>
  </w:num>
  <w:num w:numId="18">
    <w:abstractNumId w:val="20"/>
  </w:num>
  <w:num w:numId="19">
    <w:abstractNumId w:val="30"/>
  </w:num>
  <w:num w:numId="20">
    <w:abstractNumId w:val="11"/>
  </w:num>
  <w:num w:numId="21">
    <w:abstractNumId w:val="9"/>
  </w:num>
  <w:num w:numId="22">
    <w:abstractNumId w:val="15"/>
  </w:num>
  <w:num w:numId="23">
    <w:abstractNumId w:val="5"/>
  </w:num>
  <w:num w:numId="24">
    <w:abstractNumId w:val="16"/>
  </w:num>
  <w:num w:numId="25">
    <w:abstractNumId w:val="33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</w:num>
  <w:num w:numId="32">
    <w:abstractNumId w:val="0"/>
  </w:num>
  <w:num w:numId="33">
    <w:abstractNumId w:val="8"/>
  </w:num>
  <w:num w:numId="3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0AC3"/>
    <w:rsid w:val="0015293E"/>
    <w:rsid w:val="00157D2B"/>
    <w:rsid w:val="00175527"/>
    <w:rsid w:val="00176D4A"/>
    <w:rsid w:val="00180D44"/>
    <w:rsid w:val="00185707"/>
    <w:rsid w:val="00190670"/>
    <w:rsid w:val="00192CB4"/>
    <w:rsid w:val="00193741"/>
    <w:rsid w:val="00197B68"/>
    <w:rsid w:val="001A4E90"/>
    <w:rsid w:val="001A5053"/>
    <w:rsid w:val="001B3A86"/>
    <w:rsid w:val="001B6258"/>
    <w:rsid w:val="001D2A55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54ED"/>
    <w:rsid w:val="002A3C39"/>
    <w:rsid w:val="002A3E34"/>
    <w:rsid w:val="002A4126"/>
    <w:rsid w:val="002A651D"/>
    <w:rsid w:val="002B63BC"/>
    <w:rsid w:val="002B6D47"/>
    <w:rsid w:val="002C17C1"/>
    <w:rsid w:val="002E26B9"/>
    <w:rsid w:val="002E2E11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8602B"/>
    <w:rsid w:val="00386A41"/>
    <w:rsid w:val="00394F30"/>
    <w:rsid w:val="003A03CB"/>
    <w:rsid w:val="003B0A06"/>
    <w:rsid w:val="003B626C"/>
    <w:rsid w:val="003C6569"/>
    <w:rsid w:val="003D2887"/>
    <w:rsid w:val="003D3E08"/>
    <w:rsid w:val="003D489F"/>
    <w:rsid w:val="003E03E5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3941"/>
    <w:rsid w:val="00464A6D"/>
    <w:rsid w:val="00466602"/>
    <w:rsid w:val="00470C33"/>
    <w:rsid w:val="004756D3"/>
    <w:rsid w:val="00477196"/>
    <w:rsid w:val="004822A5"/>
    <w:rsid w:val="00490D15"/>
    <w:rsid w:val="00494EE4"/>
    <w:rsid w:val="004958B6"/>
    <w:rsid w:val="004A5EE0"/>
    <w:rsid w:val="004A75B1"/>
    <w:rsid w:val="004B29A9"/>
    <w:rsid w:val="004B4F56"/>
    <w:rsid w:val="004C0EC8"/>
    <w:rsid w:val="004C5FA2"/>
    <w:rsid w:val="004C677C"/>
    <w:rsid w:val="004C6F5C"/>
    <w:rsid w:val="004D0321"/>
    <w:rsid w:val="004D7118"/>
    <w:rsid w:val="004E1517"/>
    <w:rsid w:val="004E7A80"/>
    <w:rsid w:val="004F2E71"/>
    <w:rsid w:val="004F3209"/>
    <w:rsid w:val="004F64DF"/>
    <w:rsid w:val="005109BE"/>
    <w:rsid w:val="00517C3A"/>
    <w:rsid w:val="0052360E"/>
    <w:rsid w:val="00532C2C"/>
    <w:rsid w:val="00532EC4"/>
    <w:rsid w:val="00534510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C7FAD"/>
    <w:rsid w:val="005E01FA"/>
    <w:rsid w:val="005E4C50"/>
    <w:rsid w:val="005F0C84"/>
    <w:rsid w:val="005F11AA"/>
    <w:rsid w:val="005F195A"/>
    <w:rsid w:val="0060216B"/>
    <w:rsid w:val="00604967"/>
    <w:rsid w:val="00607C7F"/>
    <w:rsid w:val="006203A2"/>
    <w:rsid w:val="00623387"/>
    <w:rsid w:val="00625124"/>
    <w:rsid w:val="00635173"/>
    <w:rsid w:val="006468ED"/>
    <w:rsid w:val="006569A3"/>
    <w:rsid w:val="00657CC2"/>
    <w:rsid w:val="00664815"/>
    <w:rsid w:val="0067295A"/>
    <w:rsid w:val="00675C73"/>
    <w:rsid w:val="0068471B"/>
    <w:rsid w:val="0068496F"/>
    <w:rsid w:val="00691369"/>
    <w:rsid w:val="006919AB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4AE8"/>
    <w:rsid w:val="006D535E"/>
    <w:rsid w:val="006E2F1F"/>
    <w:rsid w:val="006F1162"/>
    <w:rsid w:val="006F45C7"/>
    <w:rsid w:val="006F5C8A"/>
    <w:rsid w:val="006F7B59"/>
    <w:rsid w:val="0070365F"/>
    <w:rsid w:val="00710714"/>
    <w:rsid w:val="00714C6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6C3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1D3F"/>
    <w:rsid w:val="007A356A"/>
    <w:rsid w:val="007A4383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0D29"/>
    <w:rsid w:val="00831338"/>
    <w:rsid w:val="00840F53"/>
    <w:rsid w:val="008412C1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D76F0"/>
    <w:rsid w:val="008E204E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4596"/>
    <w:rsid w:val="009269E7"/>
    <w:rsid w:val="009306C6"/>
    <w:rsid w:val="00934782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290B"/>
    <w:rsid w:val="009B32B5"/>
    <w:rsid w:val="009C33D4"/>
    <w:rsid w:val="009D14DD"/>
    <w:rsid w:val="009D4815"/>
    <w:rsid w:val="009E0D79"/>
    <w:rsid w:val="009E1794"/>
    <w:rsid w:val="009E3C5B"/>
    <w:rsid w:val="009E7323"/>
    <w:rsid w:val="00A018C8"/>
    <w:rsid w:val="00A01B48"/>
    <w:rsid w:val="00A03A97"/>
    <w:rsid w:val="00A07A07"/>
    <w:rsid w:val="00A1183A"/>
    <w:rsid w:val="00A14275"/>
    <w:rsid w:val="00A17708"/>
    <w:rsid w:val="00A2083C"/>
    <w:rsid w:val="00A20848"/>
    <w:rsid w:val="00A31B98"/>
    <w:rsid w:val="00A35F42"/>
    <w:rsid w:val="00A40291"/>
    <w:rsid w:val="00A45733"/>
    <w:rsid w:val="00A45F00"/>
    <w:rsid w:val="00A467F0"/>
    <w:rsid w:val="00A46E1F"/>
    <w:rsid w:val="00A531CD"/>
    <w:rsid w:val="00A54167"/>
    <w:rsid w:val="00A605C4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1126"/>
    <w:rsid w:val="00AD1C2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0627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18F1"/>
    <w:rsid w:val="00B847DA"/>
    <w:rsid w:val="00B8770E"/>
    <w:rsid w:val="00B90280"/>
    <w:rsid w:val="00B93457"/>
    <w:rsid w:val="00B961A5"/>
    <w:rsid w:val="00B97B0B"/>
    <w:rsid w:val="00BA763E"/>
    <w:rsid w:val="00BB2DA4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2C4"/>
    <w:rsid w:val="00BF64D8"/>
    <w:rsid w:val="00C01BFB"/>
    <w:rsid w:val="00C053D3"/>
    <w:rsid w:val="00C0569D"/>
    <w:rsid w:val="00C05FA0"/>
    <w:rsid w:val="00C07D8B"/>
    <w:rsid w:val="00C20949"/>
    <w:rsid w:val="00C211B2"/>
    <w:rsid w:val="00C523B4"/>
    <w:rsid w:val="00C52D50"/>
    <w:rsid w:val="00C628C9"/>
    <w:rsid w:val="00C703B6"/>
    <w:rsid w:val="00C734A2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57BA2"/>
    <w:rsid w:val="00D655CC"/>
    <w:rsid w:val="00D6660C"/>
    <w:rsid w:val="00D7033C"/>
    <w:rsid w:val="00D76098"/>
    <w:rsid w:val="00D76A89"/>
    <w:rsid w:val="00D76BFD"/>
    <w:rsid w:val="00D803BA"/>
    <w:rsid w:val="00D91037"/>
    <w:rsid w:val="00D921A3"/>
    <w:rsid w:val="00DA2D96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47E9"/>
    <w:rsid w:val="00DE6E0E"/>
    <w:rsid w:val="00DF00F8"/>
    <w:rsid w:val="00DF3185"/>
    <w:rsid w:val="00DF3E42"/>
    <w:rsid w:val="00E0729A"/>
    <w:rsid w:val="00E150F2"/>
    <w:rsid w:val="00E1783C"/>
    <w:rsid w:val="00E24870"/>
    <w:rsid w:val="00E2557D"/>
    <w:rsid w:val="00E30635"/>
    <w:rsid w:val="00E320A8"/>
    <w:rsid w:val="00E42F5E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0D5F"/>
    <w:rsid w:val="00F51B57"/>
    <w:rsid w:val="00F524C7"/>
    <w:rsid w:val="00F55731"/>
    <w:rsid w:val="00F55EFB"/>
    <w:rsid w:val="00F56366"/>
    <w:rsid w:val="00F6631C"/>
    <w:rsid w:val="00F768A3"/>
    <w:rsid w:val="00F76D98"/>
    <w:rsid w:val="00F8597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h.gov.uk/en/Publicationsandstatistics/Publications/PublicationsPolicyAndGuidance/DH_113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9B89-2B94-482D-A2C4-0736AB9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3687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2015-10-21T22:35:00Z</dcterms:created>
  <dcterms:modified xsi:type="dcterms:W3CDTF">2015-10-21T22:35:00Z</dcterms:modified>
</cp:coreProperties>
</file>