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90C" w:rsidRPr="00DD7564" w:rsidRDefault="00E7390C" w:rsidP="00DD689C">
                            <w:pPr>
                              <w:rPr>
                                <w:rFonts w:ascii="Arial" w:hAnsi="Arial" w:cs="Arial"/>
                                <w:sz w:val="32"/>
                                <w:szCs w:val="32"/>
                              </w:rPr>
                            </w:pPr>
                            <w:r>
                              <w:rPr>
                                <w:rFonts w:ascii="Arial" w:hAnsi="Arial" w:cs="Arial"/>
                                <w:sz w:val="32"/>
                                <w:szCs w:val="32"/>
                              </w:rPr>
                              <w:t xml:space="preserve">Attachment </w:t>
                            </w:r>
                            <w:r w:rsidR="00654847">
                              <w:rPr>
                                <w:rFonts w:ascii="Arial" w:hAnsi="Arial" w:cs="Arial"/>
                                <w:sz w:val="32"/>
                                <w:szCs w:val="32"/>
                              </w:rPr>
                              <w:t xml:space="preserve">  5</w:t>
                            </w:r>
                            <w:bookmarkStart w:id="0" w:name="_GoBack"/>
                            <w:bookmarkEnd w:id="0"/>
                          </w:p>
                          <w:p w:rsidR="00E7390C" w:rsidRDefault="00E7390C"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E7390C" w:rsidRPr="00DD7564" w:rsidRDefault="00E7390C" w:rsidP="00DD689C">
                      <w:pPr>
                        <w:rPr>
                          <w:rFonts w:ascii="Arial" w:hAnsi="Arial" w:cs="Arial"/>
                          <w:sz w:val="32"/>
                          <w:szCs w:val="32"/>
                        </w:rPr>
                      </w:pPr>
                      <w:r>
                        <w:rPr>
                          <w:rFonts w:ascii="Arial" w:hAnsi="Arial" w:cs="Arial"/>
                          <w:sz w:val="32"/>
                          <w:szCs w:val="32"/>
                        </w:rPr>
                        <w:t xml:space="preserve">Attachment </w:t>
                      </w:r>
                      <w:r w:rsidR="00654847">
                        <w:rPr>
                          <w:rFonts w:ascii="Arial" w:hAnsi="Arial" w:cs="Arial"/>
                          <w:sz w:val="32"/>
                          <w:szCs w:val="32"/>
                        </w:rPr>
                        <w:t xml:space="preserve">  5</w:t>
                      </w:r>
                      <w:bookmarkStart w:id="1" w:name="_GoBack"/>
                      <w:bookmarkEnd w:id="1"/>
                    </w:p>
                    <w:p w:rsidR="00E7390C" w:rsidRDefault="00E7390C" w:rsidP="00DD689C">
                      <w:pPr>
                        <w:rPr>
                          <w:sz w:val="36"/>
                        </w:rPr>
                      </w:pPr>
                    </w:p>
                  </w:txbxContent>
                </v:textbox>
              </v:shape>
            </w:pict>
          </mc:Fallback>
        </mc:AlternateContent>
      </w:r>
    </w:p>
    <w:p w:rsidR="006A74AF" w:rsidRPr="006A74AF" w:rsidRDefault="007A1D3F" w:rsidP="007A1D3F">
      <w:pPr>
        <w:pStyle w:val="Header"/>
        <w:jc w:val="right"/>
        <w:rPr>
          <w:b/>
          <w:color w:val="365F91"/>
        </w:rPr>
      </w:pPr>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1D3F" w:rsidP="007A1D3F">
            <w:pPr>
              <w:rPr>
                <w:rFonts w:ascii="Arial" w:hAnsi="Arial" w:cs="Arial"/>
                <w:bCs/>
                <w:sz w:val="22"/>
                <w:szCs w:val="22"/>
              </w:rPr>
            </w:pPr>
            <w:r w:rsidRPr="001A5053">
              <w:rPr>
                <w:rFonts w:ascii="Arial" w:hAnsi="Arial" w:cs="Arial"/>
                <w:bCs/>
                <w:sz w:val="22"/>
                <w:szCs w:val="22"/>
              </w:rPr>
              <w:t>Julie Wilson</w:t>
            </w:r>
            <w:r w:rsidR="00DE47E9" w:rsidRPr="001A5053">
              <w:rPr>
                <w:rFonts w:ascii="Arial" w:hAnsi="Arial" w:cs="Arial"/>
                <w:bCs/>
                <w:sz w:val="22"/>
                <w:szCs w:val="22"/>
              </w:rPr>
              <w:t>, Assistant Director Co-Commissioning</w:t>
            </w:r>
            <w:r w:rsidR="00A018C8" w:rsidRPr="001A5053">
              <w:rPr>
                <w:rFonts w:ascii="Arial" w:hAnsi="Arial" w:cs="Arial"/>
                <w:bCs/>
                <w:sz w:val="22"/>
                <w:szCs w:val="22"/>
              </w:rPr>
              <w:t xml:space="preserv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1D3F" w:rsidP="00BC5CEC">
            <w:pPr>
              <w:rPr>
                <w:rFonts w:ascii="Arial" w:hAnsi="Arial" w:cs="Arial"/>
                <w:bCs/>
                <w:sz w:val="22"/>
                <w:szCs w:val="22"/>
              </w:rPr>
            </w:pPr>
            <w:r w:rsidRPr="001A5053">
              <w:rPr>
                <w:rFonts w:ascii="Arial" w:hAnsi="Arial" w:cs="Arial"/>
                <w:bCs/>
                <w:sz w:val="22"/>
                <w:szCs w:val="22"/>
              </w:rPr>
              <w:t>1</w:t>
            </w:r>
            <w:r w:rsidRPr="001A5053">
              <w:rPr>
                <w:rFonts w:ascii="Arial" w:hAnsi="Arial" w:cs="Arial"/>
                <w:bCs/>
                <w:sz w:val="22"/>
                <w:szCs w:val="22"/>
                <w:vertAlign w:val="superscript"/>
              </w:rPr>
              <w:t>st</w:t>
            </w:r>
            <w:r w:rsidRPr="001A5053">
              <w:rPr>
                <w:rFonts w:ascii="Arial" w:hAnsi="Arial" w:cs="Arial"/>
                <w:bCs/>
                <w:sz w:val="22"/>
                <w:szCs w:val="22"/>
              </w:rPr>
              <w:t xml:space="preserve"> September 2015</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1D3F" w:rsidP="007A1D3F">
            <w:pPr>
              <w:rPr>
                <w:rFonts w:ascii="Arial" w:hAnsi="Arial" w:cs="Arial"/>
                <w:bCs/>
                <w:sz w:val="22"/>
                <w:szCs w:val="22"/>
              </w:rPr>
            </w:pPr>
            <w:r w:rsidRPr="001A5053">
              <w:rPr>
                <w:rFonts w:ascii="Arial" w:hAnsi="Arial" w:cs="Arial"/>
                <w:bCs/>
                <w:sz w:val="22"/>
                <w:szCs w:val="22"/>
              </w:rPr>
              <w:t>Futu</w:t>
            </w:r>
            <w:r w:rsidR="001A5053" w:rsidRPr="001A5053">
              <w:rPr>
                <w:rFonts w:ascii="Arial" w:hAnsi="Arial" w:cs="Arial"/>
                <w:bCs/>
                <w:sz w:val="22"/>
                <w:szCs w:val="22"/>
              </w:rPr>
              <w:t xml:space="preserve">re commissioning of services to </w:t>
            </w:r>
            <w:r w:rsidRPr="001A5053">
              <w:rPr>
                <w:rFonts w:ascii="Arial" w:hAnsi="Arial" w:cs="Arial"/>
                <w:bCs/>
                <w:sz w:val="22"/>
                <w:szCs w:val="22"/>
              </w:rPr>
              <w:t xml:space="preserve"> </w:t>
            </w:r>
            <w:r w:rsidR="001A5053" w:rsidRPr="001A5053">
              <w:rPr>
                <w:rFonts w:ascii="Arial" w:hAnsi="Arial" w:cs="Arial"/>
                <w:bCs/>
                <w:sz w:val="22"/>
                <w:szCs w:val="22"/>
              </w:rPr>
              <w:t>ensure tailored care for v</w:t>
            </w:r>
            <w:r w:rsidRPr="001A5053">
              <w:rPr>
                <w:rFonts w:ascii="Arial" w:hAnsi="Arial" w:cs="Arial"/>
                <w:bCs/>
                <w:sz w:val="22"/>
                <w:szCs w:val="22"/>
              </w:rPr>
              <w:t xml:space="preserve">ulnerable and </w:t>
            </w:r>
            <w:r w:rsidR="001A5053" w:rsidRPr="001A5053">
              <w:rPr>
                <w:rFonts w:ascii="Arial" w:hAnsi="Arial" w:cs="Arial"/>
                <w:bCs/>
                <w:sz w:val="22"/>
                <w:szCs w:val="22"/>
              </w:rPr>
              <w:t>older p</w:t>
            </w:r>
            <w:r w:rsidRPr="001A5053">
              <w:rPr>
                <w:rFonts w:ascii="Arial" w:hAnsi="Arial" w:cs="Arial"/>
                <w:bCs/>
                <w:sz w:val="22"/>
                <w:szCs w:val="22"/>
              </w:rPr>
              <w:t>eople (Over 75s)</w:t>
            </w:r>
          </w:p>
          <w:p w:rsidR="001A5053" w:rsidRPr="001A5053" w:rsidRDefault="001A5053" w:rsidP="007A1D3F">
            <w:pPr>
              <w:rPr>
                <w:rFonts w:ascii="Arial" w:hAnsi="Arial" w:cs="Arial"/>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2"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2"/>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3"/>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4C0EC8" w:rsidRDefault="00150AC3" w:rsidP="00175527">
            <w:pPr>
              <w:jc w:val="both"/>
              <w:rPr>
                <w:rFonts w:ascii="Arial" w:hAnsi="Arial" w:cs="Arial"/>
                <w:sz w:val="22"/>
                <w:szCs w:val="22"/>
              </w:rPr>
            </w:pPr>
            <w:r w:rsidRPr="004C0EC8">
              <w:rPr>
                <w:rFonts w:ascii="Arial" w:hAnsi="Arial" w:cs="Arial"/>
                <w:bCs/>
                <w:sz w:val="22"/>
                <w:szCs w:val="22"/>
              </w:rPr>
              <w:t xml:space="preserve">This report has been prepared to provide an update to the Joint Co-Commissioning Committee regarding </w:t>
            </w:r>
            <w:r w:rsidR="004C0EC8" w:rsidRPr="004C0EC8">
              <w:rPr>
                <w:rFonts w:ascii="Arial" w:hAnsi="Arial" w:cs="Arial"/>
                <w:bCs/>
                <w:sz w:val="22"/>
                <w:szCs w:val="22"/>
              </w:rPr>
              <w:t>strategy, implementati</w:t>
            </w:r>
            <w:r w:rsidR="004C0EC8">
              <w:rPr>
                <w:rFonts w:ascii="Arial" w:hAnsi="Arial" w:cs="Arial"/>
                <w:bCs/>
                <w:sz w:val="22"/>
                <w:szCs w:val="22"/>
              </w:rPr>
              <w:t xml:space="preserve">on, </w:t>
            </w:r>
            <w:r w:rsidR="004C0EC8" w:rsidRPr="004C0EC8">
              <w:rPr>
                <w:rFonts w:ascii="Arial" w:hAnsi="Arial" w:cs="Arial"/>
                <w:bCs/>
                <w:sz w:val="22"/>
                <w:szCs w:val="22"/>
              </w:rPr>
              <w:t xml:space="preserve">delivery outcomes </w:t>
            </w:r>
            <w:r w:rsidR="004C0EC8">
              <w:rPr>
                <w:rFonts w:ascii="Arial" w:hAnsi="Arial" w:cs="Arial"/>
                <w:bCs/>
                <w:sz w:val="22"/>
                <w:szCs w:val="22"/>
              </w:rPr>
              <w:t xml:space="preserve">and proposals for future funding </w:t>
            </w:r>
            <w:r w:rsidR="004C0EC8" w:rsidRPr="004C0EC8">
              <w:rPr>
                <w:rFonts w:ascii="Arial" w:hAnsi="Arial" w:cs="Arial"/>
                <w:bCs/>
                <w:sz w:val="22"/>
                <w:szCs w:val="22"/>
              </w:rPr>
              <w:t xml:space="preserve">of the </w:t>
            </w:r>
            <w:r w:rsidR="004C0EC8" w:rsidRPr="004C0EC8">
              <w:rPr>
                <w:rFonts w:ascii="Arial" w:hAnsi="Arial" w:cs="Arial"/>
                <w:sz w:val="22"/>
                <w:szCs w:val="22"/>
              </w:rPr>
              <w:t>Ensuring Tailored Care for Vulnerable and Older People (Over 75s)</w:t>
            </w:r>
            <w:r w:rsidR="004C0EC8">
              <w:rPr>
                <w:rFonts w:ascii="Arial" w:hAnsi="Arial" w:cs="Arial"/>
                <w:sz w:val="22"/>
                <w:szCs w:val="22"/>
              </w:rPr>
              <w:t xml:space="preserve"> commissioned services within Primary Care.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4C0EC8" w:rsidP="00175527">
            <w:pPr>
              <w:jc w:val="both"/>
              <w:rPr>
                <w:rFonts w:ascii="Arial" w:hAnsi="Arial" w:cs="Arial"/>
                <w:bCs/>
                <w:sz w:val="22"/>
                <w:szCs w:val="22"/>
              </w:rPr>
            </w:pPr>
            <w:r>
              <w:rPr>
                <w:rFonts w:ascii="Arial" w:hAnsi="Arial" w:cs="Arial"/>
                <w:bCs/>
                <w:sz w:val="22"/>
                <w:szCs w:val="22"/>
              </w:rPr>
              <w:t>The proposal contained within the attached paper is</w:t>
            </w:r>
            <w:r w:rsidR="00150AC3">
              <w:rPr>
                <w:rFonts w:ascii="Arial" w:hAnsi="Arial" w:cs="Arial"/>
                <w:bCs/>
                <w:sz w:val="22"/>
                <w:szCs w:val="22"/>
              </w:rPr>
              <w:t xml:space="preserve"> consistent with the primary care strategy presented to the Committee at the meeting on 23</w:t>
            </w:r>
            <w:r w:rsidR="00150AC3" w:rsidRPr="00150AC3">
              <w:rPr>
                <w:rFonts w:ascii="Arial" w:hAnsi="Arial" w:cs="Arial"/>
                <w:bCs/>
                <w:sz w:val="22"/>
                <w:szCs w:val="22"/>
                <w:vertAlign w:val="superscript"/>
              </w:rPr>
              <w:t>rd</w:t>
            </w:r>
            <w:r w:rsidR="00150AC3">
              <w:rPr>
                <w:rFonts w:ascii="Arial" w:hAnsi="Arial" w:cs="Arial"/>
                <w:bCs/>
                <w:sz w:val="22"/>
                <w:szCs w:val="22"/>
              </w:rPr>
              <w:t xml:space="preserve"> April 2015.</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BB2DA4" w:rsidRPr="00192CB4" w:rsidRDefault="00150AC3" w:rsidP="00192CB4">
            <w:pPr>
              <w:jc w:val="both"/>
              <w:rPr>
                <w:rFonts w:ascii="Arial" w:hAnsi="Arial" w:cs="Arial"/>
                <w:bCs/>
                <w:sz w:val="22"/>
                <w:szCs w:val="22"/>
              </w:rPr>
            </w:pPr>
            <w:r w:rsidRPr="00192CB4">
              <w:rPr>
                <w:rFonts w:ascii="Arial" w:hAnsi="Arial" w:cs="Arial"/>
                <w:bCs/>
                <w:sz w:val="22"/>
                <w:szCs w:val="22"/>
              </w:rPr>
              <w:t xml:space="preserve">The attached paper provides overview of the </w:t>
            </w:r>
            <w:r w:rsidR="00192CB4" w:rsidRPr="00192CB4">
              <w:rPr>
                <w:rFonts w:ascii="Arial" w:hAnsi="Arial" w:cs="Arial"/>
                <w:bCs/>
                <w:sz w:val="22"/>
                <w:szCs w:val="22"/>
              </w:rPr>
              <w:t xml:space="preserve">background and strategy deployed by NEL CCG following </w:t>
            </w:r>
            <w:r w:rsidR="00192CB4" w:rsidRPr="00192CB4">
              <w:rPr>
                <w:rFonts w:ascii="Arial" w:hAnsi="Arial" w:cs="Arial"/>
                <w:sz w:val="22"/>
                <w:szCs w:val="22"/>
              </w:rPr>
              <w:t xml:space="preserve">‘Everyone Counts: Planning for Patients 2014/15 – 2018/19’ requirement for specific focus during 2014/15 </w:t>
            </w:r>
            <w:r w:rsidR="00192CB4">
              <w:rPr>
                <w:rFonts w:ascii="Arial" w:hAnsi="Arial" w:cs="Arial"/>
                <w:sz w:val="22"/>
                <w:szCs w:val="22"/>
              </w:rPr>
              <w:t xml:space="preserve">to be </w:t>
            </w:r>
            <w:r w:rsidR="00192CB4" w:rsidRPr="00192CB4">
              <w:rPr>
                <w:rFonts w:ascii="Arial" w:hAnsi="Arial" w:cs="Arial"/>
                <w:sz w:val="22"/>
                <w:szCs w:val="22"/>
              </w:rPr>
              <w:t>on those patients aged 75 and over and those with complex needs</w:t>
            </w:r>
            <w:r w:rsidR="00192CB4" w:rsidRPr="00192CB4">
              <w:rPr>
                <w:rFonts w:ascii="Arial" w:hAnsi="Arial" w:cs="Arial"/>
                <w:bCs/>
                <w:sz w:val="22"/>
                <w:szCs w:val="22"/>
              </w:rPr>
              <w:t>.</w:t>
            </w:r>
          </w:p>
          <w:p w:rsidR="00150AC3" w:rsidRPr="00192CB4" w:rsidRDefault="00150AC3" w:rsidP="00585083">
            <w:pPr>
              <w:jc w:val="both"/>
              <w:rPr>
                <w:rFonts w:ascii="Arial" w:hAnsi="Arial" w:cs="Arial"/>
                <w:bCs/>
                <w:sz w:val="22"/>
                <w:szCs w:val="22"/>
              </w:rPr>
            </w:pPr>
          </w:p>
          <w:p w:rsidR="006A74AF" w:rsidRDefault="00192CB4" w:rsidP="00585083">
            <w:pPr>
              <w:jc w:val="both"/>
              <w:rPr>
                <w:rFonts w:ascii="Arial" w:hAnsi="Arial" w:cs="Arial"/>
                <w:bCs/>
                <w:sz w:val="22"/>
                <w:szCs w:val="22"/>
              </w:rPr>
            </w:pPr>
            <w:r>
              <w:rPr>
                <w:rFonts w:ascii="Arial" w:hAnsi="Arial" w:cs="Arial"/>
                <w:bCs/>
                <w:sz w:val="22"/>
                <w:szCs w:val="22"/>
              </w:rPr>
              <w:t xml:space="preserve">The paper also provides a high level overview of </w:t>
            </w:r>
            <w:r w:rsidRPr="00192CB4">
              <w:rPr>
                <w:rFonts w:ascii="Arial" w:hAnsi="Arial" w:cs="Arial"/>
                <w:bCs/>
                <w:sz w:val="22"/>
                <w:szCs w:val="22"/>
              </w:rPr>
              <w:t xml:space="preserve">the audit outcomes </w:t>
            </w:r>
            <w:r>
              <w:rPr>
                <w:rFonts w:ascii="Arial" w:hAnsi="Arial" w:cs="Arial"/>
                <w:bCs/>
                <w:sz w:val="22"/>
                <w:szCs w:val="22"/>
              </w:rPr>
              <w:t>achieved by the schemes in line with the quality measures determined for the initiative. Based on those outcomes, the paper includes recommendations to realign funding to other services</w:t>
            </w:r>
            <w:r w:rsidR="004C0EC8">
              <w:rPr>
                <w:rFonts w:ascii="Arial" w:hAnsi="Arial" w:cs="Arial"/>
                <w:bCs/>
                <w:sz w:val="22"/>
                <w:szCs w:val="22"/>
              </w:rPr>
              <w:t xml:space="preserve"> which are detailed within. </w:t>
            </w:r>
          </w:p>
          <w:p w:rsidR="00C211B2" w:rsidRDefault="00C211B2" w:rsidP="00585083">
            <w:pPr>
              <w:jc w:val="both"/>
              <w:rPr>
                <w:rFonts w:ascii="Arial" w:hAnsi="Arial" w:cs="Arial"/>
                <w:bCs/>
                <w:sz w:val="22"/>
                <w:szCs w:val="22"/>
              </w:rPr>
            </w:pPr>
          </w:p>
          <w:p w:rsidR="00DD7564" w:rsidRPr="00752FD6" w:rsidRDefault="00DD7564" w:rsidP="00192CB4">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46E1F" w:rsidRDefault="00A46E1F" w:rsidP="00A46E1F">
            <w:pPr>
              <w:rPr>
                <w:rFonts w:ascii="Arial" w:hAnsi="Arial" w:cs="Arial"/>
                <w:b/>
                <w:sz w:val="22"/>
                <w:szCs w:val="22"/>
              </w:rPr>
            </w:pPr>
            <w:r w:rsidRPr="00BF62C4">
              <w:rPr>
                <w:rFonts w:ascii="Arial" w:hAnsi="Arial" w:cs="Arial"/>
                <w:b/>
                <w:bCs/>
                <w:sz w:val="22"/>
                <w:szCs w:val="22"/>
              </w:rPr>
              <w:t xml:space="preserve">The Joint Co-Commissioning Committee is asked to agree in principle </w:t>
            </w:r>
            <w:r w:rsidRPr="00BF62C4">
              <w:rPr>
                <w:rFonts w:ascii="Arial" w:hAnsi="Arial" w:cs="Arial"/>
                <w:b/>
                <w:sz w:val="22"/>
                <w:szCs w:val="22"/>
              </w:rPr>
              <w:t>to cease funding</w:t>
            </w:r>
            <w:r>
              <w:rPr>
                <w:rFonts w:ascii="Arial" w:hAnsi="Arial" w:cs="Arial"/>
                <w:b/>
                <w:sz w:val="22"/>
                <w:szCs w:val="22"/>
              </w:rPr>
              <w:t xml:space="preserve"> the specific Practice level services, </w:t>
            </w:r>
            <w:r w:rsidRPr="00BF62C4">
              <w:rPr>
                <w:rFonts w:ascii="Arial" w:hAnsi="Arial" w:cs="Arial"/>
                <w:b/>
                <w:sz w:val="22"/>
                <w:szCs w:val="22"/>
              </w:rPr>
              <w:t>and realign</w:t>
            </w:r>
            <w:r>
              <w:rPr>
                <w:rFonts w:ascii="Arial" w:hAnsi="Arial" w:cs="Arial"/>
                <w:b/>
                <w:sz w:val="22"/>
                <w:szCs w:val="22"/>
              </w:rPr>
              <w:t xml:space="preserve"> funding</w:t>
            </w:r>
            <w:r w:rsidRPr="00BF62C4">
              <w:rPr>
                <w:rFonts w:ascii="Arial" w:hAnsi="Arial" w:cs="Arial"/>
                <w:b/>
                <w:sz w:val="22"/>
                <w:szCs w:val="22"/>
              </w:rPr>
              <w:t xml:space="preserve"> to other service</w:t>
            </w:r>
            <w:r>
              <w:rPr>
                <w:rFonts w:ascii="Arial" w:hAnsi="Arial" w:cs="Arial"/>
                <w:b/>
                <w:sz w:val="22"/>
                <w:szCs w:val="22"/>
              </w:rPr>
              <w:t xml:space="preserve">s as outlined in the attached paper. </w:t>
            </w:r>
          </w:p>
          <w:p w:rsidR="00A46E1F" w:rsidRPr="00BF62C4" w:rsidRDefault="00A46E1F" w:rsidP="00A46E1F">
            <w:pPr>
              <w:rPr>
                <w:rFonts w:ascii="Arial" w:hAnsi="Arial" w:cs="Arial"/>
                <w:b/>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E30635" w:rsidP="00A46E1F">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4C0EC8"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E30635" w:rsidP="00A46E1F">
            <w:pPr>
              <w:spacing w:before="80" w:after="80"/>
              <w:rPr>
                <w:rFonts w:ascii="Arial" w:hAnsi="Arial" w:cs="Arial"/>
                <w:sz w:val="22"/>
                <w:szCs w:val="22"/>
              </w:rPr>
            </w:pPr>
            <w:r>
              <w:rPr>
                <w:rFonts w:ascii="Arial" w:hAnsi="Arial" w:cs="Arial"/>
                <w:sz w:val="22"/>
                <w:szCs w:val="22"/>
              </w:rPr>
              <w:t xml:space="preserve">A </w:t>
            </w:r>
            <w:r w:rsidR="004C0EC8">
              <w:rPr>
                <w:rFonts w:ascii="Arial" w:hAnsi="Arial" w:cs="Arial"/>
                <w:sz w:val="22"/>
                <w:szCs w:val="22"/>
              </w:rPr>
              <w:t>full equality impact assessment has been undertaken for each service</w:t>
            </w:r>
            <w:r w:rsidR="00A605C4">
              <w:rPr>
                <w:rFonts w:ascii="Arial" w:hAnsi="Arial" w:cs="Arial"/>
                <w:sz w:val="22"/>
                <w:szCs w:val="22"/>
              </w:rPr>
              <w:t xml:space="preserve"> and further assessments will be considered as services develop. </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E30635" w:rsidP="00A46E1F">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E30635" w:rsidP="00A46E1F">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54847" w:rsidP="00A46E1F">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934782" w:rsidP="00A605C4">
      <w:pPr>
        <w:rPr>
          <w:rFonts w:asciiTheme="minorHAnsi" w:hAnsiTheme="minorHAnsi" w:cstheme="minorHAnsi"/>
          <w:b/>
          <w:sz w:val="28"/>
          <w:szCs w:val="28"/>
        </w:rPr>
      </w:pPr>
      <w:r>
        <w:rPr>
          <w:rFonts w:ascii="Arial" w:hAnsi="Arial" w:cs="Arial"/>
          <w:b/>
          <w:bCs/>
          <w:szCs w:val="22"/>
        </w:rPr>
        <w:br w:type="page"/>
      </w:r>
      <w:r w:rsidR="00A605C4" w:rsidRPr="00A605C4">
        <w:rPr>
          <w:rFonts w:asciiTheme="minorHAnsi" w:hAnsiTheme="minorHAnsi" w:cstheme="minorHAnsi"/>
          <w:b/>
          <w:sz w:val="28"/>
          <w:szCs w:val="28"/>
        </w:rPr>
        <w:lastRenderedPageBreak/>
        <w:t>Ensuring Tailored Care for Vulnerable and Older People (Over 75s) Outcome Report</w:t>
      </w:r>
      <w:r w:rsidR="00A605C4" w:rsidRPr="00A605C4">
        <w:rPr>
          <w:rFonts w:asciiTheme="minorHAnsi" w:hAnsiTheme="minorHAnsi" w:cstheme="minorHAnsi"/>
          <w:b/>
          <w:sz w:val="28"/>
          <w:szCs w:val="28"/>
        </w:rPr>
        <w:br/>
      </w:r>
      <w:r w:rsidR="00A605C4" w:rsidRPr="00A605C4">
        <w:rPr>
          <w:rFonts w:asciiTheme="minorHAnsi" w:hAnsiTheme="minorHAnsi" w:cstheme="minorHAnsi"/>
          <w:b/>
        </w:rPr>
        <w:t>Prepared for the Joint Co-Commissioning Committee, 1</w:t>
      </w:r>
      <w:r w:rsidR="00A605C4" w:rsidRPr="00A605C4">
        <w:rPr>
          <w:rFonts w:asciiTheme="minorHAnsi" w:hAnsiTheme="minorHAnsi" w:cstheme="minorHAnsi"/>
          <w:b/>
          <w:vertAlign w:val="superscript"/>
        </w:rPr>
        <w:t>st</w:t>
      </w:r>
      <w:r w:rsidR="00A605C4" w:rsidRPr="00A605C4">
        <w:rPr>
          <w:rFonts w:asciiTheme="minorHAnsi" w:hAnsiTheme="minorHAnsi" w:cstheme="minorHAnsi"/>
          <w:b/>
        </w:rPr>
        <w:t xml:space="preserve"> September 2015</w:t>
      </w:r>
    </w:p>
    <w:p w:rsidR="00A605C4" w:rsidRPr="00A605C4" w:rsidRDefault="00A605C4" w:rsidP="00A605C4">
      <w:pPr>
        <w:autoSpaceDE w:val="0"/>
        <w:autoSpaceDN w:val="0"/>
        <w:adjustRightInd w:val="0"/>
        <w:jc w:val="both"/>
        <w:rPr>
          <w:rFonts w:asciiTheme="minorHAnsi" w:hAnsiTheme="minorHAnsi" w:cstheme="minorHAnsi"/>
          <w:b/>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A605C4" w:rsidRPr="00A605C4" w:rsidTr="005145DA">
        <w:trPr>
          <w:trHeight w:val="1444"/>
        </w:trPr>
        <w:tc>
          <w:tcPr>
            <w:tcW w:w="9889" w:type="dxa"/>
          </w:tcPr>
          <w:p w:rsidR="00A605C4" w:rsidRPr="00A605C4" w:rsidRDefault="00A605C4" w:rsidP="00A605C4">
            <w:pPr>
              <w:pStyle w:val="Default"/>
              <w:spacing w:line="276" w:lineRule="auto"/>
              <w:jc w:val="both"/>
              <w:rPr>
                <w:rFonts w:asciiTheme="minorHAnsi" w:hAnsiTheme="minorHAnsi" w:cstheme="minorHAnsi"/>
                <w:sz w:val="22"/>
                <w:szCs w:val="22"/>
              </w:rPr>
            </w:pPr>
            <w:r w:rsidRPr="00A605C4">
              <w:rPr>
                <w:rFonts w:asciiTheme="minorHAnsi" w:hAnsiTheme="minorHAnsi" w:cstheme="minorHAnsi"/>
                <w:b/>
                <w:sz w:val="26"/>
                <w:szCs w:val="26"/>
              </w:rPr>
              <w:t>Introduction</w:t>
            </w:r>
            <w:r w:rsidRPr="00A605C4">
              <w:rPr>
                <w:rFonts w:asciiTheme="minorHAnsi" w:hAnsiTheme="minorHAnsi" w:cstheme="minorHAnsi"/>
                <w:b/>
                <w:sz w:val="26"/>
                <w:szCs w:val="26"/>
              </w:rPr>
              <w:br/>
            </w:r>
            <w:r w:rsidRPr="00A605C4">
              <w:rPr>
                <w:rFonts w:asciiTheme="minorHAnsi" w:hAnsiTheme="minorHAnsi" w:cstheme="minorHAnsi"/>
                <w:sz w:val="22"/>
                <w:szCs w:val="22"/>
              </w:rPr>
              <w:t xml:space="preserve">‘Everyone Counts: Planning for Patients 2014/15 – 2018/19’ </w:t>
            </w:r>
            <w:r w:rsidR="005145DA">
              <w:rPr>
                <w:rFonts w:asciiTheme="minorHAnsi" w:hAnsiTheme="minorHAnsi" w:cstheme="minorHAnsi"/>
                <w:sz w:val="22"/>
                <w:szCs w:val="22"/>
              </w:rPr>
              <w:t xml:space="preserve">outlined a </w:t>
            </w:r>
            <w:r w:rsidRPr="00A605C4">
              <w:rPr>
                <w:rFonts w:asciiTheme="minorHAnsi" w:hAnsiTheme="minorHAnsi" w:cstheme="minorHAnsi"/>
                <w:sz w:val="22"/>
                <w:szCs w:val="22"/>
              </w:rPr>
              <w:t xml:space="preserve">requirement for specific focus during 2014/15 on those patients aged 75 and over and those with complex needs. The new GP contract secured specific arrangements for all patients aged 75 and over to have an accountable GP, and for those who need it, a comprehensive and coordinated package of care. </w:t>
            </w:r>
          </w:p>
          <w:p w:rsidR="00A605C4" w:rsidRPr="00A605C4" w:rsidRDefault="00A605C4" w:rsidP="00A605C4">
            <w:pPr>
              <w:pStyle w:val="Default"/>
              <w:spacing w:line="276" w:lineRule="auto"/>
              <w:jc w:val="both"/>
              <w:rPr>
                <w:rFonts w:asciiTheme="minorHAnsi" w:hAnsiTheme="minorHAnsi" w:cstheme="minorHAnsi"/>
                <w:sz w:val="22"/>
                <w:szCs w:val="22"/>
              </w:rPr>
            </w:pPr>
          </w:p>
          <w:p w:rsidR="00A605C4" w:rsidRPr="00A605C4" w:rsidRDefault="00691369" w:rsidP="005145DA">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Although the guidance does not specify which provider should deliver services, </w:t>
            </w:r>
            <w:r w:rsidR="00A605C4" w:rsidRPr="00A605C4">
              <w:rPr>
                <w:rFonts w:asciiTheme="minorHAnsi" w:hAnsiTheme="minorHAnsi" w:cstheme="minorHAnsi"/>
                <w:sz w:val="22"/>
                <w:szCs w:val="22"/>
              </w:rPr>
              <w:t xml:space="preserve">NELCCG </w:t>
            </w:r>
            <w:r w:rsidR="004A5628">
              <w:rPr>
                <w:rFonts w:asciiTheme="minorHAnsi" w:hAnsiTheme="minorHAnsi" w:cstheme="minorHAnsi"/>
                <w:sz w:val="22"/>
                <w:szCs w:val="22"/>
              </w:rPr>
              <w:t xml:space="preserve">took the decision to invest the funding in </w:t>
            </w:r>
            <w:r w:rsidR="00A605C4" w:rsidRPr="00A605C4">
              <w:rPr>
                <w:rFonts w:asciiTheme="minorHAnsi" w:hAnsiTheme="minorHAnsi" w:cstheme="minorHAnsi"/>
                <w:sz w:val="22"/>
                <w:szCs w:val="22"/>
              </w:rPr>
              <w:t xml:space="preserve">General Practice by </w:t>
            </w:r>
            <w:r w:rsidR="004A5628">
              <w:rPr>
                <w:rFonts w:asciiTheme="minorHAnsi" w:hAnsiTheme="minorHAnsi" w:cstheme="minorHAnsi"/>
                <w:sz w:val="22"/>
                <w:szCs w:val="22"/>
              </w:rPr>
              <w:t>offering</w:t>
            </w:r>
            <w:r w:rsidR="00A605C4" w:rsidRPr="00A605C4">
              <w:rPr>
                <w:rFonts w:asciiTheme="minorHAnsi" w:hAnsiTheme="minorHAnsi" w:cstheme="minorHAnsi"/>
                <w:sz w:val="22"/>
                <w:szCs w:val="22"/>
              </w:rPr>
              <w:t xml:space="preserve"> £5 per </w:t>
            </w:r>
            <w:r w:rsidR="004A5628">
              <w:rPr>
                <w:rFonts w:asciiTheme="minorHAnsi" w:hAnsiTheme="minorHAnsi" w:cstheme="minorHAnsi"/>
                <w:sz w:val="22"/>
                <w:szCs w:val="22"/>
              </w:rPr>
              <w:t xml:space="preserve">head of </w:t>
            </w:r>
            <w:r w:rsidR="00A605C4" w:rsidRPr="00A605C4">
              <w:rPr>
                <w:rFonts w:asciiTheme="minorHAnsi" w:hAnsiTheme="minorHAnsi" w:cstheme="minorHAnsi"/>
                <w:sz w:val="22"/>
                <w:szCs w:val="22"/>
              </w:rPr>
              <w:t xml:space="preserve">practice population for a </w:t>
            </w:r>
            <w:r w:rsidR="004A5628">
              <w:rPr>
                <w:rFonts w:asciiTheme="minorHAnsi" w:hAnsiTheme="minorHAnsi" w:cstheme="minorHAnsi"/>
                <w:sz w:val="22"/>
                <w:szCs w:val="22"/>
              </w:rPr>
              <w:t xml:space="preserve">fixed period of </w:t>
            </w:r>
            <w:r w:rsidR="00A605C4" w:rsidRPr="00A605C4">
              <w:rPr>
                <w:rFonts w:asciiTheme="minorHAnsi" w:hAnsiTheme="minorHAnsi" w:cstheme="minorHAnsi"/>
                <w:sz w:val="22"/>
                <w:szCs w:val="22"/>
              </w:rPr>
              <w:t>12 month</w:t>
            </w:r>
            <w:r w:rsidR="004A5628">
              <w:rPr>
                <w:rFonts w:asciiTheme="minorHAnsi" w:hAnsiTheme="minorHAnsi" w:cstheme="minorHAnsi"/>
                <w:sz w:val="22"/>
                <w:szCs w:val="22"/>
              </w:rPr>
              <w:t>s</w:t>
            </w:r>
            <w:r>
              <w:rPr>
                <w:rFonts w:asciiTheme="minorHAnsi" w:hAnsiTheme="minorHAnsi" w:cstheme="minorHAnsi"/>
                <w:sz w:val="22"/>
                <w:szCs w:val="22"/>
              </w:rPr>
              <w:t>.</w:t>
            </w:r>
            <w:r w:rsidR="00A605C4" w:rsidRPr="00A605C4">
              <w:rPr>
                <w:rFonts w:asciiTheme="minorHAnsi" w:hAnsiTheme="minorHAnsi" w:cstheme="minorHAnsi"/>
                <w:sz w:val="22"/>
                <w:szCs w:val="22"/>
              </w:rPr>
              <w:t xml:space="preserve"> </w:t>
            </w:r>
            <w:r>
              <w:rPr>
                <w:rFonts w:asciiTheme="minorHAnsi" w:hAnsiTheme="minorHAnsi" w:cstheme="minorHAnsi"/>
                <w:sz w:val="22"/>
                <w:szCs w:val="22"/>
              </w:rPr>
              <w:t>The aim</w:t>
            </w:r>
            <w:r w:rsidR="004A5628">
              <w:rPr>
                <w:rFonts w:asciiTheme="minorHAnsi" w:hAnsiTheme="minorHAnsi" w:cstheme="minorHAnsi"/>
                <w:sz w:val="22"/>
                <w:szCs w:val="22"/>
              </w:rPr>
              <w:t xml:space="preserve"> of the service commissioned from general practice</w:t>
            </w:r>
            <w:r>
              <w:rPr>
                <w:rFonts w:asciiTheme="minorHAnsi" w:hAnsiTheme="minorHAnsi" w:cstheme="minorHAnsi"/>
                <w:sz w:val="22"/>
                <w:szCs w:val="22"/>
              </w:rPr>
              <w:t xml:space="preserve"> is </w:t>
            </w:r>
            <w:r w:rsidR="00A605C4" w:rsidRPr="00A605C4">
              <w:rPr>
                <w:rFonts w:asciiTheme="minorHAnsi" w:hAnsiTheme="minorHAnsi" w:cstheme="minorHAnsi"/>
                <w:sz w:val="22"/>
                <w:szCs w:val="22"/>
              </w:rPr>
              <w:t xml:space="preserve">to transform the care of patients aged 75 or older for them to feel supported in remaining as well and as independent as possible, enabling them to enjoy the best possible quality of life, and reducing avoidable admissions and attendances to Accident &amp; Emergency services. </w:t>
            </w:r>
          </w:p>
        </w:tc>
      </w:tr>
    </w:tbl>
    <w:p w:rsidR="00A605C4" w:rsidRPr="00A605C4" w:rsidRDefault="00A605C4" w:rsidP="00A605C4">
      <w:pPr>
        <w:autoSpaceDE w:val="0"/>
        <w:autoSpaceDN w:val="0"/>
        <w:adjustRightInd w:val="0"/>
        <w:spacing w:line="276" w:lineRule="auto"/>
        <w:jc w:val="both"/>
        <w:rPr>
          <w:rFonts w:asciiTheme="minorHAnsi" w:hAnsiTheme="minorHAnsi" w:cstheme="minorHAnsi"/>
          <w:b/>
          <w:sz w:val="26"/>
          <w:szCs w:val="26"/>
        </w:rPr>
      </w:pPr>
    </w:p>
    <w:p w:rsidR="005145DA" w:rsidRDefault="00A605C4" w:rsidP="005145DA">
      <w:pPr>
        <w:spacing w:line="276" w:lineRule="auto"/>
        <w:ind w:right="288"/>
        <w:rPr>
          <w:rFonts w:asciiTheme="minorHAnsi" w:hAnsiTheme="minorHAnsi" w:cstheme="minorHAnsi"/>
          <w:sz w:val="22"/>
          <w:szCs w:val="22"/>
        </w:rPr>
      </w:pPr>
      <w:r w:rsidRPr="00A605C4">
        <w:rPr>
          <w:rFonts w:asciiTheme="minorHAnsi" w:hAnsiTheme="minorHAnsi" w:cstheme="minorHAnsi"/>
          <w:b/>
          <w:sz w:val="26"/>
          <w:szCs w:val="26"/>
        </w:rPr>
        <w:t>S</w:t>
      </w:r>
      <w:r w:rsidR="005145DA">
        <w:rPr>
          <w:rFonts w:asciiTheme="minorHAnsi" w:hAnsiTheme="minorHAnsi" w:cstheme="minorHAnsi"/>
          <w:b/>
          <w:sz w:val="26"/>
          <w:szCs w:val="26"/>
        </w:rPr>
        <w:t>ervice Development and Delivery</w:t>
      </w:r>
      <w:r w:rsidR="005145DA">
        <w:rPr>
          <w:rFonts w:asciiTheme="minorHAnsi" w:hAnsiTheme="minorHAnsi" w:cstheme="minorHAnsi"/>
          <w:b/>
          <w:sz w:val="26"/>
          <w:szCs w:val="26"/>
        </w:rPr>
        <w:br/>
      </w:r>
      <w:r w:rsidRPr="00A605C4">
        <w:rPr>
          <w:rFonts w:asciiTheme="minorHAnsi" w:hAnsiTheme="minorHAnsi" w:cstheme="minorHAnsi"/>
          <w:sz w:val="22"/>
          <w:szCs w:val="22"/>
        </w:rPr>
        <w:t xml:space="preserve">In July 2014 Practices were invited to submit an outline business plan proposing how they, either as an individual practice or working collaboratively with other practices, would utilise the £5 per practice population to target and improve outcomes for vulnerable and older people. </w:t>
      </w:r>
      <w:r w:rsidR="005145DA">
        <w:rPr>
          <w:rFonts w:asciiTheme="minorHAnsi" w:hAnsiTheme="minorHAnsi" w:cstheme="minorHAnsi"/>
          <w:sz w:val="22"/>
          <w:szCs w:val="22"/>
        </w:rPr>
        <w:t>The contract for this service ran from 1</w:t>
      </w:r>
      <w:r w:rsidR="005145DA" w:rsidRPr="005145DA">
        <w:rPr>
          <w:rFonts w:asciiTheme="minorHAnsi" w:hAnsiTheme="minorHAnsi" w:cstheme="minorHAnsi"/>
          <w:sz w:val="22"/>
          <w:szCs w:val="22"/>
          <w:vertAlign w:val="superscript"/>
        </w:rPr>
        <w:t>st</w:t>
      </w:r>
      <w:r w:rsidR="005145DA">
        <w:rPr>
          <w:rFonts w:asciiTheme="minorHAnsi" w:hAnsiTheme="minorHAnsi" w:cstheme="minorHAnsi"/>
          <w:sz w:val="22"/>
          <w:szCs w:val="22"/>
        </w:rPr>
        <w:t xml:space="preserve"> September 2014 to 31</w:t>
      </w:r>
      <w:r w:rsidR="005145DA" w:rsidRPr="005145DA">
        <w:rPr>
          <w:rFonts w:asciiTheme="minorHAnsi" w:hAnsiTheme="minorHAnsi" w:cstheme="minorHAnsi"/>
          <w:sz w:val="22"/>
          <w:szCs w:val="22"/>
          <w:vertAlign w:val="superscript"/>
        </w:rPr>
        <w:t>st</w:t>
      </w:r>
      <w:r w:rsidR="005145DA">
        <w:rPr>
          <w:rFonts w:asciiTheme="minorHAnsi" w:hAnsiTheme="minorHAnsi" w:cstheme="minorHAnsi"/>
          <w:sz w:val="22"/>
          <w:szCs w:val="22"/>
        </w:rPr>
        <w:t xml:space="preserve"> August 2015, and it clearly set out that there would be an evaluation at the end of the period, based on data as at 30</w:t>
      </w:r>
      <w:r w:rsidR="005145DA" w:rsidRPr="005145DA">
        <w:rPr>
          <w:rFonts w:asciiTheme="minorHAnsi" w:hAnsiTheme="minorHAnsi" w:cstheme="minorHAnsi"/>
          <w:sz w:val="22"/>
          <w:szCs w:val="22"/>
          <w:vertAlign w:val="superscript"/>
        </w:rPr>
        <w:t>th</w:t>
      </w:r>
      <w:r w:rsidR="005145DA">
        <w:rPr>
          <w:rFonts w:asciiTheme="minorHAnsi" w:hAnsiTheme="minorHAnsi" w:cstheme="minorHAnsi"/>
          <w:sz w:val="22"/>
          <w:szCs w:val="22"/>
        </w:rPr>
        <w:t xml:space="preserve"> June 2015. Practices have been advised to continue, pending a decision regarding the on-going arrangements, and that they will be given a suitable notice period should the decision be taken to cease this service.</w:t>
      </w:r>
    </w:p>
    <w:p w:rsidR="005145DA" w:rsidRDefault="005145DA" w:rsidP="00A605C4">
      <w:pPr>
        <w:spacing w:line="276" w:lineRule="auto"/>
        <w:ind w:right="288"/>
        <w:jc w:val="both"/>
        <w:rPr>
          <w:rFonts w:asciiTheme="minorHAnsi" w:hAnsiTheme="minorHAnsi" w:cstheme="minorHAnsi"/>
          <w:sz w:val="22"/>
          <w:szCs w:val="22"/>
        </w:rPr>
      </w:pPr>
    </w:p>
    <w:p w:rsidR="00A605C4" w:rsidRDefault="00A605C4" w:rsidP="00A605C4">
      <w:pPr>
        <w:spacing w:line="276" w:lineRule="auto"/>
        <w:ind w:right="288"/>
        <w:jc w:val="both"/>
        <w:rPr>
          <w:rFonts w:asciiTheme="minorHAnsi" w:hAnsiTheme="minorHAnsi" w:cstheme="minorHAnsi"/>
          <w:sz w:val="22"/>
          <w:szCs w:val="22"/>
        </w:rPr>
      </w:pPr>
      <w:r w:rsidRPr="00A605C4">
        <w:rPr>
          <w:rFonts w:asciiTheme="minorHAnsi" w:hAnsiTheme="minorHAnsi" w:cstheme="minorHAnsi"/>
          <w:sz w:val="22"/>
          <w:szCs w:val="22"/>
        </w:rPr>
        <w:t>The GP Development Group was the review engine of the plans and following deliberation, feedback to Practices and revised submissions of plans</w:t>
      </w:r>
      <w:r w:rsidR="004A5628">
        <w:rPr>
          <w:rFonts w:asciiTheme="minorHAnsi" w:hAnsiTheme="minorHAnsi" w:cstheme="minorHAnsi"/>
          <w:sz w:val="22"/>
          <w:szCs w:val="22"/>
        </w:rPr>
        <w:t>,</w:t>
      </w:r>
      <w:r w:rsidRPr="00A605C4">
        <w:rPr>
          <w:rFonts w:asciiTheme="minorHAnsi" w:hAnsiTheme="minorHAnsi" w:cstheme="minorHAnsi"/>
          <w:sz w:val="22"/>
          <w:szCs w:val="22"/>
        </w:rPr>
        <w:t xml:space="preserve"> schemes began to commence in September 2014. Due to the requirement f</w:t>
      </w:r>
      <w:r w:rsidR="004A5628">
        <w:rPr>
          <w:rFonts w:asciiTheme="minorHAnsi" w:hAnsiTheme="minorHAnsi" w:cstheme="minorHAnsi"/>
          <w:sz w:val="22"/>
          <w:szCs w:val="22"/>
        </w:rPr>
        <w:t>or</w:t>
      </w:r>
      <w:r w:rsidRPr="00A605C4">
        <w:rPr>
          <w:rFonts w:asciiTheme="minorHAnsi" w:hAnsiTheme="minorHAnsi" w:cstheme="minorHAnsi"/>
          <w:sz w:val="22"/>
          <w:szCs w:val="22"/>
        </w:rPr>
        <w:t xml:space="preserve"> additional infrastructure to support the schemes, commencement dates have varied spanning from September 2014 – January 2015. </w:t>
      </w:r>
      <w:r w:rsidR="005145DA">
        <w:rPr>
          <w:rFonts w:asciiTheme="minorHAnsi" w:hAnsiTheme="minorHAnsi" w:cstheme="minorHAnsi"/>
          <w:sz w:val="22"/>
          <w:szCs w:val="22"/>
        </w:rPr>
        <w:t xml:space="preserve">Practices that had plans to recruit additional staff for this scheme were advised to do this on a fixed term basis. </w:t>
      </w:r>
      <w:r w:rsidRPr="00A605C4">
        <w:rPr>
          <w:rFonts w:asciiTheme="minorHAnsi" w:hAnsiTheme="minorHAnsi" w:cstheme="minorHAnsi"/>
          <w:sz w:val="22"/>
          <w:szCs w:val="22"/>
        </w:rPr>
        <w:t xml:space="preserve">To date we have spent £549,000 on this scheme. </w:t>
      </w:r>
    </w:p>
    <w:p w:rsidR="004A5628" w:rsidRPr="00A605C4" w:rsidRDefault="004A5628" w:rsidP="00A605C4">
      <w:pPr>
        <w:spacing w:line="276" w:lineRule="auto"/>
        <w:ind w:right="288"/>
        <w:jc w:val="both"/>
        <w:rPr>
          <w:rFonts w:asciiTheme="minorHAnsi" w:hAnsiTheme="minorHAnsi" w:cstheme="minorHAnsi"/>
          <w:b/>
          <w:sz w:val="22"/>
          <w:szCs w:val="22"/>
        </w:rPr>
      </w:pPr>
    </w:p>
    <w:p w:rsidR="00A605C4" w:rsidRPr="00A605C4" w:rsidRDefault="00A605C4" w:rsidP="00A605C4">
      <w:pPr>
        <w:spacing w:line="276" w:lineRule="auto"/>
        <w:ind w:right="288"/>
        <w:jc w:val="both"/>
        <w:rPr>
          <w:rFonts w:asciiTheme="minorHAnsi" w:hAnsiTheme="minorHAnsi" w:cstheme="minorHAnsi"/>
          <w:sz w:val="22"/>
          <w:szCs w:val="22"/>
        </w:rPr>
      </w:pPr>
      <w:r w:rsidRPr="00A605C4">
        <w:rPr>
          <w:rFonts w:asciiTheme="minorHAnsi" w:hAnsiTheme="minorHAnsi" w:cstheme="minorHAnsi"/>
          <w:sz w:val="22"/>
          <w:szCs w:val="22"/>
        </w:rPr>
        <w:t>An over-arching service specification was developed for the service with quality requirements included to validate the outcome objectives of the service based on the SMART objectives of what the Practices articulated their schemes would achieve. Practices were required to complete an audit of the service to identify improvements in several specified areas which are set out in detail in below (figure 1). The period for this audit was from service commencement date to 3</w:t>
      </w:r>
      <w:r w:rsidR="00516FA1">
        <w:rPr>
          <w:rFonts w:asciiTheme="minorHAnsi" w:hAnsiTheme="minorHAnsi" w:cstheme="minorHAnsi"/>
          <w:sz w:val="22"/>
          <w:szCs w:val="22"/>
        </w:rPr>
        <w:t>0</w:t>
      </w:r>
      <w:r w:rsidR="00516FA1" w:rsidRPr="00516FA1">
        <w:rPr>
          <w:rFonts w:asciiTheme="minorHAnsi" w:hAnsiTheme="minorHAnsi" w:cstheme="minorHAnsi"/>
          <w:sz w:val="22"/>
          <w:szCs w:val="22"/>
          <w:vertAlign w:val="superscript"/>
        </w:rPr>
        <w:t>th</w:t>
      </w:r>
      <w:r w:rsidR="00516FA1">
        <w:rPr>
          <w:rFonts w:asciiTheme="minorHAnsi" w:hAnsiTheme="minorHAnsi" w:cstheme="minorHAnsi"/>
          <w:sz w:val="22"/>
          <w:szCs w:val="22"/>
        </w:rPr>
        <w:t xml:space="preserve"> </w:t>
      </w:r>
      <w:r w:rsidRPr="00A605C4">
        <w:rPr>
          <w:rFonts w:asciiTheme="minorHAnsi" w:hAnsiTheme="minorHAnsi" w:cstheme="minorHAnsi"/>
          <w:sz w:val="22"/>
          <w:szCs w:val="22"/>
        </w:rPr>
        <w:t xml:space="preserve">June, 2015. </w:t>
      </w:r>
    </w:p>
    <w:p w:rsidR="00A605C4" w:rsidRPr="00E1783C" w:rsidRDefault="00A605C4" w:rsidP="00A605C4">
      <w:pPr>
        <w:ind w:right="681"/>
        <w:jc w:val="both"/>
        <w:rPr>
          <w:rFonts w:asciiTheme="minorHAnsi" w:hAnsiTheme="minorHAnsi" w:cstheme="minorHAnsi"/>
          <w:i/>
          <w:sz w:val="22"/>
          <w:szCs w:val="22"/>
          <w:u w:val="single"/>
        </w:rPr>
      </w:pPr>
    </w:p>
    <w:p w:rsidR="00A605C4" w:rsidRPr="00E1783C" w:rsidRDefault="00E1783C" w:rsidP="00A605C4">
      <w:pPr>
        <w:ind w:right="681"/>
        <w:jc w:val="both"/>
        <w:rPr>
          <w:rFonts w:asciiTheme="minorHAnsi" w:hAnsiTheme="minorHAnsi" w:cstheme="minorHAnsi"/>
          <w:i/>
          <w:sz w:val="22"/>
          <w:szCs w:val="22"/>
          <w:u w:val="single"/>
        </w:rPr>
      </w:pPr>
      <w:r>
        <w:rPr>
          <w:rFonts w:asciiTheme="minorHAnsi" w:hAnsiTheme="minorHAnsi" w:cstheme="minorHAnsi"/>
          <w:i/>
          <w:sz w:val="22"/>
          <w:szCs w:val="22"/>
          <w:u w:val="single"/>
        </w:rPr>
        <w:t>Fig</w:t>
      </w:r>
      <w:r w:rsidR="00A605C4" w:rsidRPr="00E1783C">
        <w:rPr>
          <w:rFonts w:asciiTheme="minorHAnsi" w:hAnsiTheme="minorHAnsi" w:cstheme="minorHAnsi"/>
          <w:i/>
          <w:sz w:val="22"/>
          <w:szCs w:val="22"/>
          <w:u w:val="single"/>
        </w:rPr>
        <w:t xml:space="preserve"> 1:</w:t>
      </w:r>
    </w:p>
    <w:tbl>
      <w:tblPr>
        <w:tblW w:w="0" w:type="auto"/>
        <w:tblInd w:w="108" w:type="dxa"/>
        <w:tblCellMar>
          <w:left w:w="0" w:type="dxa"/>
          <w:right w:w="0" w:type="dxa"/>
        </w:tblCellMar>
        <w:tblLook w:val="04A0" w:firstRow="1" w:lastRow="0" w:firstColumn="1" w:lastColumn="0" w:noHBand="0" w:noVBand="1"/>
      </w:tblPr>
      <w:tblGrid>
        <w:gridCol w:w="4678"/>
        <w:gridCol w:w="2268"/>
        <w:gridCol w:w="2693"/>
      </w:tblGrid>
      <w:tr w:rsidR="00A605C4" w:rsidRPr="00A605C4" w:rsidTr="005145DA">
        <w:trPr>
          <w:trHeight w:val="301"/>
        </w:trPr>
        <w:tc>
          <w:tcPr>
            <w:tcW w:w="46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605C4" w:rsidRPr="00463941" w:rsidRDefault="00A605C4" w:rsidP="005145DA">
            <w:pPr>
              <w:rPr>
                <w:rFonts w:asciiTheme="minorHAnsi" w:hAnsiTheme="minorHAnsi" w:cstheme="minorHAnsi"/>
                <w:b/>
                <w:bCs/>
                <w:color w:val="000000" w:themeColor="text1"/>
                <w:sz w:val="22"/>
                <w:szCs w:val="22"/>
              </w:rPr>
            </w:pPr>
            <w:r w:rsidRPr="00463941">
              <w:rPr>
                <w:rFonts w:asciiTheme="minorHAnsi" w:hAnsiTheme="minorHAnsi" w:cstheme="minorHAnsi"/>
                <w:b/>
                <w:bCs/>
                <w:color w:val="000000" w:themeColor="text1"/>
                <w:sz w:val="22"/>
                <w:szCs w:val="22"/>
              </w:rPr>
              <w:t>Quality Requirement</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605C4" w:rsidRPr="00463941" w:rsidRDefault="00A605C4" w:rsidP="005145DA">
            <w:pPr>
              <w:rPr>
                <w:rFonts w:asciiTheme="minorHAnsi" w:hAnsiTheme="minorHAnsi" w:cstheme="minorHAnsi"/>
                <w:b/>
                <w:bCs/>
                <w:color w:val="000000" w:themeColor="text1"/>
                <w:sz w:val="22"/>
                <w:szCs w:val="22"/>
              </w:rPr>
            </w:pPr>
            <w:r w:rsidRPr="00463941">
              <w:rPr>
                <w:rFonts w:asciiTheme="minorHAnsi" w:hAnsiTheme="minorHAnsi" w:cstheme="minorHAnsi"/>
                <w:b/>
                <w:bCs/>
                <w:color w:val="000000" w:themeColor="text1"/>
                <w:sz w:val="22"/>
                <w:szCs w:val="22"/>
              </w:rPr>
              <w:t>Threshold</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605C4" w:rsidRPr="00463941" w:rsidRDefault="00A605C4" w:rsidP="005145DA">
            <w:pPr>
              <w:rPr>
                <w:rFonts w:asciiTheme="minorHAnsi" w:hAnsiTheme="minorHAnsi" w:cstheme="minorHAnsi"/>
                <w:b/>
                <w:bCs/>
                <w:color w:val="000000" w:themeColor="text1"/>
                <w:sz w:val="22"/>
                <w:szCs w:val="22"/>
              </w:rPr>
            </w:pPr>
            <w:r w:rsidRPr="00463941">
              <w:rPr>
                <w:rFonts w:asciiTheme="minorHAnsi" w:hAnsiTheme="minorHAnsi" w:cstheme="minorHAnsi"/>
                <w:b/>
                <w:bCs/>
                <w:color w:val="000000" w:themeColor="text1"/>
                <w:sz w:val="22"/>
                <w:szCs w:val="22"/>
              </w:rPr>
              <w:t>Method of Measurement</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 xml:space="preserve">Reduced attendances to Accident &amp; Emergency department for patients accessing this service.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Previous year as baseline.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Performance Audit.</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 xml:space="preserve">Reduced emergency admissions for patients accessing this service.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Previous year as baseline.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Performance Audit.</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 xml:space="preserve">Increased patient contact with the practice by </w:t>
            </w:r>
            <w:r w:rsidRPr="00A605C4">
              <w:rPr>
                <w:rFonts w:asciiTheme="minorHAnsi" w:hAnsiTheme="minorHAnsi" w:cstheme="minorHAnsi"/>
                <w:color w:val="000000" w:themeColor="text1"/>
                <w:sz w:val="22"/>
                <w:szCs w:val="22"/>
              </w:rPr>
              <w:lastRenderedPageBreak/>
              <w:t xml:space="preserve">way of the most appropriate medium.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sz w:val="22"/>
                <w:szCs w:val="22"/>
              </w:rPr>
            </w:pPr>
            <w:r w:rsidRPr="00A605C4">
              <w:rPr>
                <w:rFonts w:asciiTheme="minorHAnsi" w:hAnsiTheme="minorHAnsi" w:cstheme="minorHAnsi"/>
                <w:color w:val="000000" w:themeColor="text1"/>
                <w:sz w:val="22"/>
                <w:szCs w:val="22"/>
              </w:rPr>
              <w:lastRenderedPageBreak/>
              <w:t xml:space="preserve">Previous year as </w:t>
            </w:r>
            <w:r w:rsidRPr="00A605C4">
              <w:rPr>
                <w:rFonts w:asciiTheme="minorHAnsi" w:hAnsiTheme="minorHAnsi" w:cstheme="minorHAnsi"/>
                <w:color w:val="000000" w:themeColor="text1"/>
                <w:sz w:val="22"/>
                <w:szCs w:val="22"/>
              </w:rPr>
              <w:lastRenderedPageBreak/>
              <w:t>baseline.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lastRenderedPageBreak/>
              <w:t>Performance Audit.</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lastRenderedPageBreak/>
              <w:t xml:space="preserve">Patients accessing this service will have a named General Practitioner.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100%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Performance Audit.</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sz w:val="22"/>
                <w:szCs w:val="22"/>
              </w:rPr>
            </w:pPr>
            <w:r w:rsidRPr="00A605C4">
              <w:rPr>
                <w:rFonts w:asciiTheme="minorHAnsi" w:hAnsiTheme="minorHAnsi" w:cstheme="minorHAnsi"/>
                <w:color w:val="000000" w:themeColor="text1"/>
                <w:sz w:val="22"/>
                <w:szCs w:val="22"/>
              </w:rPr>
              <w:t xml:space="preserve">Where applicable, patients feel they are able to manage their diagnosed condition more effectively due to self-management, education and signposting.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rPr>
                <w:rFonts w:asciiTheme="minorHAnsi" w:hAnsiTheme="minorHAnsi" w:cstheme="minorHAnsi"/>
                <w:sz w:val="22"/>
                <w:szCs w:val="22"/>
              </w:rPr>
            </w:pPr>
            <w:r w:rsidRPr="00A605C4">
              <w:rPr>
                <w:rFonts w:asciiTheme="minorHAnsi" w:hAnsiTheme="minorHAnsi" w:cstheme="minorHAnsi"/>
                <w:sz w:val="22"/>
                <w:szCs w:val="22"/>
              </w:rPr>
              <w:t>70% of returns.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Patient Satisfaction Survey.</w:t>
            </w:r>
          </w:p>
        </w:tc>
      </w:tr>
      <w:tr w:rsidR="00A605C4" w:rsidRPr="00A605C4" w:rsidTr="005145DA">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sz w:val="22"/>
                <w:szCs w:val="22"/>
              </w:rPr>
              <w:t xml:space="preserve">Patients accessing this service will be satisfied with the care received and will provide feedback in order for the provider to assess effectiveness.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605C4" w:rsidRPr="00A605C4" w:rsidRDefault="00A605C4" w:rsidP="005145DA">
            <w:pPr>
              <w:rPr>
                <w:rFonts w:asciiTheme="minorHAnsi" w:hAnsiTheme="minorHAnsi" w:cstheme="minorHAnsi"/>
                <w:sz w:val="22"/>
                <w:szCs w:val="22"/>
              </w:rPr>
            </w:pPr>
            <w:r w:rsidRPr="00A605C4">
              <w:rPr>
                <w:rFonts w:asciiTheme="minorHAnsi" w:hAnsiTheme="minorHAnsi" w:cstheme="minorHAnsi"/>
                <w:sz w:val="22"/>
                <w:szCs w:val="22"/>
              </w:rPr>
              <w:t>50% response rate.</w:t>
            </w:r>
          </w:p>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sz w:val="22"/>
                <w:szCs w:val="22"/>
              </w:rPr>
              <w:t>80% minimum satisfaction rate.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05C4" w:rsidRPr="00A605C4" w:rsidRDefault="00A605C4"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color w:val="000000" w:themeColor="text1"/>
                <w:sz w:val="22"/>
                <w:szCs w:val="22"/>
              </w:rPr>
              <w:t xml:space="preserve">Patient Satisfaction Survey. </w:t>
            </w:r>
          </w:p>
        </w:tc>
      </w:tr>
    </w:tbl>
    <w:p w:rsidR="00A605C4" w:rsidRPr="00A605C4" w:rsidRDefault="00A605C4" w:rsidP="00A605C4">
      <w:pPr>
        <w:ind w:right="288"/>
        <w:jc w:val="both"/>
        <w:rPr>
          <w:rFonts w:asciiTheme="minorHAnsi" w:hAnsiTheme="minorHAnsi" w:cstheme="minorHAnsi"/>
          <w:sz w:val="22"/>
          <w:szCs w:val="22"/>
        </w:rPr>
      </w:pPr>
      <w:r w:rsidRPr="00A605C4">
        <w:rPr>
          <w:rFonts w:asciiTheme="minorHAnsi" w:hAnsiTheme="minorHAnsi" w:cstheme="minorHAnsi"/>
          <w:i/>
          <w:u w:val="single"/>
        </w:rPr>
        <w:br/>
      </w:r>
      <w:r w:rsidRPr="00A605C4">
        <w:rPr>
          <w:rFonts w:asciiTheme="minorHAnsi" w:hAnsiTheme="minorHAnsi" w:cstheme="minorHAnsi"/>
          <w:sz w:val="22"/>
          <w:szCs w:val="22"/>
        </w:rPr>
        <w:t xml:space="preserve">The service realised 3 Practices who chose not to participate and 4 collaborative service delivery models. Out of the 30 NEL Practices, 21 services commenced spanning a patient population of 163,092, 14,592 of which are aged 75 years or older. </w:t>
      </w:r>
    </w:p>
    <w:p w:rsidR="004D447F" w:rsidRDefault="00A605C4" w:rsidP="00A605C4">
      <w:pPr>
        <w:ind w:right="681"/>
        <w:rPr>
          <w:rFonts w:asciiTheme="minorHAnsi" w:hAnsiTheme="minorHAnsi" w:cstheme="minorHAnsi"/>
          <w:b/>
          <w:sz w:val="22"/>
          <w:szCs w:val="22"/>
        </w:rPr>
      </w:pPr>
      <w:r w:rsidRPr="00A605C4">
        <w:rPr>
          <w:rFonts w:asciiTheme="minorHAnsi" w:hAnsiTheme="minorHAnsi" w:cstheme="minorHAnsi"/>
          <w:b/>
          <w:sz w:val="26"/>
          <w:szCs w:val="26"/>
        </w:rPr>
        <w:br/>
      </w:r>
      <w:r w:rsidRPr="009B290B">
        <w:rPr>
          <w:rFonts w:asciiTheme="minorHAnsi" w:hAnsiTheme="minorHAnsi" w:cstheme="minorHAnsi"/>
          <w:b/>
          <w:sz w:val="26"/>
          <w:szCs w:val="26"/>
        </w:rPr>
        <w:t>Audit Results</w:t>
      </w:r>
    </w:p>
    <w:p w:rsidR="00A605C4" w:rsidRPr="009B290B" w:rsidRDefault="00A605C4" w:rsidP="00A605C4">
      <w:pPr>
        <w:ind w:right="681"/>
        <w:rPr>
          <w:rFonts w:asciiTheme="minorHAnsi" w:hAnsiTheme="minorHAnsi" w:cstheme="minorHAnsi"/>
          <w:sz w:val="22"/>
          <w:szCs w:val="22"/>
        </w:rPr>
      </w:pPr>
      <w:r w:rsidRPr="009B290B">
        <w:rPr>
          <w:rFonts w:asciiTheme="minorHAnsi" w:hAnsiTheme="minorHAnsi" w:cstheme="minorHAnsi"/>
          <w:b/>
          <w:sz w:val="22"/>
          <w:szCs w:val="22"/>
        </w:rPr>
        <w:t>Response Rate</w:t>
      </w:r>
      <w:r w:rsidRPr="009B290B">
        <w:rPr>
          <w:rFonts w:asciiTheme="minorHAnsi" w:hAnsiTheme="minorHAnsi" w:cstheme="minorHAnsi"/>
          <w:b/>
          <w:sz w:val="22"/>
          <w:szCs w:val="22"/>
        </w:rPr>
        <w:br/>
      </w:r>
      <w:r w:rsidRPr="009B290B">
        <w:rPr>
          <w:rFonts w:asciiTheme="minorHAnsi" w:hAnsiTheme="minorHAnsi" w:cstheme="minorHAnsi"/>
          <w:sz w:val="22"/>
          <w:szCs w:val="22"/>
        </w:rPr>
        <w:t>Out of the 21 schemes, the CCG received a return of 20 audits.</w:t>
      </w:r>
      <w:r w:rsidR="009B290B" w:rsidRPr="009B290B">
        <w:rPr>
          <w:rFonts w:asciiTheme="minorHAnsi" w:hAnsiTheme="minorHAnsi" w:cstheme="minorHAnsi"/>
          <w:sz w:val="22"/>
          <w:szCs w:val="22"/>
        </w:rPr>
        <w:br/>
      </w:r>
    </w:p>
    <w:p w:rsidR="00A605C4" w:rsidRPr="00A605C4" w:rsidRDefault="00A605C4" w:rsidP="00A605C4">
      <w:pPr>
        <w:ind w:right="681"/>
        <w:rPr>
          <w:rFonts w:asciiTheme="minorHAnsi" w:hAnsiTheme="minorHAnsi" w:cstheme="minorHAnsi"/>
          <w:b/>
          <w:lang w:eastAsia="en-US"/>
        </w:rPr>
      </w:pPr>
      <w:r w:rsidRPr="00A605C4">
        <w:rPr>
          <w:rFonts w:asciiTheme="minorHAnsi" w:hAnsiTheme="minorHAnsi" w:cstheme="minorHAnsi"/>
          <w:b/>
        </w:rPr>
        <w:t xml:space="preserve">Criterion 1: </w:t>
      </w:r>
    </w:p>
    <w:tbl>
      <w:tblPr>
        <w:tblW w:w="9654" w:type="dxa"/>
        <w:tblInd w:w="93" w:type="dxa"/>
        <w:tblLook w:val="04A0" w:firstRow="1" w:lastRow="0" w:firstColumn="1" w:lastColumn="0" w:noHBand="0" w:noVBand="1"/>
      </w:tblPr>
      <w:tblGrid>
        <w:gridCol w:w="4410"/>
        <w:gridCol w:w="2126"/>
        <w:gridCol w:w="1559"/>
        <w:gridCol w:w="1559"/>
      </w:tblGrid>
      <w:tr w:rsidR="00A605C4" w:rsidRPr="00A605C4"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A605C4" w:rsidRPr="007C596F" w:rsidRDefault="00A605C4"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A605C4" w:rsidRPr="007C596F" w:rsidRDefault="00A605C4"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605C4" w:rsidRPr="007C596F" w:rsidRDefault="00A605C4"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605C4" w:rsidRPr="007C596F" w:rsidRDefault="00A605C4"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p>
        </w:tc>
      </w:tr>
      <w:tr w:rsidR="00A605C4" w:rsidRPr="00A605C4"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A605C4" w:rsidRPr="007C596F" w:rsidRDefault="00A605C4"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 xml:space="preserve">Reduced attendances to Accident &amp; Emergency department for patients accessing this service.  </w:t>
            </w:r>
          </w:p>
        </w:tc>
        <w:tc>
          <w:tcPr>
            <w:tcW w:w="2126" w:type="dxa"/>
            <w:tcBorders>
              <w:top w:val="nil"/>
              <w:left w:val="nil"/>
              <w:bottom w:val="single" w:sz="4" w:space="0" w:color="auto"/>
              <w:right w:val="single" w:sz="4" w:space="0" w:color="auto"/>
            </w:tcBorders>
            <w:shd w:val="clear" w:color="auto" w:fill="auto"/>
            <w:hideMark/>
          </w:tcPr>
          <w:p w:rsidR="00A605C4" w:rsidRPr="007C596F" w:rsidRDefault="00A605C4"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Previous year as baseline.</w:t>
            </w:r>
          </w:p>
        </w:tc>
        <w:tc>
          <w:tcPr>
            <w:tcW w:w="1559" w:type="dxa"/>
            <w:tcBorders>
              <w:top w:val="single" w:sz="4" w:space="0" w:color="auto"/>
              <w:left w:val="nil"/>
              <w:bottom w:val="single" w:sz="4" w:space="0" w:color="auto"/>
              <w:right w:val="single" w:sz="4" w:space="0" w:color="auto"/>
            </w:tcBorders>
            <w:shd w:val="clear" w:color="auto" w:fill="auto"/>
            <w:noWrap/>
            <w:hideMark/>
          </w:tcPr>
          <w:p w:rsidR="00A605C4" w:rsidRPr="007C596F" w:rsidRDefault="00A605C4" w:rsidP="005145DA">
            <w:pPr>
              <w:jc w:val="right"/>
              <w:rPr>
                <w:rFonts w:asciiTheme="minorHAnsi" w:hAnsiTheme="minorHAnsi" w:cstheme="minorHAnsi"/>
                <w:color w:val="000000"/>
                <w:sz w:val="22"/>
                <w:szCs w:val="22"/>
              </w:rPr>
            </w:pPr>
            <w:r w:rsidRPr="007C596F">
              <w:rPr>
                <w:rFonts w:asciiTheme="minorHAnsi" w:hAnsiTheme="minorHAnsi" w:cstheme="minorHAnsi"/>
                <w:color w:val="000000"/>
                <w:sz w:val="22"/>
                <w:szCs w:val="22"/>
              </w:rPr>
              <w:t>6</w:t>
            </w:r>
          </w:p>
        </w:tc>
        <w:tc>
          <w:tcPr>
            <w:tcW w:w="1559" w:type="dxa"/>
            <w:tcBorders>
              <w:top w:val="nil"/>
              <w:left w:val="nil"/>
              <w:bottom w:val="single" w:sz="4" w:space="0" w:color="auto"/>
              <w:right w:val="single" w:sz="4" w:space="0" w:color="auto"/>
            </w:tcBorders>
            <w:shd w:val="clear" w:color="auto" w:fill="auto"/>
            <w:noWrap/>
            <w:hideMark/>
          </w:tcPr>
          <w:p w:rsidR="00A605C4" w:rsidRPr="007C596F" w:rsidRDefault="00A605C4" w:rsidP="005145DA">
            <w:pPr>
              <w:jc w:val="right"/>
              <w:rPr>
                <w:rFonts w:asciiTheme="minorHAnsi" w:hAnsiTheme="minorHAnsi" w:cstheme="minorHAnsi"/>
                <w:color w:val="000000"/>
                <w:sz w:val="22"/>
                <w:szCs w:val="22"/>
              </w:rPr>
            </w:pPr>
            <w:r w:rsidRPr="007C596F">
              <w:rPr>
                <w:rFonts w:asciiTheme="minorHAnsi" w:hAnsiTheme="minorHAnsi" w:cstheme="minorHAnsi"/>
                <w:color w:val="000000"/>
                <w:sz w:val="22"/>
                <w:szCs w:val="22"/>
              </w:rPr>
              <w:t>14</w:t>
            </w:r>
          </w:p>
        </w:tc>
      </w:tr>
      <w:tr w:rsidR="00A605C4" w:rsidRPr="00A605C4" w:rsidTr="005145DA">
        <w:trPr>
          <w:trHeight w:val="600"/>
        </w:trPr>
        <w:tc>
          <w:tcPr>
            <w:tcW w:w="4410" w:type="dxa"/>
            <w:tcBorders>
              <w:top w:val="nil"/>
              <w:left w:val="nil"/>
              <w:bottom w:val="nil"/>
              <w:right w:val="nil"/>
            </w:tcBorders>
            <w:shd w:val="clear" w:color="auto" w:fill="auto"/>
            <w:noWrap/>
            <w:vAlign w:val="bottom"/>
            <w:hideMark/>
          </w:tcPr>
          <w:p w:rsidR="00A605C4" w:rsidRPr="007C596F" w:rsidRDefault="00A605C4"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A605C4" w:rsidRPr="007C596F" w:rsidRDefault="00A605C4"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605C4" w:rsidRPr="007C596F" w:rsidRDefault="00A605C4" w:rsidP="005145DA">
            <w:pPr>
              <w:jc w:val="right"/>
              <w:rPr>
                <w:rFonts w:asciiTheme="minorHAnsi" w:hAnsiTheme="minorHAnsi" w:cstheme="minorHAnsi"/>
                <w:color w:val="000000"/>
                <w:sz w:val="22"/>
                <w:szCs w:val="22"/>
              </w:rPr>
            </w:pPr>
            <w:r w:rsidRPr="007C596F">
              <w:rPr>
                <w:rFonts w:asciiTheme="minorHAnsi" w:hAnsiTheme="minorHAnsi" w:cstheme="minorHAnsi"/>
                <w:color w:val="000000"/>
                <w:sz w:val="22"/>
                <w:szCs w:val="22"/>
              </w:rPr>
              <w:t>4047</w:t>
            </w:r>
          </w:p>
        </w:tc>
        <w:tc>
          <w:tcPr>
            <w:tcW w:w="1559" w:type="dxa"/>
            <w:tcBorders>
              <w:top w:val="nil"/>
              <w:left w:val="nil"/>
              <w:bottom w:val="single" w:sz="4" w:space="0" w:color="auto"/>
              <w:right w:val="single" w:sz="4" w:space="0" w:color="auto"/>
            </w:tcBorders>
            <w:shd w:val="clear" w:color="auto" w:fill="auto"/>
            <w:noWrap/>
            <w:vAlign w:val="bottom"/>
            <w:hideMark/>
          </w:tcPr>
          <w:p w:rsidR="00A605C4" w:rsidRPr="007C596F" w:rsidRDefault="00A605C4" w:rsidP="005145DA">
            <w:pPr>
              <w:jc w:val="right"/>
              <w:rPr>
                <w:rFonts w:asciiTheme="minorHAnsi" w:hAnsiTheme="minorHAnsi" w:cstheme="minorHAnsi"/>
                <w:color w:val="000000"/>
                <w:sz w:val="22"/>
                <w:szCs w:val="22"/>
              </w:rPr>
            </w:pPr>
            <w:r w:rsidRPr="007C596F">
              <w:rPr>
                <w:rFonts w:asciiTheme="minorHAnsi" w:hAnsiTheme="minorHAnsi" w:cstheme="minorHAnsi"/>
                <w:color w:val="000000"/>
                <w:sz w:val="22"/>
                <w:szCs w:val="22"/>
              </w:rPr>
              <w:t>10545</w:t>
            </w:r>
          </w:p>
        </w:tc>
      </w:tr>
    </w:tbl>
    <w:p w:rsidR="00A605C4" w:rsidRPr="009B290B" w:rsidRDefault="00A605C4" w:rsidP="009B290B">
      <w:pPr>
        <w:spacing w:line="276" w:lineRule="auto"/>
        <w:ind w:right="288"/>
        <w:rPr>
          <w:rFonts w:asciiTheme="minorHAnsi" w:hAnsiTheme="minorHAnsi" w:cstheme="minorHAnsi"/>
          <w:sz w:val="22"/>
          <w:szCs w:val="22"/>
        </w:rPr>
      </w:pPr>
      <w:r w:rsidRPr="00A605C4">
        <w:rPr>
          <w:rFonts w:asciiTheme="minorHAnsi" w:hAnsiTheme="minorHAnsi" w:cstheme="minorHAnsi"/>
          <w:b/>
          <w:sz w:val="26"/>
          <w:szCs w:val="26"/>
        </w:rPr>
        <w:br/>
      </w:r>
      <w:r w:rsidRPr="009B290B">
        <w:rPr>
          <w:rFonts w:asciiTheme="minorHAnsi" w:hAnsiTheme="minorHAnsi" w:cstheme="minorHAnsi"/>
          <w:sz w:val="22"/>
          <w:szCs w:val="22"/>
        </w:rPr>
        <w:t xml:space="preserve">Impact of scheme to attendances to Accident &amp; Emergency trends (highlighted in red for scheme period) for the over 75s: </w:t>
      </w:r>
    </w:p>
    <w:p w:rsidR="009A10F0" w:rsidRDefault="00A605C4" w:rsidP="009B290B">
      <w:pPr>
        <w:ind w:right="681"/>
        <w:rPr>
          <w:rFonts w:asciiTheme="minorHAnsi" w:hAnsiTheme="minorHAnsi" w:cstheme="minorHAnsi"/>
          <w:b/>
        </w:rPr>
      </w:pPr>
      <w:r w:rsidRPr="00A605C4">
        <w:rPr>
          <w:rFonts w:asciiTheme="minorHAnsi" w:hAnsiTheme="minorHAnsi" w:cstheme="minorHAnsi"/>
          <w:noProof/>
        </w:rPr>
        <w:drawing>
          <wp:inline distT="0" distB="0" distL="0" distR="0" wp14:anchorId="0E8E7614" wp14:editId="0A548D00">
            <wp:extent cx="5852160" cy="2621280"/>
            <wp:effectExtent l="0" t="0" r="1524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605C4">
        <w:rPr>
          <w:rFonts w:asciiTheme="minorHAnsi" w:hAnsiTheme="minorHAnsi" w:cstheme="minorHAnsi"/>
          <w:b/>
          <w:sz w:val="26"/>
          <w:szCs w:val="26"/>
        </w:rPr>
        <w:br/>
      </w:r>
    </w:p>
    <w:p w:rsidR="009A10F0" w:rsidRDefault="009A10F0" w:rsidP="009B290B">
      <w:pPr>
        <w:ind w:right="681"/>
        <w:rPr>
          <w:rFonts w:asciiTheme="minorHAnsi" w:hAnsiTheme="minorHAnsi" w:cstheme="minorHAnsi"/>
          <w:b/>
        </w:rPr>
      </w:pPr>
    </w:p>
    <w:p w:rsidR="00A605C4" w:rsidRPr="009B290B" w:rsidRDefault="00A605C4" w:rsidP="009B290B">
      <w:pPr>
        <w:ind w:right="681"/>
        <w:rPr>
          <w:rFonts w:asciiTheme="minorHAnsi" w:hAnsiTheme="minorHAnsi" w:cstheme="minorHAnsi"/>
          <w:b/>
          <w:sz w:val="26"/>
          <w:szCs w:val="26"/>
        </w:rPr>
      </w:pPr>
      <w:r w:rsidRPr="00A605C4">
        <w:rPr>
          <w:rFonts w:asciiTheme="minorHAnsi" w:hAnsiTheme="minorHAnsi" w:cstheme="minorHAnsi"/>
          <w:b/>
        </w:rPr>
        <w:t xml:space="preserve">Criterion 2: </w:t>
      </w:r>
      <w:r w:rsidRPr="00A605C4">
        <w:rPr>
          <w:rFonts w:asciiTheme="minorHAnsi" w:hAnsiTheme="minorHAnsi" w:cstheme="minorHAnsi"/>
          <w:b/>
          <w:color w:val="000000" w:themeColor="text1"/>
        </w:rPr>
        <w:t xml:space="preserve"> </w:t>
      </w:r>
    </w:p>
    <w:tbl>
      <w:tblPr>
        <w:tblW w:w="9654" w:type="dxa"/>
        <w:tblInd w:w="93" w:type="dxa"/>
        <w:tblLook w:val="04A0" w:firstRow="1" w:lastRow="0" w:firstColumn="1" w:lastColumn="0" w:noHBand="0" w:noVBand="1"/>
      </w:tblPr>
      <w:tblGrid>
        <w:gridCol w:w="4410"/>
        <w:gridCol w:w="2126"/>
        <w:gridCol w:w="1559"/>
        <w:gridCol w:w="1559"/>
      </w:tblGrid>
      <w:tr w:rsidR="00A605C4" w:rsidRPr="009B290B"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A605C4" w:rsidRPr="007C596F" w:rsidRDefault="00A605C4"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A605C4" w:rsidRPr="007C596F" w:rsidRDefault="00A605C4"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605C4" w:rsidRPr="007C596F" w:rsidRDefault="00A605C4"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605C4" w:rsidRPr="007C596F" w:rsidRDefault="00A605C4"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p>
        </w:tc>
      </w:tr>
      <w:tr w:rsidR="00A605C4" w:rsidRPr="009B290B"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A605C4" w:rsidRPr="007C596F" w:rsidRDefault="00A605C4" w:rsidP="005145DA">
            <w:pPr>
              <w:rPr>
                <w:rFonts w:asciiTheme="minorHAnsi" w:hAnsiTheme="minorHAnsi" w:cstheme="minorHAnsi"/>
                <w:color w:val="000000"/>
                <w:sz w:val="22"/>
                <w:szCs w:val="22"/>
              </w:rPr>
            </w:pPr>
            <w:r w:rsidRPr="009B290B">
              <w:rPr>
                <w:rFonts w:asciiTheme="minorHAnsi" w:hAnsiTheme="minorHAnsi" w:cstheme="minorHAnsi"/>
                <w:color w:val="000000" w:themeColor="text1"/>
                <w:sz w:val="22"/>
                <w:szCs w:val="22"/>
              </w:rPr>
              <w:t>Reduced emergency admissions for patients accessing this service.</w:t>
            </w:r>
          </w:p>
        </w:tc>
        <w:tc>
          <w:tcPr>
            <w:tcW w:w="2126" w:type="dxa"/>
            <w:tcBorders>
              <w:top w:val="nil"/>
              <w:left w:val="nil"/>
              <w:bottom w:val="single" w:sz="4" w:space="0" w:color="auto"/>
              <w:right w:val="single" w:sz="4" w:space="0" w:color="auto"/>
            </w:tcBorders>
            <w:shd w:val="clear" w:color="auto" w:fill="auto"/>
            <w:hideMark/>
          </w:tcPr>
          <w:p w:rsidR="00A605C4" w:rsidRPr="007C596F" w:rsidRDefault="00A605C4"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Previous year as baseline.</w:t>
            </w:r>
          </w:p>
        </w:tc>
        <w:tc>
          <w:tcPr>
            <w:tcW w:w="1559" w:type="dxa"/>
            <w:tcBorders>
              <w:top w:val="single" w:sz="4" w:space="0" w:color="auto"/>
              <w:left w:val="nil"/>
              <w:bottom w:val="single" w:sz="4" w:space="0" w:color="auto"/>
              <w:right w:val="single" w:sz="4" w:space="0" w:color="auto"/>
            </w:tcBorders>
            <w:shd w:val="clear" w:color="auto" w:fill="auto"/>
            <w:noWrap/>
          </w:tcPr>
          <w:p w:rsidR="00A605C4" w:rsidRPr="007C596F" w:rsidRDefault="00A605C4" w:rsidP="005145DA">
            <w:pPr>
              <w:jc w:val="right"/>
              <w:rPr>
                <w:rFonts w:asciiTheme="minorHAnsi" w:hAnsiTheme="minorHAnsi" w:cstheme="minorHAnsi"/>
                <w:color w:val="000000"/>
                <w:sz w:val="22"/>
                <w:szCs w:val="22"/>
              </w:rPr>
            </w:pPr>
            <w:r w:rsidRPr="009B290B">
              <w:rPr>
                <w:rFonts w:asciiTheme="minorHAnsi" w:hAnsiTheme="minorHAnsi" w:cstheme="minorHAnsi"/>
                <w:color w:val="000000"/>
                <w:sz w:val="22"/>
                <w:szCs w:val="22"/>
              </w:rPr>
              <w:t>8</w:t>
            </w:r>
          </w:p>
        </w:tc>
        <w:tc>
          <w:tcPr>
            <w:tcW w:w="1559" w:type="dxa"/>
            <w:tcBorders>
              <w:top w:val="nil"/>
              <w:left w:val="nil"/>
              <w:bottom w:val="single" w:sz="4" w:space="0" w:color="auto"/>
              <w:right w:val="single" w:sz="4" w:space="0" w:color="auto"/>
            </w:tcBorders>
            <w:shd w:val="clear" w:color="auto" w:fill="auto"/>
            <w:noWrap/>
          </w:tcPr>
          <w:p w:rsidR="00A605C4" w:rsidRPr="007C596F" w:rsidRDefault="00A605C4" w:rsidP="005145DA">
            <w:pPr>
              <w:jc w:val="right"/>
              <w:rPr>
                <w:rFonts w:asciiTheme="minorHAnsi" w:hAnsiTheme="minorHAnsi" w:cstheme="minorHAnsi"/>
                <w:color w:val="000000"/>
                <w:sz w:val="22"/>
                <w:szCs w:val="22"/>
              </w:rPr>
            </w:pPr>
            <w:r w:rsidRPr="009B290B">
              <w:rPr>
                <w:rFonts w:asciiTheme="minorHAnsi" w:hAnsiTheme="minorHAnsi" w:cstheme="minorHAnsi"/>
                <w:color w:val="000000"/>
                <w:sz w:val="22"/>
                <w:szCs w:val="22"/>
              </w:rPr>
              <w:t>12</w:t>
            </w:r>
          </w:p>
        </w:tc>
      </w:tr>
      <w:tr w:rsidR="00A605C4" w:rsidRPr="009B290B" w:rsidTr="005145DA">
        <w:trPr>
          <w:trHeight w:val="600"/>
        </w:trPr>
        <w:tc>
          <w:tcPr>
            <w:tcW w:w="4410" w:type="dxa"/>
            <w:tcBorders>
              <w:top w:val="nil"/>
              <w:left w:val="nil"/>
              <w:bottom w:val="nil"/>
              <w:right w:val="nil"/>
            </w:tcBorders>
            <w:shd w:val="clear" w:color="auto" w:fill="auto"/>
            <w:noWrap/>
            <w:vAlign w:val="bottom"/>
            <w:hideMark/>
          </w:tcPr>
          <w:p w:rsidR="00A605C4" w:rsidRPr="007C596F" w:rsidRDefault="00A605C4"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A605C4" w:rsidRPr="007C596F" w:rsidRDefault="00A605C4"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605C4" w:rsidRPr="007C596F" w:rsidRDefault="00A605C4" w:rsidP="005145DA">
            <w:pPr>
              <w:jc w:val="right"/>
              <w:rPr>
                <w:rFonts w:asciiTheme="minorHAnsi" w:hAnsiTheme="minorHAnsi" w:cstheme="minorHAnsi"/>
                <w:color w:val="000000"/>
                <w:sz w:val="22"/>
                <w:szCs w:val="22"/>
              </w:rPr>
            </w:pPr>
            <w:r w:rsidRPr="009B290B">
              <w:rPr>
                <w:rFonts w:asciiTheme="minorHAnsi" w:hAnsiTheme="minorHAnsi" w:cstheme="minorHAnsi"/>
                <w:color w:val="000000"/>
                <w:sz w:val="22"/>
                <w:szCs w:val="22"/>
              </w:rPr>
              <w:t>4329</w:t>
            </w:r>
          </w:p>
        </w:tc>
        <w:tc>
          <w:tcPr>
            <w:tcW w:w="1559" w:type="dxa"/>
            <w:tcBorders>
              <w:top w:val="nil"/>
              <w:left w:val="nil"/>
              <w:bottom w:val="single" w:sz="4" w:space="0" w:color="auto"/>
              <w:right w:val="single" w:sz="4" w:space="0" w:color="auto"/>
            </w:tcBorders>
            <w:shd w:val="clear" w:color="auto" w:fill="auto"/>
            <w:noWrap/>
            <w:vAlign w:val="bottom"/>
          </w:tcPr>
          <w:p w:rsidR="00A605C4" w:rsidRPr="007C596F" w:rsidRDefault="00A605C4" w:rsidP="005145DA">
            <w:pPr>
              <w:jc w:val="right"/>
              <w:rPr>
                <w:rFonts w:asciiTheme="minorHAnsi" w:hAnsiTheme="minorHAnsi" w:cstheme="minorHAnsi"/>
                <w:color w:val="000000"/>
                <w:sz w:val="22"/>
                <w:szCs w:val="22"/>
              </w:rPr>
            </w:pPr>
            <w:r w:rsidRPr="009B290B">
              <w:rPr>
                <w:rFonts w:asciiTheme="minorHAnsi" w:hAnsiTheme="minorHAnsi" w:cstheme="minorHAnsi"/>
                <w:color w:val="000000"/>
                <w:sz w:val="22"/>
                <w:szCs w:val="22"/>
              </w:rPr>
              <w:t>10263</w:t>
            </w:r>
          </w:p>
        </w:tc>
      </w:tr>
    </w:tbl>
    <w:p w:rsidR="00A605C4" w:rsidRPr="00A605C4" w:rsidRDefault="00A605C4" w:rsidP="00A605C4">
      <w:pPr>
        <w:ind w:right="681"/>
        <w:rPr>
          <w:rFonts w:asciiTheme="minorHAnsi" w:hAnsiTheme="minorHAnsi" w:cstheme="minorHAnsi"/>
          <w:b/>
          <w:color w:val="000000" w:themeColor="text1"/>
        </w:rPr>
      </w:pPr>
    </w:p>
    <w:p w:rsidR="00A605C4" w:rsidRPr="00A605C4" w:rsidRDefault="00A605C4" w:rsidP="00A605C4">
      <w:pPr>
        <w:ind w:right="681"/>
        <w:jc w:val="center"/>
        <w:rPr>
          <w:rFonts w:asciiTheme="minorHAnsi" w:hAnsiTheme="minorHAnsi" w:cstheme="minorHAnsi"/>
          <w:b/>
          <w:sz w:val="26"/>
          <w:szCs w:val="26"/>
        </w:rPr>
      </w:pPr>
    </w:p>
    <w:p w:rsidR="00A605C4" w:rsidRPr="00A605C4" w:rsidRDefault="009B290B" w:rsidP="009A10F0">
      <w:pPr>
        <w:spacing w:line="276" w:lineRule="auto"/>
        <w:ind w:right="288"/>
        <w:rPr>
          <w:rFonts w:asciiTheme="minorHAnsi" w:hAnsiTheme="minorHAnsi" w:cstheme="minorHAnsi"/>
          <w:b/>
          <w:sz w:val="26"/>
          <w:szCs w:val="26"/>
        </w:rPr>
      </w:pPr>
      <w:r w:rsidRPr="009B290B">
        <w:rPr>
          <w:rFonts w:asciiTheme="minorHAnsi" w:hAnsiTheme="minorHAnsi" w:cstheme="minorHAnsi"/>
          <w:sz w:val="22"/>
          <w:szCs w:val="22"/>
        </w:rPr>
        <w:t xml:space="preserve">Impact of scheme to </w:t>
      </w:r>
      <w:r>
        <w:rPr>
          <w:rFonts w:asciiTheme="minorHAnsi" w:hAnsiTheme="minorHAnsi" w:cstheme="minorHAnsi"/>
          <w:sz w:val="22"/>
          <w:szCs w:val="22"/>
        </w:rPr>
        <w:t>emergency admission</w:t>
      </w:r>
      <w:r w:rsidRPr="009B290B">
        <w:rPr>
          <w:rFonts w:asciiTheme="minorHAnsi" w:hAnsiTheme="minorHAnsi" w:cstheme="minorHAnsi"/>
          <w:sz w:val="22"/>
          <w:szCs w:val="22"/>
        </w:rPr>
        <w:t xml:space="preserve"> trends (highlighted in red for scheme period) for the over 75s: </w:t>
      </w:r>
    </w:p>
    <w:p w:rsidR="00A605C4" w:rsidRPr="00A605C4" w:rsidRDefault="00A605C4" w:rsidP="009B290B">
      <w:pPr>
        <w:tabs>
          <w:tab w:val="left" w:pos="9639"/>
        </w:tabs>
        <w:ind w:right="288"/>
        <w:rPr>
          <w:rFonts w:asciiTheme="minorHAnsi" w:hAnsiTheme="minorHAnsi" w:cstheme="minorHAnsi"/>
          <w:b/>
          <w:sz w:val="26"/>
          <w:szCs w:val="26"/>
        </w:rPr>
      </w:pPr>
      <w:r w:rsidRPr="00A605C4">
        <w:rPr>
          <w:rFonts w:asciiTheme="minorHAnsi" w:hAnsiTheme="minorHAnsi" w:cstheme="minorHAnsi"/>
          <w:noProof/>
        </w:rPr>
        <w:drawing>
          <wp:inline distT="0" distB="0" distL="0" distR="0" wp14:anchorId="7A748C68" wp14:editId="643B7B59">
            <wp:extent cx="5943600" cy="292227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5C4" w:rsidRPr="00A605C4" w:rsidRDefault="00A605C4" w:rsidP="00A605C4">
      <w:pPr>
        <w:ind w:right="681"/>
        <w:rPr>
          <w:rFonts w:asciiTheme="minorHAnsi" w:hAnsiTheme="minorHAnsi" w:cstheme="minorHAnsi"/>
          <w:b/>
          <w:sz w:val="26"/>
          <w:szCs w:val="26"/>
        </w:rPr>
      </w:pPr>
    </w:p>
    <w:p w:rsidR="009B290B" w:rsidRPr="00A605C4" w:rsidRDefault="00A605C4" w:rsidP="009B290B">
      <w:pPr>
        <w:ind w:right="681"/>
        <w:rPr>
          <w:rFonts w:asciiTheme="minorHAnsi" w:hAnsiTheme="minorHAnsi" w:cstheme="minorHAnsi"/>
        </w:rPr>
      </w:pPr>
      <w:r w:rsidRPr="00A605C4">
        <w:rPr>
          <w:rFonts w:asciiTheme="minorHAnsi" w:hAnsiTheme="minorHAnsi" w:cstheme="minorHAnsi"/>
          <w:b/>
        </w:rPr>
        <w:t xml:space="preserve">Criterion 3: </w:t>
      </w:r>
      <w:r w:rsidRPr="00A605C4">
        <w:rPr>
          <w:rFonts w:asciiTheme="minorHAnsi" w:hAnsiTheme="minorHAnsi" w:cstheme="minorHAnsi"/>
          <w:b/>
        </w:rPr>
        <w:tab/>
      </w:r>
    </w:p>
    <w:tbl>
      <w:tblPr>
        <w:tblW w:w="9654" w:type="dxa"/>
        <w:tblInd w:w="93" w:type="dxa"/>
        <w:tblLook w:val="04A0" w:firstRow="1" w:lastRow="0" w:firstColumn="1" w:lastColumn="0" w:noHBand="0" w:noVBand="1"/>
      </w:tblPr>
      <w:tblGrid>
        <w:gridCol w:w="4410"/>
        <w:gridCol w:w="2126"/>
        <w:gridCol w:w="1559"/>
        <w:gridCol w:w="1559"/>
      </w:tblGrid>
      <w:tr w:rsidR="009B290B" w:rsidRPr="009B290B"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9B290B" w:rsidRPr="007C596F" w:rsidRDefault="009B290B"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9B290B" w:rsidRPr="007C596F" w:rsidRDefault="009B290B"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9B290B" w:rsidRPr="007C596F" w:rsidRDefault="009B290B"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9B290B" w:rsidRPr="007C596F" w:rsidRDefault="009B290B"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r w:rsidR="00F85973">
              <w:rPr>
                <w:rFonts w:asciiTheme="minorHAnsi" w:hAnsiTheme="minorHAnsi" w:cstheme="minorHAnsi"/>
                <w:color w:val="FFFFFF"/>
                <w:sz w:val="22"/>
                <w:szCs w:val="22"/>
              </w:rPr>
              <w:t xml:space="preserve"> as no data was collected</w:t>
            </w:r>
          </w:p>
        </w:tc>
      </w:tr>
      <w:tr w:rsidR="009B290B" w:rsidRPr="009B290B"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9B290B" w:rsidRPr="007C596F" w:rsidRDefault="009B290B" w:rsidP="005145DA">
            <w:pPr>
              <w:rPr>
                <w:rFonts w:asciiTheme="minorHAnsi" w:hAnsiTheme="minorHAnsi" w:cstheme="minorHAnsi"/>
                <w:color w:val="000000"/>
                <w:sz w:val="22"/>
                <w:szCs w:val="22"/>
              </w:rPr>
            </w:pPr>
            <w:r w:rsidRPr="00A605C4">
              <w:rPr>
                <w:rFonts w:asciiTheme="minorHAnsi" w:hAnsiTheme="minorHAnsi" w:cstheme="minorHAnsi"/>
                <w:color w:val="000000" w:themeColor="text1"/>
                <w:sz w:val="22"/>
                <w:szCs w:val="22"/>
              </w:rPr>
              <w:t>Increased patient contact with the practice by way of the most appropriate medium.</w:t>
            </w:r>
          </w:p>
        </w:tc>
        <w:tc>
          <w:tcPr>
            <w:tcW w:w="2126" w:type="dxa"/>
            <w:tcBorders>
              <w:top w:val="nil"/>
              <w:left w:val="nil"/>
              <w:bottom w:val="single" w:sz="4" w:space="0" w:color="auto"/>
              <w:right w:val="single" w:sz="4" w:space="0" w:color="auto"/>
            </w:tcBorders>
            <w:shd w:val="clear" w:color="auto" w:fill="auto"/>
            <w:hideMark/>
          </w:tcPr>
          <w:p w:rsidR="009B290B" w:rsidRPr="007C596F" w:rsidRDefault="009B290B"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Previous year as baseline.</w:t>
            </w:r>
          </w:p>
        </w:tc>
        <w:tc>
          <w:tcPr>
            <w:tcW w:w="1559" w:type="dxa"/>
            <w:tcBorders>
              <w:top w:val="single" w:sz="4" w:space="0" w:color="auto"/>
              <w:left w:val="nil"/>
              <w:bottom w:val="single" w:sz="4" w:space="0" w:color="auto"/>
              <w:right w:val="single" w:sz="4" w:space="0" w:color="auto"/>
            </w:tcBorders>
            <w:shd w:val="clear" w:color="auto" w:fill="auto"/>
            <w:noWrap/>
          </w:tcPr>
          <w:p w:rsidR="009B290B" w:rsidRPr="007C596F" w:rsidRDefault="00F85973"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559" w:type="dxa"/>
            <w:tcBorders>
              <w:top w:val="nil"/>
              <w:left w:val="nil"/>
              <w:bottom w:val="single" w:sz="4" w:space="0" w:color="auto"/>
              <w:right w:val="single" w:sz="4" w:space="0" w:color="auto"/>
            </w:tcBorders>
            <w:shd w:val="clear" w:color="auto" w:fill="auto"/>
            <w:noWrap/>
          </w:tcPr>
          <w:p w:rsidR="009B290B" w:rsidRPr="007C596F" w:rsidRDefault="00F85973"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14</w:t>
            </w:r>
          </w:p>
        </w:tc>
      </w:tr>
      <w:tr w:rsidR="009B290B" w:rsidRPr="009B290B" w:rsidTr="005145DA">
        <w:trPr>
          <w:trHeight w:val="600"/>
        </w:trPr>
        <w:tc>
          <w:tcPr>
            <w:tcW w:w="4410" w:type="dxa"/>
            <w:tcBorders>
              <w:top w:val="nil"/>
              <w:left w:val="nil"/>
              <w:bottom w:val="nil"/>
              <w:right w:val="nil"/>
            </w:tcBorders>
            <w:shd w:val="clear" w:color="auto" w:fill="auto"/>
            <w:noWrap/>
            <w:vAlign w:val="bottom"/>
            <w:hideMark/>
          </w:tcPr>
          <w:p w:rsidR="009B290B" w:rsidRPr="007C596F" w:rsidRDefault="009B290B"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9B290B" w:rsidRPr="007C596F" w:rsidRDefault="009B290B"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B290B" w:rsidRPr="007C596F" w:rsidRDefault="00F85973"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5585</w:t>
            </w:r>
          </w:p>
        </w:tc>
        <w:tc>
          <w:tcPr>
            <w:tcW w:w="1559" w:type="dxa"/>
            <w:tcBorders>
              <w:top w:val="nil"/>
              <w:left w:val="nil"/>
              <w:bottom w:val="single" w:sz="4" w:space="0" w:color="auto"/>
              <w:right w:val="single" w:sz="4" w:space="0" w:color="auto"/>
            </w:tcBorders>
            <w:shd w:val="clear" w:color="auto" w:fill="auto"/>
            <w:noWrap/>
            <w:vAlign w:val="bottom"/>
          </w:tcPr>
          <w:p w:rsidR="009B290B" w:rsidRPr="007C596F" w:rsidRDefault="00F85973"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9007</w:t>
            </w:r>
          </w:p>
        </w:tc>
      </w:tr>
    </w:tbl>
    <w:p w:rsidR="00A605C4" w:rsidRPr="00A605C4" w:rsidRDefault="00A605C4" w:rsidP="00A605C4">
      <w:pPr>
        <w:ind w:right="681"/>
        <w:jc w:val="both"/>
        <w:rPr>
          <w:rFonts w:asciiTheme="minorHAnsi" w:hAnsiTheme="minorHAnsi" w:cstheme="minorHAnsi"/>
        </w:rPr>
      </w:pPr>
      <w:r w:rsidRPr="00A605C4">
        <w:rPr>
          <w:rFonts w:asciiTheme="minorHAnsi" w:hAnsiTheme="minorHAnsi" w:cstheme="minorHAnsi"/>
        </w:rPr>
        <w:br/>
      </w:r>
    </w:p>
    <w:p w:rsidR="00A605C4" w:rsidRDefault="00A605C4" w:rsidP="00A605C4">
      <w:pPr>
        <w:ind w:right="681"/>
        <w:rPr>
          <w:rFonts w:asciiTheme="minorHAnsi" w:hAnsiTheme="minorHAnsi" w:cstheme="minorHAnsi"/>
          <w:b/>
          <w:color w:val="000000" w:themeColor="text1"/>
        </w:rPr>
      </w:pPr>
      <w:r w:rsidRPr="00A605C4">
        <w:rPr>
          <w:rFonts w:asciiTheme="minorHAnsi" w:hAnsiTheme="minorHAnsi" w:cstheme="minorHAnsi"/>
          <w:b/>
        </w:rPr>
        <w:t xml:space="preserve">Criterion 4: </w:t>
      </w:r>
      <w:r w:rsidRPr="00A605C4">
        <w:rPr>
          <w:rFonts w:asciiTheme="minorHAnsi" w:hAnsiTheme="minorHAnsi" w:cstheme="minorHAnsi"/>
          <w:b/>
        </w:rPr>
        <w:tab/>
      </w:r>
      <w:r w:rsidRPr="00A605C4">
        <w:rPr>
          <w:rFonts w:asciiTheme="minorHAnsi" w:hAnsiTheme="minorHAnsi" w:cstheme="minorHAnsi"/>
          <w:b/>
          <w:color w:val="000000" w:themeColor="text1"/>
        </w:rPr>
        <w:t xml:space="preserve"> </w:t>
      </w:r>
    </w:p>
    <w:tbl>
      <w:tblPr>
        <w:tblW w:w="9654" w:type="dxa"/>
        <w:tblInd w:w="93" w:type="dxa"/>
        <w:tblLook w:val="04A0" w:firstRow="1" w:lastRow="0" w:firstColumn="1" w:lastColumn="0" w:noHBand="0" w:noVBand="1"/>
      </w:tblPr>
      <w:tblGrid>
        <w:gridCol w:w="4410"/>
        <w:gridCol w:w="2126"/>
        <w:gridCol w:w="1559"/>
        <w:gridCol w:w="1559"/>
      </w:tblGrid>
      <w:tr w:rsidR="00623387" w:rsidRPr="009B290B"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623387" w:rsidRPr="007C596F" w:rsidRDefault="00623387"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lastRenderedPageBreak/>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623387" w:rsidRPr="007C596F" w:rsidRDefault="00623387"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623387" w:rsidRPr="007C596F" w:rsidRDefault="00623387"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623387" w:rsidRPr="007C596F" w:rsidRDefault="00623387"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r>
              <w:rPr>
                <w:rFonts w:asciiTheme="minorHAnsi" w:hAnsiTheme="minorHAnsi" w:cstheme="minorHAnsi"/>
                <w:color w:val="FFFFFF"/>
                <w:sz w:val="22"/>
                <w:szCs w:val="22"/>
              </w:rPr>
              <w:t xml:space="preserve"> as no data was collected</w:t>
            </w:r>
          </w:p>
        </w:tc>
      </w:tr>
      <w:tr w:rsidR="00623387" w:rsidRPr="009B290B"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623387" w:rsidRPr="007C596F" w:rsidRDefault="00623387" w:rsidP="005145DA">
            <w:pPr>
              <w:rPr>
                <w:rFonts w:asciiTheme="minorHAnsi" w:hAnsiTheme="minorHAnsi" w:cstheme="minorHAnsi"/>
                <w:color w:val="000000"/>
                <w:sz w:val="22"/>
                <w:szCs w:val="22"/>
              </w:rPr>
            </w:pPr>
            <w:r w:rsidRPr="00A605C4">
              <w:rPr>
                <w:rFonts w:asciiTheme="minorHAnsi" w:hAnsiTheme="minorHAnsi" w:cstheme="minorHAnsi"/>
                <w:color w:val="000000" w:themeColor="text1"/>
                <w:sz w:val="22"/>
                <w:szCs w:val="22"/>
              </w:rPr>
              <w:t>Patients accessing this service will have a named General Practitioner.</w:t>
            </w:r>
          </w:p>
        </w:tc>
        <w:tc>
          <w:tcPr>
            <w:tcW w:w="2126" w:type="dxa"/>
            <w:tcBorders>
              <w:top w:val="nil"/>
              <w:left w:val="nil"/>
              <w:bottom w:val="single" w:sz="4" w:space="0" w:color="auto"/>
              <w:right w:val="single" w:sz="4" w:space="0" w:color="auto"/>
            </w:tcBorders>
            <w:shd w:val="clear" w:color="auto" w:fill="auto"/>
            <w:hideMark/>
          </w:tcPr>
          <w:p w:rsidR="00623387" w:rsidRPr="007C596F" w:rsidRDefault="00623387" w:rsidP="005145DA">
            <w:pP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1559" w:type="dxa"/>
            <w:tcBorders>
              <w:top w:val="single" w:sz="4" w:space="0" w:color="auto"/>
              <w:left w:val="nil"/>
              <w:bottom w:val="single" w:sz="4" w:space="0" w:color="auto"/>
              <w:right w:val="single" w:sz="4" w:space="0" w:color="auto"/>
            </w:tcBorders>
            <w:shd w:val="clear" w:color="auto" w:fill="auto"/>
            <w:noWrap/>
          </w:tcPr>
          <w:p w:rsidR="00623387" w:rsidRPr="007C596F" w:rsidRDefault="00623387"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559" w:type="dxa"/>
            <w:tcBorders>
              <w:top w:val="nil"/>
              <w:left w:val="nil"/>
              <w:bottom w:val="single" w:sz="4" w:space="0" w:color="auto"/>
              <w:right w:val="single" w:sz="4" w:space="0" w:color="auto"/>
            </w:tcBorders>
            <w:shd w:val="clear" w:color="auto" w:fill="auto"/>
            <w:noWrap/>
          </w:tcPr>
          <w:p w:rsidR="00623387" w:rsidRPr="007C596F" w:rsidRDefault="00623387"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623387" w:rsidRPr="009B290B" w:rsidTr="005145DA">
        <w:trPr>
          <w:trHeight w:val="600"/>
        </w:trPr>
        <w:tc>
          <w:tcPr>
            <w:tcW w:w="4410" w:type="dxa"/>
            <w:tcBorders>
              <w:top w:val="nil"/>
              <w:left w:val="nil"/>
              <w:bottom w:val="nil"/>
              <w:right w:val="nil"/>
            </w:tcBorders>
            <w:shd w:val="clear" w:color="auto" w:fill="auto"/>
            <w:noWrap/>
            <w:vAlign w:val="bottom"/>
            <w:hideMark/>
          </w:tcPr>
          <w:p w:rsidR="00623387" w:rsidRPr="007C596F" w:rsidRDefault="00623387"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623387" w:rsidRPr="007C596F" w:rsidRDefault="00623387"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23387" w:rsidRPr="007C596F" w:rsidRDefault="00532EC4"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10829</w:t>
            </w:r>
          </w:p>
        </w:tc>
        <w:tc>
          <w:tcPr>
            <w:tcW w:w="1559" w:type="dxa"/>
            <w:tcBorders>
              <w:top w:val="nil"/>
              <w:left w:val="nil"/>
              <w:bottom w:val="single" w:sz="4" w:space="0" w:color="auto"/>
              <w:right w:val="single" w:sz="4" w:space="0" w:color="auto"/>
            </w:tcBorders>
            <w:shd w:val="clear" w:color="auto" w:fill="auto"/>
            <w:noWrap/>
            <w:vAlign w:val="bottom"/>
          </w:tcPr>
          <w:p w:rsidR="00623387" w:rsidRPr="007C596F" w:rsidRDefault="00532EC4"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3763</w:t>
            </w:r>
          </w:p>
        </w:tc>
      </w:tr>
    </w:tbl>
    <w:p w:rsidR="00623387" w:rsidRPr="00A605C4" w:rsidRDefault="00623387" w:rsidP="00A605C4">
      <w:pPr>
        <w:ind w:right="681"/>
        <w:rPr>
          <w:rFonts w:asciiTheme="minorHAnsi" w:hAnsiTheme="minorHAnsi" w:cstheme="minorHAnsi"/>
          <w:b/>
          <w:color w:val="000000" w:themeColor="text1"/>
        </w:rPr>
      </w:pPr>
    </w:p>
    <w:p w:rsidR="00A605C4" w:rsidRPr="00A605C4" w:rsidRDefault="00A605C4" w:rsidP="00A605C4">
      <w:pPr>
        <w:ind w:right="681"/>
        <w:jc w:val="center"/>
        <w:rPr>
          <w:rFonts w:asciiTheme="minorHAnsi" w:hAnsiTheme="minorHAnsi" w:cstheme="minorHAnsi"/>
          <w:b/>
          <w:color w:val="000000" w:themeColor="text1"/>
        </w:rPr>
      </w:pPr>
    </w:p>
    <w:p w:rsidR="00A605C4" w:rsidRPr="00A605C4" w:rsidRDefault="00A605C4" w:rsidP="00A605C4">
      <w:pPr>
        <w:ind w:right="681"/>
        <w:rPr>
          <w:rFonts w:asciiTheme="minorHAnsi" w:hAnsiTheme="minorHAnsi" w:cstheme="minorHAnsi"/>
          <w:b/>
          <w:color w:val="000000" w:themeColor="text1"/>
        </w:rPr>
      </w:pPr>
      <w:r w:rsidRPr="00A605C4">
        <w:rPr>
          <w:rFonts w:asciiTheme="minorHAnsi" w:hAnsiTheme="minorHAnsi" w:cstheme="minorHAnsi"/>
          <w:b/>
        </w:rPr>
        <w:t xml:space="preserve">Criterion 5: </w:t>
      </w:r>
      <w:r w:rsidRPr="00A605C4">
        <w:rPr>
          <w:rFonts w:asciiTheme="minorHAnsi" w:hAnsiTheme="minorHAnsi" w:cstheme="minorHAnsi"/>
          <w:b/>
        </w:rPr>
        <w:tab/>
      </w:r>
    </w:p>
    <w:tbl>
      <w:tblPr>
        <w:tblW w:w="9654" w:type="dxa"/>
        <w:tblInd w:w="93" w:type="dxa"/>
        <w:tblLook w:val="04A0" w:firstRow="1" w:lastRow="0" w:firstColumn="1" w:lastColumn="0" w:noHBand="0" w:noVBand="1"/>
      </w:tblPr>
      <w:tblGrid>
        <w:gridCol w:w="4410"/>
        <w:gridCol w:w="2126"/>
        <w:gridCol w:w="1559"/>
        <w:gridCol w:w="1559"/>
      </w:tblGrid>
      <w:tr w:rsidR="00F56366" w:rsidRPr="009B290B"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F56366" w:rsidRPr="007C596F" w:rsidRDefault="00F56366"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F56366" w:rsidRPr="007C596F" w:rsidRDefault="00F56366"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F56366" w:rsidRPr="007C596F" w:rsidRDefault="00F56366"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F56366" w:rsidRPr="007C596F" w:rsidRDefault="00F56366"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r>
              <w:rPr>
                <w:rFonts w:asciiTheme="minorHAnsi" w:hAnsiTheme="minorHAnsi" w:cstheme="minorHAnsi"/>
                <w:color w:val="FFFFFF"/>
                <w:sz w:val="22"/>
                <w:szCs w:val="22"/>
              </w:rPr>
              <w:t xml:space="preserve"> as no data was collected</w:t>
            </w:r>
          </w:p>
        </w:tc>
      </w:tr>
      <w:tr w:rsidR="00F56366" w:rsidRPr="009B290B"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F56366" w:rsidRPr="007C596F" w:rsidRDefault="00F56366" w:rsidP="005145DA">
            <w:pPr>
              <w:rPr>
                <w:rFonts w:asciiTheme="minorHAnsi" w:hAnsiTheme="minorHAnsi" w:cstheme="minorHAnsi"/>
                <w:color w:val="000000"/>
                <w:sz w:val="22"/>
                <w:szCs w:val="22"/>
              </w:rPr>
            </w:pPr>
            <w:r w:rsidRPr="00A605C4">
              <w:rPr>
                <w:rFonts w:asciiTheme="minorHAnsi" w:hAnsiTheme="minorHAnsi" w:cstheme="minorHAnsi"/>
                <w:color w:val="000000" w:themeColor="text1"/>
                <w:sz w:val="22"/>
                <w:szCs w:val="22"/>
              </w:rPr>
              <w:t>Where applicable, patients feel they are able to manage their diagnosed condition more effectively due to self-management, education and signposting.</w:t>
            </w:r>
          </w:p>
        </w:tc>
        <w:tc>
          <w:tcPr>
            <w:tcW w:w="2126" w:type="dxa"/>
            <w:tcBorders>
              <w:top w:val="nil"/>
              <w:left w:val="nil"/>
              <w:bottom w:val="single" w:sz="4" w:space="0" w:color="auto"/>
              <w:right w:val="single" w:sz="4" w:space="0" w:color="auto"/>
            </w:tcBorders>
            <w:shd w:val="clear" w:color="auto" w:fill="auto"/>
            <w:hideMark/>
          </w:tcPr>
          <w:p w:rsidR="00F56366" w:rsidRPr="007C596F" w:rsidRDefault="00F56366" w:rsidP="005145DA">
            <w:pPr>
              <w:rPr>
                <w:rFonts w:asciiTheme="minorHAnsi" w:hAnsiTheme="minorHAnsi" w:cstheme="minorHAnsi"/>
                <w:color w:val="000000"/>
                <w:sz w:val="22"/>
                <w:szCs w:val="22"/>
              </w:rPr>
            </w:pPr>
            <w:r>
              <w:rPr>
                <w:rFonts w:asciiTheme="minorHAnsi" w:hAnsiTheme="minorHAnsi" w:cstheme="minorHAnsi"/>
                <w:color w:val="000000"/>
                <w:sz w:val="22"/>
                <w:szCs w:val="22"/>
              </w:rPr>
              <w:t>70% of returns</w:t>
            </w:r>
          </w:p>
        </w:tc>
        <w:tc>
          <w:tcPr>
            <w:tcW w:w="1559" w:type="dxa"/>
            <w:tcBorders>
              <w:top w:val="single" w:sz="4" w:space="0" w:color="auto"/>
              <w:left w:val="nil"/>
              <w:bottom w:val="single" w:sz="4" w:space="0" w:color="auto"/>
              <w:right w:val="single" w:sz="4" w:space="0" w:color="auto"/>
            </w:tcBorders>
            <w:shd w:val="clear" w:color="auto" w:fill="auto"/>
            <w:noWrap/>
          </w:tcPr>
          <w:p w:rsidR="00F56366" w:rsidRPr="007C596F" w:rsidRDefault="00F56366"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559" w:type="dxa"/>
            <w:tcBorders>
              <w:top w:val="nil"/>
              <w:left w:val="nil"/>
              <w:bottom w:val="single" w:sz="4" w:space="0" w:color="auto"/>
              <w:right w:val="single" w:sz="4" w:space="0" w:color="auto"/>
            </w:tcBorders>
            <w:shd w:val="clear" w:color="auto" w:fill="auto"/>
            <w:noWrap/>
          </w:tcPr>
          <w:p w:rsidR="00F56366" w:rsidRPr="007C596F" w:rsidRDefault="00F56366"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15</w:t>
            </w:r>
          </w:p>
        </w:tc>
      </w:tr>
      <w:tr w:rsidR="00F56366" w:rsidRPr="009B290B" w:rsidTr="005145DA">
        <w:trPr>
          <w:trHeight w:val="600"/>
        </w:trPr>
        <w:tc>
          <w:tcPr>
            <w:tcW w:w="4410" w:type="dxa"/>
            <w:tcBorders>
              <w:top w:val="nil"/>
              <w:left w:val="nil"/>
              <w:bottom w:val="nil"/>
              <w:right w:val="nil"/>
            </w:tcBorders>
            <w:shd w:val="clear" w:color="auto" w:fill="auto"/>
            <w:noWrap/>
            <w:vAlign w:val="bottom"/>
            <w:hideMark/>
          </w:tcPr>
          <w:p w:rsidR="00F56366" w:rsidRPr="007C596F" w:rsidRDefault="00F56366"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F56366" w:rsidRPr="007C596F" w:rsidRDefault="00F56366"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56366" w:rsidRPr="007C596F" w:rsidRDefault="00F56366"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4114</w:t>
            </w:r>
          </w:p>
        </w:tc>
        <w:tc>
          <w:tcPr>
            <w:tcW w:w="1559" w:type="dxa"/>
            <w:tcBorders>
              <w:top w:val="nil"/>
              <w:left w:val="nil"/>
              <w:bottom w:val="single" w:sz="4" w:space="0" w:color="auto"/>
              <w:right w:val="single" w:sz="4" w:space="0" w:color="auto"/>
            </w:tcBorders>
            <w:shd w:val="clear" w:color="auto" w:fill="auto"/>
            <w:noWrap/>
            <w:vAlign w:val="bottom"/>
          </w:tcPr>
          <w:p w:rsidR="00F56366" w:rsidRPr="007C596F" w:rsidRDefault="00E150F2"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10478</w:t>
            </w:r>
          </w:p>
        </w:tc>
      </w:tr>
    </w:tbl>
    <w:p w:rsidR="00A605C4" w:rsidRPr="00A605C4" w:rsidRDefault="00A605C4" w:rsidP="00A605C4">
      <w:pPr>
        <w:ind w:right="681"/>
        <w:jc w:val="center"/>
        <w:rPr>
          <w:rFonts w:asciiTheme="minorHAnsi" w:hAnsiTheme="minorHAnsi" w:cstheme="minorHAnsi"/>
          <w:b/>
          <w:color w:val="000000" w:themeColor="text1"/>
        </w:rPr>
      </w:pPr>
    </w:p>
    <w:p w:rsidR="00A605C4" w:rsidRPr="00A605C4" w:rsidRDefault="00A605C4" w:rsidP="00A605C4">
      <w:pPr>
        <w:ind w:right="681"/>
        <w:jc w:val="both"/>
        <w:rPr>
          <w:rFonts w:asciiTheme="minorHAnsi" w:hAnsiTheme="minorHAnsi" w:cstheme="minorHAnsi"/>
        </w:rPr>
      </w:pPr>
    </w:p>
    <w:p w:rsidR="00A605C4" w:rsidRPr="00A605C4" w:rsidRDefault="00A605C4" w:rsidP="00A46E1F">
      <w:pPr>
        <w:rPr>
          <w:rFonts w:asciiTheme="minorHAnsi" w:hAnsiTheme="minorHAnsi" w:cstheme="minorHAnsi"/>
        </w:rPr>
      </w:pPr>
      <w:r w:rsidRPr="00A605C4">
        <w:rPr>
          <w:rFonts w:asciiTheme="minorHAnsi" w:hAnsiTheme="minorHAnsi" w:cstheme="minorHAnsi"/>
          <w:b/>
        </w:rPr>
        <w:t xml:space="preserve">Criterion 6: </w:t>
      </w:r>
      <w:r w:rsidRPr="00A605C4">
        <w:rPr>
          <w:rFonts w:asciiTheme="minorHAnsi" w:hAnsiTheme="minorHAnsi" w:cstheme="minorHAnsi"/>
          <w:b/>
        </w:rPr>
        <w:tab/>
        <w:t xml:space="preserve"> </w:t>
      </w:r>
    </w:p>
    <w:tbl>
      <w:tblPr>
        <w:tblW w:w="9654" w:type="dxa"/>
        <w:tblInd w:w="93" w:type="dxa"/>
        <w:tblLook w:val="04A0" w:firstRow="1" w:lastRow="0" w:firstColumn="1" w:lastColumn="0" w:noHBand="0" w:noVBand="1"/>
      </w:tblPr>
      <w:tblGrid>
        <w:gridCol w:w="4410"/>
        <w:gridCol w:w="2126"/>
        <w:gridCol w:w="1559"/>
        <w:gridCol w:w="1559"/>
      </w:tblGrid>
      <w:tr w:rsidR="00A46E1F" w:rsidRPr="009B290B" w:rsidTr="005145DA">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A46E1F" w:rsidRPr="007C596F" w:rsidRDefault="00A46E1F"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Quality Requirement</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rsidR="00A46E1F" w:rsidRPr="007C596F" w:rsidRDefault="00A46E1F" w:rsidP="005145DA">
            <w:pPr>
              <w:rPr>
                <w:rFonts w:asciiTheme="minorHAnsi" w:hAnsiTheme="minorHAnsi" w:cstheme="minorHAnsi"/>
                <w:b/>
                <w:bCs/>
                <w:color w:val="FFFFFF"/>
                <w:sz w:val="22"/>
                <w:szCs w:val="22"/>
              </w:rPr>
            </w:pPr>
            <w:r w:rsidRPr="007C596F">
              <w:rPr>
                <w:rFonts w:asciiTheme="minorHAnsi" w:hAnsiTheme="minorHAnsi" w:cstheme="minorHAnsi"/>
                <w:b/>
                <w:bCs/>
                <w:color w:val="FFFFFF"/>
                <w:sz w:val="22"/>
                <w:szCs w:val="22"/>
              </w:rPr>
              <w:t>Threshold</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46E1F" w:rsidRPr="007C596F" w:rsidRDefault="00A46E1F"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7C596F">
              <w:rPr>
                <w:rFonts w:asciiTheme="minorHAnsi" w:hAnsiTheme="minorHAnsi" w:cstheme="minorHAnsi"/>
                <w:b/>
                <w:bCs/>
                <w:color w:val="FFFFFF"/>
                <w:sz w:val="22"/>
                <w:szCs w:val="22"/>
              </w:rPr>
              <w:t xml:space="preserve">achieved </w:t>
            </w:r>
            <w:r w:rsidRPr="007C596F">
              <w:rPr>
                <w:rFonts w:asciiTheme="minorHAnsi" w:hAnsiTheme="minorHAnsi" w:cstheme="minorHAnsi"/>
                <w:color w:val="FFFFFF"/>
                <w:sz w:val="22"/>
                <w:szCs w:val="22"/>
              </w:rPr>
              <w:t>measure</w:t>
            </w:r>
          </w:p>
        </w:tc>
        <w:tc>
          <w:tcPr>
            <w:tcW w:w="1559" w:type="dxa"/>
            <w:tcBorders>
              <w:top w:val="single" w:sz="4" w:space="0" w:color="auto"/>
              <w:left w:val="nil"/>
              <w:bottom w:val="single" w:sz="4" w:space="0" w:color="auto"/>
              <w:right w:val="single" w:sz="4" w:space="0" w:color="auto"/>
            </w:tcBorders>
            <w:shd w:val="clear" w:color="000000" w:fill="002060"/>
            <w:vAlign w:val="bottom"/>
            <w:hideMark/>
          </w:tcPr>
          <w:p w:rsidR="00A46E1F" w:rsidRPr="007C596F" w:rsidRDefault="00A46E1F" w:rsidP="005145DA">
            <w:pPr>
              <w:rPr>
                <w:rFonts w:asciiTheme="minorHAnsi" w:hAnsiTheme="minorHAnsi" w:cstheme="minorHAnsi"/>
                <w:color w:val="FFFFFF"/>
                <w:sz w:val="22"/>
                <w:szCs w:val="22"/>
              </w:rPr>
            </w:pPr>
            <w:r w:rsidRPr="007C596F">
              <w:rPr>
                <w:rFonts w:asciiTheme="minorHAnsi" w:hAnsiTheme="minorHAnsi" w:cstheme="minorHAnsi"/>
                <w:color w:val="FFFFFF"/>
                <w:sz w:val="22"/>
                <w:szCs w:val="22"/>
              </w:rPr>
              <w:t xml:space="preserve">No of services </w:t>
            </w:r>
            <w:r w:rsidRPr="009B290B">
              <w:rPr>
                <w:rFonts w:asciiTheme="minorHAnsi" w:hAnsiTheme="minorHAnsi" w:cstheme="minorHAnsi"/>
                <w:color w:val="FFFFFF"/>
                <w:sz w:val="22"/>
                <w:szCs w:val="22"/>
              </w:rPr>
              <w:t xml:space="preserve">which </w:t>
            </w:r>
            <w:r w:rsidRPr="009B290B">
              <w:rPr>
                <w:rFonts w:asciiTheme="minorHAnsi" w:hAnsiTheme="minorHAnsi" w:cstheme="minorHAnsi"/>
                <w:b/>
                <w:color w:val="FFFFFF"/>
                <w:sz w:val="22"/>
                <w:szCs w:val="22"/>
              </w:rPr>
              <w:t xml:space="preserve">did </w:t>
            </w:r>
            <w:r w:rsidRPr="009B290B">
              <w:rPr>
                <w:rFonts w:asciiTheme="minorHAnsi" w:hAnsiTheme="minorHAnsi" w:cstheme="minorHAnsi"/>
                <w:b/>
                <w:bCs/>
                <w:color w:val="FFFFFF"/>
                <w:sz w:val="22"/>
                <w:szCs w:val="22"/>
              </w:rPr>
              <w:t xml:space="preserve">not achieve </w:t>
            </w:r>
            <w:r w:rsidRPr="007C596F">
              <w:rPr>
                <w:rFonts w:asciiTheme="minorHAnsi" w:hAnsiTheme="minorHAnsi" w:cstheme="minorHAnsi"/>
                <w:color w:val="FFFFFF"/>
                <w:sz w:val="22"/>
                <w:szCs w:val="22"/>
              </w:rPr>
              <w:t>measure</w:t>
            </w:r>
            <w:r>
              <w:rPr>
                <w:rFonts w:asciiTheme="minorHAnsi" w:hAnsiTheme="minorHAnsi" w:cstheme="minorHAnsi"/>
                <w:color w:val="FFFFFF"/>
                <w:sz w:val="22"/>
                <w:szCs w:val="22"/>
              </w:rPr>
              <w:t xml:space="preserve"> as no data was collected</w:t>
            </w:r>
          </w:p>
        </w:tc>
      </w:tr>
      <w:tr w:rsidR="00A46E1F" w:rsidRPr="009B290B" w:rsidTr="005145DA">
        <w:trPr>
          <w:trHeight w:val="909"/>
        </w:trPr>
        <w:tc>
          <w:tcPr>
            <w:tcW w:w="4410" w:type="dxa"/>
            <w:tcBorders>
              <w:top w:val="nil"/>
              <w:left w:val="single" w:sz="4" w:space="0" w:color="auto"/>
              <w:bottom w:val="single" w:sz="4" w:space="0" w:color="auto"/>
              <w:right w:val="single" w:sz="4" w:space="0" w:color="auto"/>
            </w:tcBorders>
            <w:shd w:val="clear" w:color="auto" w:fill="auto"/>
            <w:hideMark/>
          </w:tcPr>
          <w:p w:rsidR="00A46E1F" w:rsidRPr="00A605C4" w:rsidRDefault="00A46E1F" w:rsidP="005145DA">
            <w:pPr>
              <w:autoSpaceDE w:val="0"/>
              <w:autoSpaceDN w:val="0"/>
              <w:rPr>
                <w:rFonts w:asciiTheme="minorHAnsi" w:hAnsiTheme="minorHAnsi" w:cstheme="minorHAnsi"/>
                <w:color w:val="000000" w:themeColor="text1"/>
                <w:sz w:val="22"/>
                <w:szCs w:val="22"/>
              </w:rPr>
            </w:pPr>
            <w:r w:rsidRPr="00A605C4">
              <w:rPr>
                <w:rFonts w:asciiTheme="minorHAnsi" w:hAnsiTheme="minorHAnsi" w:cstheme="minorHAnsi"/>
                <w:sz w:val="22"/>
                <w:szCs w:val="22"/>
              </w:rPr>
              <w:t xml:space="preserve">Patients accessing this service will be satisfied with the care received and will provide feedback in order for the provider to assess effectiveness. </w:t>
            </w:r>
          </w:p>
        </w:tc>
        <w:tc>
          <w:tcPr>
            <w:tcW w:w="2126" w:type="dxa"/>
            <w:tcBorders>
              <w:top w:val="nil"/>
              <w:left w:val="nil"/>
              <w:bottom w:val="single" w:sz="4" w:space="0" w:color="auto"/>
              <w:right w:val="single" w:sz="4" w:space="0" w:color="auto"/>
            </w:tcBorders>
            <w:shd w:val="clear" w:color="auto" w:fill="auto"/>
            <w:hideMark/>
          </w:tcPr>
          <w:p w:rsidR="00A46E1F" w:rsidRPr="00A605C4" w:rsidRDefault="00A46E1F" w:rsidP="00A46E1F">
            <w:pPr>
              <w:rPr>
                <w:rFonts w:asciiTheme="minorHAnsi" w:hAnsiTheme="minorHAnsi" w:cstheme="minorHAnsi"/>
                <w:sz w:val="22"/>
                <w:szCs w:val="22"/>
              </w:rPr>
            </w:pPr>
            <w:r w:rsidRPr="00A605C4">
              <w:rPr>
                <w:rFonts w:asciiTheme="minorHAnsi" w:hAnsiTheme="minorHAnsi" w:cstheme="minorHAnsi"/>
                <w:sz w:val="22"/>
                <w:szCs w:val="22"/>
              </w:rPr>
              <w:t>50% response rate.</w:t>
            </w:r>
            <w:r w:rsidR="008E204E">
              <w:rPr>
                <w:rFonts w:asciiTheme="minorHAnsi" w:hAnsiTheme="minorHAnsi" w:cstheme="minorHAnsi"/>
                <w:sz w:val="22"/>
                <w:szCs w:val="22"/>
              </w:rPr>
              <w:br/>
            </w:r>
          </w:p>
          <w:p w:rsidR="00A46E1F" w:rsidRPr="007C596F" w:rsidRDefault="00A46E1F" w:rsidP="00A46E1F">
            <w:pPr>
              <w:rPr>
                <w:rFonts w:asciiTheme="minorHAnsi" w:hAnsiTheme="minorHAnsi" w:cstheme="minorHAnsi"/>
                <w:color w:val="000000"/>
                <w:sz w:val="22"/>
                <w:szCs w:val="22"/>
              </w:rPr>
            </w:pPr>
            <w:r w:rsidRPr="00A605C4">
              <w:rPr>
                <w:rFonts w:asciiTheme="minorHAnsi" w:hAnsiTheme="minorHAnsi" w:cstheme="minorHAnsi"/>
                <w:sz w:val="22"/>
                <w:szCs w:val="22"/>
              </w:rPr>
              <w:t>80% minimum satisfaction rate.</w:t>
            </w:r>
          </w:p>
        </w:tc>
        <w:tc>
          <w:tcPr>
            <w:tcW w:w="1559" w:type="dxa"/>
            <w:tcBorders>
              <w:top w:val="single" w:sz="4" w:space="0" w:color="auto"/>
              <w:left w:val="nil"/>
              <w:bottom w:val="single" w:sz="4" w:space="0" w:color="auto"/>
              <w:right w:val="single" w:sz="4" w:space="0" w:color="auto"/>
            </w:tcBorders>
            <w:shd w:val="clear" w:color="auto" w:fill="auto"/>
            <w:noWrap/>
          </w:tcPr>
          <w:p w:rsidR="00A46E1F" w:rsidRPr="007C596F" w:rsidRDefault="00A46E1F"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59" w:type="dxa"/>
            <w:tcBorders>
              <w:top w:val="nil"/>
              <w:left w:val="nil"/>
              <w:bottom w:val="single" w:sz="4" w:space="0" w:color="auto"/>
              <w:right w:val="single" w:sz="4" w:space="0" w:color="auto"/>
            </w:tcBorders>
            <w:shd w:val="clear" w:color="auto" w:fill="auto"/>
            <w:noWrap/>
          </w:tcPr>
          <w:p w:rsidR="00A46E1F" w:rsidRPr="007C596F" w:rsidRDefault="00A46E1F"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11</w:t>
            </w:r>
          </w:p>
        </w:tc>
      </w:tr>
      <w:tr w:rsidR="00A46E1F" w:rsidRPr="009B290B" w:rsidTr="005145DA">
        <w:trPr>
          <w:trHeight w:val="600"/>
        </w:trPr>
        <w:tc>
          <w:tcPr>
            <w:tcW w:w="4410" w:type="dxa"/>
            <w:tcBorders>
              <w:top w:val="nil"/>
              <w:left w:val="nil"/>
              <w:bottom w:val="nil"/>
              <w:right w:val="nil"/>
            </w:tcBorders>
            <w:shd w:val="clear" w:color="auto" w:fill="auto"/>
            <w:noWrap/>
            <w:vAlign w:val="bottom"/>
            <w:hideMark/>
          </w:tcPr>
          <w:p w:rsidR="00A46E1F" w:rsidRPr="007C596F" w:rsidRDefault="00A46E1F" w:rsidP="005145DA">
            <w:pPr>
              <w:rPr>
                <w:rFonts w:asciiTheme="minorHAnsi" w:hAnsiTheme="minorHAnsi" w:cstheme="minorHAnsi"/>
                <w:color w:val="000000"/>
                <w:sz w:val="22"/>
                <w:szCs w:val="22"/>
              </w:rPr>
            </w:pPr>
          </w:p>
        </w:tc>
        <w:tc>
          <w:tcPr>
            <w:tcW w:w="2126" w:type="dxa"/>
            <w:tcBorders>
              <w:top w:val="nil"/>
              <w:left w:val="single" w:sz="4" w:space="0" w:color="auto"/>
              <w:bottom w:val="single" w:sz="4" w:space="0" w:color="auto"/>
              <w:right w:val="nil"/>
            </w:tcBorders>
            <w:shd w:val="clear" w:color="auto" w:fill="auto"/>
            <w:vAlign w:val="bottom"/>
            <w:hideMark/>
          </w:tcPr>
          <w:p w:rsidR="00A46E1F" w:rsidRPr="007C596F" w:rsidRDefault="00A46E1F" w:rsidP="005145DA">
            <w:pPr>
              <w:rPr>
                <w:rFonts w:asciiTheme="minorHAnsi" w:hAnsiTheme="minorHAnsi" w:cstheme="minorHAnsi"/>
                <w:color w:val="000000"/>
                <w:sz w:val="22"/>
                <w:szCs w:val="22"/>
              </w:rPr>
            </w:pPr>
            <w:r w:rsidRPr="007C596F">
              <w:rPr>
                <w:rFonts w:asciiTheme="minorHAnsi" w:hAnsiTheme="minorHAnsi" w:cstheme="minorHAnsi"/>
                <w:color w:val="000000"/>
                <w:sz w:val="22"/>
                <w:szCs w:val="22"/>
              </w:rPr>
              <w:t>Practice population affected (over 75s)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46E1F" w:rsidRPr="007C596F" w:rsidRDefault="004958B6"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4826</w:t>
            </w:r>
          </w:p>
        </w:tc>
        <w:tc>
          <w:tcPr>
            <w:tcW w:w="1559" w:type="dxa"/>
            <w:tcBorders>
              <w:top w:val="nil"/>
              <w:left w:val="nil"/>
              <w:bottom w:val="single" w:sz="4" w:space="0" w:color="auto"/>
              <w:right w:val="single" w:sz="4" w:space="0" w:color="auto"/>
            </w:tcBorders>
            <w:shd w:val="clear" w:color="auto" w:fill="auto"/>
            <w:noWrap/>
            <w:vAlign w:val="bottom"/>
          </w:tcPr>
          <w:p w:rsidR="00A46E1F" w:rsidRPr="007C596F" w:rsidRDefault="004958B6" w:rsidP="005145DA">
            <w:pPr>
              <w:jc w:val="right"/>
              <w:rPr>
                <w:rFonts w:asciiTheme="minorHAnsi" w:hAnsiTheme="minorHAnsi" w:cstheme="minorHAnsi"/>
                <w:color w:val="000000"/>
                <w:sz w:val="22"/>
                <w:szCs w:val="22"/>
              </w:rPr>
            </w:pPr>
            <w:r>
              <w:rPr>
                <w:rFonts w:asciiTheme="minorHAnsi" w:hAnsiTheme="minorHAnsi" w:cstheme="minorHAnsi"/>
                <w:color w:val="000000"/>
                <w:sz w:val="22"/>
                <w:szCs w:val="22"/>
              </w:rPr>
              <w:t>9766</w:t>
            </w:r>
          </w:p>
        </w:tc>
      </w:tr>
    </w:tbl>
    <w:p w:rsidR="00A605C4" w:rsidRDefault="00A605C4" w:rsidP="00A605C4">
      <w:pPr>
        <w:ind w:right="681"/>
        <w:jc w:val="both"/>
        <w:rPr>
          <w:rFonts w:asciiTheme="minorHAnsi" w:hAnsiTheme="minorHAnsi" w:cstheme="minorHAnsi"/>
        </w:rPr>
      </w:pPr>
    </w:p>
    <w:p w:rsidR="005145DA" w:rsidRDefault="005145DA" w:rsidP="00A605C4">
      <w:pPr>
        <w:ind w:right="681"/>
        <w:jc w:val="both"/>
        <w:rPr>
          <w:rFonts w:asciiTheme="minorHAnsi" w:hAnsiTheme="minorHAnsi" w:cstheme="minorHAnsi"/>
        </w:rPr>
      </w:pPr>
    </w:p>
    <w:p w:rsidR="005145DA" w:rsidRPr="005145DA" w:rsidRDefault="005145DA" w:rsidP="00A605C4">
      <w:pPr>
        <w:ind w:right="681"/>
        <w:jc w:val="both"/>
        <w:rPr>
          <w:rFonts w:asciiTheme="minorHAnsi" w:hAnsiTheme="minorHAnsi" w:cstheme="minorHAnsi"/>
          <w:sz w:val="22"/>
          <w:szCs w:val="22"/>
        </w:rPr>
      </w:pPr>
      <w:r w:rsidRPr="005145DA">
        <w:rPr>
          <w:rFonts w:asciiTheme="minorHAnsi" w:hAnsiTheme="minorHAnsi" w:cstheme="minorHAnsi"/>
          <w:sz w:val="22"/>
          <w:szCs w:val="22"/>
        </w:rPr>
        <w:t>Only one service (a partnership between 3 Practices) achieved all 6 criteria.</w:t>
      </w:r>
    </w:p>
    <w:p w:rsidR="005145DA" w:rsidRPr="00A605C4" w:rsidRDefault="005145DA" w:rsidP="00A605C4">
      <w:pPr>
        <w:ind w:right="681"/>
        <w:jc w:val="both"/>
        <w:rPr>
          <w:rFonts w:asciiTheme="minorHAnsi" w:hAnsiTheme="minorHAnsi" w:cstheme="minorHAnsi"/>
        </w:rPr>
      </w:pPr>
    </w:p>
    <w:p w:rsidR="005145DA" w:rsidRDefault="005145DA" w:rsidP="00F76D98">
      <w:pPr>
        <w:spacing w:line="276" w:lineRule="auto"/>
        <w:ind w:right="288"/>
        <w:jc w:val="both"/>
        <w:rPr>
          <w:rFonts w:asciiTheme="minorHAnsi" w:hAnsiTheme="minorHAnsi" w:cstheme="minorHAnsi"/>
          <w:b/>
          <w:sz w:val="26"/>
          <w:szCs w:val="26"/>
        </w:rPr>
      </w:pPr>
      <w:r>
        <w:rPr>
          <w:rFonts w:asciiTheme="minorHAnsi" w:hAnsiTheme="minorHAnsi" w:cstheme="minorHAnsi"/>
          <w:b/>
          <w:sz w:val="26"/>
          <w:szCs w:val="26"/>
        </w:rPr>
        <w:t>Options for on-going service</w:t>
      </w:r>
    </w:p>
    <w:p w:rsidR="004D447F" w:rsidRDefault="005145DA" w:rsidP="005145DA">
      <w:pPr>
        <w:spacing w:line="276" w:lineRule="auto"/>
        <w:ind w:right="288"/>
        <w:jc w:val="both"/>
        <w:rPr>
          <w:rFonts w:asciiTheme="minorHAnsi" w:hAnsiTheme="minorHAnsi" w:cstheme="minorHAnsi"/>
          <w:sz w:val="22"/>
          <w:szCs w:val="22"/>
        </w:rPr>
      </w:pPr>
      <w:r w:rsidRPr="008D76F0">
        <w:rPr>
          <w:rFonts w:asciiTheme="minorHAnsi" w:hAnsiTheme="minorHAnsi" w:cstheme="minorHAnsi"/>
          <w:sz w:val="22"/>
          <w:szCs w:val="22"/>
        </w:rPr>
        <w:t xml:space="preserve">Based on the </w:t>
      </w:r>
      <w:r>
        <w:rPr>
          <w:rFonts w:asciiTheme="minorHAnsi" w:hAnsiTheme="minorHAnsi" w:cstheme="minorHAnsi"/>
          <w:sz w:val="22"/>
          <w:szCs w:val="22"/>
        </w:rPr>
        <w:t xml:space="preserve">reported achievement of the outcomes, as detailed above, the </w:t>
      </w:r>
      <w:r w:rsidR="004D447F">
        <w:rPr>
          <w:rFonts w:asciiTheme="minorHAnsi" w:hAnsiTheme="minorHAnsi" w:cstheme="minorHAnsi"/>
          <w:sz w:val="22"/>
          <w:szCs w:val="22"/>
        </w:rPr>
        <w:t>current service model does not appear to have had the impact that was anticipated, with the exception of one provider</w:t>
      </w:r>
      <w:r>
        <w:rPr>
          <w:rFonts w:asciiTheme="minorHAnsi" w:hAnsiTheme="minorHAnsi" w:cstheme="minorHAnsi"/>
          <w:sz w:val="22"/>
          <w:szCs w:val="22"/>
        </w:rPr>
        <w:t xml:space="preserve">. In particular, </w:t>
      </w:r>
      <w:r>
        <w:rPr>
          <w:rFonts w:asciiTheme="minorHAnsi" w:hAnsiTheme="minorHAnsi" w:cstheme="minorHAnsi"/>
          <w:sz w:val="22"/>
          <w:szCs w:val="22"/>
        </w:rPr>
        <w:lastRenderedPageBreak/>
        <w:t xml:space="preserve">there appears to have been minimal impact in relation to reducing </w:t>
      </w:r>
      <w:r w:rsidR="004D447F">
        <w:rPr>
          <w:rFonts w:asciiTheme="minorHAnsi" w:hAnsiTheme="minorHAnsi" w:cstheme="minorHAnsi"/>
          <w:sz w:val="22"/>
          <w:szCs w:val="22"/>
        </w:rPr>
        <w:t xml:space="preserve">the </w:t>
      </w:r>
      <w:r>
        <w:rPr>
          <w:rFonts w:asciiTheme="minorHAnsi" w:hAnsiTheme="minorHAnsi" w:cstheme="minorHAnsi"/>
          <w:sz w:val="22"/>
          <w:szCs w:val="22"/>
        </w:rPr>
        <w:t>Accident &amp; Emergency attenda</w:t>
      </w:r>
      <w:r w:rsidR="004D447F">
        <w:rPr>
          <w:rFonts w:asciiTheme="minorHAnsi" w:hAnsiTheme="minorHAnsi" w:cstheme="minorHAnsi"/>
          <w:sz w:val="22"/>
          <w:szCs w:val="22"/>
        </w:rPr>
        <w:t xml:space="preserve">nces and emergency admissions for this cohort of patients. </w:t>
      </w:r>
    </w:p>
    <w:p w:rsidR="004D447F" w:rsidRDefault="004D447F" w:rsidP="005145DA">
      <w:pPr>
        <w:spacing w:line="276" w:lineRule="auto"/>
        <w:ind w:right="288"/>
        <w:jc w:val="both"/>
        <w:rPr>
          <w:rFonts w:asciiTheme="minorHAnsi" w:hAnsiTheme="minorHAnsi" w:cstheme="minorHAnsi"/>
          <w:sz w:val="22"/>
          <w:szCs w:val="22"/>
        </w:rPr>
      </w:pPr>
    </w:p>
    <w:p w:rsidR="004D447F" w:rsidRPr="00E7390C" w:rsidRDefault="004D447F" w:rsidP="004D447F">
      <w:pPr>
        <w:autoSpaceDE w:val="0"/>
        <w:autoSpaceDN w:val="0"/>
        <w:adjustRightInd w:val="0"/>
        <w:spacing w:line="276" w:lineRule="auto"/>
        <w:ind w:right="288"/>
        <w:jc w:val="both"/>
        <w:rPr>
          <w:rFonts w:asciiTheme="minorHAnsi" w:hAnsiTheme="minorHAnsi" w:cstheme="minorHAnsi"/>
          <w:sz w:val="22"/>
          <w:szCs w:val="22"/>
        </w:rPr>
      </w:pPr>
      <w:r>
        <w:rPr>
          <w:rFonts w:asciiTheme="minorHAnsi" w:hAnsiTheme="minorHAnsi" w:cstheme="minorHAnsi"/>
          <w:sz w:val="22"/>
          <w:szCs w:val="22"/>
        </w:rPr>
        <w:t xml:space="preserve">Given the need to ensure the delivery of outcomes for this cohort of patients, and the need to direct the limited resources available to the most effective services, the CCG could consider realigning this resource to an alternative model – providing tailored </w:t>
      </w:r>
      <w:r w:rsidRPr="00F76D98">
        <w:rPr>
          <w:rFonts w:asciiTheme="minorHAnsi" w:hAnsiTheme="minorHAnsi" w:cstheme="minorHAnsi"/>
          <w:sz w:val="22"/>
          <w:szCs w:val="22"/>
        </w:rPr>
        <w:t>support to people in care</w:t>
      </w:r>
      <w:r>
        <w:rPr>
          <w:rFonts w:asciiTheme="minorHAnsi" w:hAnsiTheme="minorHAnsi" w:cstheme="minorHAnsi"/>
          <w:sz w:val="22"/>
          <w:szCs w:val="22"/>
        </w:rPr>
        <w:t>/residential homes, the housebound</w:t>
      </w:r>
      <w:r w:rsidRPr="00F76D98">
        <w:rPr>
          <w:rFonts w:asciiTheme="minorHAnsi" w:hAnsiTheme="minorHAnsi" w:cstheme="minorHAnsi"/>
          <w:sz w:val="22"/>
          <w:szCs w:val="22"/>
        </w:rPr>
        <w:t xml:space="preserve"> </w:t>
      </w:r>
      <w:r w:rsidR="00E7390C">
        <w:rPr>
          <w:rFonts w:asciiTheme="minorHAnsi" w:hAnsiTheme="minorHAnsi" w:cstheme="minorHAnsi"/>
          <w:sz w:val="22"/>
          <w:szCs w:val="22"/>
        </w:rPr>
        <w:t xml:space="preserve">and the top 2% of service users; however, we would need to consider whether this would be necessary in the individual case where all criteria have been achieved. </w:t>
      </w:r>
      <w:r>
        <w:rPr>
          <w:rFonts w:asciiTheme="minorHAnsi" w:hAnsiTheme="minorHAnsi" w:cstheme="minorHAnsi"/>
          <w:sz w:val="22"/>
          <w:szCs w:val="22"/>
        </w:rPr>
        <w:t xml:space="preserve">General practice could still be a provider within this </w:t>
      </w:r>
      <w:r w:rsidR="00E7390C">
        <w:rPr>
          <w:rFonts w:asciiTheme="minorHAnsi" w:hAnsiTheme="minorHAnsi" w:cstheme="minorHAnsi"/>
          <w:sz w:val="22"/>
          <w:szCs w:val="22"/>
        </w:rPr>
        <w:t xml:space="preserve">alternative care </w:t>
      </w:r>
      <w:r>
        <w:rPr>
          <w:rFonts w:asciiTheme="minorHAnsi" w:hAnsiTheme="minorHAnsi" w:cstheme="minorHAnsi"/>
          <w:sz w:val="22"/>
          <w:szCs w:val="22"/>
        </w:rPr>
        <w:t xml:space="preserve">model, and this is highlighted as a way of working in the future for primary care within the </w:t>
      </w:r>
      <w:r w:rsidRPr="00F76D98">
        <w:rPr>
          <w:rFonts w:asciiTheme="minorHAnsi" w:hAnsiTheme="minorHAnsi" w:cstheme="minorHAnsi"/>
          <w:sz w:val="22"/>
          <w:szCs w:val="22"/>
        </w:rPr>
        <w:t>Primary Care Workforce Commission</w:t>
      </w:r>
      <w:r>
        <w:rPr>
          <w:rFonts w:asciiTheme="minorHAnsi" w:hAnsiTheme="minorHAnsi" w:cstheme="minorHAnsi"/>
          <w:sz w:val="22"/>
          <w:szCs w:val="22"/>
        </w:rPr>
        <w:t>’s</w:t>
      </w:r>
      <w:r w:rsidRPr="00F76D98">
        <w:rPr>
          <w:rFonts w:asciiTheme="minorHAnsi" w:hAnsiTheme="minorHAnsi" w:cstheme="minorHAnsi"/>
          <w:sz w:val="22"/>
          <w:szCs w:val="22"/>
        </w:rPr>
        <w:t xml:space="preserve"> 2015 publication “</w:t>
      </w:r>
      <w:r>
        <w:rPr>
          <w:rFonts w:asciiTheme="minorHAnsi" w:hAnsiTheme="minorHAnsi" w:cstheme="minorHAnsi"/>
          <w:bCs/>
          <w:sz w:val="22"/>
          <w:szCs w:val="22"/>
        </w:rPr>
        <w:t>The future of Primary C</w:t>
      </w:r>
      <w:r w:rsidRPr="00F76D98">
        <w:rPr>
          <w:rFonts w:asciiTheme="minorHAnsi" w:hAnsiTheme="minorHAnsi" w:cstheme="minorHAnsi"/>
          <w:bCs/>
          <w:sz w:val="22"/>
          <w:szCs w:val="22"/>
        </w:rPr>
        <w:t xml:space="preserve">are; </w:t>
      </w:r>
      <w:r w:rsidRPr="00F76D98">
        <w:rPr>
          <w:rFonts w:asciiTheme="minorHAnsi" w:hAnsiTheme="minorHAnsi" w:cstheme="minorHAnsi"/>
          <w:sz w:val="22"/>
          <w:szCs w:val="22"/>
        </w:rPr>
        <w:t xml:space="preserve">Creating teams for tomorrow” </w:t>
      </w:r>
      <w:r w:rsidR="00E7390C">
        <w:rPr>
          <w:rFonts w:asciiTheme="minorHAnsi" w:hAnsiTheme="minorHAnsi" w:cstheme="minorHAnsi"/>
          <w:sz w:val="22"/>
          <w:szCs w:val="22"/>
        </w:rPr>
        <w:t xml:space="preserve">which </w:t>
      </w:r>
      <w:r>
        <w:rPr>
          <w:rFonts w:asciiTheme="minorHAnsi" w:hAnsiTheme="minorHAnsi" w:cstheme="minorHAnsi"/>
          <w:sz w:val="22"/>
          <w:szCs w:val="22"/>
        </w:rPr>
        <w:t>state</w:t>
      </w:r>
      <w:r w:rsidR="00E7390C">
        <w:rPr>
          <w:rFonts w:asciiTheme="minorHAnsi" w:hAnsiTheme="minorHAnsi" w:cstheme="minorHAnsi"/>
          <w:sz w:val="22"/>
          <w:szCs w:val="22"/>
        </w:rPr>
        <w:t>s</w:t>
      </w:r>
      <w:r w:rsidRPr="00F76D98">
        <w:rPr>
          <w:rFonts w:asciiTheme="minorHAnsi" w:hAnsiTheme="minorHAnsi" w:cstheme="minorHAnsi"/>
          <w:sz w:val="22"/>
          <w:szCs w:val="22"/>
        </w:rPr>
        <w:t xml:space="preserve"> that “</w:t>
      </w:r>
      <w:r w:rsidRPr="00F76D98">
        <w:rPr>
          <w:rFonts w:asciiTheme="minorHAnsi" w:hAnsiTheme="minorHAnsi" w:cstheme="minorHAnsi"/>
          <w:i/>
          <w:sz w:val="22"/>
          <w:szCs w:val="22"/>
        </w:rPr>
        <w:t>Care for people in nursing and residential homes</w:t>
      </w:r>
      <w:r>
        <w:rPr>
          <w:rFonts w:asciiTheme="minorHAnsi" w:hAnsiTheme="minorHAnsi" w:cstheme="minorHAnsi"/>
          <w:i/>
          <w:sz w:val="22"/>
          <w:szCs w:val="22"/>
        </w:rPr>
        <w:t xml:space="preserve"> </w:t>
      </w:r>
      <w:r w:rsidRPr="00F76D98">
        <w:rPr>
          <w:rFonts w:asciiTheme="minorHAnsi" w:hAnsiTheme="minorHAnsi" w:cstheme="minorHAnsi"/>
          <w:i/>
          <w:sz w:val="22"/>
          <w:szCs w:val="22"/>
        </w:rPr>
        <w:t>should be organised so that all patients in a home are cared for by one GP practice”</w:t>
      </w:r>
      <w:r>
        <w:rPr>
          <w:rFonts w:asciiTheme="minorHAnsi" w:hAnsiTheme="minorHAnsi" w:cstheme="minorHAnsi"/>
          <w:i/>
          <w:sz w:val="22"/>
          <w:szCs w:val="22"/>
        </w:rPr>
        <w:t xml:space="preserve">. </w:t>
      </w:r>
      <w:r w:rsidR="00E7390C">
        <w:rPr>
          <w:rFonts w:asciiTheme="minorHAnsi" w:hAnsiTheme="minorHAnsi" w:cstheme="minorHAnsi"/>
          <w:sz w:val="22"/>
          <w:szCs w:val="22"/>
        </w:rPr>
        <w:t xml:space="preserve"> </w:t>
      </w:r>
    </w:p>
    <w:p w:rsidR="005145DA" w:rsidRDefault="004D447F" w:rsidP="00E7390C">
      <w:pPr>
        <w:spacing w:line="276" w:lineRule="auto"/>
        <w:ind w:right="288"/>
        <w:rPr>
          <w:rFonts w:asciiTheme="minorHAnsi" w:hAnsiTheme="minorHAnsi" w:cstheme="minorHAnsi"/>
          <w:sz w:val="22"/>
          <w:szCs w:val="22"/>
        </w:rPr>
      </w:pPr>
      <w:r>
        <w:rPr>
          <w:rFonts w:asciiTheme="minorHAnsi" w:hAnsiTheme="minorHAnsi" w:cstheme="minorHAnsi"/>
          <w:sz w:val="22"/>
          <w:szCs w:val="22"/>
        </w:rPr>
        <w:br/>
      </w:r>
      <w:r w:rsidR="00E7390C">
        <w:rPr>
          <w:rFonts w:asciiTheme="minorHAnsi" w:hAnsiTheme="minorHAnsi" w:cstheme="minorHAnsi"/>
          <w:sz w:val="22"/>
          <w:szCs w:val="22"/>
        </w:rPr>
        <w:t xml:space="preserve">General Practice also have other sources of funding to support this cohort and there </w:t>
      </w:r>
      <w:r w:rsidR="005145DA">
        <w:rPr>
          <w:rFonts w:asciiTheme="minorHAnsi" w:hAnsiTheme="minorHAnsi" w:cstheme="minorHAnsi"/>
          <w:sz w:val="22"/>
          <w:szCs w:val="22"/>
        </w:rPr>
        <w:t>is notable overlap between this</w:t>
      </w:r>
      <w:r w:rsidR="00E7390C">
        <w:rPr>
          <w:rFonts w:asciiTheme="minorHAnsi" w:hAnsiTheme="minorHAnsi" w:cstheme="minorHAnsi"/>
          <w:sz w:val="22"/>
          <w:szCs w:val="22"/>
        </w:rPr>
        <w:t xml:space="preserve"> current</w:t>
      </w:r>
      <w:r w:rsidR="005145DA">
        <w:rPr>
          <w:rFonts w:asciiTheme="minorHAnsi" w:hAnsiTheme="minorHAnsi" w:cstheme="minorHAnsi"/>
          <w:sz w:val="22"/>
          <w:szCs w:val="22"/>
        </w:rPr>
        <w:t xml:space="preserve"> over 75s scheme and other schemes currently commissioned, such as NHS England’s Avoiding Unplanned Admission DES.</w:t>
      </w:r>
    </w:p>
    <w:p w:rsidR="005145DA" w:rsidRDefault="005145DA" w:rsidP="005145DA">
      <w:pPr>
        <w:spacing w:line="276" w:lineRule="auto"/>
        <w:ind w:right="288"/>
        <w:jc w:val="both"/>
        <w:rPr>
          <w:rFonts w:asciiTheme="minorHAnsi" w:hAnsiTheme="minorHAnsi" w:cstheme="minorHAnsi"/>
          <w:sz w:val="22"/>
          <w:szCs w:val="22"/>
        </w:rPr>
      </w:pPr>
    </w:p>
    <w:p w:rsidR="005145DA" w:rsidRDefault="005145DA" w:rsidP="005145DA">
      <w:pPr>
        <w:spacing w:line="276" w:lineRule="auto"/>
        <w:ind w:right="288"/>
        <w:jc w:val="both"/>
        <w:rPr>
          <w:rFonts w:asciiTheme="minorHAnsi" w:hAnsiTheme="minorHAnsi" w:cstheme="minorHAnsi"/>
          <w:sz w:val="22"/>
          <w:szCs w:val="22"/>
        </w:rPr>
      </w:pPr>
      <w:r>
        <w:rPr>
          <w:rFonts w:asciiTheme="minorHAnsi" w:hAnsiTheme="minorHAnsi" w:cstheme="minorHAnsi"/>
          <w:sz w:val="22"/>
          <w:szCs w:val="22"/>
        </w:rPr>
        <w:t xml:space="preserve">It should be noted that </w:t>
      </w:r>
      <w:r w:rsidR="00E7390C">
        <w:rPr>
          <w:rFonts w:asciiTheme="minorHAnsi" w:hAnsiTheme="minorHAnsi" w:cstheme="minorHAnsi"/>
          <w:sz w:val="22"/>
          <w:szCs w:val="22"/>
        </w:rPr>
        <w:t xml:space="preserve">if a decision is taken to cease the service as it currently operates, </w:t>
      </w:r>
      <w:r>
        <w:rPr>
          <w:rFonts w:asciiTheme="minorHAnsi" w:hAnsiTheme="minorHAnsi" w:cstheme="minorHAnsi"/>
          <w:sz w:val="22"/>
          <w:szCs w:val="22"/>
        </w:rPr>
        <w:t>some Practices may have a risk in terms of staff employed to deliver this service, although the funding was</w:t>
      </w:r>
      <w:r w:rsidR="00E7390C">
        <w:rPr>
          <w:rFonts w:asciiTheme="minorHAnsi" w:hAnsiTheme="minorHAnsi" w:cstheme="minorHAnsi"/>
          <w:sz w:val="22"/>
          <w:szCs w:val="22"/>
        </w:rPr>
        <w:t xml:space="preserve"> not</w:t>
      </w:r>
      <w:r>
        <w:rPr>
          <w:rFonts w:asciiTheme="minorHAnsi" w:hAnsiTheme="minorHAnsi" w:cstheme="minorHAnsi"/>
          <w:sz w:val="22"/>
          <w:szCs w:val="22"/>
        </w:rPr>
        <w:t xml:space="preserve"> committed on a recurrent basis and Practices were advised to employ staff on a fixed term basis. </w:t>
      </w:r>
      <w:r w:rsidR="00E7390C">
        <w:rPr>
          <w:rFonts w:asciiTheme="minorHAnsi" w:hAnsiTheme="minorHAnsi" w:cstheme="minorHAnsi"/>
          <w:sz w:val="22"/>
          <w:szCs w:val="22"/>
        </w:rPr>
        <w:t>If they were to be included within the commissioning of the alternative model, they may be able to redeploy their staff internally to support this service.</w:t>
      </w:r>
    </w:p>
    <w:p w:rsidR="005145DA" w:rsidRDefault="005145DA" w:rsidP="005145DA">
      <w:pPr>
        <w:spacing w:line="276" w:lineRule="auto"/>
        <w:ind w:right="681"/>
        <w:jc w:val="both"/>
        <w:rPr>
          <w:rFonts w:asciiTheme="minorHAnsi" w:hAnsiTheme="minorHAnsi" w:cstheme="minorHAnsi"/>
          <w:sz w:val="22"/>
          <w:szCs w:val="22"/>
        </w:rPr>
      </w:pPr>
    </w:p>
    <w:p w:rsidR="005145DA" w:rsidRDefault="005145DA" w:rsidP="00F76D98">
      <w:pPr>
        <w:spacing w:line="276" w:lineRule="auto"/>
        <w:ind w:right="288"/>
        <w:jc w:val="both"/>
        <w:rPr>
          <w:rFonts w:asciiTheme="minorHAnsi" w:hAnsiTheme="minorHAnsi" w:cstheme="minorHAnsi"/>
          <w:b/>
          <w:sz w:val="26"/>
          <w:szCs w:val="26"/>
        </w:rPr>
      </w:pPr>
    </w:p>
    <w:p w:rsidR="00A2083C" w:rsidRPr="00A2083C" w:rsidRDefault="004958B6" w:rsidP="00E7390C">
      <w:pPr>
        <w:spacing w:line="276" w:lineRule="auto"/>
        <w:ind w:right="288"/>
        <w:jc w:val="both"/>
        <w:rPr>
          <w:rFonts w:asciiTheme="minorHAnsi" w:hAnsiTheme="minorHAnsi" w:cstheme="minorHAnsi"/>
          <w:i/>
          <w:sz w:val="22"/>
          <w:szCs w:val="22"/>
        </w:rPr>
      </w:pPr>
      <w:r>
        <w:rPr>
          <w:rFonts w:asciiTheme="minorHAnsi" w:hAnsiTheme="minorHAnsi" w:cstheme="minorHAnsi"/>
          <w:b/>
          <w:sz w:val="26"/>
          <w:szCs w:val="26"/>
        </w:rPr>
        <w:t>Recommendation</w:t>
      </w:r>
      <w:r w:rsidR="00F76D98">
        <w:rPr>
          <w:rFonts w:asciiTheme="minorHAnsi" w:hAnsiTheme="minorHAnsi" w:cstheme="minorHAnsi"/>
          <w:b/>
          <w:sz w:val="26"/>
          <w:szCs w:val="26"/>
        </w:rPr>
        <w:t>s</w:t>
      </w:r>
      <w:r w:rsidR="00A605C4" w:rsidRPr="00A605C4">
        <w:rPr>
          <w:rFonts w:asciiTheme="minorHAnsi" w:hAnsiTheme="minorHAnsi" w:cstheme="minorHAnsi"/>
          <w:b/>
          <w:sz w:val="26"/>
          <w:szCs w:val="26"/>
        </w:rPr>
        <w:br/>
      </w:r>
    </w:p>
    <w:p w:rsidR="00A2083C" w:rsidRPr="00A2083C" w:rsidRDefault="00A2083C" w:rsidP="00C734A2">
      <w:pPr>
        <w:spacing w:line="276" w:lineRule="auto"/>
        <w:ind w:right="288"/>
        <w:rPr>
          <w:rFonts w:asciiTheme="minorHAnsi" w:hAnsiTheme="minorHAnsi" w:cstheme="minorHAnsi"/>
          <w:b/>
          <w:sz w:val="22"/>
          <w:szCs w:val="22"/>
        </w:rPr>
      </w:pPr>
      <w:r w:rsidRPr="00A2083C">
        <w:rPr>
          <w:rFonts w:asciiTheme="minorHAnsi" w:hAnsiTheme="minorHAnsi" w:cstheme="minorHAnsi"/>
          <w:b/>
          <w:bCs/>
          <w:sz w:val="22"/>
          <w:szCs w:val="22"/>
        </w:rPr>
        <w:t xml:space="preserve">The Joint Co-Commissioning Committee is </w:t>
      </w:r>
      <w:r w:rsidR="00291F33">
        <w:rPr>
          <w:rFonts w:asciiTheme="minorHAnsi" w:hAnsiTheme="minorHAnsi" w:cstheme="minorHAnsi"/>
          <w:b/>
          <w:bCs/>
          <w:sz w:val="22"/>
          <w:szCs w:val="22"/>
        </w:rPr>
        <w:t>to consider whether</w:t>
      </w:r>
      <w:r w:rsidRPr="00A2083C">
        <w:rPr>
          <w:rFonts w:asciiTheme="minorHAnsi" w:hAnsiTheme="minorHAnsi" w:cstheme="minorHAnsi"/>
          <w:b/>
          <w:bCs/>
          <w:sz w:val="22"/>
          <w:szCs w:val="22"/>
        </w:rPr>
        <w:t xml:space="preserve"> </w:t>
      </w:r>
      <w:r w:rsidRPr="00A2083C">
        <w:rPr>
          <w:rFonts w:asciiTheme="minorHAnsi" w:hAnsiTheme="minorHAnsi" w:cstheme="minorHAnsi"/>
          <w:b/>
          <w:sz w:val="22"/>
          <w:szCs w:val="22"/>
        </w:rPr>
        <w:t xml:space="preserve">to cease </w:t>
      </w:r>
      <w:r w:rsidR="00291F33">
        <w:rPr>
          <w:rFonts w:asciiTheme="minorHAnsi" w:hAnsiTheme="minorHAnsi" w:cstheme="minorHAnsi"/>
          <w:b/>
          <w:sz w:val="22"/>
          <w:szCs w:val="22"/>
        </w:rPr>
        <w:t xml:space="preserve">the </w:t>
      </w:r>
      <w:r w:rsidRPr="00A2083C">
        <w:rPr>
          <w:rFonts w:asciiTheme="minorHAnsi" w:hAnsiTheme="minorHAnsi" w:cstheme="minorHAnsi"/>
          <w:b/>
          <w:sz w:val="22"/>
          <w:szCs w:val="22"/>
        </w:rPr>
        <w:t xml:space="preserve">funding </w:t>
      </w:r>
      <w:r w:rsidR="00291F33">
        <w:rPr>
          <w:rFonts w:asciiTheme="minorHAnsi" w:hAnsiTheme="minorHAnsi" w:cstheme="minorHAnsi"/>
          <w:b/>
          <w:sz w:val="22"/>
          <w:szCs w:val="22"/>
        </w:rPr>
        <w:t xml:space="preserve">of the </w:t>
      </w:r>
      <w:r w:rsidRPr="00A2083C">
        <w:rPr>
          <w:rFonts w:asciiTheme="minorHAnsi" w:hAnsiTheme="minorHAnsi" w:cstheme="minorHAnsi"/>
          <w:b/>
          <w:sz w:val="22"/>
          <w:szCs w:val="22"/>
        </w:rPr>
        <w:t xml:space="preserve">specific Practice level services, and </w:t>
      </w:r>
      <w:r>
        <w:rPr>
          <w:rFonts w:asciiTheme="minorHAnsi" w:hAnsiTheme="minorHAnsi" w:cstheme="minorHAnsi"/>
          <w:b/>
          <w:sz w:val="22"/>
          <w:szCs w:val="22"/>
        </w:rPr>
        <w:t xml:space="preserve">agree in principle to </w:t>
      </w:r>
      <w:r w:rsidRPr="00A2083C">
        <w:rPr>
          <w:rFonts w:asciiTheme="minorHAnsi" w:hAnsiTheme="minorHAnsi" w:cstheme="minorHAnsi"/>
          <w:b/>
          <w:sz w:val="22"/>
          <w:szCs w:val="22"/>
        </w:rPr>
        <w:t>re</w:t>
      </w:r>
      <w:r>
        <w:rPr>
          <w:rFonts w:asciiTheme="minorHAnsi" w:hAnsiTheme="minorHAnsi" w:cstheme="minorHAnsi"/>
          <w:b/>
          <w:sz w:val="22"/>
          <w:szCs w:val="22"/>
        </w:rPr>
        <w:t>-</w:t>
      </w:r>
      <w:r w:rsidRPr="00A2083C">
        <w:rPr>
          <w:rFonts w:asciiTheme="minorHAnsi" w:hAnsiTheme="minorHAnsi" w:cstheme="minorHAnsi"/>
          <w:b/>
          <w:sz w:val="22"/>
          <w:szCs w:val="22"/>
        </w:rPr>
        <w:t>align funding</w:t>
      </w:r>
      <w:r>
        <w:rPr>
          <w:rFonts w:asciiTheme="minorHAnsi" w:hAnsiTheme="minorHAnsi" w:cstheme="minorHAnsi"/>
          <w:b/>
          <w:sz w:val="22"/>
          <w:szCs w:val="22"/>
        </w:rPr>
        <w:t xml:space="preserve"> to support to care and nursing home service</w:t>
      </w:r>
      <w:r w:rsidR="002954ED">
        <w:rPr>
          <w:rFonts w:asciiTheme="minorHAnsi" w:hAnsiTheme="minorHAnsi" w:cstheme="minorHAnsi"/>
          <w:b/>
          <w:sz w:val="22"/>
          <w:szCs w:val="22"/>
        </w:rPr>
        <w:t xml:space="preserve">s, the specification for which will be on the agenda for the October Joint Co-Commissioning Committee. </w:t>
      </w:r>
      <w:r>
        <w:rPr>
          <w:rFonts w:asciiTheme="minorHAnsi" w:hAnsiTheme="minorHAnsi" w:cstheme="minorHAnsi"/>
          <w:b/>
          <w:sz w:val="22"/>
          <w:szCs w:val="22"/>
        </w:rPr>
        <w:t xml:space="preserve"> </w:t>
      </w:r>
    </w:p>
    <w:sectPr w:rsidR="00A2083C" w:rsidRPr="00A2083C"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0C" w:rsidRDefault="00E7390C">
      <w:r>
        <w:separator/>
      </w:r>
    </w:p>
  </w:endnote>
  <w:endnote w:type="continuationSeparator" w:id="0">
    <w:p w:rsidR="00E7390C" w:rsidRDefault="00E7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0C" w:rsidRDefault="00E7390C" w:rsidP="00DC3218">
    <w:pPr>
      <w:pStyle w:val="Footer"/>
      <w:jc w:val="right"/>
    </w:pPr>
    <w:r>
      <w:rPr>
        <w:noProof/>
      </w:rPr>
      <w:drawing>
        <wp:inline distT="0" distB="0" distL="0" distR="0" wp14:anchorId="05B883A3" wp14:editId="129EBE23">
          <wp:extent cx="2658110" cy="3536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6EF107D9" wp14:editId="2FC70672">
          <wp:extent cx="103632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0C" w:rsidRDefault="00E7390C">
      <w:r>
        <w:separator/>
      </w:r>
    </w:p>
  </w:footnote>
  <w:footnote w:type="continuationSeparator" w:id="0">
    <w:p w:rsidR="00E7390C" w:rsidRDefault="00E7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2"/>
  </w:num>
  <w:num w:numId="10">
    <w:abstractNumId w:val="5"/>
  </w:num>
  <w:num w:numId="11">
    <w:abstractNumId w:val="9"/>
  </w:num>
  <w:num w:numId="12">
    <w:abstractNumId w:val="25"/>
  </w:num>
  <w:num w:numId="13">
    <w:abstractNumId w:val="15"/>
  </w:num>
  <w:num w:numId="14">
    <w:abstractNumId w:val="1"/>
  </w:num>
  <w:num w:numId="15">
    <w:abstractNumId w:val="18"/>
  </w:num>
  <w:num w:numId="16">
    <w:abstractNumId w:val="10"/>
  </w:num>
  <w:num w:numId="17">
    <w:abstractNumId w:val="21"/>
  </w:num>
  <w:num w:numId="18">
    <w:abstractNumId w:val="17"/>
  </w:num>
  <w:num w:numId="19">
    <w:abstractNumId w:val="27"/>
  </w:num>
  <w:num w:numId="20">
    <w:abstractNumId w:val="8"/>
  </w:num>
  <w:num w:numId="21">
    <w:abstractNumId w:val="6"/>
  </w:num>
  <w:num w:numId="22">
    <w:abstractNumId w:val="12"/>
  </w:num>
  <w:num w:numId="23">
    <w:abstractNumId w:val="4"/>
  </w:num>
  <w:num w:numId="24">
    <w:abstractNumId w:val="13"/>
  </w:num>
  <w:num w:numId="25">
    <w:abstractNumId w:val="30"/>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0AC3"/>
    <w:rsid w:val="0015293E"/>
    <w:rsid w:val="00157D2B"/>
    <w:rsid w:val="00175527"/>
    <w:rsid w:val="00176D4A"/>
    <w:rsid w:val="00180D44"/>
    <w:rsid w:val="00185707"/>
    <w:rsid w:val="00190670"/>
    <w:rsid w:val="00192CB4"/>
    <w:rsid w:val="00193741"/>
    <w:rsid w:val="00197B68"/>
    <w:rsid w:val="001A4E90"/>
    <w:rsid w:val="001A5053"/>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1F33"/>
    <w:rsid w:val="002954ED"/>
    <w:rsid w:val="002A3C39"/>
    <w:rsid w:val="002A3E34"/>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628"/>
    <w:rsid w:val="004A5EE0"/>
    <w:rsid w:val="004A75B1"/>
    <w:rsid w:val="004B29A9"/>
    <w:rsid w:val="004B4F56"/>
    <w:rsid w:val="004C0EC8"/>
    <w:rsid w:val="004C5FA2"/>
    <w:rsid w:val="004C677C"/>
    <w:rsid w:val="004C6F5C"/>
    <w:rsid w:val="004D0321"/>
    <w:rsid w:val="004D447F"/>
    <w:rsid w:val="004D7118"/>
    <w:rsid w:val="004E7A80"/>
    <w:rsid w:val="004F2E71"/>
    <w:rsid w:val="004F3209"/>
    <w:rsid w:val="004F64DF"/>
    <w:rsid w:val="005109BE"/>
    <w:rsid w:val="005145DA"/>
    <w:rsid w:val="00516FA1"/>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E4C50"/>
    <w:rsid w:val="005F0C84"/>
    <w:rsid w:val="005F11AA"/>
    <w:rsid w:val="005F195A"/>
    <w:rsid w:val="0060216B"/>
    <w:rsid w:val="00604967"/>
    <w:rsid w:val="00607C7F"/>
    <w:rsid w:val="006203A2"/>
    <w:rsid w:val="00623387"/>
    <w:rsid w:val="00625124"/>
    <w:rsid w:val="00635173"/>
    <w:rsid w:val="006468ED"/>
    <w:rsid w:val="00654847"/>
    <w:rsid w:val="006569A3"/>
    <w:rsid w:val="00657CC2"/>
    <w:rsid w:val="00664815"/>
    <w:rsid w:val="0067295A"/>
    <w:rsid w:val="00675C73"/>
    <w:rsid w:val="0068471B"/>
    <w:rsid w:val="0068496F"/>
    <w:rsid w:val="00691369"/>
    <w:rsid w:val="006919AB"/>
    <w:rsid w:val="0069645B"/>
    <w:rsid w:val="0069733F"/>
    <w:rsid w:val="006A2E19"/>
    <w:rsid w:val="006A74AF"/>
    <w:rsid w:val="006A788A"/>
    <w:rsid w:val="006A7D61"/>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1D3F"/>
    <w:rsid w:val="007A356A"/>
    <w:rsid w:val="007A4383"/>
    <w:rsid w:val="007A7384"/>
    <w:rsid w:val="007B20A8"/>
    <w:rsid w:val="007B2FB2"/>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D76F0"/>
    <w:rsid w:val="008E204E"/>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46C1"/>
    <w:rsid w:val="00995D16"/>
    <w:rsid w:val="009A0C1E"/>
    <w:rsid w:val="009A10F0"/>
    <w:rsid w:val="009B25F1"/>
    <w:rsid w:val="009B290B"/>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3C"/>
    <w:rsid w:val="00A20848"/>
    <w:rsid w:val="00A31B98"/>
    <w:rsid w:val="00A35F42"/>
    <w:rsid w:val="00A40291"/>
    <w:rsid w:val="00A45F0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30635"/>
    <w:rsid w:val="00E320A8"/>
    <w:rsid w:val="00E42F5E"/>
    <w:rsid w:val="00E43FD9"/>
    <w:rsid w:val="00E46EFA"/>
    <w:rsid w:val="00E47C0B"/>
    <w:rsid w:val="00E5159C"/>
    <w:rsid w:val="00E538AF"/>
    <w:rsid w:val="00E550FE"/>
    <w:rsid w:val="00E617F9"/>
    <w:rsid w:val="00E67668"/>
    <w:rsid w:val="00E7390C"/>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lkerd1\Desktop\(2015-02-18)%20AAE%20Activity%20Trend%20Report%20(SUSAAE_Main%20vi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walkerd1\Desktop\Inpatient%20Activity%20Trend%20SUSAPC_M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pivotSource>
    <c:name>[(2015-02-18) AAE Activity Trend Report (SUSAAE_Main view).xlsx]AAE Activity (Actual)!PivotTable4</c:name>
    <c:fmtId val="-1"/>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a:t>AAE Activity by Month (Trend) - &gt;75s </a:t>
            </a:r>
            <a:r>
              <a:rPr lang="en-US" sz="900"/>
              <a:t> </a:t>
            </a:r>
            <a:r>
              <a:rPr lang="en-US" sz="900" b="1" i="0" baseline="0">
                <a:effectLst/>
              </a:rPr>
              <a:t>(Source: SUS)</a:t>
            </a:r>
            <a:endParaRPr lang="en-GB" sz="900">
              <a:effectLst/>
            </a:endParaRPr>
          </a:p>
        </c:rich>
      </c:tx>
      <c:overlay val="0"/>
    </c:title>
    <c:autoTitleDeleted val="0"/>
    <c:pivotFmts>
      <c:pivotFmt>
        <c:idx val="0"/>
        <c:marker>
          <c:symbol val="none"/>
        </c:marker>
      </c:pivotFmt>
      <c:pivotFmt>
        <c:idx val="1"/>
        <c:spPr>
          <a:solidFill>
            <a:schemeClr val="accent2"/>
          </a:solidFill>
        </c:spPr>
      </c:pivotFmt>
      <c:pivotFmt>
        <c:idx val="2"/>
        <c:spPr>
          <a:solidFill>
            <a:schemeClr val="accent2"/>
          </a:solidFill>
        </c:spPr>
      </c:pivotFmt>
      <c:pivotFmt>
        <c:idx val="3"/>
        <c:spPr>
          <a:solidFill>
            <a:schemeClr val="accent2"/>
          </a:solidFill>
        </c:spPr>
      </c:pivotFmt>
      <c:pivotFmt>
        <c:idx val="4"/>
        <c:spPr>
          <a:solidFill>
            <a:schemeClr val="accent2"/>
          </a:solidFill>
        </c:spPr>
      </c:pivotFmt>
      <c:pivotFmt>
        <c:idx val="5"/>
        <c:spPr>
          <a:solidFill>
            <a:schemeClr val="accent2"/>
          </a:solidFill>
        </c:spPr>
      </c:pivotFmt>
      <c:pivotFmt>
        <c:idx val="6"/>
        <c:spPr>
          <a:solidFill>
            <a:schemeClr val="accent2"/>
          </a:solidFill>
        </c:spPr>
      </c:pivotFmt>
      <c:pivotFmt>
        <c:idx val="7"/>
        <c:spPr>
          <a:solidFill>
            <a:schemeClr val="accent2"/>
          </a:solidFill>
        </c:spPr>
      </c:pivotFmt>
      <c:pivotFmt>
        <c:idx val="8"/>
        <c:spPr>
          <a:solidFill>
            <a:schemeClr val="accent2"/>
          </a:solidFill>
        </c:spPr>
      </c:pivotFmt>
      <c:pivotFmt>
        <c:idx val="9"/>
        <c:spPr>
          <a:solidFill>
            <a:schemeClr val="accent2"/>
          </a:solidFill>
        </c:spPr>
      </c:pivotFmt>
      <c:pivotFmt>
        <c:idx val="10"/>
        <c:marker>
          <c:symbol val="none"/>
        </c:marker>
      </c:pivotFmt>
      <c:pivotFmt>
        <c:idx val="11"/>
        <c:spPr>
          <a:solidFill>
            <a:schemeClr val="accent2"/>
          </a:solidFill>
        </c:spPr>
      </c:pivotFmt>
      <c:pivotFmt>
        <c:idx val="12"/>
        <c:spPr>
          <a:solidFill>
            <a:schemeClr val="accent2"/>
          </a:solidFill>
        </c:spPr>
      </c:pivotFmt>
      <c:pivotFmt>
        <c:idx val="13"/>
        <c:spPr>
          <a:solidFill>
            <a:schemeClr val="accent2"/>
          </a:solidFill>
        </c:spPr>
      </c:pivotFmt>
      <c:pivotFmt>
        <c:idx val="14"/>
        <c:spPr>
          <a:solidFill>
            <a:schemeClr val="accent2"/>
          </a:solidFill>
        </c:spPr>
      </c:pivotFmt>
      <c:pivotFmt>
        <c:idx val="15"/>
        <c:spPr>
          <a:solidFill>
            <a:schemeClr val="accent2"/>
          </a:solidFill>
        </c:spPr>
      </c:pivotFmt>
      <c:pivotFmt>
        <c:idx val="16"/>
        <c:spPr>
          <a:solidFill>
            <a:schemeClr val="accent2"/>
          </a:solidFill>
        </c:spPr>
      </c:pivotFmt>
      <c:pivotFmt>
        <c:idx val="17"/>
        <c:spPr>
          <a:solidFill>
            <a:schemeClr val="accent2"/>
          </a:solidFill>
        </c:spPr>
      </c:pivotFmt>
      <c:pivotFmt>
        <c:idx val="18"/>
        <c:spPr>
          <a:solidFill>
            <a:schemeClr val="accent2"/>
          </a:solidFill>
        </c:spPr>
      </c:pivotFmt>
      <c:pivotFmt>
        <c:idx val="19"/>
        <c:spPr>
          <a:solidFill>
            <a:schemeClr val="accent2"/>
          </a:solidFill>
        </c:spPr>
      </c:pivotFmt>
      <c:pivotFmt>
        <c:idx val="20"/>
        <c:marker>
          <c:symbol val="none"/>
        </c:marker>
      </c:pivotFmt>
      <c:pivotFmt>
        <c:idx val="21"/>
        <c:spPr>
          <a:solidFill>
            <a:schemeClr val="accent2"/>
          </a:solidFill>
        </c:spPr>
      </c:pivotFmt>
      <c:pivotFmt>
        <c:idx val="22"/>
        <c:spPr>
          <a:solidFill>
            <a:schemeClr val="accent2"/>
          </a:solidFill>
        </c:spPr>
      </c:pivotFmt>
      <c:pivotFmt>
        <c:idx val="23"/>
        <c:spPr>
          <a:solidFill>
            <a:schemeClr val="accent2"/>
          </a:solidFill>
        </c:spPr>
      </c:pivotFmt>
      <c:pivotFmt>
        <c:idx val="24"/>
        <c:spPr>
          <a:solidFill>
            <a:schemeClr val="accent2"/>
          </a:solidFill>
        </c:spPr>
      </c:pivotFmt>
      <c:pivotFmt>
        <c:idx val="25"/>
        <c:spPr>
          <a:solidFill>
            <a:schemeClr val="accent2"/>
          </a:solidFill>
        </c:spPr>
      </c:pivotFmt>
      <c:pivotFmt>
        <c:idx val="26"/>
        <c:spPr>
          <a:solidFill>
            <a:schemeClr val="accent2"/>
          </a:solidFill>
        </c:spPr>
      </c:pivotFmt>
      <c:pivotFmt>
        <c:idx val="27"/>
        <c:spPr>
          <a:solidFill>
            <a:schemeClr val="accent2"/>
          </a:solidFill>
        </c:spPr>
      </c:pivotFmt>
      <c:pivotFmt>
        <c:idx val="28"/>
        <c:spPr>
          <a:solidFill>
            <a:schemeClr val="accent2"/>
          </a:solidFill>
        </c:spPr>
      </c:pivotFmt>
      <c:pivotFmt>
        <c:idx val="29"/>
        <c:spPr>
          <a:solidFill>
            <a:schemeClr val="accent2"/>
          </a:solidFill>
        </c:spPr>
      </c:pivotFmt>
    </c:pivotFmts>
    <c:plotArea>
      <c:layout>
        <c:manualLayout>
          <c:layoutTarget val="inner"/>
          <c:xMode val="edge"/>
          <c:yMode val="edge"/>
          <c:x val="7.8756219615793724E-2"/>
          <c:y val="0.11342640953046468"/>
          <c:w val="0.88649007835942539"/>
          <c:h val="0.66830960374651194"/>
        </c:manualLayout>
      </c:layout>
      <c:barChart>
        <c:barDir val="col"/>
        <c:grouping val="clustered"/>
        <c:varyColors val="0"/>
        <c:ser>
          <c:idx val="0"/>
          <c:order val="0"/>
          <c:tx>
            <c:strRef>
              <c:f>'AAE Activity (Actual)'!$AB$11</c:f>
              <c:strCache>
                <c:ptCount val="1"/>
                <c:pt idx="0">
                  <c:v>Total</c:v>
                </c:pt>
              </c:strCache>
            </c:strRef>
          </c:tx>
          <c:invertIfNegative val="0"/>
          <c:dPt>
            <c:idx val="17"/>
            <c:invertIfNegative val="0"/>
            <c:bubble3D val="0"/>
            <c:spPr>
              <a:solidFill>
                <a:schemeClr val="accent2"/>
              </a:solidFill>
            </c:spPr>
          </c:dPt>
          <c:dPt>
            <c:idx val="18"/>
            <c:invertIfNegative val="0"/>
            <c:bubble3D val="0"/>
            <c:spPr>
              <a:solidFill>
                <a:schemeClr val="accent2"/>
              </a:solidFill>
            </c:spPr>
          </c:dPt>
          <c:dPt>
            <c:idx val="19"/>
            <c:invertIfNegative val="0"/>
            <c:bubble3D val="0"/>
            <c:spPr>
              <a:solidFill>
                <a:schemeClr val="accent2"/>
              </a:solidFill>
            </c:spPr>
          </c:dPt>
          <c:dPt>
            <c:idx val="20"/>
            <c:invertIfNegative val="0"/>
            <c:bubble3D val="0"/>
            <c:spPr>
              <a:solidFill>
                <a:schemeClr val="accent2"/>
              </a:solidFill>
            </c:spPr>
          </c:dPt>
          <c:dPt>
            <c:idx val="21"/>
            <c:invertIfNegative val="0"/>
            <c:bubble3D val="0"/>
            <c:spPr>
              <a:solidFill>
                <a:schemeClr val="accent2"/>
              </a:solidFill>
            </c:spPr>
          </c:dPt>
          <c:dPt>
            <c:idx val="22"/>
            <c:invertIfNegative val="0"/>
            <c:bubble3D val="0"/>
            <c:spPr>
              <a:solidFill>
                <a:schemeClr val="accent2"/>
              </a:solidFill>
            </c:spPr>
          </c:dPt>
          <c:dPt>
            <c:idx val="23"/>
            <c:invertIfNegative val="0"/>
            <c:bubble3D val="0"/>
            <c:spPr>
              <a:solidFill>
                <a:schemeClr val="accent2"/>
              </a:solidFill>
            </c:spPr>
          </c:dPt>
          <c:dPt>
            <c:idx val="24"/>
            <c:invertIfNegative val="0"/>
            <c:bubble3D val="0"/>
            <c:spPr>
              <a:solidFill>
                <a:schemeClr val="accent2"/>
              </a:solidFill>
            </c:spPr>
          </c:dPt>
          <c:dPt>
            <c:idx val="25"/>
            <c:invertIfNegative val="0"/>
            <c:bubble3D val="0"/>
            <c:spPr>
              <a:solidFill>
                <a:schemeClr val="accent2"/>
              </a:solidFill>
            </c:spPr>
          </c:dPt>
          <c:trendline>
            <c:spPr>
              <a:ln w="50800">
                <a:solidFill>
                  <a:schemeClr val="accent5">
                    <a:lumMod val="50000"/>
                  </a:schemeClr>
                </a:solidFill>
                <a:prstDash val="sysDot"/>
              </a:ln>
            </c:spPr>
            <c:trendlineType val="movingAvg"/>
            <c:period val="3"/>
            <c:dispRSqr val="0"/>
            <c:dispEq val="0"/>
          </c:trendline>
          <c:cat>
            <c:multiLvlStrRef>
              <c:f>'AAE Activity (Actual)'!$AA$12:$AA$41</c:f>
              <c:multiLvlStrCache>
                <c:ptCount val="2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lvl>
                <c:lvl>
                  <c:pt idx="0">
                    <c:v>2013-14</c:v>
                  </c:pt>
                  <c:pt idx="12">
                    <c:v>2014-15</c:v>
                  </c:pt>
                  <c:pt idx="24">
                    <c:v>2015-16</c:v>
                  </c:pt>
                </c:lvl>
              </c:multiLvlStrCache>
            </c:multiLvlStrRef>
          </c:cat>
          <c:val>
            <c:numRef>
              <c:f>'AAE Activity (Actual)'!$AB$12:$AB$41</c:f>
              <c:numCache>
                <c:formatCode>General</c:formatCode>
                <c:ptCount val="26"/>
                <c:pt idx="0">
                  <c:v>652</c:v>
                </c:pt>
                <c:pt idx="1">
                  <c:v>595</c:v>
                </c:pt>
                <c:pt idx="2">
                  <c:v>622</c:v>
                </c:pt>
                <c:pt idx="3">
                  <c:v>611</c:v>
                </c:pt>
                <c:pt idx="4">
                  <c:v>590</c:v>
                </c:pt>
                <c:pt idx="5">
                  <c:v>534</c:v>
                </c:pt>
                <c:pt idx="6">
                  <c:v>543</c:v>
                </c:pt>
                <c:pt idx="7">
                  <c:v>610</c:v>
                </c:pt>
                <c:pt idx="8">
                  <c:v>661</c:v>
                </c:pt>
                <c:pt idx="9">
                  <c:v>663</c:v>
                </c:pt>
                <c:pt idx="10">
                  <c:v>673</c:v>
                </c:pt>
                <c:pt idx="11">
                  <c:v>700</c:v>
                </c:pt>
                <c:pt idx="12">
                  <c:v>634</c:v>
                </c:pt>
                <c:pt idx="13">
                  <c:v>653</c:v>
                </c:pt>
                <c:pt idx="14">
                  <c:v>691</c:v>
                </c:pt>
                <c:pt idx="15">
                  <c:v>687</c:v>
                </c:pt>
                <c:pt idx="16">
                  <c:v>679</c:v>
                </c:pt>
                <c:pt idx="17">
                  <c:v>651</c:v>
                </c:pt>
                <c:pt idx="18">
                  <c:v>690</c:v>
                </c:pt>
                <c:pt idx="19">
                  <c:v>626</c:v>
                </c:pt>
                <c:pt idx="20">
                  <c:v>745</c:v>
                </c:pt>
                <c:pt idx="21">
                  <c:v>772</c:v>
                </c:pt>
                <c:pt idx="22">
                  <c:v>691</c:v>
                </c:pt>
                <c:pt idx="23">
                  <c:v>726</c:v>
                </c:pt>
                <c:pt idx="24">
                  <c:v>718</c:v>
                </c:pt>
                <c:pt idx="25">
                  <c:v>769</c:v>
                </c:pt>
              </c:numCache>
            </c:numRef>
          </c:val>
        </c:ser>
        <c:dLbls>
          <c:showLegendKey val="0"/>
          <c:showVal val="0"/>
          <c:showCatName val="0"/>
          <c:showSerName val="0"/>
          <c:showPercent val="0"/>
          <c:showBubbleSize val="0"/>
        </c:dLbls>
        <c:gapWidth val="100"/>
        <c:axId val="64793984"/>
        <c:axId val="64795776"/>
      </c:barChart>
      <c:catAx>
        <c:axId val="64793984"/>
        <c:scaling>
          <c:orientation val="minMax"/>
        </c:scaling>
        <c:delete val="0"/>
        <c:axPos val="b"/>
        <c:majorTickMark val="out"/>
        <c:minorTickMark val="none"/>
        <c:tickLblPos val="nextTo"/>
        <c:crossAx val="64795776"/>
        <c:crosses val="autoZero"/>
        <c:auto val="1"/>
        <c:lblAlgn val="ctr"/>
        <c:lblOffset val="100"/>
        <c:noMultiLvlLbl val="0"/>
      </c:catAx>
      <c:valAx>
        <c:axId val="64795776"/>
        <c:scaling>
          <c:orientation val="minMax"/>
        </c:scaling>
        <c:delete val="0"/>
        <c:axPos val="l"/>
        <c:majorGridlines/>
        <c:title>
          <c:tx>
            <c:rich>
              <a:bodyPr rot="-5400000" vert="horz"/>
              <a:lstStyle/>
              <a:p>
                <a:pPr>
                  <a:defRPr/>
                </a:pPr>
                <a:r>
                  <a:rPr lang="en-US"/>
                  <a:t>Attendances</a:t>
                </a:r>
              </a:p>
            </c:rich>
          </c:tx>
          <c:overlay val="0"/>
        </c:title>
        <c:numFmt formatCode="General" sourceLinked="1"/>
        <c:majorTickMark val="out"/>
        <c:minorTickMark val="none"/>
        <c:tickLblPos val="nextTo"/>
        <c:crossAx val="64793984"/>
        <c:crosses val="autoZero"/>
        <c:crossBetween val="between"/>
      </c:valAx>
      <c:spPr>
        <a:solidFill>
          <a:schemeClr val="accent1">
            <a:lumMod val="20000"/>
            <a:lumOff val="80000"/>
          </a:schemeClr>
        </a:solidFill>
      </c:spPr>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pivotSource>
    <c:name>[Inpatient Activity Trend SUSAPC_Main.xlsx]IP activity (Actual)!PivotTable6</c:name>
    <c:fmtId val="-1"/>
  </c:pivotSource>
  <c:chart>
    <c:title>
      <c:tx>
        <c:rich>
          <a:bodyPr/>
          <a:lstStyle/>
          <a:p>
            <a:pPr>
              <a:defRPr sz="1400"/>
            </a:pPr>
            <a:r>
              <a:rPr lang="en-US" sz="1400"/>
              <a:t>IP Admissions by Month (Trend) - &gt;75s </a:t>
            </a:r>
            <a:r>
              <a:rPr lang="en-US" sz="1100"/>
              <a:t>(Source: SUS)</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spPr>
          <a:solidFill>
            <a:schemeClr val="accent2"/>
          </a:solidFill>
        </c:spPr>
      </c:pivotFmt>
      <c:pivotFmt>
        <c:idx val="4"/>
        <c:spPr>
          <a:solidFill>
            <a:schemeClr val="accent2"/>
          </a:solidFill>
        </c:spPr>
      </c:pivotFmt>
      <c:pivotFmt>
        <c:idx val="5"/>
        <c:spPr>
          <a:solidFill>
            <a:schemeClr val="accent2"/>
          </a:solidFill>
        </c:spPr>
      </c:pivotFmt>
      <c:pivotFmt>
        <c:idx val="6"/>
        <c:spPr>
          <a:solidFill>
            <a:schemeClr val="accent2"/>
          </a:solidFill>
        </c:spPr>
      </c:pivotFmt>
      <c:pivotFmt>
        <c:idx val="7"/>
        <c:spPr>
          <a:solidFill>
            <a:schemeClr val="accent2"/>
          </a:solidFill>
        </c:spPr>
      </c:pivotFmt>
      <c:pivotFmt>
        <c:idx val="8"/>
        <c:spPr>
          <a:solidFill>
            <a:schemeClr val="accent2"/>
          </a:solidFill>
        </c:spPr>
      </c:pivotFmt>
      <c:pivotFmt>
        <c:idx val="9"/>
        <c:spPr>
          <a:solidFill>
            <a:schemeClr val="accent2"/>
          </a:solidFill>
        </c:spPr>
      </c:pivotFmt>
      <c:pivotFmt>
        <c:idx val="10"/>
        <c:spPr>
          <a:solidFill>
            <a:schemeClr val="accent2"/>
          </a:solidFill>
        </c:spPr>
      </c:pivotFmt>
      <c:pivotFmt>
        <c:idx val="11"/>
        <c:spPr>
          <a:solidFill>
            <a:schemeClr val="accent2"/>
          </a:solidFill>
        </c:spPr>
      </c:pivotFmt>
      <c:pivotFmt>
        <c:idx val="12"/>
        <c:marker>
          <c:symbol val="none"/>
        </c:marker>
      </c:pivotFmt>
      <c:pivotFmt>
        <c:idx val="13"/>
        <c:spPr>
          <a:solidFill>
            <a:schemeClr val="accent2"/>
          </a:solidFill>
        </c:spPr>
      </c:pivotFmt>
      <c:pivotFmt>
        <c:idx val="14"/>
        <c:spPr>
          <a:solidFill>
            <a:schemeClr val="accent2"/>
          </a:solidFill>
        </c:spPr>
      </c:pivotFmt>
      <c:pivotFmt>
        <c:idx val="15"/>
        <c:spPr>
          <a:solidFill>
            <a:schemeClr val="accent2"/>
          </a:solidFill>
        </c:spPr>
      </c:pivotFmt>
      <c:pivotFmt>
        <c:idx val="16"/>
        <c:spPr>
          <a:solidFill>
            <a:schemeClr val="accent2"/>
          </a:solidFill>
        </c:spPr>
      </c:pivotFmt>
      <c:pivotFmt>
        <c:idx val="17"/>
        <c:spPr>
          <a:solidFill>
            <a:schemeClr val="accent2"/>
          </a:solidFill>
        </c:spPr>
      </c:pivotFmt>
      <c:pivotFmt>
        <c:idx val="18"/>
        <c:spPr>
          <a:solidFill>
            <a:schemeClr val="accent2"/>
          </a:solidFill>
        </c:spPr>
      </c:pivotFmt>
      <c:pivotFmt>
        <c:idx val="19"/>
        <c:spPr>
          <a:solidFill>
            <a:schemeClr val="accent2"/>
          </a:solidFill>
        </c:spPr>
      </c:pivotFmt>
      <c:pivotFmt>
        <c:idx val="20"/>
        <c:spPr>
          <a:solidFill>
            <a:schemeClr val="accent2"/>
          </a:solidFill>
        </c:spPr>
      </c:pivotFmt>
      <c:pivotFmt>
        <c:idx val="21"/>
        <c:spPr>
          <a:solidFill>
            <a:schemeClr val="accent2"/>
          </a:solidFill>
        </c:spPr>
      </c:pivotFmt>
      <c:pivotFmt>
        <c:idx val="22"/>
        <c:marker>
          <c:symbol val="none"/>
        </c:marker>
      </c:pivotFmt>
      <c:pivotFmt>
        <c:idx val="23"/>
        <c:spPr>
          <a:solidFill>
            <a:schemeClr val="accent2"/>
          </a:solidFill>
        </c:spPr>
      </c:pivotFmt>
      <c:pivotFmt>
        <c:idx val="24"/>
        <c:spPr>
          <a:solidFill>
            <a:schemeClr val="accent2"/>
          </a:solidFill>
        </c:spPr>
      </c:pivotFmt>
      <c:pivotFmt>
        <c:idx val="25"/>
        <c:spPr>
          <a:solidFill>
            <a:schemeClr val="accent2"/>
          </a:solidFill>
        </c:spPr>
      </c:pivotFmt>
      <c:pivotFmt>
        <c:idx val="26"/>
        <c:spPr>
          <a:solidFill>
            <a:schemeClr val="accent2"/>
          </a:solidFill>
        </c:spPr>
      </c:pivotFmt>
      <c:pivotFmt>
        <c:idx val="27"/>
        <c:spPr>
          <a:solidFill>
            <a:schemeClr val="accent2"/>
          </a:solidFill>
        </c:spPr>
      </c:pivotFmt>
      <c:pivotFmt>
        <c:idx val="28"/>
        <c:spPr>
          <a:solidFill>
            <a:schemeClr val="accent2"/>
          </a:solidFill>
        </c:spPr>
      </c:pivotFmt>
      <c:pivotFmt>
        <c:idx val="29"/>
        <c:spPr>
          <a:solidFill>
            <a:schemeClr val="accent2"/>
          </a:solidFill>
        </c:spPr>
      </c:pivotFmt>
      <c:pivotFmt>
        <c:idx val="30"/>
        <c:spPr>
          <a:solidFill>
            <a:schemeClr val="accent2"/>
          </a:solidFill>
        </c:spPr>
      </c:pivotFmt>
      <c:pivotFmt>
        <c:idx val="31"/>
        <c:spPr>
          <a:solidFill>
            <a:schemeClr val="accent2"/>
          </a:solidFill>
        </c:spPr>
      </c:pivotFmt>
    </c:pivotFmts>
    <c:plotArea>
      <c:layout/>
      <c:barChart>
        <c:barDir val="col"/>
        <c:grouping val="clustered"/>
        <c:varyColors val="0"/>
        <c:ser>
          <c:idx val="0"/>
          <c:order val="0"/>
          <c:tx>
            <c:strRef>
              <c:f>'IP activity (Actual)'!$AE$24</c:f>
              <c:strCache>
                <c:ptCount val="1"/>
                <c:pt idx="0">
                  <c:v>Total</c:v>
                </c:pt>
              </c:strCache>
            </c:strRef>
          </c:tx>
          <c:invertIfNegative val="0"/>
          <c:dPt>
            <c:idx val="17"/>
            <c:invertIfNegative val="0"/>
            <c:bubble3D val="0"/>
            <c:spPr>
              <a:solidFill>
                <a:schemeClr val="accent2"/>
              </a:solidFill>
            </c:spPr>
          </c:dPt>
          <c:dPt>
            <c:idx val="18"/>
            <c:invertIfNegative val="0"/>
            <c:bubble3D val="0"/>
            <c:spPr>
              <a:solidFill>
                <a:schemeClr val="accent2"/>
              </a:solidFill>
            </c:spPr>
          </c:dPt>
          <c:dPt>
            <c:idx val="19"/>
            <c:invertIfNegative val="0"/>
            <c:bubble3D val="0"/>
            <c:spPr>
              <a:solidFill>
                <a:schemeClr val="accent2"/>
              </a:solidFill>
            </c:spPr>
          </c:dPt>
          <c:dPt>
            <c:idx val="20"/>
            <c:invertIfNegative val="0"/>
            <c:bubble3D val="0"/>
            <c:spPr>
              <a:solidFill>
                <a:schemeClr val="accent2"/>
              </a:solidFill>
            </c:spPr>
          </c:dPt>
          <c:dPt>
            <c:idx val="21"/>
            <c:invertIfNegative val="0"/>
            <c:bubble3D val="0"/>
            <c:spPr>
              <a:solidFill>
                <a:schemeClr val="accent2"/>
              </a:solidFill>
            </c:spPr>
          </c:dPt>
          <c:dPt>
            <c:idx val="22"/>
            <c:invertIfNegative val="0"/>
            <c:bubble3D val="0"/>
            <c:spPr>
              <a:solidFill>
                <a:schemeClr val="accent2"/>
              </a:solidFill>
            </c:spPr>
          </c:dPt>
          <c:dPt>
            <c:idx val="23"/>
            <c:invertIfNegative val="0"/>
            <c:bubble3D val="0"/>
            <c:spPr>
              <a:solidFill>
                <a:schemeClr val="accent2"/>
              </a:solidFill>
            </c:spPr>
          </c:dPt>
          <c:dPt>
            <c:idx val="24"/>
            <c:invertIfNegative val="0"/>
            <c:bubble3D val="0"/>
            <c:spPr>
              <a:solidFill>
                <a:schemeClr val="accent2"/>
              </a:solidFill>
            </c:spPr>
          </c:dPt>
          <c:dPt>
            <c:idx val="25"/>
            <c:invertIfNegative val="0"/>
            <c:bubble3D val="0"/>
            <c:spPr>
              <a:solidFill>
                <a:schemeClr val="accent2"/>
              </a:solidFill>
            </c:spPr>
          </c:dPt>
          <c:trendline>
            <c:spPr>
              <a:ln w="57150">
                <a:solidFill>
                  <a:schemeClr val="accent1"/>
                </a:solidFill>
                <a:prstDash val="sysDot"/>
              </a:ln>
            </c:spPr>
            <c:trendlineType val="movingAvg"/>
            <c:period val="3"/>
            <c:dispRSqr val="0"/>
            <c:dispEq val="0"/>
          </c:trendline>
          <c:cat>
            <c:multiLvlStrRef>
              <c:f>'IP activity (Actual)'!$AD$25:$AD$54</c:f>
              <c:multiLvlStrCache>
                <c:ptCount val="2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lvl>
                <c:lvl>
                  <c:pt idx="0">
                    <c:v>2013-14</c:v>
                  </c:pt>
                  <c:pt idx="12">
                    <c:v>2014-15</c:v>
                  </c:pt>
                  <c:pt idx="24">
                    <c:v>2015-16</c:v>
                  </c:pt>
                </c:lvl>
              </c:multiLvlStrCache>
            </c:multiLvlStrRef>
          </c:cat>
          <c:val>
            <c:numRef>
              <c:f>'IP activity (Actual)'!$AE$25:$AE$54</c:f>
              <c:numCache>
                <c:formatCode>General</c:formatCode>
                <c:ptCount val="26"/>
                <c:pt idx="0">
                  <c:v>384</c:v>
                </c:pt>
                <c:pt idx="1">
                  <c:v>312</c:v>
                </c:pt>
                <c:pt idx="2">
                  <c:v>339</c:v>
                </c:pt>
                <c:pt idx="3">
                  <c:v>324</c:v>
                </c:pt>
                <c:pt idx="4">
                  <c:v>302</c:v>
                </c:pt>
                <c:pt idx="5">
                  <c:v>301</c:v>
                </c:pt>
                <c:pt idx="6">
                  <c:v>304</c:v>
                </c:pt>
                <c:pt idx="7">
                  <c:v>356</c:v>
                </c:pt>
                <c:pt idx="8">
                  <c:v>348</c:v>
                </c:pt>
                <c:pt idx="9">
                  <c:v>345</c:v>
                </c:pt>
                <c:pt idx="10">
                  <c:v>364</c:v>
                </c:pt>
                <c:pt idx="11">
                  <c:v>357</c:v>
                </c:pt>
                <c:pt idx="12">
                  <c:v>350</c:v>
                </c:pt>
                <c:pt idx="13">
                  <c:v>324</c:v>
                </c:pt>
                <c:pt idx="14">
                  <c:v>332</c:v>
                </c:pt>
                <c:pt idx="15">
                  <c:v>321</c:v>
                </c:pt>
                <c:pt idx="16">
                  <c:v>345</c:v>
                </c:pt>
                <c:pt idx="17">
                  <c:v>346</c:v>
                </c:pt>
                <c:pt idx="18">
                  <c:v>347</c:v>
                </c:pt>
                <c:pt idx="19">
                  <c:v>308</c:v>
                </c:pt>
                <c:pt idx="20">
                  <c:v>382</c:v>
                </c:pt>
                <c:pt idx="21">
                  <c:v>393</c:v>
                </c:pt>
                <c:pt idx="22">
                  <c:v>392</c:v>
                </c:pt>
                <c:pt idx="23">
                  <c:v>398</c:v>
                </c:pt>
                <c:pt idx="24">
                  <c:v>388</c:v>
                </c:pt>
                <c:pt idx="25">
                  <c:v>395</c:v>
                </c:pt>
              </c:numCache>
            </c:numRef>
          </c:val>
        </c:ser>
        <c:dLbls>
          <c:showLegendKey val="0"/>
          <c:showVal val="0"/>
          <c:showCatName val="0"/>
          <c:showSerName val="0"/>
          <c:showPercent val="0"/>
          <c:showBubbleSize val="0"/>
        </c:dLbls>
        <c:gapWidth val="80"/>
        <c:axId val="65184128"/>
        <c:axId val="65186048"/>
      </c:barChart>
      <c:catAx>
        <c:axId val="65184128"/>
        <c:scaling>
          <c:orientation val="minMax"/>
        </c:scaling>
        <c:delete val="0"/>
        <c:axPos val="b"/>
        <c:title>
          <c:tx>
            <c:rich>
              <a:bodyPr/>
              <a:lstStyle/>
              <a:p>
                <a:pPr>
                  <a:defRPr/>
                </a:pPr>
                <a:r>
                  <a:rPr lang="en-US"/>
                  <a:t>FinYr/Mth</a:t>
                </a:r>
              </a:p>
            </c:rich>
          </c:tx>
          <c:overlay val="0"/>
        </c:title>
        <c:majorTickMark val="out"/>
        <c:minorTickMark val="none"/>
        <c:tickLblPos val="nextTo"/>
        <c:crossAx val="65186048"/>
        <c:crosses val="autoZero"/>
        <c:auto val="1"/>
        <c:lblAlgn val="ctr"/>
        <c:lblOffset val="100"/>
        <c:noMultiLvlLbl val="0"/>
      </c:catAx>
      <c:valAx>
        <c:axId val="65186048"/>
        <c:scaling>
          <c:orientation val="minMax"/>
          <c:min val="0"/>
        </c:scaling>
        <c:delete val="0"/>
        <c:axPos val="l"/>
        <c:majorGridlines>
          <c:spPr>
            <a:ln>
              <a:solidFill>
                <a:schemeClr val="accent1">
                  <a:lumMod val="40000"/>
                  <a:lumOff val="60000"/>
                </a:schemeClr>
              </a:solidFill>
            </a:ln>
          </c:spPr>
        </c:majorGridlines>
        <c:title>
          <c:tx>
            <c:rich>
              <a:bodyPr rot="-5400000" vert="horz"/>
              <a:lstStyle/>
              <a:p>
                <a:pPr>
                  <a:defRPr/>
                </a:pPr>
                <a:r>
                  <a:rPr lang="en-US"/>
                  <a:t>Admissions</a:t>
                </a:r>
              </a:p>
            </c:rich>
          </c:tx>
          <c:overlay val="0"/>
        </c:title>
        <c:numFmt formatCode="General" sourceLinked="1"/>
        <c:majorTickMark val="out"/>
        <c:minorTickMark val="none"/>
        <c:tickLblPos val="nextTo"/>
        <c:crossAx val="651841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1BEB-47C9-4017-8E58-1323C799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11442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2015-08-26T07:56:00Z</dcterms:created>
  <dcterms:modified xsi:type="dcterms:W3CDTF">2015-08-26T07:56:00Z</dcterms:modified>
</cp:coreProperties>
</file>