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9C0" w:rsidRDefault="006759C0" w:rsidP="00CA348E">
      <w:pPr>
        <w:ind w:left="5041"/>
        <w:jc w:val="right"/>
      </w:pPr>
    </w:p>
    <w:p w:rsidR="00E72F52" w:rsidRDefault="0069784F" w:rsidP="00CA348E">
      <w:pPr>
        <w:ind w:left="5041"/>
        <w:jc w:val="right"/>
        <w:rPr>
          <w:noProof/>
          <w:lang w:eastAsia="en-GB"/>
        </w:rPr>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-2540</wp:posOffset>
                </wp:positionH>
                <wp:positionV relativeFrom="paragraph">
                  <wp:posOffset>393065</wp:posOffset>
                </wp:positionV>
                <wp:extent cx="1958340" cy="297180"/>
                <wp:effectExtent l="6985" t="12065" r="6350" b="5080"/>
                <wp:wrapNone/>
                <wp:docPr id="8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7180"/>
                        </a:xfrm>
                        <a:prstGeom prst="rect">
                          <a:avLst/>
                        </a:prstGeom>
                        <a:solidFill>
                          <a:srgbClr val="FFFFFF"/>
                        </a:solidFill>
                        <a:ln w="9525">
                          <a:solidFill>
                            <a:srgbClr val="000000"/>
                          </a:solidFill>
                          <a:miter lim="800000"/>
                          <a:headEnd/>
                          <a:tailEnd/>
                        </a:ln>
                      </wps:spPr>
                      <wps:txbx>
                        <w:txbxContent>
                          <w:p w:rsidR="006F3F19" w:rsidRPr="000D1B0D" w:rsidRDefault="006F3F19">
                            <w:pPr>
                              <w:rPr>
                                <w:rFonts w:ascii="Calibri" w:hAnsi="Calibri"/>
                                <w:b/>
                                <w:sz w:val="22"/>
                                <w:szCs w:val="22"/>
                              </w:rPr>
                            </w:pPr>
                            <w:r w:rsidRPr="000D1B0D">
                              <w:rPr>
                                <w:rFonts w:ascii="Calibri" w:hAnsi="Calibri"/>
                                <w:b/>
                                <w:sz w:val="22"/>
                                <w:szCs w:val="22"/>
                              </w:rPr>
                              <w:t>Agenda Item</w:t>
                            </w:r>
                            <w:r w:rsidR="00086B3D">
                              <w:rPr>
                                <w:rFonts w:ascii="Calibri" w:hAnsi="Calibri"/>
                                <w:b/>
                                <w:sz w:val="22"/>
                                <w:szCs w:val="22"/>
                              </w:rPr>
                              <w:t xml:space="preserve"> 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2pt;margin-top:30.95pt;width:154.2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">
                <v:textbox>
                  <w:txbxContent>
                    <w:p w:rsidR="006F3F19" w:rsidRPr="000D1B0D" w:rsidRDefault="006F3F19">
                      <w:pPr>
                        <w:rPr>
                          <w:rFonts w:ascii="Calibri" w:hAnsi="Calibri"/>
                          <w:b/>
                          <w:sz w:val="22"/>
                          <w:szCs w:val="22"/>
                        </w:rPr>
                      </w:pPr>
                      <w:r w:rsidRPr="000D1B0D">
                        <w:rPr>
                          <w:rFonts w:ascii="Calibri" w:hAnsi="Calibri"/>
                          <w:b/>
                          <w:sz w:val="22"/>
                          <w:szCs w:val="22"/>
                        </w:rPr>
                        <w:t>Agenda Item</w:t>
                      </w:r>
                      <w:r w:rsidR="00086B3D">
                        <w:rPr>
                          <w:rFonts w:ascii="Calibri" w:hAnsi="Calibri"/>
                          <w:b/>
                          <w:sz w:val="22"/>
                          <w:szCs w:val="22"/>
                        </w:rPr>
                        <w:t xml:space="preserve"> 08</w:t>
                      </w:r>
                    </w:p>
                  </w:txbxContent>
                </v:textbox>
              </v:rect>
            </w:pict>
          </mc:Fallback>
        </mc:AlternateContent>
      </w:r>
      <w:r w:rsidR="003D7845" w:rsidRPr="003D7845">
        <w:t xml:space="preserve"> </w:t>
      </w:r>
      <w:r>
        <w:rPr>
          <w:noProof/>
          <w:lang w:eastAsia="en-GB"/>
        </w:rPr>
        <w:drawing>
          <wp:inline distT="0" distB="0" distL="0" distR="0">
            <wp:extent cx="2006600" cy="520700"/>
            <wp:effectExtent l="0" t="0" r="0"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600" cy="520700"/>
                    </a:xfrm>
                    <a:prstGeom prst="rect">
                      <a:avLst/>
                    </a:prstGeom>
                    <a:noFill/>
                  </pic:spPr>
                </pic:pic>
              </a:graphicData>
            </a:graphic>
          </wp:inline>
        </w:drawing>
      </w:r>
      <w:r w:rsidR="00A977E0" w:rsidRPr="00A977E0">
        <w:rPr>
          <w:noProof/>
          <w:lang w:eastAsia="en-GB"/>
        </w:rPr>
        <w:t xml:space="preserve"> </w: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69784F"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4144" behindDoc="0" locked="0" layoutInCell="1" allowOverlap="1">
                <wp:simplePos x="0" y="0"/>
                <wp:positionH relativeFrom="column">
                  <wp:posOffset>-2540</wp:posOffset>
                </wp:positionH>
                <wp:positionV relativeFrom="paragraph">
                  <wp:posOffset>-6350</wp:posOffset>
                </wp:positionV>
                <wp:extent cx="6393180" cy="1494790"/>
                <wp:effectExtent l="26035" t="22225" r="19685" b="2603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1494790"/>
                        </a:xfrm>
                        <a:prstGeom prst="rect">
                          <a:avLst/>
                        </a:prstGeom>
                        <a:solidFill>
                          <a:srgbClr val="FFFFFF"/>
                        </a:solidFill>
                        <a:ln w="38100" cmpd="dbl">
                          <a:solidFill>
                            <a:srgbClr val="000000"/>
                          </a:solidFill>
                          <a:miter lim="800000"/>
                          <a:headEnd/>
                          <a:tailEnd/>
                        </a:ln>
                      </wps:spPr>
                      <wps:txbx>
                        <w:txbxContent>
                          <w:p w:rsidR="006F3F19" w:rsidRPr="000D1B0D" w:rsidRDefault="006F3F19">
                            <w:pPr>
                              <w:rPr>
                                <w:rFonts w:ascii="Calibri" w:hAnsi="Calibri"/>
                                <w:sz w:val="22"/>
                                <w:szCs w:val="22"/>
                              </w:rPr>
                            </w:pPr>
                            <w:r w:rsidRPr="000D1B0D">
                              <w:rPr>
                                <w:rFonts w:ascii="Calibri" w:hAnsi="Calibri"/>
                                <w:sz w:val="22"/>
                                <w:szCs w:val="22"/>
                              </w:rPr>
                              <w:t>Report to (Board/Sub-Committee):</w:t>
                            </w:r>
                            <w:r>
                              <w:rPr>
                                <w:rFonts w:ascii="Calibri" w:hAnsi="Calibri"/>
                                <w:sz w:val="22"/>
                                <w:szCs w:val="22"/>
                              </w:rPr>
                              <w:t xml:space="preserve"> </w:t>
                            </w:r>
                            <w:r w:rsidRPr="00EA2734">
                              <w:rPr>
                                <w:rFonts w:ascii="Calibri" w:hAnsi="Calibri" w:cs="Calibri"/>
                                <w:bCs/>
                                <w:sz w:val="22"/>
                                <w:szCs w:val="22"/>
                              </w:rPr>
                              <w:t>NEL CCG Partnership Board</w:t>
                            </w:r>
                          </w:p>
                          <w:p w:rsidR="006F3F19" w:rsidRPr="000D1B0D" w:rsidRDefault="006F3F19">
                            <w:pPr>
                              <w:rPr>
                                <w:rFonts w:ascii="Calibri" w:hAnsi="Calibri"/>
                                <w:sz w:val="22"/>
                                <w:szCs w:val="22"/>
                              </w:rPr>
                            </w:pPr>
                          </w:p>
                          <w:p w:rsidR="006F3F19" w:rsidRPr="000D1B0D" w:rsidRDefault="006F3F19">
                            <w:pPr>
                              <w:rPr>
                                <w:rFonts w:ascii="Calibri" w:hAnsi="Calibri"/>
                                <w:sz w:val="22"/>
                                <w:szCs w:val="22"/>
                              </w:rPr>
                            </w:pPr>
                            <w:r w:rsidRPr="000D1B0D">
                              <w:rPr>
                                <w:rFonts w:ascii="Calibri" w:hAnsi="Calibri"/>
                                <w:sz w:val="22"/>
                                <w:szCs w:val="22"/>
                              </w:rPr>
                              <w:t>Date of Meeting:</w:t>
                            </w:r>
                            <w:r>
                              <w:rPr>
                                <w:rFonts w:ascii="Calibri" w:hAnsi="Calibri"/>
                                <w:sz w:val="22"/>
                                <w:szCs w:val="22"/>
                              </w:rPr>
                              <w:t xml:space="preserve"> </w:t>
                            </w:r>
                            <w:r w:rsidR="006674C7">
                              <w:rPr>
                                <w:rFonts w:ascii="Calibri" w:hAnsi="Calibri" w:cs="Calibri"/>
                                <w:bCs/>
                                <w:sz w:val="22"/>
                                <w:szCs w:val="22"/>
                              </w:rPr>
                              <w:t>13</w:t>
                            </w:r>
                            <w:r w:rsidRPr="00EA2734">
                              <w:rPr>
                                <w:rFonts w:ascii="Calibri" w:hAnsi="Calibri" w:cs="Calibri"/>
                                <w:bCs/>
                                <w:sz w:val="22"/>
                                <w:szCs w:val="22"/>
                              </w:rPr>
                              <w:t xml:space="preserve">th </w:t>
                            </w:r>
                            <w:r w:rsidR="006674C7">
                              <w:rPr>
                                <w:rFonts w:ascii="Calibri" w:hAnsi="Calibri" w:cs="Calibri"/>
                                <w:bCs/>
                                <w:sz w:val="22"/>
                                <w:szCs w:val="22"/>
                              </w:rPr>
                              <w:t>September</w:t>
                            </w:r>
                            <w:r>
                              <w:rPr>
                                <w:rFonts w:ascii="Calibri" w:hAnsi="Calibri" w:cs="Calibri"/>
                                <w:bCs/>
                                <w:sz w:val="22"/>
                                <w:szCs w:val="22"/>
                              </w:rPr>
                              <w:t xml:space="preserve"> 2018 </w:t>
                            </w:r>
                          </w:p>
                          <w:p w:rsidR="006F3F19" w:rsidRPr="000D1B0D" w:rsidRDefault="006F3F19">
                            <w:pPr>
                              <w:rPr>
                                <w:rFonts w:ascii="Calibri" w:hAnsi="Calibri"/>
                                <w:sz w:val="22"/>
                                <w:szCs w:val="22"/>
                              </w:rPr>
                            </w:pPr>
                          </w:p>
                          <w:p w:rsidR="006F3F19" w:rsidRPr="000D1B0D" w:rsidRDefault="006F3F19">
                            <w:pPr>
                              <w:rPr>
                                <w:rFonts w:ascii="Calibri" w:hAnsi="Calibri"/>
                                <w:sz w:val="22"/>
                                <w:szCs w:val="22"/>
                              </w:rPr>
                            </w:pPr>
                            <w:r w:rsidRPr="000D1B0D">
                              <w:rPr>
                                <w:rFonts w:ascii="Calibri" w:hAnsi="Calibri"/>
                                <w:sz w:val="22"/>
                                <w:szCs w:val="22"/>
                              </w:rPr>
                              <w:t>Subject:</w:t>
                            </w:r>
                            <w:r>
                              <w:rPr>
                                <w:rFonts w:ascii="Calibri" w:hAnsi="Calibri"/>
                                <w:sz w:val="22"/>
                                <w:szCs w:val="22"/>
                              </w:rPr>
                              <w:t xml:space="preserve"> </w:t>
                            </w:r>
                            <w:r w:rsidRPr="00EA2734">
                              <w:rPr>
                                <w:rFonts w:ascii="Calibri" w:hAnsi="Calibri" w:cs="Calibri"/>
                                <w:bCs/>
                                <w:sz w:val="22"/>
                                <w:szCs w:val="22"/>
                              </w:rPr>
                              <w:t>Integrated Assurance and Quality Report</w:t>
                            </w:r>
                            <w:r>
                              <w:rPr>
                                <w:rFonts w:ascii="Calibri" w:hAnsi="Calibri"/>
                                <w:sz w:val="22"/>
                                <w:szCs w:val="22"/>
                              </w:rPr>
                              <w:tab/>
                            </w:r>
                          </w:p>
                          <w:p w:rsidR="006F3F19" w:rsidRPr="000D1B0D" w:rsidRDefault="006F3F19">
                            <w:pPr>
                              <w:rPr>
                                <w:rFonts w:ascii="Calibri" w:hAnsi="Calibri"/>
                                <w:sz w:val="22"/>
                                <w:szCs w:val="22"/>
                              </w:rPr>
                            </w:pPr>
                          </w:p>
                          <w:p w:rsidR="006F3F19" w:rsidRPr="000D1B0D" w:rsidRDefault="006F3F19">
                            <w:pPr>
                              <w:rPr>
                                <w:rFonts w:ascii="Calibri" w:hAnsi="Calibri"/>
                                <w:sz w:val="22"/>
                                <w:szCs w:val="22"/>
                              </w:rPr>
                            </w:pPr>
                            <w:r w:rsidRPr="000D1B0D">
                              <w:rPr>
                                <w:rFonts w:ascii="Calibri" w:hAnsi="Calibri"/>
                                <w:sz w:val="22"/>
                                <w:szCs w:val="22"/>
                              </w:rPr>
                              <w:t>Presented by:</w:t>
                            </w:r>
                            <w:r>
                              <w:rPr>
                                <w:rFonts w:ascii="Calibri" w:hAnsi="Calibri"/>
                                <w:sz w:val="22"/>
                                <w:szCs w:val="22"/>
                              </w:rPr>
                              <w:t xml:space="preserve"> </w:t>
                            </w:r>
                            <w:r>
                              <w:rPr>
                                <w:rFonts w:ascii="Calibri" w:hAnsi="Calibri" w:cs="Calibri"/>
                                <w:bCs/>
                                <w:sz w:val="22"/>
                                <w:szCs w:val="22"/>
                              </w:rPr>
                              <w:t xml:space="preserve">Eddie McCabe </w:t>
                            </w:r>
                            <w:r w:rsidRPr="004B597D">
                              <w:rPr>
                                <w:rFonts w:ascii="Calibri" w:hAnsi="Calibri" w:cs="Calibri"/>
                                <w:bCs/>
                                <w:sz w:val="22"/>
                                <w:szCs w:val="22"/>
                              </w:rPr>
                              <w:t>Assistant Director – Contracting &amp; Performance</w:t>
                            </w:r>
                            <w:r>
                              <w:rPr>
                                <w:rFonts w:ascii="Calibri" w:hAnsi="Calibri" w:cs="Calibri"/>
                                <w:bCs/>
                                <w:sz w:val="22"/>
                                <w:szCs w:val="22"/>
                              </w:rPr>
                              <w:t xml:space="preserve">, Jan </w:t>
                            </w:r>
                            <w:proofErr w:type="spellStart"/>
                            <w:r>
                              <w:rPr>
                                <w:rFonts w:ascii="Calibri" w:hAnsi="Calibri" w:cs="Calibri"/>
                                <w:bCs/>
                                <w:sz w:val="22"/>
                                <w:szCs w:val="22"/>
                              </w:rPr>
                              <w:t>Haxby</w:t>
                            </w:r>
                            <w:proofErr w:type="spellEnd"/>
                            <w:r>
                              <w:rPr>
                                <w:rFonts w:ascii="Calibri" w:hAnsi="Calibri" w:cs="Calibri"/>
                                <w:bCs/>
                                <w:sz w:val="22"/>
                                <w:szCs w:val="22"/>
                              </w:rPr>
                              <w:t xml:space="preserve"> Director of Quality &amp; Nursing</w:t>
                            </w:r>
                          </w:p>
                          <w:p w:rsidR="006F3F19" w:rsidRPr="000D1B0D" w:rsidRDefault="006F3F19">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2pt;margin-top:-.5pt;width:503.4pt;height:11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" strokeweight="3pt">
                <v:stroke linestyle="thinThin"/>
                <v:textbox>
                  <w:txbxContent>
                    <w:p w:rsidR="006F3F19" w:rsidRPr="000D1B0D" w:rsidRDefault="006F3F19">
                      <w:pPr>
                        <w:rPr>
                          <w:rFonts w:ascii="Calibri" w:hAnsi="Calibri"/>
                          <w:sz w:val="22"/>
                          <w:szCs w:val="22"/>
                        </w:rPr>
                      </w:pPr>
                      <w:r w:rsidRPr="000D1B0D">
                        <w:rPr>
                          <w:rFonts w:ascii="Calibri" w:hAnsi="Calibri"/>
                          <w:sz w:val="22"/>
                          <w:szCs w:val="22"/>
                        </w:rPr>
                        <w:t>Report to (Board/Sub-Committee):</w:t>
                      </w:r>
                      <w:r>
                        <w:rPr>
                          <w:rFonts w:ascii="Calibri" w:hAnsi="Calibri"/>
                          <w:sz w:val="22"/>
                          <w:szCs w:val="22"/>
                        </w:rPr>
                        <w:t xml:space="preserve"> </w:t>
                      </w:r>
                      <w:r w:rsidRPr="00EA2734">
                        <w:rPr>
                          <w:rFonts w:ascii="Calibri" w:hAnsi="Calibri" w:cs="Calibri"/>
                          <w:bCs/>
                          <w:sz w:val="22"/>
                          <w:szCs w:val="22"/>
                        </w:rPr>
                        <w:t>NEL CCG Partnership Board</w:t>
                      </w:r>
                    </w:p>
                    <w:p w:rsidR="006F3F19" w:rsidRPr="000D1B0D" w:rsidRDefault="006F3F19">
                      <w:pPr>
                        <w:rPr>
                          <w:rFonts w:ascii="Calibri" w:hAnsi="Calibri"/>
                          <w:sz w:val="22"/>
                          <w:szCs w:val="22"/>
                        </w:rPr>
                      </w:pPr>
                    </w:p>
                    <w:p w:rsidR="006F3F19" w:rsidRPr="000D1B0D" w:rsidRDefault="006F3F19">
                      <w:pPr>
                        <w:rPr>
                          <w:rFonts w:ascii="Calibri" w:hAnsi="Calibri"/>
                          <w:sz w:val="22"/>
                          <w:szCs w:val="22"/>
                        </w:rPr>
                      </w:pPr>
                      <w:r w:rsidRPr="000D1B0D">
                        <w:rPr>
                          <w:rFonts w:ascii="Calibri" w:hAnsi="Calibri"/>
                          <w:sz w:val="22"/>
                          <w:szCs w:val="22"/>
                        </w:rPr>
                        <w:t>Date of Meeting:</w:t>
                      </w:r>
                      <w:r>
                        <w:rPr>
                          <w:rFonts w:ascii="Calibri" w:hAnsi="Calibri"/>
                          <w:sz w:val="22"/>
                          <w:szCs w:val="22"/>
                        </w:rPr>
                        <w:t xml:space="preserve"> </w:t>
                      </w:r>
                      <w:r w:rsidR="006674C7">
                        <w:rPr>
                          <w:rFonts w:ascii="Calibri" w:hAnsi="Calibri" w:cs="Calibri"/>
                          <w:bCs/>
                          <w:sz w:val="22"/>
                          <w:szCs w:val="22"/>
                        </w:rPr>
                        <w:t>13</w:t>
                      </w:r>
                      <w:r w:rsidRPr="00EA2734">
                        <w:rPr>
                          <w:rFonts w:ascii="Calibri" w:hAnsi="Calibri" w:cs="Calibri"/>
                          <w:bCs/>
                          <w:sz w:val="22"/>
                          <w:szCs w:val="22"/>
                        </w:rPr>
                        <w:t xml:space="preserve">th </w:t>
                      </w:r>
                      <w:r w:rsidR="006674C7">
                        <w:rPr>
                          <w:rFonts w:ascii="Calibri" w:hAnsi="Calibri" w:cs="Calibri"/>
                          <w:bCs/>
                          <w:sz w:val="22"/>
                          <w:szCs w:val="22"/>
                        </w:rPr>
                        <w:t>September</w:t>
                      </w:r>
                      <w:r>
                        <w:rPr>
                          <w:rFonts w:ascii="Calibri" w:hAnsi="Calibri" w:cs="Calibri"/>
                          <w:bCs/>
                          <w:sz w:val="22"/>
                          <w:szCs w:val="22"/>
                        </w:rPr>
                        <w:t xml:space="preserve"> 2018 </w:t>
                      </w:r>
                    </w:p>
                    <w:p w:rsidR="006F3F19" w:rsidRPr="000D1B0D" w:rsidRDefault="006F3F19">
                      <w:pPr>
                        <w:rPr>
                          <w:rFonts w:ascii="Calibri" w:hAnsi="Calibri"/>
                          <w:sz w:val="22"/>
                          <w:szCs w:val="22"/>
                        </w:rPr>
                      </w:pPr>
                    </w:p>
                    <w:p w:rsidR="006F3F19" w:rsidRPr="000D1B0D" w:rsidRDefault="006F3F19">
                      <w:pPr>
                        <w:rPr>
                          <w:rFonts w:ascii="Calibri" w:hAnsi="Calibri"/>
                          <w:sz w:val="22"/>
                          <w:szCs w:val="22"/>
                        </w:rPr>
                      </w:pPr>
                      <w:r w:rsidRPr="000D1B0D">
                        <w:rPr>
                          <w:rFonts w:ascii="Calibri" w:hAnsi="Calibri"/>
                          <w:sz w:val="22"/>
                          <w:szCs w:val="22"/>
                        </w:rPr>
                        <w:t>Subject:</w:t>
                      </w:r>
                      <w:r>
                        <w:rPr>
                          <w:rFonts w:ascii="Calibri" w:hAnsi="Calibri"/>
                          <w:sz w:val="22"/>
                          <w:szCs w:val="22"/>
                        </w:rPr>
                        <w:t xml:space="preserve"> </w:t>
                      </w:r>
                      <w:r w:rsidRPr="00EA2734">
                        <w:rPr>
                          <w:rFonts w:ascii="Calibri" w:hAnsi="Calibri" w:cs="Calibri"/>
                          <w:bCs/>
                          <w:sz w:val="22"/>
                          <w:szCs w:val="22"/>
                        </w:rPr>
                        <w:t>Integrated Assurance and Quality Report</w:t>
                      </w:r>
                      <w:r>
                        <w:rPr>
                          <w:rFonts w:ascii="Calibri" w:hAnsi="Calibri"/>
                          <w:sz w:val="22"/>
                          <w:szCs w:val="22"/>
                        </w:rPr>
                        <w:tab/>
                      </w:r>
                    </w:p>
                    <w:p w:rsidR="006F3F19" w:rsidRPr="000D1B0D" w:rsidRDefault="006F3F19">
                      <w:pPr>
                        <w:rPr>
                          <w:rFonts w:ascii="Calibri" w:hAnsi="Calibri"/>
                          <w:sz w:val="22"/>
                          <w:szCs w:val="22"/>
                        </w:rPr>
                      </w:pPr>
                    </w:p>
                    <w:p w:rsidR="006F3F19" w:rsidRPr="000D1B0D" w:rsidRDefault="006F3F19">
                      <w:pPr>
                        <w:rPr>
                          <w:rFonts w:ascii="Calibri" w:hAnsi="Calibri"/>
                          <w:sz w:val="22"/>
                          <w:szCs w:val="22"/>
                        </w:rPr>
                      </w:pPr>
                      <w:r w:rsidRPr="000D1B0D">
                        <w:rPr>
                          <w:rFonts w:ascii="Calibri" w:hAnsi="Calibri"/>
                          <w:sz w:val="22"/>
                          <w:szCs w:val="22"/>
                        </w:rPr>
                        <w:t>Presented by:</w:t>
                      </w:r>
                      <w:r>
                        <w:rPr>
                          <w:rFonts w:ascii="Calibri" w:hAnsi="Calibri"/>
                          <w:sz w:val="22"/>
                          <w:szCs w:val="22"/>
                        </w:rPr>
                        <w:t xml:space="preserve"> </w:t>
                      </w:r>
                      <w:r>
                        <w:rPr>
                          <w:rFonts w:ascii="Calibri" w:hAnsi="Calibri" w:cs="Calibri"/>
                          <w:bCs/>
                          <w:sz w:val="22"/>
                          <w:szCs w:val="22"/>
                        </w:rPr>
                        <w:t xml:space="preserve">Eddie McCabe </w:t>
                      </w:r>
                      <w:r w:rsidRPr="004B597D">
                        <w:rPr>
                          <w:rFonts w:ascii="Calibri" w:hAnsi="Calibri" w:cs="Calibri"/>
                          <w:bCs/>
                          <w:sz w:val="22"/>
                          <w:szCs w:val="22"/>
                        </w:rPr>
                        <w:t>Assistant Director – Contracting &amp; Performance</w:t>
                      </w:r>
                      <w:r>
                        <w:rPr>
                          <w:rFonts w:ascii="Calibri" w:hAnsi="Calibri" w:cs="Calibri"/>
                          <w:bCs/>
                          <w:sz w:val="22"/>
                          <w:szCs w:val="22"/>
                        </w:rPr>
                        <w:t>, Jan Haxby Director of Quality &amp; Nursing</w:t>
                      </w:r>
                    </w:p>
                    <w:p w:rsidR="006F3F19" w:rsidRPr="000D1B0D" w:rsidRDefault="006F3F19">
                      <w:pPr>
                        <w:rPr>
                          <w:rFonts w:ascii="Calibri" w:hAnsi="Calibri"/>
                          <w:sz w:val="22"/>
                          <w:szCs w:val="22"/>
                        </w:rPr>
                      </w:pP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69784F"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5168" behindDoc="0" locked="0" layoutInCell="1" allowOverlap="1">
                <wp:simplePos x="0" y="0"/>
                <wp:positionH relativeFrom="column">
                  <wp:posOffset>-2540</wp:posOffset>
                </wp:positionH>
                <wp:positionV relativeFrom="paragraph">
                  <wp:posOffset>29210</wp:posOffset>
                </wp:positionV>
                <wp:extent cx="6393180" cy="1227455"/>
                <wp:effectExtent l="6985" t="10160" r="10160" b="10160"/>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1227455"/>
                        </a:xfrm>
                        <a:prstGeom prst="rect">
                          <a:avLst/>
                        </a:prstGeom>
                        <a:solidFill>
                          <a:srgbClr val="FFFFFF"/>
                        </a:solidFill>
                        <a:ln w="9525">
                          <a:solidFill>
                            <a:srgbClr val="000000"/>
                          </a:solidFill>
                          <a:miter lim="800000"/>
                          <a:headEnd/>
                          <a:tailEnd/>
                        </a:ln>
                      </wps:spPr>
                      <wps:txbx>
                        <w:txbxContent>
                          <w:p w:rsidR="006F3F19" w:rsidRPr="000D1B0D" w:rsidRDefault="006F3F19" w:rsidP="007C526F">
                            <w:pPr>
                              <w:rPr>
                                <w:rFonts w:ascii="Calibri" w:hAnsi="Calibri"/>
                                <w:b/>
                                <w:sz w:val="22"/>
                                <w:szCs w:val="22"/>
                              </w:rPr>
                            </w:pPr>
                            <w:r w:rsidRPr="000D1B0D">
                              <w:rPr>
                                <w:rFonts w:ascii="Calibri" w:hAnsi="Calibri"/>
                                <w:b/>
                                <w:sz w:val="22"/>
                                <w:szCs w:val="22"/>
                              </w:rPr>
                              <w:t>STATUS OF THE REPORT</w:t>
                            </w:r>
                          </w:p>
                          <w:p w:rsidR="006F3F19" w:rsidRPr="000D1B0D" w:rsidRDefault="006F3F19">
                            <w:pPr>
                              <w:rPr>
                                <w:rFonts w:ascii="Calibri" w:hAnsi="Calibri"/>
                                <w:sz w:val="22"/>
                                <w:szCs w:val="22"/>
                              </w:rPr>
                            </w:pPr>
                          </w:p>
                          <w:p w:rsidR="006F3F19" w:rsidRPr="000D1B0D" w:rsidRDefault="006F3F19"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0069784F">
                              <w:rPr>
                                <w:rFonts w:ascii="Calibri" w:hAnsi="Calibri"/>
                                <w:noProof/>
                                <w:sz w:val="22"/>
                                <w:szCs w:val="22"/>
                                <w:lang w:eastAsia="en-GB"/>
                              </w:rPr>
                              <w:drawing>
                                <wp:inline distT="0" distB="0" distL="0" distR="0">
                                  <wp:extent cx="152400" cy="142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6F3F19" w:rsidRPr="000D1B0D" w:rsidRDefault="006F3F19"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100FD9">
                              <w:rPr>
                                <w:rFonts w:ascii="Calibri" w:hAnsi="Calibri"/>
                                <w:sz w:val="32"/>
                                <w:szCs w:val="32"/>
                              </w:rPr>
                              <w:sym w:font="Wingdings 2" w:char="F054"/>
                            </w:r>
                          </w:p>
                          <w:p w:rsidR="006F3F19" w:rsidRPr="000D1B0D" w:rsidRDefault="006F3F19"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r w:rsidR="0069784F">
                              <w:rPr>
                                <w:rFonts w:ascii="Calibri" w:hAnsi="Calibri"/>
                                <w:noProof/>
                                <w:sz w:val="22"/>
                                <w:szCs w:val="22"/>
                                <w:lang w:eastAsia="en-GB"/>
                              </w:rPr>
                              <w:drawing>
                                <wp:inline distT="0" distB="0" distL="0" distR="0">
                                  <wp:extent cx="152400" cy="1428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2pt;margin-top:2.3pt;width:503.4pt;height:9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">
                <v:textbox>
                  <w:txbxContent>
                    <w:p w:rsidR="006F3F19" w:rsidRPr="000D1B0D" w:rsidRDefault="006F3F19" w:rsidP="007C526F">
                      <w:pPr>
                        <w:rPr>
                          <w:rFonts w:ascii="Calibri" w:hAnsi="Calibri"/>
                          <w:b/>
                          <w:sz w:val="22"/>
                          <w:szCs w:val="22"/>
                        </w:rPr>
                      </w:pPr>
                      <w:r w:rsidRPr="000D1B0D">
                        <w:rPr>
                          <w:rFonts w:ascii="Calibri" w:hAnsi="Calibri"/>
                          <w:b/>
                          <w:sz w:val="22"/>
                          <w:szCs w:val="22"/>
                        </w:rPr>
                        <w:t>STATUS OF THE REPORT</w:t>
                      </w:r>
                    </w:p>
                    <w:p w:rsidR="006F3F19" w:rsidRPr="000D1B0D" w:rsidRDefault="006F3F19">
                      <w:pPr>
                        <w:rPr>
                          <w:rFonts w:ascii="Calibri" w:hAnsi="Calibri"/>
                          <w:sz w:val="22"/>
                          <w:szCs w:val="22"/>
                        </w:rPr>
                      </w:pPr>
                    </w:p>
                    <w:p w:rsidR="006F3F19" w:rsidRPr="000D1B0D" w:rsidRDefault="006F3F19"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0069784F">
                        <w:rPr>
                          <w:rFonts w:ascii="Calibri" w:hAnsi="Calibri"/>
                          <w:noProof/>
                          <w:sz w:val="22"/>
                          <w:szCs w:val="22"/>
                          <w:lang w:eastAsia="en-GB"/>
                        </w:rPr>
                        <w:drawing>
                          <wp:inline distT="0" distB="0" distL="0" distR="0">
                            <wp:extent cx="152400" cy="142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6F3F19" w:rsidRPr="000D1B0D" w:rsidRDefault="006F3F19"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100FD9">
                        <w:rPr>
                          <w:rFonts w:ascii="Calibri" w:hAnsi="Calibri"/>
                          <w:sz w:val="32"/>
                          <w:szCs w:val="32"/>
                        </w:rPr>
                        <w:sym w:font="Wingdings 2" w:char="F054"/>
                      </w:r>
                    </w:p>
                    <w:p w:rsidR="006F3F19" w:rsidRPr="000D1B0D" w:rsidRDefault="006F3F19"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r w:rsidR="0069784F">
                        <w:rPr>
                          <w:rFonts w:ascii="Calibri" w:hAnsi="Calibri"/>
                          <w:noProof/>
                          <w:sz w:val="22"/>
                          <w:szCs w:val="22"/>
                          <w:lang w:eastAsia="en-GB"/>
                        </w:rPr>
                        <w:drawing>
                          <wp:inline distT="0" distB="0" distL="0" distR="0">
                            <wp:extent cx="152400" cy="1428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Pr="004B597D" w:rsidRDefault="00136B75" w:rsidP="00D3211A">
      <w:pPr>
        <w:pStyle w:val="Default"/>
        <w:jc w:val="both"/>
        <w:rPr>
          <w:rFonts w:ascii="Calibri" w:hAnsi="Calibri" w:cs="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7977"/>
      </w:tblGrid>
      <w:tr w:rsidR="009D4EDC" w:rsidRPr="000D1B0D" w:rsidTr="007663C8">
        <w:tc>
          <w:tcPr>
            <w:tcW w:w="2103" w:type="dxa"/>
            <w:tcBorders>
              <w:bottom w:val="single" w:sz="4" w:space="0" w:color="auto"/>
            </w:tcBorders>
            <w:shd w:val="clear" w:color="auto" w:fill="auto"/>
          </w:tcPr>
          <w:p w:rsidR="009D4EDC" w:rsidRPr="000D1B0D"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0D1B0D">
            <w:pPr>
              <w:pStyle w:val="Default"/>
              <w:jc w:val="both"/>
              <w:rPr>
                <w:rFonts w:ascii="Calibri" w:hAnsi="Calibri" w:cs="Calibri"/>
                <w:b/>
                <w:sz w:val="20"/>
                <w:szCs w:val="20"/>
              </w:rPr>
            </w:pPr>
          </w:p>
        </w:tc>
        <w:tc>
          <w:tcPr>
            <w:tcW w:w="7977" w:type="dxa"/>
            <w:shd w:val="clear" w:color="auto" w:fill="auto"/>
          </w:tcPr>
          <w:p w:rsidR="003B7D1C" w:rsidRPr="00EA2734" w:rsidRDefault="003B7D1C" w:rsidP="003B7D1C">
            <w:pPr>
              <w:jc w:val="both"/>
              <w:rPr>
                <w:rFonts w:ascii="Calibri" w:hAnsi="Calibri" w:cs="Calibri"/>
                <w:bCs/>
                <w:sz w:val="22"/>
                <w:szCs w:val="22"/>
              </w:rPr>
            </w:pPr>
            <w:r w:rsidRPr="00EA2734">
              <w:rPr>
                <w:rFonts w:ascii="Calibri" w:hAnsi="Calibri" w:cs="Calibri"/>
                <w:bCs/>
                <w:sz w:val="22"/>
                <w:szCs w:val="22"/>
              </w:rPr>
              <w:t>The report advises the Partnership Board of how NELCCG are performing against;</w:t>
            </w:r>
          </w:p>
          <w:p w:rsidR="003B7D1C" w:rsidRPr="00EA2734" w:rsidRDefault="003B7D1C" w:rsidP="003B7D1C">
            <w:pPr>
              <w:jc w:val="both"/>
              <w:rPr>
                <w:rFonts w:ascii="Calibri" w:hAnsi="Calibri" w:cs="Calibri"/>
                <w:bCs/>
                <w:sz w:val="22"/>
                <w:szCs w:val="22"/>
              </w:rPr>
            </w:pPr>
          </w:p>
          <w:p w:rsidR="003B7D1C" w:rsidRPr="00EA2734" w:rsidRDefault="003B7D1C" w:rsidP="00197E49">
            <w:pPr>
              <w:numPr>
                <w:ilvl w:val="0"/>
                <w:numId w:val="3"/>
              </w:numPr>
              <w:rPr>
                <w:rFonts w:ascii="Calibri" w:hAnsi="Calibri" w:cs="Calibri"/>
                <w:bCs/>
                <w:sz w:val="22"/>
                <w:szCs w:val="22"/>
              </w:rPr>
            </w:pPr>
            <w:r w:rsidRPr="00EA2734">
              <w:rPr>
                <w:rFonts w:ascii="Calibri" w:hAnsi="Calibri" w:cs="Calibri"/>
                <w:bCs/>
                <w:sz w:val="22"/>
                <w:szCs w:val="22"/>
              </w:rPr>
              <w:t>six domains developed for the performance dashboard</w:t>
            </w:r>
            <w:r w:rsidR="005F244A">
              <w:rPr>
                <w:rFonts w:ascii="Calibri" w:hAnsi="Calibri" w:cs="Calibri"/>
                <w:bCs/>
                <w:sz w:val="22"/>
                <w:szCs w:val="22"/>
              </w:rPr>
              <w:t xml:space="preserve"> and</w:t>
            </w:r>
            <w:r w:rsidRPr="00EA2734">
              <w:rPr>
                <w:rFonts w:ascii="Calibri" w:hAnsi="Calibri" w:cs="Calibri"/>
                <w:bCs/>
                <w:sz w:val="22"/>
                <w:szCs w:val="22"/>
              </w:rPr>
              <w:t>;</w:t>
            </w:r>
          </w:p>
          <w:p w:rsidR="003B7D1C" w:rsidRPr="00EA2734" w:rsidRDefault="003B7D1C" w:rsidP="00197E49">
            <w:pPr>
              <w:numPr>
                <w:ilvl w:val="0"/>
                <w:numId w:val="3"/>
              </w:numPr>
              <w:rPr>
                <w:rFonts w:ascii="Calibri" w:hAnsi="Calibri" w:cs="Calibri"/>
                <w:bCs/>
                <w:sz w:val="22"/>
                <w:szCs w:val="22"/>
              </w:rPr>
            </w:pPr>
            <w:proofErr w:type="gramStart"/>
            <w:r w:rsidRPr="00EA2734">
              <w:rPr>
                <w:rFonts w:ascii="Calibri" w:hAnsi="Calibri" w:cs="Calibri"/>
                <w:bCs/>
                <w:sz w:val="22"/>
                <w:szCs w:val="22"/>
              </w:rPr>
              <w:t>three</w:t>
            </w:r>
            <w:proofErr w:type="gramEnd"/>
            <w:r w:rsidRPr="00EA2734">
              <w:rPr>
                <w:rFonts w:ascii="Calibri" w:hAnsi="Calibri" w:cs="Calibri"/>
                <w:bCs/>
                <w:sz w:val="22"/>
                <w:szCs w:val="22"/>
              </w:rPr>
              <w:t xml:space="preserve"> domains d</w:t>
            </w:r>
            <w:r w:rsidR="005F244A">
              <w:rPr>
                <w:rFonts w:ascii="Calibri" w:hAnsi="Calibri" w:cs="Calibri"/>
                <w:bCs/>
                <w:sz w:val="22"/>
                <w:szCs w:val="22"/>
              </w:rPr>
              <w:t xml:space="preserve">eveloped for quality dashboard. </w:t>
            </w:r>
          </w:p>
          <w:p w:rsidR="003B7D1C" w:rsidRPr="00EA2734" w:rsidRDefault="003B7D1C" w:rsidP="003B7D1C">
            <w:pPr>
              <w:rPr>
                <w:rFonts w:ascii="Calibri" w:hAnsi="Calibri" w:cs="Calibri"/>
                <w:bCs/>
                <w:sz w:val="22"/>
                <w:szCs w:val="22"/>
              </w:rPr>
            </w:pPr>
          </w:p>
          <w:p w:rsidR="003B7D1C" w:rsidRPr="00EA2734" w:rsidRDefault="003B7D1C" w:rsidP="003B7D1C">
            <w:pPr>
              <w:rPr>
                <w:rFonts w:ascii="Calibri" w:hAnsi="Calibri" w:cs="Calibri"/>
                <w:bCs/>
                <w:sz w:val="22"/>
                <w:szCs w:val="22"/>
              </w:rPr>
            </w:pPr>
            <w:r w:rsidRPr="00EA2734">
              <w:rPr>
                <w:rFonts w:ascii="Calibri" w:hAnsi="Calibri" w:cs="Calibri"/>
                <w:bCs/>
                <w:sz w:val="22"/>
                <w:szCs w:val="22"/>
              </w:rPr>
              <w:t xml:space="preserve">The dashboards are managed via the Delivery Assurance Committee, the </w:t>
            </w:r>
            <w:r w:rsidR="00920869">
              <w:rPr>
                <w:rFonts w:ascii="Calibri" w:hAnsi="Calibri" w:cs="Calibri"/>
                <w:bCs/>
                <w:sz w:val="22"/>
                <w:szCs w:val="22"/>
              </w:rPr>
              <w:t xml:space="preserve">Clinical Governance </w:t>
            </w:r>
            <w:r w:rsidRPr="00EA2734">
              <w:rPr>
                <w:rFonts w:ascii="Calibri" w:hAnsi="Calibri" w:cs="Calibri"/>
                <w:bCs/>
                <w:sz w:val="22"/>
                <w:szCs w:val="22"/>
              </w:rPr>
              <w:t xml:space="preserve">Committee and the Integrated Governance and Audit Committee. </w:t>
            </w:r>
          </w:p>
          <w:p w:rsidR="003B7D1C" w:rsidRPr="00EA2734" w:rsidRDefault="003B7D1C" w:rsidP="003B7D1C">
            <w:pPr>
              <w:rPr>
                <w:rFonts w:ascii="Calibri" w:hAnsi="Calibri" w:cs="Calibri"/>
                <w:bCs/>
                <w:sz w:val="22"/>
                <w:szCs w:val="22"/>
              </w:rPr>
            </w:pPr>
          </w:p>
          <w:p w:rsidR="00E76606" w:rsidRPr="000D1B0D" w:rsidRDefault="00FB533E" w:rsidP="00920869">
            <w:pPr>
              <w:pStyle w:val="Default"/>
              <w:rPr>
                <w:rFonts w:ascii="Calibri" w:hAnsi="Calibri" w:cs="Calibri"/>
                <w:sz w:val="20"/>
                <w:szCs w:val="20"/>
              </w:rPr>
            </w:pPr>
            <w:r w:rsidRPr="00EA2734">
              <w:rPr>
                <w:rFonts w:ascii="Calibri" w:eastAsia="Times New Roman" w:hAnsi="Calibri" w:cs="Calibri"/>
                <w:bCs/>
                <w:color w:val="auto"/>
                <w:sz w:val="22"/>
                <w:szCs w:val="22"/>
                <w:lang w:eastAsia="en-US"/>
              </w:rPr>
              <w:t>For more detail on per</w:t>
            </w:r>
            <w:r w:rsidR="0004594E">
              <w:rPr>
                <w:rFonts w:ascii="Calibri" w:eastAsia="Times New Roman" w:hAnsi="Calibri" w:cs="Calibri"/>
                <w:bCs/>
                <w:color w:val="auto"/>
                <w:sz w:val="22"/>
                <w:szCs w:val="22"/>
                <w:lang w:eastAsia="en-US"/>
              </w:rPr>
              <w:t>f</w:t>
            </w:r>
            <w:r w:rsidR="00D2303C">
              <w:rPr>
                <w:rFonts w:ascii="Calibri" w:eastAsia="Times New Roman" w:hAnsi="Calibri" w:cs="Calibri"/>
                <w:bCs/>
                <w:color w:val="auto"/>
                <w:sz w:val="22"/>
                <w:szCs w:val="22"/>
                <w:lang w:eastAsia="en-US"/>
              </w:rPr>
              <w:t>ormance</w:t>
            </w:r>
            <w:r w:rsidRPr="00EA2734">
              <w:rPr>
                <w:rFonts w:ascii="Calibri" w:eastAsia="Times New Roman" w:hAnsi="Calibri" w:cs="Calibri"/>
                <w:bCs/>
                <w:color w:val="auto"/>
                <w:sz w:val="22"/>
                <w:szCs w:val="22"/>
                <w:lang w:eastAsia="en-US"/>
              </w:rPr>
              <w:t xml:space="preserve"> </w:t>
            </w:r>
            <w:r w:rsidR="0004594E">
              <w:rPr>
                <w:rFonts w:ascii="Calibri" w:eastAsia="Times New Roman" w:hAnsi="Calibri" w:cs="Calibri"/>
                <w:bCs/>
                <w:color w:val="auto"/>
                <w:sz w:val="22"/>
                <w:szCs w:val="22"/>
                <w:lang w:eastAsia="en-US"/>
              </w:rPr>
              <w:t xml:space="preserve">and quality </w:t>
            </w:r>
            <w:r w:rsidRPr="00EA2734">
              <w:rPr>
                <w:rFonts w:ascii="Calibri" w:eastAsia="Times New Roman" w:hAnsi="Calibri" w:cs="Calibri"/>
                <w:bCs/>
                <w:color w:val="auto"/>
                <w:sz w:val="22"/>
                <w:szCs w:val="22"/>
                <w:lang w:eastAsia="en-US"/>
              </w:rPr>
              <w:t xml:space="preserve">the latest integrated assurance report presented to the Delivery Assurance Committee </w:t>
            </w:r>
            <w:r w:rsidR="0004594E">
              <w:rPr>
                <w:rFonts w:ascii="Calibri" w:eastAsia="Times New Roman" w:hAnsi="Calibri" w:cs="Calibri"/>
                <w:bCs/>
                <w:color w:val="auto"/>
                <w:sz w:val="22"/>
                <w:szCs w:val="22"/>
                <w:lang w:eastAsia="en-US"/>
              </w:rPr>
              <w:t xml:space="preserve">and </w:t>
            </w:r>
            <w:r w:rsidR="00920869">
              <w:rPr>
                <w:rFonts w:ascii="Calibri" w:eastAsia="Times New Roman" w:hAnsi="Calibri" w:cs="Calibri"/>
                <w:bCs/>
                <w:color w:val="auto"/>
                <w:sz w:val="22"/>
                <w:szCs w:val="22"/>
                <w:lang w:eastAsia="en-US"/>
              </w:rPr>
              <w:t xml:space="preserve">the </w:t>
            </w:r>
            <w:r w:rsidR="0004594E">
              <w:rPr>
                <w:rFonts w:ascii="Calibri" w:eastAsia="Times New Roman" w:hAnsi="Calibri" w:cs="Calibri"/>
                <w:bCs/>
                <w:color w:val="auto"/>
                <w:sz w:val="22"/>
                <w:szCs w:val="22"/>
                <w:lang w:eastAsia="en-US"/>
              </w:rPr>
              <w:t xml:space="preserve">quality dashboard report </w:t>
            </w:r>
            <w:r w:rsidR="00920869">
              <w:rPr>
                <w:rFonts w:ascii="Calibri" w:eastAsia="Times New Roman" w:hAnsi="Calibri" w:cs="Calibri"/>
                <w:bCs/>
                <w:color w:val="auto"/>
                <w:sz w:val="22"/>
                <w:szCs w:val="22"/>
                <w:lang w:eastAsia="en-US"/>
              </w:rPr>
              <w:t xml:space="preserve">verbally </w:t>
            </w:r>
            <w:r w:rsidR="0004594E">
              <w:rPr>
                <w:rFonts w:ascii="Calibri" w:eastAsia="Times New Roman" w:hAnsi="Calibri" w:cs="Calibri"/>
                <w:bCs/>
                <w:color w:val="auto"/>
                <w:sz w:val="22"/>
                <w:szCs w:val="22"/>
                <w:lang w:eastAsia="en-US"/>
              </w:rPr>
              <w:t xml:space="preserve">presented to the </w:t>
            </w:r>
            <w:r w:rsidR="00920869">
              <w:rPr>
                <w:rFonts w:ascii="Calibri" w:eastAsia="Times New Roman" w:hAnsi="Calibri" w:cs="Calibri"/>
                <w:bCs/>
                <w:color w:val="auto"/>
                <w:sz w:val="22"/>
                <w:szCs w:val="22"/>
                <w:lang w:eastAsia="en-US"/>
              </w:rPr>
              <w:t xml:space="preserve">Clinical Governance </w:t>
            </w:r>
            <w:r w:rsidR="0004594E">
              <w:rPr>
                <w:rFonts w:ascii="Calibri" w:eastAsia="Times New Roman" w:hAnsi="Calibri" w:cs="Calibri"/>
                <w:bCs/>
                <w:color w:val="auto"/>
                <w:sz w:val="22"/>
                <w:szCs w:val="22"/>
                <w:lang w:eastAsia="en-US"/>
              </w:rPr>
              <w:t xml:space="preserve">Committee </w:t>
            </w:r>
            <w:r w:rsidRPr="00EA2734">
              <w:rPr>
                <w:rFonts w:ascii="Calibri" w:eastAsia="Times New Roman" w:hAnsi="Calibri" w:cs="Calibri"/>
                <w:bCs/>
                <w:color w:val="auto"/>
                <w:sz w:val="22"/>
                <w:szCs w:val="22"/>
                <w:lang w:eastAsia="en-US"/>
              </w:rPr>
              <w:t>can be found via the embedded file</w:t>
            </w:r>
            <w:r w:rsidR="0004594E">
              <w:rPr>
                <w:rFonts w:ascii="Calibri" w:eastAsia="Times New Roman" w:hAnsi="Calibri" w:cs="Calibri"/>
                <w:bCs/>
                <w:color w:val="auto"/>
                <w:sz w:val="22"/>
                <w:szCs w:val="22"/>
                <w:lang w:eastAsia="en-US"/>
              </w:rPr>
              <w:t>s</w:t>
            </w:r>
            <w:r w:rsidRPr="00EA2734">
              <w:rPr>
                <w:rFonts w:ascii="Calibri" w:eastAsia="Times New Roman" w:hAnsi="Calibri" w:cs="Calibri"/>
                <w:bCs/>
                <w:color w:val="auto"/>
                <w:sz w:val="22"/>
                <w:szCs w:val="22"/>
                <w:lang w:eastAsia="en-US"/>
              </w:rPr>
              <w:t xml:space="preserve"> in the ‘Appendices / attachments’ section of this cover sheet.</w:t>
            </w:r>
          </w:p>
        </w:tc>
      </w:tr>
      <w:tr w:rsidR="009D4EDC" w:rsidRPr="000D1B0D" w:rsidTr="007663C8">
        <w:tc>
          <w:tcPr>
            <w:tcW w:w="2103" w:type="dxa"/>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7977" w:type="dxa"/>
            <w:shd w:val="clear" w:color="auto" w:fill="auto"/>
          </w:tcPr>
          <w:p w:rsidR="00FB533E" w:rsidRPr="00EA2734" w:rsidRDefault="00FB533E" w:rsidP="00FB533E">
            <w:pPr>
              <w:jc w:val="both"/>
              <w:rPr>
                <w:rFonts w:ascii="Calibri" w:hAnsi="Calibri" w:cs="Calibri"/>
                <w:bCs/>
                <w:sz w:val="22"/>
                <w:szCs w:val="22"/>
              </w:rPr>
            </w:pPr>
            <w:r w:rsidRPr="00EA2734">
              <w:rPr>
                <w:rFonts w:ascii="Calibri" w:hAnsi="Calibri" w:cs="Calibri"/>
                <w:bCs/>
                <w:sz w:val="22"/>
                <w:szCs w:val="22"/>
              </w:rPr>
              <w:t>The Partnership Board is asked:</w:t>
            </w:r>
          </w:p>
          <w:p w:rsidR="00FB533E" w:rsidRDefault="00FB533E" w:rsidP="00AF50F5">
            <w:pPr>
              <w:numPr>
                <w:ilvl w:val="0"/>
                <w:numId w:val="2"/>
              </w:numPr>
              <w:rPr>
                <w:rFonts w:ascii="Calibri" w:hAnsi="Calibri" w:cs="Calibri"/>
                <w:bCs/>
                <w:sz w:val="22"/>
                <w:szCs w:val="22"/>
              </w:rPr>
            </w:pPr>
            <w:r w:rsidRPr="00EA2734">
              <w:rPr>
                <w:rFonts w:ascii="Calibri" w:hAnsi="Calibri" w:cs="Calibri"/>
                <w:bCs/>
                <w:sz w:val="22"/>
                <w:szCs w:val="22"/>
              </w:rPr>
              <w:t>to note judgements made against the domains of the dashboards</w:t>
            </w:r>
          </w:p>
          <w:p w:rsidR="009D4EDC" w:rsidRPr="000D1B0D" w:rsidRDefault="00FB533E" w:rsidP="00AF50F5">
            <w:pPr>
              <w:numPr>
                <w:ilvl w:val="0"/>
                <w:numId w:val="2"/>
              </w:numPr>
              <w:rPr>
                <w:rFonts w:ascii="Calibri" w:hAnsi="Calibri" w:cs="Calibri"/>
                <w:sz w:val="20"/>
              </w:rPr>
            </w:pPr>
            <w:proofErr w:type="gramStart"/>
            <w:r w:rsidRPr="00EA2734">
              <w:rPr>
                <w:rFonts w:ascii="Calibri" w:hAnsi="Calibri" w:cs="Calibri"/>
                <w:bCs/>
                <w:sz w:val="22"/>
                <w:szCs w:val="22"/>
              </w:rPr>
              <w:t>for</w:t>
            </w:r>
            <w:proofErr w:type="gramEnd"/>
            <w:r w:rsidRPr="00EA2734">
              <w:rPr>
                <w:rFonts w:ascii="Calibri" w:hAnsi="Calibri" w:cs="Calibri"/>
                <w:bCs/>
                <w:sz w:val="22"/>
                <w:szCs w:val="22"/>
              </w:rPr>
              <w:t xml:space="preserve"> further feedback on ways to improve the report</w:t>
            </w:r>
            <w:r w:rsidR="00C148F8">
              <w:rPr>
                <w:rFonts w:ascii="Calibri" w:hAnsi="Calibri" w:cs="Calibri"/>
                <w:bCs/>
                <w:sz w:val="22"/>
                <w:szCs w:val="22"/>
              </w:rPr>
              <w:t>.</w:t>
            </w:r>
          </w:p>
        </w:tc>
      </w:tr>
      <w:tr w:rsidR="009D4EDC" w:rsidRPr="000D1B0D" w:rsidTr="007663C8">
        <w:tc>
          <w:tcPr>
            <w:tcW w:w="2103" w:type="dxa"/>
            <w:shd w:val="clear" w:color="auto" w:fill="auto"/>
          </w:tcPr>
          <w:p w:rsidR="009D4EDC" w:rsidRPr="000D1B0D" w:rsidRDefault="009D4EDC" w:rsidP="008E6240">
            <w:pPr>
              <w:pStyle w:val="Default"/>
              <w:rPr>
                <w:rFonts w:ascii="Calibri" w:hAnsi="Calibri" w:cs="Calibri"/>
                <w:b/>
                <w:sz w:val="20"/>
                <w:szCs w:val="20"/>
              </w:rPr>
            </w:pPr>
            <w:r w:rsidRPr="000D1B0D">
              <w:rPr>
                <w:rFonts w:ascii="Calibri" w:hAnsi="Calibri" w:cs="Calibri"/>
                <w:b/>
                <w:sz w:val="20"/>
                <w:szCs w:val="20"/>
              </w:rPr>
              <w:t>Sub Committee Process and Assurance:</w:t>
            </w:r>
          </w:p>
        </w:tc>
        <w:tc>
          <w:tcPr>
            <w:tcW w:w="7977" w:type="dxa"/>
            <w:shd w:val="clear" w:color="auto" w:fill="auto"/>
          </w:tcPr>
          <w:p w:rsidR="00246EFA" w:rsidRDefault="000C416B" w:rsidP="00D2303C">
            <w:pPr>
              <w:pStyle w:val="Default"/>
              <w:jc w:val="both"/>
              <w:rPr>
                <w:rFonts w:ascii="Calibri" w:hAnsi="Calibri" w:cs="Calibri"/>
                <w:sz w:val="22"/>
                <w:szCs w:val="22"/>
              </w:rPr>
            </w:pPr>
            <w:r w:rsidRPr="00EA2734">
              <w:rPr>
                <w:rFonts w:ascii="Calibri" w:hAnsi="Calibri" w:cs="Calibri"/>
                <w:bCs/>
                <w:sz w:val="22"/>
                <w:szCs w:val="22"/>
              </w:rPr>
              <w:t>T</w:t>
            </w:r>
            <w:r w:rsidR="00D2303C">
              <w:rPr>
                <w:rFonts w:ascii="Calibri" w:hAnsi="Calibri" w:cs="Calibri"/>
                <w:bCs/>
                <w:sz w:val="22"/>
                <w:szCs w:val="22"/>
              </w:rPr>
              <w:t>he Delivery Assurance Committee and the</w:t>
            </w:r>
            <w:r w:rsidRPr="00EA2734">
              <w:rPr>
                <w:rFonts w:ascii="Calibri" w:hAnsi="Calibri" w:cs="Calibri"/>
                <w:bCs/>
                <w:sz w:val="22"/>
                <w:szCs w:val="22"/>
              </w:rPr>
              <w:t xml:space="preserve"> </w:t>
            </w:r>
            <w:r w:rsidR="00D2303C">
              <w:rPr>
                <w:rFonts w:ascii="Calibri" w:hAnsi="Calibri" w:cs="Calibri"/>
                <w:bCs/>
                <w:sz w:val="22"/>
                <w:szCs w:val="22"/>
              </w:rPr>
              <w:t>Clinical Governance</w:t>
            </w:r>
            <w:r w:rsidRPr="00EA2734">
              <w:rPr>
                <w:rFonts w:ascii="Calibri" w:hAnsi="Calibri" w:cs="Calibri"/>
                <w:bCs/>
                <w:sz w:val="22"/>
                <w:szCs w:val="22"/>
              </w:rPr>
              <w:t xml:space="preserve"> Committee </w:t>
            </w:r>
            <w:r w:rsidR="00EA2734" w:rsidRPr="00EA2734">
              <w:rPr>
                <w:rFonts w:ascii="Calibri" w:hAnsi="Calibri" w:cs="Calibri"/>
                <w:bCs/>
                <w:sz w:val="22"/>
                <w:szCs w:val="22"/>
              </w:rPr>
              <w:t>manage</w:t>
            </w:r>
            <w:r w:rsidRPr="00EA2734">
              <w:rPr>
                <w:rFonts w:ascii="Calibri" w:hAnsi="Calibri" w:cs="Calibri"/>
                <w:bCs/>
                <w:sz w:val="22"/>
                <w:szCs w:val="22"/>
              </w:rPr>
              <w:t xml:space="preserve"> and assure th</w:t>
            </w:r>
            <w:r w:rsidR="00D2303C">
              <w:rPr>
                <w:rFonts w:ascii="Calibri" w:hAnsi="Calibri" w:cs="Calibri"/>
                <w:bCs/>
                <w:sz w:val="22"/>
                <w:szCs w:val="22"/>
              </w:rPr>
              <w:t>e performance and quality</w:t>
            </w:r>
            <w:r w:rsidRPr="00EA2734">
              <w:rPr>
                <w:rFonts w:ascii="Calibri" w:hAnsi="Calibri" w:cs="Calibri"/>
                <w:bCs/>
                <w:sz w:val="22"/>
                <w:szCs w:val="22"/>
              </w:rPr>
              <w:t xml:space="preserve"> contained within these dashboards</w:t>
            </w:r>
            <w:r w:rsidRPr="00EA2734">
              <w:rPr>
                <w:rFonts w:ascii="Calibri" w:hAnsi="Calibri" w:cs="Calibri"/>
                <w:sz w:val="22"/>
                <w:szCs w:val="22"/>
              </w:rPr>
              <w:t>.</w:t>
            </w:r>
          </w:p>
          <w:p w:rsidR="00D57250" w:rsidRDefault="00D57250" w:rsidP="00D2303C">
            <w:pPr>
              <w:pStyle w:val="Default"/>
              <w:jc w:val="both"/>
              <w:rPr>
                <w:rFonts w:ascii="Calibri" w:hAnsi="Calibri" w:cs="Calibri"/>
                <w:sz w:val="22"/>
                <w:szCs w:val="22"/>
              </w:rPr>
            </w:pPr>
          </w:p>
          <w:p w:rsidR="00D57250" w:rsidRDefault="00D57250" w:rsidP="00D2303C">
            <w:pPr>
              <w:pStyle w:val="Default"/>
              <w:jc w:val="both"/>
              <w:rPr>
                <w:rFonts w:ascii="Calibri" w:hAnsi="Calibri" w:cs="Calibri"/>
                <w:sz w:val="22"/>
                <w:szCs w:val="22"/>
              </w:rPr>
            </w:pPr>
            <w:r>
              <w:rPr>
                <w:rFonts w:ascii="Calibri" w:hAnsi="Calibri" w:cs="Calibri"/>
                <w:sz w:val="22"/>
                <w:szCs w:val="22"/>
              </w:rPr>
              <w:t xml:space="preserve">The Delivery Assurance Committee cross </w:t>
            </w:r>
            <w:proofErr w:type="gramStart"/>
            <w:r>
              <w:rPr>
                <w:rFonts w:ascii="Calibri" w:hAnsi="Calibri" w:cs="Calibri"/>
                <w:sz w:val="22"/>
                <w:szCs w:val="22"/>
              </w:rPr>
              <w:t>reference</w:t>
            </w:r>
            <w:proofErr w:type="gramEnd"/>
            <w:r>
              <w:rPr>
                <w:rFonts w:ascii="Calibri" w:hAnsi="Calibri" w:cs="Calibri"/>
                <w:sz w:val="22"/>
                <w:szCs w:val="22"/>
              </w:rPr>
              <w:t xml:space="preserve"> the performance</w:t>
            </w:r>
            <w:r w:rsidR="003D0191">
              <w:rPr>
                <w:rFonts w:ascii="Calibri" w:hAnsi="Calibri" w:cs="Calibri"/>
                <w:sz w:val="22"/>
                <w:szCs w:val="22"/>
              </w:rPr>
              <w:t xml:space="preserve"> framework with the CCG Board Assurance framework and Risk Register.  This allows the Delivery Assurance Committee to identify any gaps in risk </w:t>
            </w:r>
            <w:proofErr w:type="gramStart"/>
            <w:r w:rsidR="003D0191">
              <w:rPr>
                <w:rFonts w:ascii="Calibri" w:hAnsi="Calibri" w:cs="Calibri"/>
                <w:sz w:val="22"/>
                <w:szCs w:val="22"/>
              </w:rPr>
              <w:t>management,</w:t>
            </w:r>
            <w:proofErr w:type="gramEnd"/>
            <w:r w:rsidR="003D0191">
              <w:rPr>
                <w:rFonts w:ascii="Calibri" w:hAnsi="Calibri" w:cs="Calibri"/>
                <w:sz w:val="22"/>
                <w:szCs w:val="22"/>
              </w:rPr>
              <w:t xml:space="preserve"> however none were identified at this time.</w:t>
            </w:r>
          </w:p>
          <w:p w:rsidR="00D57250" w:rsidRPr="00EA2734" w:rsidRDefault="00D57250" w:rsidP="00D2303C">
            <w:pPr>
              <w:pStyle w:val="Default"/>
              <w:jc w:val="both"/>
              <w:rPr>
                <w:rFonts w:ascii="Calibri" w:hAnsi="Calibri" w:cs="Calibri"/>
                <w:sz w:val="22"/>
                <w:szCs w:val="22"/>
              </w:rPr>
            </w:pPr>
          </w:p>
        </w:tc>
      </w:tr>
      <w:tr w:rsidR="00473CC5" w:rsidRPr="000D1B0D" w:rsidTr="007663C8">
        <w:tc>
          <w:tcPr>
            <w:tcW w:w="2103" w:type="dxa"/>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7977" w:type="dxa"/>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7663C8">
        <w:tc>
          <w:tcPr>
            <w:tcW w:w="2103" w:type="dxa"/>
            <w:shd w:val="clear" w:color="auto" w:fill="auto"/>
          </w:tcPr>
          <w:p w:rsidR="007E1C2F" w:rsidRPr="000D1B0D" w:rsidRDefault="007E1C2F" w:rsidP="008E6240">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tc>
        <w:tc>
          <w:tcPr>
            <w:tcW w:w="7977" w:type="dxa"/>
            <w:shd w:val="clear" w:color="auto" w:fill="auto"/>
          </w:tcPr>
          <w:p w:rsidR="00246EFA" w:rsidRPr="00EA2734" w:rsidRDefault="000C416B" w:rsidP="00D2303C">
            <w:pPr>
              <w:pStyle w:val="Default"/>
              <w:jc w:val="both"/>
              <w:rPr>
                <w:rFonts w:ascii="Calibri" w:hAnsi="Calibri" w:cs="Calibri"/>
                <w:sz w:val="20"/>
                <w:szCs w:val="20"/>
              </w:rPr>
            </w:pPr>
            <w:r w:rsidRPr="00EA2734">
              <w:rPr>
                <w:rFonts w:ascii="Calibri" w:hAnsi="Calibri" w:cs="Calibri"/>
                <w:bCs/>
                <w:sz w:val="22"/>
                <w:szCs w:val="22"/>
              </w:rPr>
              <w:t>The dashboards associated with them are managed via the Delivery Assurance Commi</w:t>
            </w:r>
            <w:r w:rsidR="00D2303C">
              <w:rPr>
                <w:rFonts w:ascii="Calibri" w:hAnsi="Calibri" w:cs="Calibri"/>
                <w:bCs/>
                <w:sz w:val="22"/>
                <w:szCs w:val="22"/>
              </w:rPr>
              <w:t xml:space="preserve">ttee and </w:t>
            </w:r>
            <w:r w:rsidRPr="00EA2734">
              <w:rPr>
                <w:rFonts w:ascii="Calibri" w:hAnsi="Calibri" w:cs="Calibri"/>
                <w:bCs/>
                <w:sz w:val="22"/>
                <w:szCs w:val="22"/>
              </w:rPr>
              <w:t xml:space="preserve">the </w:t>
            </w:r>
            <w:r w:rsidR="00D2303C">
              <w:rPr>
                <w:rFonts w:ascii="Calibri" w:hAnsi="Calibri" w:cs="Calibri"/>
                <w:bCs/>
                <w:sz w:val="22"/>
                <w:szCs w:val="22"/>
              </w:rPr>
              <w:t>Clinical Governance</w:t>
            </w:r>
            <w:r w:rsidRPr="00EA2734">
              <w:rPr>
                <w:rFonts w:ascii="Calibri" w:hAnsi="Calibri" w:cs="Calibri"/>
                <w:bCs/>
                <w:sz w:val="22"/>
                <w:szCs w:val="22"/>
              </w:rPr>
              <w:t xml:space="preserve"> Committee</w:t>
            </w:r>
            <w:r w:rsidR="00D2303C">
              <w:rPr>
                <w:rFonts w:ascii="Calibri" w:hAnsi="Calibri" w:cs="Calibri"/>
                <w:bCs/>
                <w:sz w:val="22"/>
                <w:szCs w:val="22"/>
              </w:rPr>
              <w:t>.</w:t>
            </w:r>
          </w:p>
        </w:tc>
      </w:tr>
      <w:tr w:rsidR="007E1C2F" w:rsidRPr="000D1B0D" w:rsidTr="007663C8">
        <w:tc>
          <w:tcPr>
            <w:tcW w:w="2103" w:type="dxa"/>
            <w:shd w:val="clear" w:color="auto" w:fill="auto"/>
          </w:tcPr>
          <w:p w:rsidR="007E1C2F" w:rsidRPr="000D1B0D" w:rsidRDefault="007E1C2F" w:rsidP="008E6240">
            <w:pPr>
              <w:pStyle w:val="Default"/>
              <w:rPr>
                <w:rFonts w:ascii="Calibri" w:hAnsi="Calibri" w:cs="Calibri"/>
                <w:b/>
                <w:sz w:val="20"/>
                <w:szCs w:val="20"/>
              </w:rPr>
            </w:pPr>
            <w:r w:rsidRPr="000D1B0D">
              <w:rPr>
                <w:rFonts w:ascii="Calibri" w:hAnsi="Calibri" w:cs="Calibri"/>
                <w:b/>
                <w:sz w:val="20"/>
                <w:szCs w:val="20"/>
              </w:rPr>
              <w:t>Legal Implications:</w:t>
            </w:r>
          </w:p>
        </w:tc>
        <w:tc>
          <w:tcPr>
            <w:tcW w:w="7977" w:type="dxa"/>
            <w:shd w:val="clear" w:color="auto" w:fill="auto"/>
          </w:tcPr>
          <w:p w:rsidR="00246EFA" w:rsidRDefault="00EA2734" w:rsidP="00F128DE">
            <w:pPr>
              <w:pStyle w:val="Default"/>
              <w:jc w:val="both"/>
              <w:rPr>
                <w:rFonts w:ascii="Calibri" w:hAnsi="Calibri" w:cs="Calibri"/>
                <w:sz w:val="22"/>
                <w:szCs w:val="22"/>
              </w:rPr>
            </w:pPr>
            <w:r>
              <w:rPr>
                <w:rFonts w:ascii="Calibri" w:hAnsi="Calibri" w:cs="Calibri"/>
                <w:sz w:val="22"/>
                <w:szCs w:val="22"/>
              </w:rPr>
              <w:t>None</w:t>
            </w:r>
          </w:p>
          <w:p w:rsidR="00F128DE" w:rsidRPr="000D1B0D" w:rsidRDefault="00F128DE" w:rsidP="00F128DE">
            <w:pPr>
              <w:pStyle w:val="Default"/>
              <w:jc w:val="both"/>
              <w:rPr>
                <w:rFonts w:ascii="Calibri" w:hAnsi="Calibri" w:cs="Calibri"/>
                <w:sz w:val="20"/>
                <w:szCs w:val="20"/>
              </w:rPr>
            </w:pPr>
          </w:p>
        </w:tc>
      </w:tr>
      <w:tr w:rsidR="007E1C2F" w:rsidRPr="000D1B0D" w:rsidTr="007663C8">
        <w:tc>
          <w:tcPr>
            <w:tcW w:w="2103" w:type="dxa"/>
            <w:shd w:val="clear" w:color="auto" w:fill="auto"/>
          </w:tcPr>
          <w:p w:rsidR="00473CC5" w:rsidRPr="000D1B0D" w:rsidRDefault="00473CC5" w:rsidP="00EA2734">
            <w:pPr>
              <w:pStyle w:val="Default"/>
              <w:rPr>
                <w:rFonts w:ascii="Calibri" w:hAnsi="Calibri" w:cs="Calibri"/>
                <w:b/>
                <w:sz w:val="20"/>
                <w:szCs w:val="20"/>
              </w:rPr>
            </w:pPr>
            <w:r w:rsidRPr="000D1B0D">
              <w:rPr>
                <w:rFonts w:ascii="Calibri" w:hAnsi="Calibri" w:cs="Calibri"/>
                <w:b/>
                <w:sz w:val="20"/>
                <w:szCs w:val="20"/>
              </w:rPr>
              <w:t xml:space="preserve">Equality Impact </w:t>
            </w:r>
            <w:r w:rsidRPr="000D1B0D">
              <w:rPr>
                <w:rFonts w:ascii="Calibri" w:hAnsi="Calibri" w:cs="Calibri"/>
                <w:b/>
                <w:sz w:val="20"/>
                <w:szCs w:val="20"/>
              </w:rPr>
              <w:lastRenderedPageBreak/>
              <w:t>Assessment implications:</w:t>
            </w:r>
          </w:p>
        </w:tc>
        <w:tc>
          <w:tcPr>
            <w:tcW w:w="7977" w:type="dxa"/>
            <w:shd w:val="clear" w:color="auto" w:fill="auto"/>
          </w:tcPr>
          <w:p w:rsidR="007E1C2F" w:rsidRPr="00EA2734" w:rsidRDefault="00060076" w:rsidP="000D1B0D">
            <w:pPr>
              <w:pStyle w:val="Default"/>
              <w:jc w:val="both"/>
              <w:rPr>
                <w:rFonts w:ascii="Calibri" w:hAnsi="Calibri" w:cs="Calibri"/>
                <w:sz w:val="22"/>
                <w:szCs w:val="22"/>
              </w:rPr>
            </w:pPr>
            <w:r w:rsidRPr="00EA2734">
              <w:rPr>
                <w:rFonts w:ascii="Calibri" w:hAnsi="Calibri" w:cs="Calibri"/>
                <w:sz w:val="22"/>
                <w:szCs w:val="22"/>
              </w:rPr>
              <w:lastRenderedPageBreak/>
              <w:t xml:space="preserve">An Equality Impact </w:t>
            </w:r>
            <w:r w:rsidR="00473CC5" w:rsidRPr="00EA2734">
              <w:rPr>
                <w:rFonts w:ascii="Calibri" w:hAnsi="Calibri" w:cs="Calibri"/>
                <w:sz w:val="22"/>
                <w:szCs w:val="22"/>
              </w:rPr>
              <w:t xml:space="preserve">Assessment is not required for this report. </w:t>
            </w:r>
          </w:p>
          <w:p w:rsidR="00BB40A8" w:rsidRPr="00BB40A8" w:rsidRDefault="00BB40A8" w:rsidP="000D1B0D">
            <w:pPr>
              <w:pStyle w:val="Default"/>
              <w:jc w:val="both"/>
              <w:rPr>
                <w:rFonts w:ascii="Calibri" w:hAnsi="Calibri" w:cs="Calibri"/>
                <w:i/>
                <w:sz w:val="20"/>
                <w:szCs w:val="20"/>
              </w:rPr>
            </w:pPr>
          </w:p>
          <w:p w:rsidR="00473CC5" w:rsidRPr="000D1B0D" w:rsidRDefault="00473CC5" w:rsidP="00060076">
            <w:pPr>
              <w:pStyle w:val="Default"/>
              <w:jc w:val="both"/>
              <w:rPr>
                <w:rFonts w:ascii="Calibri" w:hAnsi="Calibri" w:cs="Calibri"/>
                <w:sz w:val="20"/>
                <w:szCs w:val="20"/>
              </w:rPr>
            </w:pPr>
          </w:p>
        </w:tc>
      </w:tr>
      <w:tr w:rsidR="00473CC5" w:rsidRPr="000D1B0D" w:rsidTr="007663C8">
        <w:tc>
          <w:tcPr>
            <w:tcW w:w="2103" w:type="dxa"/>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lastRenderedPageBreak/>
              <w:t>Finance Implications:</w:t>
            </w:r>
          </w:p>
          <w:p w:rsidR="00473CC5" w:rsidRPr="000D1B0D" w:rsidRDefault="00473CC5" w:rsidP="009D4EDC">
            <w:pPr>
              <w:pStyle w:val="Default"/>
              <w:rPr>
                <w:rFonts w:ascii="Calibri" w:hAnsi="Calibri" w:cs="Calibri"/>
                <w:b/>
                <w:sz w:val="20"/>
                <w:szCs w:val="20"/>
              </w:rPr>
            </w:pPr>
          </w:p>
        </w:tc>
        <w:tc>
          <w:tcPr>
            <w:tcW w:w="7977" w:type="dxa"/>
            <w:shd w:val="clear" w:color="auto" w:fill="auto"/>
          </w:tcPr>
          <w:p w:rsidR="00246EFA" w:rsidRPr="000D1B0D" w:rsidRDefault="002A7028" w:rsidP="008E6240">
            <w:pPr>
              <w:pStyle w:val="Default"/>
              <w:jc w:val="both"/>
              <w:rPr>
                <w:rFonts w:ascii="Calibri" w:hAnsi="Calibri" w:cs="Calibri"/>
                <w:sz w:val="20"/>
                <w:szCs w:val="20"/>
              </w:rPr>
            </w:pPr>
            <w:r w:rsidRPr="002A7028">
              <w:rPr>
                <w:rFonts w:ascii="Calibri" w:hAnsi="Calibri" w:cs="Calibri"/>
                <w:sz w:val="22"/>
                <w:szCs w:val="22"/>
              </w:rPr>
              <w:t>There are a number of measures within the Performance Dashboard with a financial implication such as activity and Quality Premium measures, however the detail of these are dealt with separately within the Finance Report.</w:t>
            </w:r>
          </w:p>
        </w:tc>
      </w:tr>
      <w:tr w:rsidR="00473CC5" w:rsidRPr="000D1B0D" w:rsidTr="007663C8">
        <w:tc>
          <w:tcPr>
            <w:tcW w:w="2103" w:type="dxa"/>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0D1B0D" w:rsidRDefault="00473CC5" w:rsidP="009D4EDC">
            <w:pPr>
              <w:pStyle w:val="Default"/>
              <w:rPr>
                <w:rFonts w:ascii="Calibri" w:hAnsi="Calibri" w:cs="Calibri"/>
                <w:b/>
                <w:sz w:val="20"/>
                <w:szCs w:val="20"/>
              </w:rPr>
            </w:pPr>
          </w:p>
        </w:tc>
        <w:tc>
          <w:tcPr>
            <w:tcW w:w="7977" w:type="dxa"/>
            <w:shd w:val="clear" w:color="auto" w:fill="auto"/>
          </w:tcPr>
          <w:p w:rsidR="00246EFA" w:rsidRPr="00EA2734" w:rsidRDefault="000C416B" w:rsidP="00920869">
            <w:pPr>
              <w:pStyle w:val="Default"/>
              <w:jc w:val="both"/>
              <w:rPr>
                <w:rFonts w:ascii="Calibri" w:hAnsi="Calibri" w:cs="Calibri"/>
                <w:sz w:val="20"/>
                <w:szCs w:val="20"/>
              </w:rPr>
            </w:pPr>
            <w:r w:rsidRPr="00EA2734">
              <w:rPr>
                <w:rFonts w:ascii="Calibri" w:hAnsi="Calibri" w:cs="Calibri"/>
                <w:sz w:val="22"/>
                <w:szCs w:val="22"/>
              </w:rPr>
              <w:t xml:space="preserve">Quality implications are managed by the </w:t>
            </w:r>
            <w:r w:rsidR="00920869">
              <w:rPr>
                <w:rFonts w:ascii="Calibri" w:hAnsi="Calibri" w:cs="Calibri"/>
                <w:sz w:val="22"/>
                <w:szCs w:val="22"/>
              </w:rPr>
              <w:t>Clinical Governance C</w:t>
            </w:r>
            <w:r w:rsidRPr="00EA2734">
              <w:rPr>
                <w:rFonts w:ascii="Calibri" w:hAnsi="Calibri" w:cs="Calibri"/>
                <w:sz w:val="22"/>
                <w:szCs w:val="22"/>
              </w:rPr>
              <w:t>ommittee</w:t>
            </w:r>
            <w:r w:rsidR="00DB0F5A">
              <w:rPr>
                <w:rFonts w:ascii="Calibri" w:hAnsi="Calibri" w:cs="Calibri"/>
                <w:sz w:val="22"/>
                <w:szCs w:val="22"/>
              </w:rPr>
              <w:t xml:space="preserve"> and DAC</w:t>
            </w:r>
            <w:r w:rsidRPr="00EA2734">
              <w:rPr>
                <w:rFonts w:ascii="Calibri" w:hAnsi="Calibri" w:cs="Calibri"/>
                <w:sz w:val="22"/>
                <w:szCs w:val="22"/>
              </w:rPr>
              <w:t xml:space="preserve"> and </w:t>
            </w:r>
            <w:r w:rsidR="00DB0F5A">
              <w:rPr>
                <w:rFonts w:ascii="Calibri" w:hAnsi="Calibri" w:cs="Calibri"/>
                <w:sz w:val="22"/>
                <w:szCs w:val="22"/>
              </w:rPr>
              <w:t xml:space="preserve">are </w:t>
            </w:r>
            <w:r w:rsidRPr="00EA2734">
              <w:rPr>
                <w:rFonts w:ascii="Calibri" w:hAnsi="Calibri" w:cs="Calibri"/>
                <w:sz w:val="22"/>
                <w:szCs w:val="22"/>
              </w:rPr>
              <w:t>escalated within the main body of this report</w:t>
            </w:r>
            <w:r w:rsidR="00EA2734" w:rsidRPr="00EA2734">
              <w:rPr>
                <w:rFonts w:ascii="Calibri" w:hAnsi="Calibri" w:cs="Calibri"/>
                <w:sz w:val="22"/>
                <w:szCs w:val="22"/>
              </w:rPr>
              <w:t>.</w:t>
            </w:r>
          </w:p>
        </w:tc>
      </w:tr>
      <w:tr w:rsidR="009D4EDC" w:rsidRPr="000D1B0D" w:rsidTr="007663C8">
        <w:tc>
          <w:tcPr>
            <w:tcW w:w="2103" w:type="dxa"/>
            <w:shd w:val="clear" w:color="auto" w:fill="auto"/>
          </w:tcPr>
          <w:p w:rsidR="009D4EDC" w:rsidRPr="000D1B0D" w:rsidRDefault="009D4EDC" w:rsidP="00EA2734">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tc>
        <w:tc>
          <w:tcPr>
            <w:tcW w:w="7977" w:type="dxa"/>
            <w:shd w:val="clear" w:color="auto" w:fill="auto"/>
          </w:tcPr>
          <w:p w:rsidR="00246EFA" w:rsidRPr="00E61AF0" w:rsidRDefault="00060076" w:rsidP="00EA2734">
            <w:pPr>
              <w:pStyle w:val="Default"/>
              <w:jc w:val="both"/>
              <w:rPr>
                <w:rFonts w:ascii="Calibri" w:hAnsi="Calibri" w:cs="Calibri"/>
                <w:i/>
                <w:sz w:val="20"/>
                <w:szCs w:val="20"/>
              </w:rPr>
            </w:pPr>
            <w:r w:rsidRPr="00EA2734">
              <w:rPr>
                <w:rFonts w:ascii="Calibri" w:hAnsi="Calibri" w:cs="Calibri"/>
                <w:sz w:val="22"/>
                <w:szCs w:val="22"/>
              </w:rPr>
              <w:t>N</w:t>
            </w:r>
            <w:r w:rsidR="00EA2734">
              <w:rPr>
                <w:rFonts w:ascii="Calibri" w:hAnsi="Calibri" w:cs="Calibri"/>
                <w:sz w:val="22"/>
                <w:szCs w:val="22"/>
              </w:rPr>
              <w:t>one</w:t>
            </w:r>
          </w:p>
        </w:tc>
      </w:tr>
      <w:tr w:rsidR="00473CC5" w:rsidRPr="000D1B0D" w:rsidTr="007663C8">
        <w:tc>
          <w:tcPr>
            <w:tcW w:w="2103" w:type="dxa"/>
            <w:shd w:val="clear" w:color="auto" w:fill="auto"/>
          </w:tcPr>
          <w:p w:rsidR="00473CC5" w:rsidRPr="000D1B0D" w:rsidRDefault="00473CC5" w:rsidP="00EA2734">
            <w:pPr>
              <w:pStyle w:val="Default"/>
              <w:jc w:val="both"/>
              <w:rPr>
                <w:rFonts w:ascii="Calibri" w:hAnsi="Calibri" w:cs="Calibri"/>
                <w:b/>
                <w:sz w:val="20"/>
                <w:szCs w:val="20"/>
              </w:rPr>
            </w:pPr>
            <w:r w:rsidRPr="000D1B0D">
              <w:rPr>
                <w:rFonts w:ascii="Calibri" w:hAnsi="Calibri" w:cs="Calibri"/>
                <w:b/>
                <w:sz w:val="20"/>
                <w:szCs w:val="20"/>
              </w:rPr>
              <w:t>Engagement Implications:</w:t>
            </w:r>
          </w:p>
        </w:tc>
        <w:tc>
          <w:tcPr>
            <w:tcW w:w="7977" w:type="dxa"/>
            <w:shd w:val="clear" w:color="auto" w:fill="auto"/>
          </w:tcPr>
          <w:p w:rsidR="00246EFA" w:rsidRDefault="00EA2734" w:rsidP="000D1B0D">
            <w:pPr>
              <w:pStyle w:val="Default"/>
              <w:jc w:val="both"/>
              <w:rPr>
                <w:rFonts w:ascii="Calibri" w:hAnsi="Calibri" w:cs="Calibri"/>
                <w:sz w:val="20"/>
                <w:szCs w:val="20"/>
              </w:rPr>
            </w:pPr>
            <w:r>
              <w:rPr>
                <w:rFonts w:ascii="Calibri" w:hAnsi="Calibri" w:cs="Calibri"/>
                <w:sz w:val="22"/>
                <w:szCs w:val="22"/>
              </w:rPr>
              <w:t>None</w:t>
            </w:r>
          </w:p>
          <w:p w:rsidR="00246EFA" w:rsidRPr="000D1B0D" w:rsidRDefault="00246EFA" w:rsidP="000D1B0D">
            <w:pPr>
              <w:pStyle w:val="Default"/>
              <w:jc w:val="both"/>
              <w:rPr>
                <w:rFonts w:ascii="Calibri" w:hAnsi="Calibri" w:cs="Calibri"/>
                <w:sz w:val="20"/>
                <w:szCs w:val="20"/>
              </w:rPr>
            </w:pPr>
          </w:p>
        </w:tc>
      </w:tr>
      <w:tr w:rsidR="00246EFA" w:rsidRPr="000D1B0D" w:rsidTr="007663C8">
        <w:trPr>
          <w:trHeight w:val="86"/>
        </w:trPr>
        <w:tc>
          <w:tcPr>
            <w:tcW w:w="2103" w:type="dxa"/>
            <w:shd w:val="clear" w:color="auto" w:fill="D9D9D9"/>
          </w:tcPr>
          <w:p w:rsidR="00246EFA" w:rsidRPr="000D1B0D" w:rsidRDefault="00246EFA" w:rsidP="000D1B0D">
            <w:pPr>
              <w:pStyle w:val="Default"/>
              <w:jc w:val="both"/>
              <w:rPr>
                <w:rFonts w:ascii="Calibri" w:hAnsi="Calibri" w:cs="Calibri"/>
                <w:b/>
                <w:sz w:val="20"/>
                <w:szCs w:val="20"/>
              </w:rPr>
            </w:pPr>
          </w:p>
        </w:tc>
        <w:tc>
          <w:tcPr>
            <w:tcW w:w="7977" w:type="dxa"/>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7663C8">
        <w:tc>
          <w:tcPr>
            <w:tcW w:w="2103" w:type="dxa"/>
            <w:shd w:val="clear" w:color="auto" w:fill="auto"/>
          </w:tcPr>
          <w:p w:rsidR="007E1C2F" w:rsidRPr="000D1B0D" w:rsidRDefault="007E1C2F" w:rsidP="008E6240">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tc>
        <w:tc>
          <w:tcPr>
            <w:tcW w:w="7977" w:type="dxa"/>
            <w:shd w:val="clear" w:color="auto" w:fill="auto"/>
          </w:tcPr>
          <w:p w:rsidR="00246EFA" w:rsidRPr="000D1B0D" w:rsidRDefault="00EA2734" w:rsidP="008E6240">
            <w:pPr>
              <w:pStyle w:val="Default"/>
              <w:jc w:val="both"/>
              <w:rPr>
                <w:rFonts w:ascii="Calibri" w:hAnsi="Calibri" w:cs="Calibri"/>
                <w:sz w:val="20"/>
                <w:szCs w:val="20"/>
              </w:rPr>
            </w:pPr>
            <w:r w:rsidRPr="00EA2734">
              <w:rPr>
                <w:rFonts w:ascii="Calibri" w:hAnsi="Calibri" w:cs="Calibri"/>
                <w:sz w:val="22"/>
                <w:szCs w:val="22"/>
              </w:rPr>
              <w:t>None</w:t>
            </w:r>
          </w:p>
        </w:tc>
      </w:tr>
      <w:tr w:rsidR="007663C8" w:rsidRPr="000D1B0D" w:rsidTr="007663C8">
        <w:tc>
          <w:tcPr>
            <w:tcW w:w="2103" w:type="dxa"/>
            <w:vMerge w:val="restart"/>
            <w:shd w:val="clear" w:color="auto" w:fill="auto"/>
          </w:tcPr>
          <w:p w:rsidR="007663C8" w:rsidRDefault="007663C8" w:rsidP="000D1B0D">
            <w:pPr>
              <w:pStyle w:val="Default"/>
              <w:jc w:val="both"/>
              <w:rPr>
                <w:rFonts w:ascii="Calibri" w:hAnsi="Calibri" w:cs="Calibri"/>
                <w:b/>
                <w:sz w:val="20"/>
                <w:szCs w:val="20"/>
              </w:rPr>
            </w:pPr>
            <w:r>
              <w:rPr>
                <w:rFonts w:ascii="Calibri" w:hAnsi="Calibri" w:cs="Calibri"/>
                <w:b/>
                <w:sz w:val="20"/>
                <w:szCs w:val="20"/>
              </w:rPr>
              <w:t>Strategic Objectives</w:t>
            </w:r>
          </w:p>
          <w:p w:rsidR="007663C8" w:rsidRPr="007663C8" w:rsidRDefault="007663C8" w:rsidP="000D1B0D">
            <w:pPr>
              <w:pStyle w:val="Default"/>
              <w:jc w:val="both"/>
              <w:rPr>
                <w:rFonts w:ascii="Calibri" w:hAnsi="Calibri" w:cs="Calibri"/>
                <w:i/>
                <w:sz w:val="20"/>
                <w:szCs w:val="20"/>
              </w:rPr>
            </w:pPr>
            <w:r w:rsidRPr="007663C8">
              <w:rPr>
                <w:rFonts w:ascii="Calibri" w:hAnsi="Calibri" w:cs="Calibri"/>
                <w:i/>
                <w:sz w:val="20"/>
                <w:szCs w:val="20"/>
              </w:rPr>
              <w:t>Short summary as to how the report links to the CCG’s strategic objectives</w:t>
            </w:r>
          </w:p>
        </w:tc>
        <w:tc>
          <w:tcPr>
            <w:tcW w:w="7977" w:type="dxa"/>
            <w:shd w:val="clear" w:color="auto" w:fill="auto"/>
          </w:tcPr>
          <w:p w:rsidR="00E61AF0" w:rsidRDefault="007663C8" w:rsidP="00197E49">
            <w:pPr>
              <w:numPr>
                <w:ilvl w:val="0"/>
                <w:numId w:val="1"/>
              </w:numPr>
              <w:autoSpaceDE w:val="0"/>
              <w:autoSpaceDN w:val="0"/>
              <w:ind w:left="199" w:hanging="199"/>
              <w:rPr>
                <w:rFonts w:ascii="Calibri" w:hAnsi="Calibri"/>
                <w:i/>
                <w:sz w:val="22"/>
                <w:szCs w:val="22"/>
              </w:rPr>
            </w:pPr>
            <w:r w:rsidRPr="002A7028">
              <w:rPr>
                <w:rFonts w:ascii="Calibri" w:hAnsi="Calibri"/>
                <w:i/>
                <w:sz w:val="22"/>
                <w:szCs w:val="22"/>
              </w:rPr>
              <w:t>Sustainable Services</w:t>
            </w:r>
          </w:p>
          <w:p w:rsidR="008E6240" w:rsidRPr="002A7028" w:rsidRDefault="008E6240" w:rsidP="008E6240">
            <w:pPr>
              <w:autoSpaceDE w:val="0"/>
              <w:autoSpaceDN w:val="0"/>
              <w:ind w:left="199"/>
              <w:rPr>
                <w:rFonts w:ascii="Calibri" w:hAnsi="Calibri"/>
                <w:i/>
                <w:sz w:val="22"/>
                <w:szCs w:val="22"/>
              </w:rPr>
            </w:pPr>
          </w:p>
          <w:p w:rsidR="007663C8" w:rsidRPr="002A7028" w:rsidRDefault="00D2303C" w:rsidP="00D2303C">
            <w:pPr>
              <w:autoSpaceDE w:val="0"/>
              <w:autoSpaceDN w:val="0"/>
              <w:rPr>
                <w:rFonts w:ascii="Calibri" w:hAnsi="Calibri" w:cs="Calibri"/>
                <w:i/>
                <w:sz w:val="22"/>
                <w:szCs w:val="22"/>
              </w:rPr>
            </w:pPr>
            <w:r>
              <w:rPr>
                <w:rFonts w:ascii="Calibri" w:hAnsi="Calibri"/>
                <w:sz w:val="22"/>
                <w:szCs w:val="22"/>
              </w:rPr>
              <w:t>The performance and</w:t>
            </w:r>
            <w:r w:rsidR="002A7028" w:rsidRPr="002A7028">
              <w:rPr>
                <w:rFonts w:ascii="Calibri" w:hAnsi="Calibri"/>
                <w:sz w:val="22"/>
                <w:szCs w:val="22"/>
              </w:rPr>
              <w:t xml:space="preserve"> quality dashboards contain a number of national and local measures that support this objective.</w:t>
            </w:r>
            <w:r w:rsidR="007663C8" w:rsidRPr="002A7028">
              <w:rPr>
                <w:rFonts w:ascii="Calibri" w:hAnsi="Calibri"/>
                <w:i/>
                <w:sz w:val="22"/>
                <w:szCs w:val="22"/>
              </w:rPr>
              <w:t xml:space="preserve"> </w:t>
            </w:r>
          </w:p>
        </w:tc>
      </w:tr>
      <w:tr w:rsidR="007663C8" w:rsidRPr="000D1B0D" w:rsidTr="007663C8">
        <w:tc>
          <w:tcPr>
            <w:tcW w:w="2103" w:type="dxa"/>
            <w:vMerge/>
            <w:shd w:val="clear" w:color="auto" w:fill="auto"/>
          </w:tcPr>
          <w:p w:rsidR="007663C8" w:rsidRPr="000D1B0D" w:rsidRDefault="007663C8" w:rsidP="000D1B0D">
            <w:pPr>
              <w:pStyle w:val="Default"/>
              <w:jc w:val="both"/>
              <w:rPr>
                <w:rFonts w:ascii="Calibri" w:hAnsi="Calibri" w:cs="Calibri"/>
                <w:b/>
                <w:sz w:val="20"/>
                <w:szCs w:val="20"/>
              </w:rPr>
            </w:pPr>
          </w:p>
        </w:tc>
        <w:tc>
          <w:tcPr>
            <w:tcW w:w="7977" w:type="dxa"/>
            <w:shd w:val="clear" w:color="auto" w:fill="auto"/>
          </w:tcPr>
          <w:p w:rsidR="007663C8" w:rsidRDefault="007663C8" w:rsidP="00197E49">
            <w:pPr>
              <w:pStyle w:val="Default"/>
              <w:numPr>
                <w:ilvl w:val="0"/>
                <w:numId w:val="1"/>
              </w:numPr>
              <w:jc w:val="both"/>
              <w:rPr>
                <w:rFonts w:ascii="Calibri" w:hAnsi="Calibri"/>
                <w:i/>
                <w:sz w:val="22"/>
                <w:szCs w:val="22"/>
              </w:rPr>
            </w:pPr>
            <w:r w:rsidRPr="002A7028">
              <w:rPr>
                <w:rFonts w:ascii="Calibri" w:hAnsi="Calibri"/>
                <w:i/>
                <w:sz w:val="22"/>
                <w:szCs w:val="22"/>
              </w:rPr>
              <w:t>Empowering People</w:t>
            </w:r>
          </w:p>
          <w:p w:rsidR="008E6240" w:rsidRPr="002A7028" w:rsidRDefault="008E6240" w:rsidP="008E6240">
            <w:pPr>
              <w:pStyle w:val="Default"/>
              <w:ind w:left="360"/>
              <w:jc w:val="both"/>
              <w:rPr>
                <w:rFonts w:ascii="Calibri" w:hAnsi="Calibri"/>
                <w:i/>
                <w:sz w:val="22"/>
                <w:szCs w:val="22"/>
              </w:rPr>
            </w:pPr>
          </w:p>
          <w:p w:rsidR="007663C8" w:rsidRPr="002A7028" w:rsidRDefault="00D2303C" w:rsidP="00D2303C">
            <w:pPr>
              <w:autoSpaceDE w:val="0"/>
              <w:autoSpaceDN w:val="0"/>
              <w:rPr>
                <w:rFonts w:ascii="Calibri" w:hAnsi="Calibri" w:cs="Calibri"/>
                <w:i/>
                <w:sz w:val="22"/>
                <w:szCs w:val="22"/>
              </w:rPr>
            </w:pPr>
            <w:r>
              <w:rPr>
                <w:rFonts w:ascii="Calibri" w:hAnsi="Calibri"/>
                <w:sz w:val="22"/>
                <w:szCs w:val="22"/>
              </w:rPr>
              <w:t>The performance and</w:t>
            </w:r>
            <w:r w:rsidR="002A7028" w:rsidRPr="002A7028">
              <w:rPr>
                <w:rFonts w:ascii="Calibri" w:hAnsi="Calibri"/>
                <w:sz w:val="22"/>
                <w:szCs w:val="22"/>
              </w:rPr>
              <w:t xml:space="preserve"> quality dashboards contain a number of national and local measures that support this objective.</w:t>
            </w:r>
          </w:p>
        </w:tc>
      </w:tr>
      <w:tr w:rsidR="007663C8" w:rsidRPr="000D1B0D" w:rsidTr="007663C8">
        <w:tc>
          <w:tcPr>
            <w:tcW w:w="2103" w:type="dxa"/>
            <w:vMerge/>
            <w:shd w:val="clear" w:color="auto" w:fill="auto"/>
          </w:tcPr>
          <w:p w:rsidR="007663C8" w:rsidRPr="000D1B0D" w:rsidRDefault="007663C8" w:rsidP="000D1B0D">
            <w:pPr>
              <w:pStyle w:val="Default"/>
              <w:jc w:val="both"/>
              <w:rPr>
                <w:rFonts w:ascii="Calibri" w:hAnsi="Calibri" w:cs="Calibri"/>
                <w:b/>
                <w:sz w:val="20"/>
                <w:szCs w:val="20"/>
              </w:rPr>
            </w:pPr>
          </w:p>
        </w:tc>
        <w:tc>
          <w:tcPr>
            <w:tcW w:w="7977" w:type="dxa"/>
            <w:shd w:val="clear" w:color="auto" w:fill="auto"/>
          </w:tcPr>
          <w:p w:rsidR="007663C8" w:rsidRDefault="007663C8" w:rsidP="00197E49">
            <w:pPr>
              <w:pStyle w:val="Default"/>
              <w:numPr>
                <w:ilvl w:val="0"/>
                <w:numId w:val="1"/>
              </w:numPr>
              <w:jc w:val="both"/>
              <w:rPr>
                <w:rFonts w:ascii="Calibri" w:hAnsi="Calibri"/>
                <w:i/>
                <w:sz w:val="22"/>
                <w:szCs w:val="22"/>
              </w:rPr>
            </w:pPr>
            <w:r w:rsidRPr="002A7028">
              <w:rPr>
                <w:rFonts w:ascii="Calibri" w:hAnsi="Calibri"/>
                <w:i/>
                <w:sz w:val="22"/>
                <w:szCs w:val="22"/>
              </w:rPr>
              <w:t>Supporting Communities</w:t>
            </w:r>
          </w:p>
          <w:p w:rsidR="008E6240" w:rsidRDefault="008E6240" w:rsidP="008E6240">
            <w:pPr>
              <w:pStyle w:val="Default"/>
              <w:ind w:left="360"/>
              <w:jc w:val="both"/>
              <w:rPr>
                <w:rFonts w:ascii="Calibri" w:hAnsi="Calibri"/>
                <w:i/>
                <w:sz w:val="22"/>
                <w:szCs w:val="22"/>
              </w:rPr>
            </w:pPr>
          </w:p>
          <w:p w:rsidR="007663C8" w:rsidRPr="002A7028" w:rsidRDefault="00D2303C" w:rsidP="002A7028">
            <w:pPr>
              <w:autoSpaceDE w:val="0"/>
              <w:autoSpaceDN w:val="0"/>
              <w:rPr>
                <w:rFonts w:ascii="Calibri" w:hAnsi="Calibri" w:cs="Calibri"/>
                <w:i/>
                <w:sz w:val="22"/>
                <w:szCs w:val="22"/>
              </w:rPr>
            </w:pPr>
            <w:r>
              <w:rPr>
                <w:rFonts w:ascii="Calibri" w:hAnsi="Calibri"/>
                <w:sz w:val="22"/>
                <w:szCs w:val="22"/>
              </w:rPr>
              <w:t>The performance and</w:t>
            </w:r>
            <w:r w:rsidRPr="002A7028">
              <w:rPr>
                <w:rFonts w:ascii="Calibri" w:hAnsi="Calibri"/>
                <w:sz w:val="22"/>
                <w:szCs w:val="22"/>
              </w:rPr>
              <w:t xml:space="preserve"> quality dashboards contain a number of national and local measures that support this objective.</w:t>
            </w:r>
          </w:p>
        </w:tc>
      </w:tr>
      <w:tr w:rsidR="007663C8" w:rsidRPr="000D1B0D" w:rsidTr="007663C8">
        <w:tc>
          <w:tcPr>
            <w:tcW w:w="2103" w:type="dxa"/>
            <w:vMerge/>
            <w:shd w:val="clear" w:color="auto" w:fill="auto"/>
          </w:tcPr>
          <w:p w:rsidR="007663C8" w:rsidRPr="000D1B0D" w:rsidRDefault="007663C8" w:rsidP="000D1B0D">
            <w:pPr>
              <w:pStyle w:val="Default"/>
              <w:jc w:val="both"/>
              <w:rPr>
                <w:rFonts w:ascii="Calibri" w:hAnsi="Calibri" w:cs="Calibri"/>
                <w:b/>
                <w:sz w:val="20"/>
                <w:szCs w:val="20"/>
              </w:rPr>
            </w:pPr>
          </w:p>
        </w:tc>
        <w:tc>
          <w:tcPr>
            <w:tcW w:w="7977" w:type="dxa"/>
            <w:shd w:val="clear" w:color="auto" w:fill="auto"/>
          </w:tcPr>
          <w:p w:rsidR="007663C8" w:rsidRDefault="007663C8" w:rsidP="00197E49">
            <w:pPr>
              <w:numPr>
                <w:ilvl w:val="0"/>
                <w:numId w:val="1"/>
              </w:numPr>
              <w:autoSpaceDE w:val="0"/>
              <w:autoSpaceDN w:val="0"/>
              <w:rPr>
                <w:rFonts w:ascii="Calibri" w:hAnsi="Calibri"/>
                <w:i/>
                <w:sz w:val="22"/>
                <w:szCs w:val="22"/>
              </w:rPr>
            </w:pPr>
            <w:r w:rsidRPr="002A7028">
              <w:rPr>
                <w:rFonts w:ascii="Calibri" w:hAnsi="Calibri"/>
                <w:i/>
                <w:sz w:val="22"/>
                <w:szCs w:val="22"/>
              </w:rPr>
              <w:t>Delivering a fit for purpose organisation</w:t>
            </w:r>
          </w:p>
          <w:p w:rsidR="008E6240" w:rsidRPr="002A7028" w:rsidRDefault="008E6240" w:rsidP="008E6240">
            <w:pPr>
              <w:autoSpaceDE w:val="0"/>
              <w:autoSpaceDN w:val="0"/>
              <w:ind w:left="360"/>
              <w:rPr>
                <w:rFonts w:ascii="Calibri" w:hAnsi="Calibri"/>
                <w:i/>
                <w:sz w:val="22"/>
                <w:szCs w:val="22"/>
              </w:rPr>
            </w:pPr>
          </w:p>
          <w:p w:rsidR="007663C8" w:rsidRPr="002A7028" w:rsidRDefault="00D2303C" w:rsidP="002A7028">
            <w:pPr>
              <w:autoSpaceDE w:val="0"/>
              <w:autoSpaceDN w:val="0"/>
              <w:rPr>
                <w:rFonts w:ascii="Calibri" w:hAnsi="Calibri" w:cs="Calibri"/>
                <w:i/>
                <w:sz w:val="22"/>
                <w:szCs w:val="22"/>
              </w:rPr>
            </w:pPr>
            <w:r>
              <w:rPr>
                <w:rFonts w:ascii="Calibri" w:hAnsi="Calibri"/>
                <w:sz w:val="22"/>
                <w:szCs w:val="22"/>
              </w:rPr>
              <w:t>The performance and</w:t>
            </w:r>
            <w:r w:rsidRPr="002A7028">
              <w:rPr>
                <w:rFonts w:ascii="Calibri" w:hAnsi="Calibri"/>
                <w:sz w:val="22"/>
                <w:szCs w:val="22"/>
              </w:rPr>
              <w:t xml:space="preserve"> quality dashboards contain a number of national and local measures that support this objective.</w:t>
            </w:r>
          </w:p>
        </w:tc>
      </w:tr>
      <w:tr w:rsidR="00473CC5" w:rsidRPr="000D1B0D" w:rsidTr="007663C8">
        <w:tc>
          <w:tcPr>
            <w:tcW w:w="2103" w:type="dxa"/>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NHS Constitution:</w:t>
            </w:r>
          </w:p>
          <w:p w:rsidR="00473CC5" w:rsidRPr="000D1B0D" w:rsidRDefault="00473CC5" w:rsidP="000D1B0D">
            <w:pPr>
              <w:pStyle w:val="Default"/>
              <w:jc w:val="both"/>
              <w:rPr>
                <w:rFonts w:ascii="Calibri" w:hAnsi="Calibri" w:cs="Calibri"/>
                <w:b/>
                <w:sz w:val="20"/>
                <w:szCs w:val="20"/>
              </w:rPr>
            </w:pPr>
          </w:p>
        </w:tc>
        <w:tc>
          <w:tcPr>
            <w:tcW w:w="7977" w:type="dxa"/>
            <w:shd w:val="clear" w:color="auto" w:fill="auto"/>
          </w:tcPr>
          <w:p w:rsidR="00006E07" w:rsidRPr="002A7028" w:rsidRDefault="00EA2734" w:rsidP="00D57250">
            <w:pPr>
              <w:pStyle w:val="Default"/>
              <w:jc w:val="both"/>
              <w:rPr>
                <w:rFonts w:ascii="Calibri" w:hAnsi="Calibri" w:cs="Calibri"/>
                <w:sz w:val="22"/>
                <w:szCs w:val="22"/>
              </w:rPr>
            </w:pPr>
            <w:r w:rsidRPr="002A7028">
              <w:rPr>
                <w:rFonts w:ascii="Calibri" w:hAnsi="Calibri" w:cs="Calibri"/>
                <w:sz w:val="22"/>
                <w:szCs w:val="22"/>
              </w:rPr>
              <w:t xml:space="preserve">The Performance and Quality dashboards contain measures from the NHS Constitution and the performance </w:t>
            </w:r>
            <w:r w:rsidR="00D57250">
              <w:rPr>
                <w:rFonts w:ascii="Calibri" w:hAnsi="Calibri" w:cs="Calibri"/>
                <w:sz w:val="22"/>
                <w:szCs w:val="22"/>
              </w:rPr>
              <w:t xml:space="preserve">and quality </w:t>
            </w:r>
            <w:r w:rsidR="003375B0" w:rsidRPr="002A7028">
              <w:rPr>
                <w:rFonts w:ascii="Calibri" w:hAnsi="Calibri" w:cs="Calibri"/>
                <w:sz w:val="22"/>
                <w:szCs w:val="22"/>
              </w:rPr>
              <w:t>associated with</w:t>
            </w:r>
            <w:r w:rsidRPr="002A7028">
              <w:rPr>
                <w:rFonts w:ascii="Calibri" w:hAnsi="Calibri" w:cs="Calibri"/>
                <w:sz w:val="22"/>
                <w:szCs w:val="22"/>
              </w:rPr>
              <w:t xml:space="preserve"> these are managed and assured through the </w:t>
            </w:r>
            <w:r w:rsidR="00D57250">
              <w:rPr>
                <w:rFonts w:ascii="Calibri" w:hAnsi="Calibri" w:cs="Calibri"/>
                <w:bCs/>
                <w:sz w:val="22"/>
                <w:szCs w:val="22"/>
              </w:rPr>
              <w:t xml:space="preserve">Delivery Assurance Committee and </w:t>
            </w:r>
            <w:r w:rsidR="003375B0" w:rsidRPr="002A7028">
              <w:rPr>
                <w:rFonts w:ascii="Calibri" w:hAnsi="Calibri" w:cs="Calibri"/>
                <w:bCs/>
                <w:sz w:val="22"/>
                <w:szCs w:val="22"/>
              </w:rPr>
              <w:t xml:space="preserve">the </w:t>
            </w:r>
            <w:r w:rsidR="00D57250">
              <w:rPr>
                <w:rFonts w:ascii="Calibri" w:hAnsi="Calibri" w:cs="Calibri"/>
                <w:bCs/>
                <w:sz w:val="22"/>
                <w:szCs w:val="22"/>
              </w:rPr>
              <w:t>Clinical Governance Committee</w:t>
            </w:r>
            <w:r w:rsidR="003375B0" w:rsidRPr="002A7028">
              <w:rPr>
                <w:rFonts w:ascii="Calibri" w:hAnsi="Calibri" w:cs="Calibri"/>
                <w:bCs/>
                <w:sz w:val="22"/>
                <w:szCs w:val="22"/>
              </w:rPr>
              <w:t>.</w:t>
            </w:r>
          </w:p>
        </w:tc>
      </w:tr>
      <w:tr w:rsidR="007E1C2F" w:rsidRPr="000D1B0D" w:rsidTr="007663C8">
        <w:tc>
          <w:tcPr>
            <w:tcW w:w="2103" w:type="dxa"/>
            <w:shd w:val="clear" w:color="auto" w:fill="auto"/>
          </w:tcPr>
          <w:p w:rsidR="007E1C2F" w:rsidRPr="000D1B0D" w:rsidRDefault="007E1C2F" w:rsidP="00F128DE">
            <w:pPr>
              <w:pStyle w:val="Default"/>
              <w:rPr>
                <w:rFonts w:ascii="Calibri" w:hAnsi="Calibri" w:cs="Calibri"/>
                <w:b/>
                <w:sz w:val="20"/>
                <w:szCs w:val="20"/>
              </w:rPr>
            </w:pPr>
            <w:r w:rsidRPr="000D1B0D">
              <w:rPr>
                <w:rFonts w:ascii="Calibri" w:hAnsi="Calibri" w:cs="Calibri"/>
                <w:b/>
                <w:sz w:val="20"/>
                <w:szCs w:val="20"/>
              </w:rPr>
              <w:t>Report exempt from Public Disclosure</w:t>
            </w:r>
          </w:p>
        </w:tc>
        <w:tc>
          <w:tcPr>
            <w:tcW w:w="7977" w:type="dxa"/>
            <w:shd w:val="clear" w:color="auto" w:fill="auto"/>
          </w:tcPr>
          <w:p w:rsidR="007E1C2F" w:rsidRPr="00060076" w:rsidRDefault="007E1C2F" w:rsidP="000D1B0D">
            <w:pPr>
              <w:pStyle w:val="Default"/>
              <w:jc w:val="both"/>
              <w:rPr>
                <w:sz w:val="20"/>
                <w:szCs w:val="20"/>
              </w:rPr>
            </w:pPr>
            <w:r w:rsidRPr="00060076">
              <w:rPr>
                <w:sz w:val="20"/>
                <w:szCs w:val="20"/>
              </w:rPr>
              <w:t>No</w:t>
            </w:r>
          </w:p>
        </w:tc>
      </w:tr>
    </w:tbl>
    <w:p w:rsidR="009D4EDC" w:rsidRDefault="009D4EDC" w:rsidP="00D3211A">
      <w:pPr>
        <w:pStyle w:val="Default"/>
        <w:jc w:val="both"/>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938"/>
      </w:tblGrid>
      <w:tr w:rsidR="007E1C2F" w:rsidRPr="000D1B0D" w:rsidTr="00B658DC">
        <w:tc>
          <w:tcPr>
            <w:tcW w:w="2127" w:type="dxa"/>
            <w:shd w:val="clear" w:color="auto" w:fill="auto"/>
          </w:tcPr>
          <w:p w:rsidR="007E1C2F" w:rsidRPr="000D1B0D" w:rsidRDefault="007E1C2F" w:rsidP="00FB449C">
            <w:pPr>
              <w:pStyle w:val="Default"/>
              <w:rPr>
                <w:rFonts w:ascii="Calibri" w:hAnsi="Calibri" w:cs="Calibri"/>
                <w:b/>
                <w:sz w:val="20"/>
                <w:szCs w:val="20"/>
              </w:rPr>
            </w:pPr>
            <w:r w:rsidRPr="000D1B0D">
              <w:rPr>
                <w:rFonts w:ascii="Calibri" w:hAnsi="Calibri" w:cs="Calibri"/>
                <w:b/>
                <w:sz w:val="20"/>
                <w:szCs w:val="20"/>
              </w:rPr>
              <w:t>Appendices / attachments</w:t>
            </w:r>
          </w:p>
          <w:p w:rsidR="007E1C2F" w:rsidRPr="000D1B0D" w:rsidRDefault="007E1C2F" w:rsidP="000D1B0D">
            <w:pPr>
              <w:pStyle w:val="Default"/>
              <w:jc w:val="both"/>
              <w:rPr>
                <w:rFonts w:ascii="Calibri" w:hAnsi="Calibri" w:cs="Calibri"/>
                <w:sz w:val="20"/>
                <w:szCs w:val="20"/>
              </w:rPr>
            </w:pPr>
          </w:p>
        </w:tc>
        <w:tc>
          <w:tcPr>
            <w:tcW w:w="7938" w:type="dxa"/>
            <w:shd w:val="clear" w:color="auto" w:fill="auto"/>
          </w:tcPr>
          <w:p w:rsidR="00E61AF0" w:rsidRDefault="008A397F" w:rsidP="008A397F">
            <w:pPr>
              <w:pStyle w:val="Default"/>
              <w:tabs>
                <w:tab w:val="left" w:pos="3392"/>
              </w:tabs>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p>
          <w:p w:rsidR="00E61AF0" w:rsidRPr="000D1B0D" w:rsidRDefault="00F06828" w:rsidP="000D1B0D">
            <w:pPr>
              <w:pStyle w:val="Default"/>
              <w:jc w:val="both"/>
              <w:rPr>
                <w:rFonts w:ascii="Calibri" w:hAnsi="Calibri" w:cs="Calibri"/>
                <w:sz w:val="20"/>
                <w:szCs w:val="20"/>
              </w:rPr>
            </w:pPr>
            <w:r>
              <w:rPr>
                <w:rFonts w:ascii="Calibri" w:hAnsi="Calibri" w:cs="Calibri"/>
                <w:sz w:val="20"/>
                <w:szCs w:val="2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12" o:title=""/>
                </v:shape>
                <o:OLEObject Type="Embed" ProgID="AcroExch.Document.11" ShapeID="_x0000_i1025" DrawAspect="Icon" ObjectID="_1597829970" r:id="rId13"/>
              </w:object>
            </w:r>
          </w:p>
        </w:tc>
      </w:tr>
    </w:tbl>
    <w:p w:rsidR="00893409" w:rsidRDefault="00893409" w:rsidP="00D3211A">
      <w:pPr>
        <w:pStyle w:val="Default"/>
        <w:jc w:val="both"/>
        <w:rPr>
          <w:rFonts w:ascii="Calibri" w:hAnsi="Calibri" w:cs="Calibri"/>
          <w:sz w:val="20"/>
          <w:szCs w:val="20"/>
        </w:rPr>
      </w:pPr>
    </w:p>
    <w:p w:rsidR="00AF2374" w:rsidRDefault="00AF2374" w:rsidP="00D3211A">
      <w:pPr>
        <w:pStyle w:val="Default"/>
        <w:jc w:val="both"/>
        <w:rPr>
          <w:rFonts w:ascii="Calibri" w:hAnsi="Calibri" w:cs="Calibri"/>
          <w:sz w:val="20"/>
          <w:szCs w:val="20"/>
        </w:rPr>
      </w:pPr>
    </w:p>
    <w:p w:rsidR="00AF2374" w:rsidRDefault="00AF2374" w:rsidP="00D3211A">
      <w:pPr>
        <w:pStyle w:val="Default"/>
        <w:jc w:val="both"/>
        <w:rPr>
          <w:rFonts w:ascii="Calibri" w:hAnsi="Calibri" w:cs="Calibri"/>
          <w:sz w:val="20"/>
          <w:szCs w:val="20"/>
        </w:rPr>
      </w:pPr>
    </w:p>
    <w:p w:rsidR="00AF2374" w:rsidRDefault="00AF2374" w:rsidP="00D3211A">
      <w:pPr>
        <w:pStyle w:val="Default"/>
        <w:jc w:val="both"/>
        <w:rPr>
          <w:rFonts w:ascii="Calibri" w:hAnsi="Calibri" w:cs="Calibri"/>
          <w:sz w:val="20"/>
          <w:szCs w:val="20"/>
        </w:rPr>
      </w:pPr>
    </w:p>
    <w:p w:rsidR="00AF2374" w:rsidRDefault="00AF2374" w:rsidP="00D3211A">
      <w:pPr>
        <w:pStyle w:val="Default"/>
        <w:jc w:val="both"/>
        <w:rPr>
          <w:rFonts w:ascii="Calibri" w:hAnsi="Calibri" w:cs="Calibri"/>
          <w:sz w:val="20"/>
          <w:szCs w:val="20"/>
        </w:rPr>
      </w:pPr>
    </w:p>
    <w:p w:rsidR="00727B0D" w:rsidRDefault="00727B0D" w:rsidP="00D3211A">
      <w:pPr>
        <w:pStyle w:val="Default"/>
        <w:jc w:val="both"/>
        <w:rPr>
          <w:rFonts w:ascii="Calibri" w:hAnsi="Calibri" w:cs="Calibri"/>
          <w:sz w:val="20"/>
          <w:szCs w:val="20"/>
        </w:rPr>
        <w:sectPr w:rsidR="00727B0D" w:rsidSect="0092546C">
          <w:headerReference w:type="default" r:id="rId14"/>
          <w:footerReference w:type="default" r:id="rId15"/>
          <w:pgSz w:w="11900" w:h="16840"/>
          <w:pgMar w:top="737" w:right="964" w:bottom="567" w:left="964" w:header="0" w:footer="1134" w:gutter="0"/>
          <w:cols w:space="708"/>
        </w:sectPr>
      </w:pPr>
    </w:p>
    <w:p w:rsidR="00737E93" w:rsidRPr="00994A24" w:rsidRDefault="00737E93" w:rsidP="00737E93">
      <w:pPr>
        <w:jc w:val="center"/>
        <w:rPr>
          <w:rFonts w:ascii="Calibri" w:eastAsia="Verdana" w:hAnsi="Calibri" w:cs="Calibri"/>
          <w:b/>
          <w:color w:val="000000"/>
          <w:sz w:val="40"/>
          <w:szCs w:val="40"/>
        </w:rPr>
      </w:pPr>
      <w:r w:rsidRPr="00994A24">
        <w:rPr>
          <w:rFonts w:ascii="Calibri" w:eastAsia="Verdana" w:hAnsi="Calibri" w:cs="Calibri"/>
          <w:b/>
          <w:color w:val="000000"/>
          <w:sz w:val="40"/>
          <w:szCs w:val="40"/>
        </w:rPr>
        <w:lastRenderedPageBreak/>
        <w:t>Integrated Assurance &amp; Quality Report</w:t>
      </w:r>
    </w:p>
    <w:p w:rsidR="00737E93" w:rsidRPr="00590250" w:rsidRDefault="00737E93" w:rsidP="00737E93">
      <w:pPr>
        <w:jc w:val="center"/>
        <w:rPr>
          <w:rFonts w:ascii="Arial" w:eastAsia="Verdana" w:hAnsi="Arial" w:cs="Arial"/>
          <w:b/>
          <w:color w:val="000000"/>
          <w:sz w:val="20"/>
        </w:rPr>
      </w:pPr>
    </w:p>
    <w:p w:rsidR="00737E93" w:rsidRPr="00971F37" w:rsidRDefault="00737E93" w:rsidP="00737E93">
      <w:pPr>
        <w:rPr>
          <w:rFonts w:ascii="Calibri" w:hAnsi="Calibri" w:cs="Calibri"/>
          <w:szCs w:val="22"/>
        </w:rPr>
      </w:pPr>
      <w:r w:rsidRPr="00971F37">
        <w:rPr>
          <w:rFonts w:ascii="Calibri" w:hAnsi="Calibri" w:cs="Calibri"/>
          <w:b/>
          <w:szCs w:val="22"/>
        </w:rPr>
        <w:t>Introduction</w:t>
      </w:r>
    </w:p>
    <w:p w:rsidR="00737E93" w:rsidRPr="00737E93" w:rsidRDefault="00737E93" w:rsidP="00737E93">
      <w:pPr>
        <w:rPr>
          <w:rFonts w:ascii="Calibri" w:hAnsi="Calibri" w:cs="Calibri"/>
          <w:sz w:val="22"/>
          <w:szCs w:val="22"/>
        </w:rPr>
      </w:pPr>
      <w:r w:rsidRPr="00737E93">
        <w:rPr>
          <w:rFonts w:ascii="Calibri" w:hAnsi="Calibri" w:cs="Calibri"/>
          <w:sz w:val="22"/>
          <w:szCs w:val="22"/>
        </w:rPr>
        <w:t>The dashboards below represent an overview of performance and quality for health and social care services across North East Lincolnshire.</w:t>
      </w:r>
    </w:p>
    <w:p w:rsidR="00737E93" w:rsidRPr="00737E93" w:rsidRDefault="00737E93" w:rsidP="00737E93">
      <w:pPr>
        <w:rPr>
          <w:rFonts w:ascii="Calibri" w:hAnsi="Calibri" w:cs="Calibri"/>
          <w:sz w:val="22"/>
          <w:szCs w:val="22"/>
        </w:rPr>
      </w:pPr>
    </w:p>
    <w:p w:rsidR="00737E93" w:rsidRPr="00737E93" w:rsidRDefault="00737E93" w:rsidP="00B47EA5">
      <w:pPr>
        <w:rPr>
          <w:rFonts w:ascii="Calibri" w:hAnsi="Calibri" w:cs="Calibri"/>
          <w:sz w:val="22"/>
          <w:szCs w:val="22"/>
        </w:rPr>
      </w:pPr>
      <w:r w:rsidRPr="00737E93">
        <w:rPr>
          <w:rFonts w:ascii="Calibri" w:hAnsi="Calibri" w:cs="Calibri"/>
          <w:sz w:val="22"/>
          <w:szCs w:val="22"/>
        </w:rPr>
        <w:t>The performance dashboard consists of six domains and the quality dashboard three domains that incorporate all areas that North East Lincolnshire Clinical Commissioning Group strive to improve on. A judgement has been made of the status for each domain based on the measures and intelligence underpinning them. These judgements try to balance the current position with the expected outcome at the end of the year and weightings with respect to priority. They also represent the local perspective of performance and quality for North East Lincolnshire rather than the performance against the national definition which, on occasion, covers a broader footprint. It should be noted that those issues that have an impact on the CCGs corporate performance assessment will continue to be scrutinised at the Delivery Assurance Committee. The dash</w:t>
      </w:r>
      <w:r w:rsidR="007A6F6F">
        <w:rPr>
          <w:rFonts w:ascii="Calibri" w:hAnsi="Calibri" w:cs="Calibri"/>
          <w:sz w:val="22"/>
          <w:szCs w:val="22"/>
        </w:rPr>
        <w:t xml:space="preserve">boards reflect performance for </w:t>
      </w:r>
      <w:r w:rsidR="005F46EC">
        <w:rPr>
          <w:rFonts w:ascii="Calibri" w:hAnsi="Calibri" w:cs="Calibri"/>
          <w:sz w:val="22"/>
          <w:szCs w:val="22"/>
        </w:rPr>
        <w:t xml:space="preserve">the first </w:t>
      </w:r>
      <w:r w:rsidR="00640AD3">
        <w:rPr>
          <w:rFonts w:ascii="Calibri" w:hAnsi="Calibri" w:cs="Calibri"/>
          <w:sz w:val="22"/>
          <w:szCs w:val="22"/>
        </w:rPr>
        <w:t>four</w:t>
      </w:r>
      <w:r w:rsidR="005F46EC">
        <w:rPr>
          <w:rFonts w:ascii="Calibri" w:hAnsi="Calibri" w:cs="Calibri"/>
          <w:sz w:val="22"/>
          <w:szCs w:val="22"/>
        </w:rPr>
        <w:t xml:space="preserve"> months of 2018-19</w:t>
      </w:r>
      <w:r w:rsidRPr="00737E93">
        <w:rPr>
          <w:rFonts w:ascii="Calibri" w:hAnsi="Calibri" w:cs="Calibri"/>
          <w:sz w:val="22"/>
          <w:szCs w:val="22"/>
        </w:rPr>
        <w:t>. The Delivery Assurance Committee and Quality Committee, respectively, are asked to make a decision on the final status of the dashboards before reporting to the CCG Partnership Board.  Full exception report summaries are also included for Performance (appendix A) detailing performance of indicators that are underperforming</w:t>
      </w:r>
      <w:r w:rsidR="000976E0">
        <w:rPr>
          <w:rFonts w:ascii="Calibri" w:hAnsi="Calibri" w:cs="Calibri"/>
          <w:sz w:val="22"/>
          <w:szCs w:val="22"/>
        </w:rPr>
        <w:t xml:space="preserve">, </w:t>
      </w:r>
      <w:r w:rsidR="000976E0" w:rsidRPr="000976E0">
        <w:rPr>
          <w:rFonts w:ascii="Calibri" w:hAnsi="Calibri" w:cs="Calibri"/>
          <w:sz w:val="22"/>
          <w:szCs w:val="22"/>
        </w:rPr>
        <w:t>Provider-level Quality Dashboards</w:t>
      </w:r>
      <w:r w:rsidR="009D5435">
        <w:rPr>
          <w:rFonts w:ascii="Calibri" w:hAnsi="Calibri" w:cs="Calibri"/>
          <w:sz w:val="22"/>
          <w:szCs w:val="22"/>
        </w:rPr>
        <w:t xml:space="preserve"> (appendix B</w:t>
      </w:r>
      <w:r w:rsidR="000976E0">
        <w:rPr>
          <w:rFonts w:ascii="Calibri" w:hAnsi="Calibri" w:cs="Calibri"/>
          <w:sz w:val="22"/>
          <w:szCs w:val="22"/>
        </w:rPr>
        <w:t xml:space="preserve">), </w:t>
      </w:r>
      <w:r w:rsidR="009D5435">
        <w:rPr>
          <w:rFonts w:ascii="Calibri" w:hAnsi="Calibri" w:cs="Calibri"/>
          <w:sz w:val="22"/>
          <w:szCs w:val="22"/>
        </w:rPr>
        <w:t>risk (appendix C</w:t>
      </w:r>
      <w:r w:rsidRPr="00737E93">
        <w:rPr>
          <w:rFonts w:ascii="Calibri" w:hAnsi="Calibri" w:cs="Calibri"/>
          <w:sz w:val="22"/>
          <w:szCs w:val="22"/>
        </w:rPr>
        <w:t>) detailing risks rated as 16 or higher</w:t>
      </w:r>
      <w:r w:rsidR="005272CD">
        <w:rPr>
          <w:rFonts w:ascii="Calibri" w:hAnsi="Calibri" w:cs="Calibri"/>
          <w:sz w:val="22"/>
          <w:szCs w:val="22"/>
        </w:rPr>
        <w:t xml:space="preserve"> and Planned Care performance (appendix D)</w:t>
      </w:r>
      <w:r w:rsidR="00EB1285">
        <w:rPr>
          <w:rFonts w:ascii="Calibri" w:hAnsi="Calibri" w:cs="Calibri"/>
          <w:sz w:val="22"/>
          <w:szCs w:val="22"/>
        </w:rPr>
        <w:t>.</w:t>
      </w:r>
    </w:p>
    <w:p w:rsidR="00737E93" w:rsidRDefault="00737E93" w:rsidP="008C731B">
      <w:pPr>
        <w:ind w:left="2160"/>
        <w:rPr>
          <w:rFonts w:ascii="Calibri" w:hAnsi="Calibri" w:cs="Calibri"/>
          <w:b/>
          <w:sz w:val="32"/>
          <w:szCs w:val="32"/>
        </w:rPr>
      </w:pPr>
      <w:r>
        <w:rPr>
          <w:rFonts w:ascii="Arial" w:hAnsi="Arial" w:cs="Arial"/>
          <w:b/>
          <w:sz w:val="20"/>
        </w:rPr>
        <w:t xml:space="preserve">         </w:t>
      </w:r>
      <w:r w:rsidRPr="00B47EA5">
        <w:rPr>
          <w:rFonts w:ascii="Arial" w:hAnsi="Arial" w:cs="Arial"/>
          <w:b/>
          <w:sz w:val="32"/>
          <w:szCs w:val="32"/>
        </w:rPr>
        <w:t xml:space="preserve"> </w:t>
      </w:r>
      <w:r w:rsidRPr="00B47EA5">
        <w:rPr>
          <w:rFonts w:ascii="Calibri" w:hAnsi="Calibri" w:cs="Calibri"/>
          <w:b/>
          <w:sz w:val="32"/>
          <w:szCs w:val="32"/>
        </w:rPr>
        <w:t>Performance</w:t>
      </w:r>
      <w:r w:rsidRPr="00FB7EB8">
        <w:rPr>
          <w:rFonts w:ascii="Arial" w:hAnsi="Arial" w:cs="Arial"/>
          <w:b/>
          <w:sz w:val="32"/>
        </w:rPr>
        <w:tab/>
      </w:r>
      <w:r w:rsidRPr="00FB7EB8">
        <w:rPr>
          <w:rFonts w:ascii="Arial" w:hAnsi="Arial" w:cs="Arial"/>
          <w:b/>
          <w:sz w:val="32"/>
        </w:rPr>
        <w:tab/>
      </w:r>
      <w:r w:rsidRPr="00FB7EB8">
        <w:rPr>
          <w:rFonts w:ascii="Arial" w:hAnsi="Arial" w:cs="Arial"/>
          <w:b/>
          <w:sz w:val="32"/>
        </w:rPr>
        <w:tab/>
      </w:r>
      <w:r w:rsidRPr="00FB7EB8">
        <w:rPr>
          <w:rFonts w:ascii="Arial" w:hAnsi="Arial" w:cs="Arial"/>
          <w:b/>
          <w:sz w:val="32"/>
        </w:rPr>
        <w:tab/>
      </w:r>
      <w:r w:rsidRPr="00FB7EB8">
        <w:rPr>
          <w:rFonts w:ascii="Arial" w:hAnsi="Arial" w:cs="Arial"/>
          <w:b/>
          <w:sz w:val="32"/>
        </w:rPr>
        <w:tab/>
      </w:r>
      <w:r w:rsidRPr="00FB7EB8">
        <w:rPr>
          <w:rFonts w:ascii="Arial" w:hAnsi="Arial" w:cs="Arial"/>
          <w:b/>
          <w:sz w:val="32"/>
        </w:rPr>
        <w:tab/>
        <w:t xml:space="preserve">  </w:t>
      </w:r>
      <w:r w:rsidRPr="00FB7EB8">
        <w:rPr>
          <w:rFonts w:ascii="Arial" w:hAnsi="Arial" w:cs="Arial"/>
          <w:b/>
          <w:sz w:val="32"/>
        </w:rPr>
        <w:tab/>
      </w:r>
      <w:r w:rsidR="00EB5BA1">
        <w:rPr>
          <w:rFonts w:ascii="Arial" w:hAnsi="Arial" w:cs="Arial"/>
          <w:b/>
          <w:sz w:val="32"/>
        </w:rPr>
        <w:t xml:space="preserve">   </w:t>
      </w:r>
      <w:r w:rsidRPr="00FB7EB8">
        <w:rPr>
          <w:rFonts w:ascii="Arial" w:hAnsi="Arial" w:cs="Arial"/>
          <w:b/>
          <w:sz w:val="32"/>
        </w:rPr>
        <w:t xml:space="preserve">      </w:t>
      </w:r>
      <w:r>
        <w:rPr>
          <w:rFonts w:ascii="Arial" w:hAnsi="Arial" w:cs="Arial"/>
          <w:b/>
          <w:sz w:val="32"/>
        </w:rPr>
        <w:t xml:space="preserve"> </w:t>
      </w:r>
      <w:r w:rsidRPr="00B47EA5">
        <w:rPr>
          <w:rFonts w:ascii="Calibri" w:hAnsi="Calibri" w:cs="Calibri"/>
          <w:b/>
          <w:sz w:val="32"/>
          <w:szCs w:val="32"/>
        </w:rPr>
        <w:t>Quality</w:t>
      </w:r>
    </w:p>
    <w:p w:rsidR="009070D8" w:rsidRDefault="0069784F" w:rsidP="00737E93">
      <w:pPr>
        <w:rPr>
          <w:rFonts w:ascii="Calibri" w:hAnsi="Calibri" w:cs="Calibri"/>
          <w:b/>
          <w:i/>
          <w:sz w:val="16"/>
          <w:szCs w:val="16"/>
        </w:rPr>
        <w:sectPr w:rsidR="009070D8" w:rsidSect="003B4CEF">
          <w:headerReference w:type="default" r:id="rId16"/>
          <w:footerReference w:type="default" r:id="rId17"/>
          <w:pgSz w:w="16840" w:h="11900" w:orient="landscape" w:code="9"/>
          <w:pgMar w:top="743" w:right="902" w:bottom="743" w:left="902" w:header="567" w:footer="567" w:gutter="0"/>
          <w:cols w:space="708"/>
        </w:sectPr>
      </w:pPr>
      <w:r>
        <w:rPr>
          <w:noProof/>
          <w:lang w:eastAsia="en-GB"/>
        </w:rPr>
        <w:drawing>
          <wp:inline distT="0" distB="0" distL="0" distR="0">
            <wp:extent cx="4766945" cy="3599180"/>
            <wp:effectExtent l="38100" t="38100" r="33655" b="393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7414" t="23520" r="59723" b="11382"/>
                    <a:stretch>
                      <a:fillRect/>
                    </a:stretch>
                  </pic:blipFill>
                  <pic:spPr bwMode="auto">
                    <a:xfrm>
                      <a:off x="0" y="0"/>
                      <a:ext cx="4766945" cy="3599180"/>
                    </a:xfrm>
                    <a:prstGeom prst="rect">
                      <a:avLst/>
                    </a:prstGeom>
                    <a:noFill/>
                    <a:ln w="38100" cmpd="sng">
                      <a:solidFill>
                        <a:schemeClr val="bg1">
                          <a:lumMod val="65000"/>
                          <a:lumOff val="0"/>
                        </a:schemeClr>
                      </a:solidFill>
                      <a:miter lim="800000"/>
                      <a:headEnd/>
                      <a:tailEnd/>
                    </a:ln>
                    <a:effectLst/>
                  </pic:spPr>
                </pic:pic>
              </a:graphicData>
            </a:graphic>
          </wp:inline>
        </w:drawing>
      </w:r>
      <w:r w:rsidR="008C731B">
        <w:t xml:space="preserve">  </w:t>
      </w:r>
      <w:r>
        <w:rPr>
          <w:noProof/>
          <w:lang w:eastAsia="en-GB"/>
        </w:rPr>
        <w:drawing>
          <wp:inline distT="0" distB="0" distL="0" distR="0">
            <wp:extent cx="3890645" cy="3670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0645" cy="3670300"/>
                    </a:xfrm>
                    <a:prstGeom prst="rect">
                      <a:avLst/>
                    </a:prstGeom>
                    <a:noFill/>
                    <a:ln>
                      <a:noFill/>
                    </a:ln>
                  </pic:spPr>
                </pic:pic>
              </a:graphicData>
            </a:graphic>
          </wp:inline>
        </w:drawing>
      </w:r>
    </w:p>
    <w:p w:rsidR="009D16C7" w:rsidRDefault="009D16C7" w:rsidP="009D16C7">
      <w:pPr>
        <w:jc w:val="center"/>
        <w:rPr>
          <w:rFonts w:ascii="Calibri" w:eastAsia="Verdana" w:hAnsi="Calibri" w:cs="Calibri"/>
          <w:b/>
          <w:color w:val="000000"/>
          <w:sz w:val="36"/>
          <w:szCs w:val="36"/>
        </w:rPr>
      </w:pPr>
      <w:r>
        <w:rPr>
          <w:rFonts w:ascii="Calibri" w:eastAsia="Verdana" w:hAnsi="Calibri" w:cs="Calibri"/>
          <w:b/>
          <w:color w:val="000000"/>
          <w:sz w:val="36"/>
          <w:szCs w:val="36"/>
        </w:rPr>
        <w:lastRenderedPageBreak/>
        <w:t xml:space="preserve">Performance </w:t>
      </w:r>
      <w:r w:rsidRPr="00ED542C">
        <w:rPr>
          <w:rFonts w:ascii="Calibri" w:eastAsia="Verdana" w:hAnsi="Calibri" w:cs="Calibri"/>
          <w:b/>
          <w:color w:val="000000"/>
          <w:sz w:val="36"/>
          <w:szCs w:val="36"/>
        </w:rPr>
        <w:t>Escalation</w:t>
      </w:r>
    </w:p>
    <w:p w:rsidR="009D16C7" w:rsidRPr="00F43CFF" w:rsidRDefault="009D16C7" w:rsidP="009D16C7">
      <w:pPr>
        <w:jc w:val="center"/>
        <w:rPr>
          <w:rFonts w:ascii="Calibri" w:eastAsia="Verdana" w:hAnsi="Calibri" w:cs="Calibri"/>
          <w:b/>
          <w:color w:val="000000"/>
          <w:sz w:val="16"/>
          <w:szCs w:val="16"/>
        </w:rPr>
      </w:pPr>
    </w:p>
    <w:p w:rsidR="009D16C7" w:rsidRDefault="009D16C7" w:rsidP="009D16C7">
      <w:pPr>
        <w:rPr>
          <w:rFonts w:ascii="Calibri" w:eastAsia="Verdana" w:hAnsi="Calibri" w:cs="Calibri"/>
          <w:b/>
          <w:bCs/>
          <w:color w:val="000000"/>
          <w:sz w:val="32"/>
          <w:szCs w:val="32"/>
        </w:rPr>
      </w:pPr>
      <w:r w:rsidRPr="005321EF">
        <w:rPr>
          <w:rFonts w:ascii="Calibri" w:eastAsia="Verdana" w:hAnsi="Calibri" w:cs="Calibri"/>
          <w:b/>
          <w:bCs/>
          <w:color w:val="000000"/>
          <w:sz w:val="32"/>
          <w:szCs w:val="32"/>
        </w:rPr>
        <w:t>Elective care</w:t>
      </w:r>
    </w:p>
    <w:p w:rsidR="009D16C7" w:rsidRPr="00A81C62" w:rsidRDefault="009D16C7" w:rsidP="009D16C7">
      <w:pPr>
        <w:rPr>
          <w:rFonts w:ascii="Calibri" w:eastAsia="Verdana" w:hAnsi="Calibri" w:cs="Calibri"/>
          <w:b/>
          <w:bCs/>
          <w:color w:val="000000"/>
          <w:sz w:val="22"/>
          <w:szCs w:val="22"/>
        </w:rPr>
      </w:pPr>
    </w:p>
    <w:p w:rsidR="009D16C7" w:rsidRPr="00A81C62" w:rsidRDefault="009D16C7" w:rsidP="009D16C7">
      <w:pPr>
        <w:rPr>
          <w:rFonts w:ascii="Calibri" w:eastAsia="Verdana" w:hAnsi="Calibri" w:cs="Calibri"/>
          <w:b/>
          <w:bCs/>
          <w:color w:val="000000"/>
          <w:sz w:val="20"/>
          <w:szCs w:val="22"/>
        </w:rPr>
      </w:pPr>
      <w:r w:rsidRPr="00A81C62">
        <w:rPr>
          <w:rFonts w:ascii="Calibri" w:eastAsia="Verdana" w:hAnsi="Calibri" w:cs="Calibri"/>
          <w:b/>
          <w:bCs/>
          <w:color w:val="000000"/>
          <w:sz w:val="28"/>
          <w:szCs w:val="32"/>
        </w:rPr>
        <w:t>Expectations</w:t>
      </w:r>
    </w:p>
    <w:p w:rsidR="009D16C7" w:rsidRDefault="009D16C7" w:rsidP="009D16C7">
      <w:pPr>
        <w:rPr>
          <w:rFonts w:ascii="Calibri" w:eastAsia="Verdana" w:hAnsi="Calibri" w:cs="Calibri"/>
          <w:bCs/>
          <w:color w:val="000000"/>
          <w:sz w:val="22"/>
          <w:szCs w:val="22"/>
        </w:rPr>
      </w:pPr>
      <w:r>
        <w:rPr>
          <w:rFonts w:ascii="Calibri" w:eastAsia="Verdana" w:hAnsi="Calibri" w:cs="Calibri"/>
          <w:bCs/>
          <w:color w:val="000000"/>
          <w:sz w:val="22"/>
          <w:szCs w:val="22"/>
        </w:rPr>
        <w:t>During the 2018-19 planning process the NHS Operational Plan set out clear e</w:t>
      </w:r>
      <w:r w:rsidRPr="005321EF">
        <w:rPr>
          <w:rFonts w:ascii="Calibri" w:eastAsia="Verdana" w:hAnsi="Calibri" w:cs="Calibri"/>
          <w:bCs/>
          <w:color w:val="000000"/>
          <w:sz w:val="22"/>
          <w:szCs w:val="22"/>
        </w:rPr>
        <w:t xml:space="preserve">xpectations with regards to the delivery and management of elective activity (alongside managing </w:t>
      </w:r>
      <w:r>
        <w:rPr>
          <w:rFonts w:ascii="Calibri" w:eastAsia="Verdana" w:hAnsi="Calibri" w:cs="Calibri"/>
          <w:bCs/>
          <w:color w:val="000000"/>
          <w:sz w:val="22"/>
          <w:szCs w:val="22"/>
        </w:rPr>
        <w:t>the CCG</w:t>
      </w:r>
      <w:r w:rsidRPr="005321EF">
        <w:rPr>
          <w:rFonts w:ascii="Calibri" w:eastAsia="Verdana" w:hAnsi="Calibri" w:cs="Calibri"/>
          <w:bCs/>
          <w:color w:val="000000"/>
          <w:sz w:val="22"/>
          <w:szCs w:val="22"/>
        </w:rPr>
        <w:t xml:space="preserve"> budget, emergency services and other priorities)</w:t>
      </w:r>
      <w:r>
        <w:rPr>
          <w:rFonts w:ascii="Calibri" w:eastAsia="Verdana" w:hAnsi="Calibri" w:cs="Calibri"/>
          <w:bCs/>
          <w:color w:val="000000"/>
          <w:sz w:val="22"/>
          <w:szCs w:val="22"/>
        </w:rPr>
        <w:t>. These expectations</w:t>
      </w:r>
      <w:r w:rsidRPr="005321EF">
        <w:rPr>
          <w:rFonts w:ascii="Calibri" w:eastAsia="Verdana" w:hAnsi="Calibri" w:cs="Calibri"/>
          <w:bCs/>
          <w:color w:val="000000"/>
          <w:sz w:val="22"/>
          <w:szCs w:val="22"/>
        </w:rPr>
        <w:t xml:space="preserve"> were supported </w:t>
      </w:r>
      <w:r>
        <w:rPr>
          <w:rFonts w:ascii="Calibri" w:eastAsia="Verdana" w:hAnsi="Calibri" w:cs="Calibri"/>
          <w:bCs/>
          <w:color w:val="000000"/>
          <w:sz w:val="22"/>
          <w:szCs w:val="22"/>
        </w:rPr>
        <w:t xml:space="preserve">nationally </w:t>
      </w:r>
      <w:r w:rsidRPr="005321EF">
        <w:rPr>
          <w:rFonts w:ascii="Calibri" w:eastAsia="Verdana" w:hAnsi="Calibri" w:cs="Calibri"/>
          <w:bCs/>
          <w:color w:val="000000"/>
          <w:sz w:val="22"/>
          <w:szCs w:val="22"/>
        </w:rPr>
        <w:t xml:space="preserve">by additional funding to support a step increase in activity levels. </w:t>
      </w:r>
      <w:r>
        <w:rPr>
          <w:rFonts w:ascii="Calibri" w:eastAsia="Verdana" w:hAnsi="Calibri" w:cs="Calibri"/>
          <w:bCs/>
          <w:color w:val="000000"/>
          <w:sz w:val="22"/>
          <w:szCs w:val="22"/>
        </w:rPr>
        <w:t xml:space="preserve">The requirements associated with this were </w:t>
      </w:r>
      <w:r w:rsidRPr="005321EF">
        <w:rPr>
          <w:rFonts w:ascii="Calibri" w:eastAsia="Verdana" w:hAnsi="Calibri" w:cs="Calibri"/>
          <w:bCs/>
          <w:color w:val="000000"/>
          <w:sz w:val="22"/>
          <w:szCs w:val="22"/>
        </w:rPr>
        <w:t xml:space="preserve">reflected in </w:t>
      </w:r>
      <w:r>
        <w:rPr>
          <w:rFonts w:ascii="Calibri" w:eastAsia="Verdana" w:hAnsi="Calibri" w:cs="Calibri"/>
          <w:bCs/>
          <w:color w:val="000000"/>
          <w:sz w:val="22"/>
          <w:szCs w:val="22"/>
        </w:rPr>
        <w:t>NELCCGs</w:t>
      </w:r>
      <w:r w:rsidRPr="005321EF">
        <w:rPr>
          <w:rFonts w:ascii="Calibri" w:eastAsia="Verdana" w:hAnsi="Calibri" w:cs="Calibri"/>
          <w:bCs/>
          <w:color w:val="000000"/>
          <w:sz w:val="22"/>
          <w:szCs w:val="22"/>
        </w:rPr>
        <w:t xml:space="preserve"> 2018/19 commissioning plans which aligned with the level of activity </w:t>
      </w:r>
      <w:r>
        <w:rPr>
          <w:rFonts w:ascii="Calibri" w:eastAsia="Verdana" w:hAnsi="Calibri" w:cs="Calibri"/>
          <w:bCs/>
          <w:color w:val="000000"/>
          <w:sz w:val="22"/>
          <w:szCs w:val="22"/>
        </w:rPr>
        <w:t>needed to ensure that all</w:t>
      </w:r>
      <w:r w:rsidRPr="005321EF">
        <w:rPr>
          <w:rFonts w:ascii="Calibri" w:eastAsia="Verdana" w:hAnsi="Calibri" w:cs="Calibri"/>
          <w:bCs/>
          <w:color w:val="000000"/>
          <w:sz w:val="22"/>
          <w:szCs w:val="22"/>
        </w:rPr>
        <w:t xml:space="preserve"> waiting list</w:t>
      </w:r>
      <w:r>
        <w:rPr>
          <w:rFonts w:ascii="Calibri" w:eastAsia="Verdana" w:hAnsi="Calibri" w:cs="Calibri"/>
          <w:bCs/>
          <w:color w:val="000000"/>
          <w:sz w:val="22"/>
          <w:szCs w:val="22"/>
        </w:rPr>
        <w:t>s</w:t>
      </w:r>
      <w:r w:rsidRPr="005321EF">
        <w:rPr>
          <w:rFonts w:ascii="Calibri" w:eastAsia="Verdana" w:hAnsi="Calibri" w:cs="Calibri"/>
          <w:bCs/>
          <w:color w:val="000000"/>
          <w:sz w:val="22"/>
          <w:szCs w:val="22"/>
        </w:rPr>
        <w:t xml:space="preserve"> did not grow beyond March 2018 levels, by March 2019.</w:t>
      </w:r>
    </w:p>
    <w:p w:rsidR="009D16C7" w:rsidRDefault="009D16C7" w:rsidP="009D16C7">
      <w:pPr>
        <w:rPr>
          <w:rFonts w:ascii="Calibri" w:eastAsia="Verdana" w:hAnsi="Calibri" w:cs="Calibri"/>
          <w:bCs/>
          <w:color w:val="000000"/>
          <w:sz w:val="22"/>
          <w:szCs w:val="22"/>
        </w:rPr>
      </w:pPr>
    </w:p>
    <w:p w:rsidR="009D16C7" w:rsidRDefault="009D16C7" w:rsidP="009D16C7">
      <w:pPr>
        <w:rPr>
          <w:rFonts w:ascii="Calibri" w:eastAsia="Verdana" w:hAnsi="Calibri" w:cs="Calibri"/>
          <w:bCs/>
          <w:color w:val="000000"/>
          <w:sz w:val="22"/>
          <w:szCs w:val="22"/>
        </w:rPr>
      </w:pPr>
      <w:r>
        <w:rPr>
          <w:rFonts w:ascii="Calibri" w:eastAsia="Verdana" w:hAnsi="Calibri" w:cs="Calibri"/>
          <w:bCs/>
          <w:color w:val="000000"/>
          <w:sz w:val="22"/>
          <w:szCs w:val="22"/>
        </w:rPr>
        <w:t>CCGs recently received a letter from the NHS England National Director of</w:t>
      </w:r>
      <w:r w:rsidRPr="003E3F7C">
        <w:rPr>
          <w:rFonts w:ascii="Calibri" w:eastAsia="Verdana" w:hAnsi="Calibri" w:cs="Calibri"/>
          <w:bCs/>
          <w:color w:val="000000"/>
          <w:sz w:val="22"/>
          <w:szCs w:val="22"/>
        </w:rPr>
        <w:t xml:space="preserve"> Operations and Information</w:t>
      </w:r>
      <w:r>
        <w:rPr>
          <w:rFonts w:ascii="Calibri" w:eastAsia="Verdana" w:hAnsi="Calibri" w:cs="Calibri"/>
          <w:bCs/>
          <w:color w:val="000000"/>
          <w:sz w:val="22"/>
          <w:szCs w:val="22"/>
        </w:rPr>
        <w:t xml:space="preserve"> and NHS North Regional Director highlighting that,</w:t>
      </w:r>
      <w:r w:rsidRPr="005D2600">
        <w:rPr>
          <w:rFonts w:ascii="Calibri" w:eastAsia="Verdana" w:hAnsi="Calibri" w:cs="Calibri"/>
          <w:bCs/>
          <w:color w:val="000000"/>
          <w:sz w:val="22"/>
          <w:szCs w:val="22"/>
        </w:rPr>
        <w:t xml:space="preserve"> </w:t>
      </w:r>
      <w:r w:rsidRPr="005321EF">
        <w:rPr>
          <w:rFonts w:ascii="Calibri" w:eastAsia="Verdana" w:hAnsi="Calibri" w:cs="Calibri"/>
          <w:bCs/>
          <w:color w:val="000000"/>
          <w:sz w:val="22"/>
          <w:szCs w:val="22"/>
        </w:rPr>
        <w:t>if current activity levels are maintained, CCG commissioned trajectories for activity will not be delivered by most Trusts. This significant under-delivery of elective activity against commissioner plans will take concerted collective action to recover in the remainder of the year.</w:t>
      </w:r>
    </w:p>
    <w:p w:rsidR="009D16C7" w:rsidRDefault="009D16C7" w:rsidP="009D16C7">
      <w:pPr>
        <w:rPr>
          <w:rFonts w:ascii="Calibri" w:eastAsia="Verdana" w:hAnsi="Calibri" w:cs="Calibri"/>
          <w:bCs/>
          <w:color w:val="000000"/>
          <w:sz w:val="22"/>
          <w:szCs w:val="22"/>
        </w:rPr>
      </w:pPr>
    </w:p>
    <w:p w:rsidR="009D16C7" w:rsidRDefault="009D16C7" w:rsidP="009D16C7">
      <w:pPr>
        <w:rPr>
          <w:rFonts w:ascii="Calibri" w:eastAsia="Verdana" w:hAnsi="Calibri" w:cs="Calibri"/>
          <w:bCs/>
          <w:color w:val="000000"/>
          <w:sz w:val="22"/>
          <w:szCs w:val="22"/>
        </w:rPr>
      </w:pPr>
      <w:r>
        <w:rPr>
          <w:rFonts w:ascii="Calibri" w:eastAsia="Verdana" w:hAnsi="Calibri" w:cs="Calibri"/>
          <w:bCs/>
          <w:color w:val="000000"/>
          <w:sz w:val="22"/>
          <w:szCs w:val="22"/>
        </w:rPr>
        <w:t>The letter then set out five clear expectations that should be put in place immediately by each CCG.</w:t>
      </w:r>
    </w:p>
    <w:p w:rsidR="009D16C7" w:rsidRDefault="009D16C7" w:rsidP="009D16C7">
      <w:pPr>
        <w:rPr>
          <w:rFonts w:ascii="Calibri" w:eastAsia="Verdana" w:hAnsi="Calibri" w:cs="Calibri"/>
          <w:bCs/>
          <w:color w:val="000000"/>
          <w:sz w:val="22"/>
          <w:szCs w:val="22"/>
        </w:rPr>
      </w:pPr>
    </w:p>
    <w:p w:rsidR="009D16C7" w:rsidRPr="00A81C62" w:rsidRDefault="009D16C7" w:rsidP="009D16C7">
      <w:pPr>
        <w:rPr>
          <w:rFonts w:ascii="Calibri" w:eastAsia="Verdana" w:hAnsi="Calibri" w:cs="Calibri"/>
          <w:b/>
          <w:bCs/>
          <w:color w:val="000000"/>
          <w:sz w:val="20"/>
          <w:szCs w:val="22"/>
        </w:rPr>
      </w:pPr>
      <w:r>
        <w:rPr>
          <w:rFonts w:ascii="Calibri" w:eastAsia="Verdana" w:hAnsi="Calibri" w:cs="Calibri"/>
          <w:b/>
          <w:bCs/>
          <w:color w:val="000000"/>
          <w:sz w:val="28"/>
          <w:szCs w:val="32"/>
        </w:rPr>
        <w:t>Actions Required</w:t>
      </w:r>
    </w:p>
    <w:p w:rsidR="009D16C7" w:rsidRPr="00911417" w:rsidRDefault="009D16C7" w:rsidP="009D16C7">
      <w:pPr>
        <w:pStyle w:val="Default"/>
        <w:numPr>
          <w:ilvl w:val="0"/>
          <w:numId w:val="17"/>
        </w:numPr>
        <w:rPr>
          <w:rFonts w:ascii="Calibri" w:hAnsi="Calibri"/>
          <w:sz w:val="22"/>
          <w:szCs w:val="22"/>
        </w:rPr>
      </w:pPr>
      <w:r w:rsidRPr="00911417">
        <w:rPr>
          <w:rFonts w:ascii="Calibri" w:hAnsi="Calibri"/>
          <w:sz w:val="22"/>
          <w:szCs w:val="22"/>
        </w:rPr>
        <w:t xml:space="preserve">Putting basic processes in place everywhere, including: </w:t>
      </w:r>
    </w:p>
    <w:p w:rsidR="009D16C7" w:rsidRPr="00911417" w:rsidRDefault="009D16C7" w:rsidP="009D16C7">
      <w:pPr>
        <w:pStyle w:val="Default"/>
        <w:numPr>
          <w:ilvl w:val="0"/>
          <w:numId w:val="19"/>
        </w:numPr>
        <w:rPr>
          <w:rFonts w:ascii="Calibri" w:hAnsi="Calibri"/>
          <w:sz w:val="22"/>
          <w:szCs w:val="22"/>
        </w:rPr>
      </w:pPr>
      <w:r w:rsidRPr="00911417">
        <w:rPr>
          <w:rFonts w:ascii="Calibri" w:hAnsi="Calibri"/>
          <w:sz w:val="22"/>
          <w:szCs w:val="22"/>
        </w:rPr>
        <w:t>A Governing Body level focus and monthly reporting on the state of the waiting list and long waiters, and attention to the importance of delivering elective care performance and activity levels alongside emergency care and finance;</w:t>
      </w:r>
    </w:p>
    <w:p w:rsidR="009D16C7" w:rsidRPr="00911417" w:rsidRDefault="009D16C7" w:rsidP="009D16C7">
      <w:pPr>
        <w:pStyle w:val="Default"/>
        <w:numPr>
          <w:ilvl w:val="0"/>
          <w:numId w:val="19"/>
        </w:numPr>
        <w:rPr>
          <w:rFonts w:ascii="Calibri" w:hAnsi="Calibri"/>
          <w:sz w:val="22"/>
          <w:szCs w:val="22"/>
        </w:rPr>
      </w:pPr>
      <w:r w:rsidRPr="00911417">
        <w:rPr>
          <w:rFonts w:ascii="Calibri" w:hAnsi="Calibri"/>
          <w:sz w:val="22"/>
          <w:szCs w:val="22"/>
        </w:rPr>
        <w:t xml:space="preserve">Certainty that all providers are routinely validating their waiting lists to ensure that we have an accurate view of who is waiting for treatment. </w:t>
      </w:r>
    </w:p>
    <w:p w:rsidR="009D16C7" w:rsidRPr="00911417" w:rsidRDefault="009D16C7" w:rsidP="009D16C7">
      <w:pPr>
        <w:pStyle w:val="Default"/>
        <w:rPr>
          <w:rFonts w:ascii="Calibri" w:hAnsi="Calibri"/>
          <w:sz w:val="16"/>
          <w:szCs w:val="16"/>
        </w:rPr>
      </w:pPr>
    </w:p>
    <w:p w:rsidR="009D16C7" w:rsidRPr="00911417" w:rsidRDefault="009D16C7" w:rsidP="009D16C7">
      <w:pPr>
        <w:pStyle w:val="Default"/>
        <w:numPr>
          <w:ilvl w:val="0"/>
          <w:numId w:val="17"/>
        </w:numPr>
        <w:rPr>
          <w:rFonts w:ascii="Calibri" w:hAnsi="Calibri"/>
          <w:sz w:val="22"/>
          <w:szCs w:val="22"/>
        </w:rPr>
      </w:pPr>
      <w:r w:rsidRPr="00911417">
        <w:rPr>
          <w:rFonts w:ascii="Calibri" w:hAnsi="Calibri"/>
          <w:sz w:val="22"/>
          <w:szCs w:val="22"/>
        </w:rPr>
        <w:t xml:space="preserve">Reducing 52 week waits by at least 50% </w:t>
      </w:r>
    </w:p>
    <w:p w:rsidR="009D16C7" w:rsidRPr="00911417" w:rsidRDefault="009D16C7" w:rsidP="009D16C7">
      <w:pPr>
        <w:pStyle w:val="Default"/>
        <w:numPr>
          <w:ilvl w:val="0"/>
          <w:numId w:val="20"/>
        </w:numPr>
        <w:rPr>
          <w:rFonts w:ascii="Calibri" w:hAnsi="Calibri"/>
          <w:sz w:val="22"/>
          <w:szCs w:val="22"/>
        </w:rPr>
      </w:pPr>
      <w:r w:rsidRPr="00911417">
        <w:rPr>
          <w:rFonts w:ascii="Calibri" w:hAnsi="Calibri"/>
          <w:sz w:val="22"/>
          <w:szCs w:val="22"/>
        </w:rPr>
        <w:t>Appropriate week by week shared provider/commissioner trajectory should be in place and being met, for reducing the number of 52 week waiters to eliminate these ahead of winter wherever possible.</w:t>
      </w:r>
    </w:p>
    <w:p w:rsidR="009D16C7" w:rsidRPr="00911417" w:rsidRDefault="009D16C7" w:rsidP="009D16C7">
      <w:pPr>
        <w:pStyle w:val="Default"/>
        <w:numPr>
          <w:ilvl w:val="0"/>
          <w:numId w:val="20"/>
        </w:numPr>
        <w:rPr>
          <w:rFonts w:ascii="Calibri" w:hAnsi="Calibri"/>
          <w:sz w:val="22"/>
          <w:szCs w:val="22"/>
        </w:rPr>
      </w:pPr>
      <w:r w:rsidRPr="00911417">
        <w:rPr>
          <w:rFonts w:ascii="Calibri" w:hAnsi="Calibri"/>
          <w:sz w:val="22"/>
          <w:szCs w:val="22"/>
        </w:rPr>
        <w:t>Every CCG needs to ensure that it is managing a patient tracking list (PTL) for all long waiters over 40 weeks to ensure that everyone has a date for treatment before they breach 52 weeks.</w:t>
      </w:r>
    </w:p>
    <w:p w:rsidR="009D16C7" w:rsidRPr="00911417" w:rsidRDefault="009D16C7" w:rsidP="009D16C7">
      <w:pPr>
        <w:pStyle w:val="Default"/>
        <w:rPr>
          <w:rFonts w:ascii="Calibri" w:hAnsi="Calibri"/>
          <w:sz w:val="16"/>
          <w:szCs w:val="16"/>
        </w:rPr>
      </w:pPr>
    </w:p>
    <w:p w:rsidR="009D16C7" w:rsidRPr="00911417" w:rsidRDefault="009D16C7" w:rsidP="009D16C7">
      <w:pPr>
        <w:pStyle w:val="Default"/>
        <w:numPr>
          <w:ilvl w:val="0"/>
          <w:numId w:val="17"/>
        </w:numPr>
        <w:rPr>
          <w:rFonts w:ascii="Calibri" w:hAnsi="Calibri"/>
          <w:sz w:val="22"/>
          <w:szCs w:val="22"/>
        </w:rPr>
      </w:pPr>
      <w:r w:rsidRPr="00911417">
        <w:rPr>
          <w:rFonts w:ascii="Calibri" w:hAnsi="Calibri"/>
          <w:sz w:val="22"/>
          <w:szCs w:val="22"/>
        </w:rPr>
        <w:t>Ensuring patients who are not waiting for inpatient treatment are treated within 18 weeks</w:t>
      </w:r>
    </w:p>
    <w:p w:rsidR="009D16C7" w:rsidRPr="00911417" w:rsidRDefault="009D16C7" w:rsidP="009D16C7">
      <w:pPr>
        <w:pStyle w:val="Default"/>
        <w:numPr>
          <w:ilvl w:val="0"/>
          <w:numId w:val="20"/>
        </w:numPr>
        <w:rPr>
          <w:rFonts w:ascii="Calibri" w:hAnsi="Calibri"/>
          <w:sz w:val="22"/>
          <w:szCs w:val="22"/>
        </w:rPr>
      </w:pPr>
      <w:r w:rsidRPr="00475962">
        <w:rPr>
          <w:rFonts w:ascii="Calibri" w:hAnsi="Calibri"/>
          <w:sz w:val="22"/>
          <w:szCs w:val="22"/>
        </w:rPr>
        <w:t xml:space="preserve">Plans should be agreed with providers with a </w:t>
      </w:r>
      <w:r w:rsidRPr="00475962">
        <w:rPr>
          <w:rFonts w:ascii="Calibri" w:hAnsi="Calibri"/>
          <w:color w:val="auto"/>
          <w:sz w:val="22"/>
          <w:szCs w:val="22"/>
        </w:rPr>
        <w:t>trajectory to ensure all specialities are treating non-admitted patients within the 18 weeks standard</w:t>
      </w:r>
      <w:r>
        <w:rPr>
          <w:rFonts w:ascii="Calibri" w:hAnsi="Calibri"/>
          <w:color w:val="auto"/>
          <w:sz w:val="22"/>
          <w:szCs w:val="22"/>
        </w:rPr>
        <w:t>.</w:t>
      </w:r>
    </w:p>
    <w:p w:rsidR="009D16C7" w:rsidRDefault="009D16C7" w:rsidP="009D16C7">
      <w:pPr>
        <w:pStyle w:val="Default"/>
        <w:rPr>
          <w:rFonts w:ascii="Calibri" w:hAnsi="Calibri"/>
          <w:color w:val="auto"/>
          <w:sz w:val="22"/>
          <w:szCs w:val="22"/>
        </w:rPr>
      </w:pPr>
    </w:p>
    <w:p w:rsidR="009D16C7" w:rsidRPr="00475962" w:rsidRDefault="009D16C7" w:rsidP="009D16C7">
      <w:pPr>
        <w:pStyle w:val="Default"/>
        <w:numPr>
          <w:ilvl w:val="0"/>
          <w:numId w:val="17"/>
        </w:numPr>
        <w:rPr>
          <w:rFonts w:ascii="Calibri" w:hAnsi="Calibri"/>
          <w:color w:val="auto"/>
          <w:sz w:val="22"/>
          <w:szCs w:val="22"/>
        </w:rPr>
      </w:pPr>
      <w:r w:rsidRPr="00475962">
        <w:rPr>
          <w:rFonts w:ascii="Calibri" w:hAnsi="Calibri"/>
          <w:color w:val="auto"/>
          <w:sz w:val="22"/>
          <w:szCs w:val="22"/>
        </w:rPr>
        <w:t xml:space="preserve">Delivering the contracted activity volumes </w:t>
      </w:r>
    </w:p>
    <w:p w:rsidR="009D16C7" w:rsidRPr="00911417" w:rsidRDefault="009D16C7" w:rsidP="009D16C7">
      <w:pPr>
        <w:pStyle w:val="Default"/>
        <w:numPr>
          <w:ilvl w:val="0"/>
          <w:numId w:val="20"/>
        </w:numPr>
        <w:rPr>
          <w:rFonts w:ascii="Calibri" w:hAnsi="Calibri"/>
          <w:sz w:val="22"/>
          <w:szCs w:val="22"/>
        </w:rPr>
      </w:pPr>
      <w:r w:rsidRPr="00B507F4">
        <w:rPr>
          <w:rFonts w:ascii="Calibri" w:hAnsi="Calibri"/>
          <w:color w:val="auto"/>
          <w:sz w:val="22"/>
          <w:szCs w:val="22"/>
        </w:rPr>
        <w:t>By early September you should have discussed and received Trust forecasts of their 2018/19 activity and performance commitments to ensure they are back on track to deliver the activity commitments in CCG plans. Where Trusts determine that they will no longer be able to meet this CCGs should work with Trusts to determine how these gaps will be closed through use of capacity in other trusts and/or the independent sector. Any contingency plan for work carried out by other Trusts or the independent sector should be available to mobilise by mid-September.</w:t>
      </w:r>
    </w:p>
    <w:p w:rsidR="009D16C7" w:rsidRPr="00911417" w:rsidRDefault="009D16C7" w:rsidP="009D16C7">
      <w:pPr>
        <w:pStyle w:val="Default"/>
        <w:rPr>
          <w:rFonts w:ascii="Calibri" w:hAnsi="Calibri"/>
          <w:sz w:val="22"/>
          <w:szCs w:val="22"/>
        </w:rPr>
      </w:pPr>
    </w:p>
    <w:p w:rsidR="009D16C7" w:rsidRPr="00DC2354" w:rsidRDefault="009D16C7" w:rsidP="009D16C7">
      <w:pPr>
        <w:pStyle w:val="Default"/>
        <w:numPr>
          <w:ilvl w:val="0"/>
          <w:numId w:val="17"/>
        </w:numPr>
        <w:rPr>
          <w:rFonts w:ascii="Calibri" w:hAnsi="Calibri"/>
          <w:color w:val="auto"/>
          <w:sz w:val="22"/>
          <w:szCs w:val="22"/>
        </w:rPr>
      </w:pPr>
      <w:r w:rsidRPr="00DC2354">
        <w:rPr>
          <w:rFonts w:ascii="Calibri" w:hAnsi="Calibri"/>
          <w:color w:val="auto"/>
          <w:sz w:val="22"/>
          <w:szCs w:val="22"/>
        </w:rPr>
        <w:t xml:space="preserve">Continuing to manage elective demand </w:t>
      </w:r>
    </w:p>
    <w:p w:rsidR="009D16C7" w:rsidRPr="005321EF" w:rsidRDefault="009D16C7" w:rsidP="009D16C7">
      <w:pPr>
        <w:numPr>
          <w:ilvl w:val="0"/>
          <w:numId w:val="20"/>
        </w:numPr>
        <w:rPr>
          <w:rFonts w:ascii="Calibri" w:eastAsia="Verdana" w:hAnsi="Calibri" w:cs="Calibri"/>
          <w:bCs/>
          <w:color w:val="000000"/>
          <w:sz w:val="22"/>
          <w:szCs w:val="22"/>
        </w:rPr>
      </w:pPr>
      <w:r w:rsidRPr="00DC2354">
        <w:rPr>
          <w:rFonts w:ascii="Calibri" w:hAnsi="Calibri"/>
          <w:sz w:val="22"/>
          <w:szCs w:val="22"/>
        </w:rPr>
        <w:t xml:space="preserve">It is crucially important that we do not lose </w:t>
      </w:r>
      <w:r>
        <w:rPr>
          <w:rFonts w:ascii="Calibri" w:hAnsi="Calibri"/>
          <w:sz w:val="22"/>
          <w:szCs w:val="22"/>
        </w:rPr>
        <w:t>the recent pathway and referral management</w:t>
      </w:r>
      <w:r w:rsidRPr="00DC2354">
        <w:rPr>
          <w:rFonts w:ascii="Calibri" w:hAnsi="Calibri"/>
          <w:sz w:val="22"/>
          <w:szCs w:val="22"/>
        </w:rPr>
        <w:t xml:space="preserve"> </w:t>
      </w:r>
      <w:r>
        <w:rPr>
          <w:rFonts w:ascii="Calibri" w:hAnsi="Calibri"/>
          <w:sz w:val="22"/>
          <w:szCs w:val="22"/>
        </w:rPr>
        <w:t xml:space="preserve">gains that have been put in place </w:t>
      </w:r>
      <w:r w:rsidRPr="00DC2354">
        <w:rPr>
          <w:rFonts w:ascii="Calibri" w:hAnsi="Calibri"/>
          <w:sz w:val="22"/>
          <w:szCs w:val="22"/>
        </w:rPr>
        <w:t>and continue to innovate service access to make sure that the patients who are referred to hospital outpatients or who are managed through repeated outpatient visits are those for whom that is really the best and only care pathway.</w:t>
      </w:r>
    </w:p>
    <w:p w:rsidR="009D16C7" w:rsidRDefault="009D16C7" w:rsidP="009D16C7">
      <w:pPr>
        <w:rPr>
          <w:rFonts w:ascii="Calibri" w:eastAsia="Verdana" w:hAnsi="Calibri" w:cs="Calibri"/>
          <w:bCs/>
          <w:color w:val="000000"/>
          <w:sz w:val="22"/>
          <w:szCs w:val="22"/>
        </w:rPr>
      </w:pPr>
    </w:p>
    <w:p w:rsidR="009D16C7" w:rsidRDefault="009D16C7" w:rsidP="009D16C7">
      <w:pPr>
        <w:rPr>
          <w:rFonts w:ascii="Calibri" w:eastAsia="Verdana" w:hAnsi="Calibri" w:cs="Calibri"/>
          <w:bCs/>
          <w:color w:val="000000"/>
          <w:sz w:val="22"/>
          <w:szCs w:val="22"/>
        </w:rPr>
      </w:pPr>
    </w:p>
    <w:p w:rsidR="009D16C7" w:rsidRDefault="009D16C7" w:rsidP="009D16C7">
      <w:pPr>
        <w:rPr>
          <w:rFonts w:ascii="Calibri" w:eastAsia="Verdana" w:hAnsi="Calibri" w:cs="Calibri"/>
          <w:bCs/>
          <w:color w:val="000000"/>
          <w:sz w:val="22"/>
          <w:szCs w:val="22"/>
        </w:rPr>
      </w:pPr>
    </w:p>
    <w:p w:rsidR="009D16C7" w:rsidRPr="00B507F4" w:rsidRDefault="009D16C7" w:rsidP="009D16C7">
      <w:pPr>
        <w:rPr>
          <w:rFonts w:ascii="Calibri" w:eastAsia="Verdana" w:hAnsi="Calibri" w:cs="Calibri"/>
          <w:b/>
          <w:bCs/>
          <w:color w:val="000000"/>
          <w:sz w:val="28"/>
          <w:szCs w:val="32"/>
        </w:rPr>
      </w:pPr>
      <w:r w:rsidRPr="00B507F4">
        <w:rPr>
          <w:rFonts w:ascii="Calibri" w:eastAsia="Verdana" w:hAnsi="Calibri" w:cs="Calibri"/>
          <w:b/>
          <w:bCs/>
          <w:color w:val="000000"/>
          <w:sz w:val="28"/>
          <w:szCs w:val="32"/>
        </w:rPr>
        <w:lastRenderedPageBreak/>
        <w:t>NELCCGs Performance</w:t>
      </w:r>
    </w:p>
    <w:p w:rsidR="009D16C7" w:rsidRDefault="009D16C7" w:rsidP="009D16C7">
      <w:pPr>
        <w:rPr>
          <w:rFonts w:ascii="Calibri" w:eastAsia="Verdana" w:hAnsi="Calibri" w:cs="Calibri"/>
          <w:bCs/>
          <w:color w:val="000000"/>
          <w:sz w:val="22"/>
          <w:szCs w:val="22"/>
        </w:rPr>
      </w:pPr>
    </w:p>
    <w:p w:rsidR="00680409" w:rsidRDefault="00680409" w:rsidP="009D16C7">
      <w:pPr>
        <w:rPr>
          <w:rFonts w:ascii="Calibri" w:eastAsia="Verdana" w:hAnsi="Calibri" w:cs="Calibri"/>
          <w:bCs/>
          <w:color w:val="000000"/>
          <w:sz w:val="22"/>
          <w:szCs w:val="22"/>
        </w:rPr>
      </w:pPr>
      <w:r>
        <w:rPr>
          <w:rFonts w:ascii="Calibri" w:eastAsia="Verdana" w:hAnsi="Calibri" w:cs="Calibri"/>
          <w:bCs/>
          <w:color w:val="000000"/>
          <w:sz w:val="22"/>
          <w:szCs w:val="22"/>
        </w:rPr>
        <w:t>NELCCG are starting the year with relatively poor performance in respect to waiting times and there are capacity challenges in certain service areas to deliver the required level of activity to stabilise or reduce waiting lists. However planned activity levels are being met and both performance and waiting list numbers are improving in the early part of 2018-19.</w:t>
      </w:r>
    </w:p>
    <w:p w:rsidR="00680409" w:rsidRDefault="00680409" w:rsidP="009D16C7">
      <w:pPr>
        <w:rPr>
          <w:rFonts w:ascii="Calibri" w:eastAsia="Verdana" w:hAnsi="Calibri" w:cs="Calibri"/>
          <w:bCs/>
          <w:color w:val="000000"/>
          <w:sz w:val="22"/>
          <w:szCs w:val="22"/>
        </w:rPr>
      </w:pPr>
    </w:p>
    <w:p w:rsidR="009D16C7" w:rsidRDefault="009D16C7" w:rsidP="009D16C7">
      <w:pPr>
        <w:rPr>
          <w:rFonts w:ascii="Calibri" w:eastAsia="Verdana" w:hAnsi="Calibri" w:cs="Calibri"/>
          <w:bCs/>
          <w:color w:val="000000"/>
          <w:sz w:val="22"/>
          <w:szCs w:val="22"/>
        </w:rPr>
      </w:pPr>
      <w:r>
        <w:rPr>
          <w:rFonts w:ascii="Calibri" w:eastAsia="Verdana" w:hAnsi="Calibri" w:cs="Calibri"/>
          <w:bCs/>
          <w:color w:val="000000"/>
          <w:sz w:val="22"/>
          <w:szCs w:val="22"/>
        </w:rPr>
        <w:t>In respect to planned and delivered levels of activity the table below sets out the position after the first quarter of the year for NELCCG in 2018-19. Total referrals are in line with 2017-18 levels and are 2.7% below the planned level which has accounted for expected growth from demographic changes and the fact that there have been more working days in the first quarter of 2018-19 compared to the 2017-18 and therefore there has been a reduction in referrals in real terms. To add to this NELCCG also have the 5</w:t>
      </w:r>
      <w:r w:rsidRPr="009D16C7">
        <w:rPr>
          <w:rFonts w:ascii="Calibri" w:eastAsia="Verdana" w:hAnsi="Calibri" w:cs="Calibri"/>
          <w:bCs/>
          <w:color w:val="000000"/>
          <w:sz w:val="22"/>
          <w:szCs w:val="22"/>
          <w:vertAlign w:val="superscript"/>
        </w:rPr>
        <w:t>th</w:t>
      </w:r>
      <w:r>
        <w:rPr>
          <w:rFonts w:ascii="Calibri" w:eastAsia="Verdana" w:hAnsi="Calibri" w:cs="Calibri"/>
          <w:bCs/>
          <w:color w:val="000000"/>
          <w:sz w:val="22"/>
          <w:szCs w:val="22"/>
        </w:rPr>
        <w:t xml:space="preserve"> lowest rate of GP referrals in the country of 207 CCGs.</w:t>
      </w:r>
    </w:p>
    <w:p w:rsidR="009D16C7" w:rsidRDefault="009D16C7" w:rsidP="009D16C7">
      <w:pPr>
        <w:rPr>
          <w:rFonts w:ascii="Calibri" w:eastAsia="Verdana" w:hAnsi="Calibri" w:cs="Calibri"/>
          <w:bCs/>
          <w:color w:val="000000"/>
          <w:sz w:val="22"/>
          <w:szCs w:val="22"/>
        </w:rPr>
      </w:pPr>
    </w:p>
    <w:p w:rsidR="009D16C7" w:rsidRDefault="009D16C7" w:rsidP="009D16C7">
      <w:pPr>
        <w:rPr>
          <w:rFonts w:ascii="Calibri" w:eastAsia="Verdana" w:hAnsi="Calibri" w:cs="Calibri"/>
          <w:bCs/>
          <w:color w:val="000000"/>
          <w:sz w:val="22"/>
          <w:szCs w:val="22"/>
        </w:rPr>
      </w:pPr>
      <w:r>
        <w:rPr>
          <w:rFonts w:ascii="Calibri" w:eastAsia="Verdana" w:hAnsi="Calibri" w:cs="Calibri"/>
          <w:bCs/>
          <w:color w:val="000000"/>
          <w:sz w:val="22"/>
          <w:szCs w:val="22"/>
        </w:rPr>
        <w:t>Despite referral rates being below plan</w:t>
      </w:r>
      <w:r w:rsidR="00F62F42">
        <w:rPr>
          <w:rFonts w:ascii="Calibri" w:eastAsia="Verdana" w:hAnsi="Calibri" w:cs="Calibri"/>
          <w:bCs/>
          <w:color w:val="000000"/>
          <w:sz w:val="22"/>
          <w:szCs w:val="22"/>
        </w:rPr>
        <w:t>,</w:t>
      </w:r>
      <w:r>
        <w:rPr>
          <w:rFonts w:ascii="Calibri" w:eastAsia="Verdana" w:hAnsi="Calibri" w:cs="Calibri"/>
          <w:bCs/>
          <w:color w:val="000000"/>
          <w:sz w:val="22"/>
          <w:szCs w:val="22"/>
        </w:rPr>
        <w:t xml:space="preserve"> the level of outpatients has increased and is above plan to the extent of 2.8% and 3.4% for first and follow-up attendances, respectively. Much of the increase in outpatients is being driven by activity in Ophthalmology and Dermat</w:t>
      </w:r>
      <w:r w:rsidR="00F62F42">
        <w:rPr>
          <w:rFonts w:ascii="Calibri" w:eastAsia="Verdana" w:hAnsi="Calibri" w:cs="Calibri"/>
          <w:bCs/>
          <w:color w:val="000000"/>
          <w:sz w:val="22"/>
          <w:szCs w:val="22"/>
        </w:rPr>
        <w:t>ology. Ophthalmology is an area</w:t>
      </w:r>
      <w:r>
        <w:rPr>
          <w:rFonts w:ascii="Calibri" w:eastAsia="Verdana" w:hAnsi="Calibri" w:cs="Calibri"/>
          <w:bCs/>
          <w:color w:val="000000"/>
          <w:sz w:val="22"/>
          <w:szCs w:val="22"/>
        </w:rPr>
        <w:t xml:space="preserve"> where the CCG has seen significant improvement in waiting times in the early part of 2018-19 and therefore is thought to be associated with the additional capacity for seeing and treating patients by the contract put in place with New Medica in April 2017 and the additional capacity NLAG have realised</w:t>
      </w:r>
      <w:r w:rsidR="00F62F42">
        <w:rPr>
          <w:rFonts w:ascii="Calibri" w:eastAsia="Verdana" w:hAnsi="Calibri" w:cs="Calibri"/>
          <w:bCs/>
          <w:color w:val="000000"/>
          <w:sz w:val="22"/>
          <w:szCs w:val="22"/>
        </w:rPr>
        <w:t>,</w:t>
      </w:r>
      <w:r>
        <w:rPr>
          <w:rFonts w:ascii="Calibri" w:eastAsia="Verdana" w:hAnsi="Calibri" w:cs="Calibri"/>
          <w:bCs/>
          <w:color w:val="000000"/>
          <w:sz w:val="22"/>
          <w:szCs w:val="22"/>
        </w:rPr>
        <w:t xml:space="preserve"> in part facilitated by referrals increasing at New Medica. The increase in dermatology appointments is again linked to a new provider (Virgin Care) starting in April 2017 who have improved waiting times significantly in this specialty.</w:t>
      </w:r>
    </w:p>
    <w:p w:rsidR="009D16C7" w:rsidRDefault="009D16C7" w:rsidP="009D16C7">
      <w:pPr>
        <w:rPr>
          <w:rFonts w:ascii="Calibri" w:eastAsia="Verdana" w:hAnsi="Calibri" w:cs="Calibri"/>
          <w:bCs/>
          <w:color w:val="000000"/>
          <w:sz w:val="22"/>
          <w:szCs w:val="22"/>
        </w:rPr>
      </w:pPr>
    </w:p>
    <w:p w:rsidR="009D16C7" w:rsidRDefault="009D16C7" w:rsidP="009D16C7">
      <w:pPr>
        <w:rPr>
          <w:rFonts w:ascii="Calibri" w:eastAsia="Verdana" w:hAnsi="Calibri" w:cs="Calibri"/>
          <w:bCs/>
          <w:color w:val="000000"/>
          <w:sz w:val="22"/>
          <w:szCs w:val="22"/>
        </w:rPr>
      </w:pPr>
      <w:r>
        <w:rPr>
          <w:rFonts w:ascii="Calibri" w:eastAsia="Verdana" w:hAnsi="Calibri" w:cs="Calibri"/>
          <w:bCs/>
          <w:color w:val="000000"/>
          <w:sz w:val="22"/>
          <w:szCs w:val="22"/>
        </w:rPr>
        <w:t>Although elective inpatient and daycase spells are below plan we have seen a small increase in activity from last year. Again procedures in Ophthalmology have seen a significant increase (60%) in 2018-19 whereas the area with the greatest reduction has been gastroenterology and, in particular, a reduction in endoscopy procedures of 14%. Endoscopy, to put in to context, equates to 22% of all daycase spells for NELCCG and has been a particular focus across Northern Lincolnshire to improve gastrointestinal disease pathways which were expected to reduce demand for endoscopy procedures.</w:t>
      </w:r>
    </w:p>
    <w:p w:rsidR="009D16C7" w:rsidRPr="005321EF" w:rsidRDefault="009D16C7" w:rsidP="009D16C7">
      <w:pPr>
        <w:rPr>
          <w:rFonts w:ascii="Calibri" w:eastAsia="Verdana" w:hAnsi="Calibri" w:cs="Calibri"/>
          <w:bCs/>
          <w:color w:val="000000"/>
          <w:sz w:val="22"/>
          <w:szCs w:val="22"/>
        </w:rPr>
      </w:pPr>
    </w:p>
    <w:tbl>
      <w:tblPr>
        <w:tblW w:w="8946" w:type="dxa"/>
        <w:tblInd w:w="93" w:type="dxa"/>
        <w:tblLook w:val="04A0" w:firstRow="1" w:lastRow="0" w:firstColumn="1" w:lastColumn="0" w:noHBand="0" w:noVBand="1"/>
      </w:tblPr>
      <w:tblGrid>
        <w:gridCol w:w="2680"/>
        <w:gridCol w:w="1163"/>
        <w:gridCol w:w="1134"/>
        <w:gridCol w:w="1134"/>
        <w:gridCol w:w="1417"/>
        <w:gridCol w:w="1418"/>
      </w:tblGrid>
      <w:tr w:rsidR="009D16C7" w:rsidRPr="004228C3" w:rsidTr="001333A9">
        <w:trPr>
          <w:trHeight w:val="915"/>
        </w:trPr>
        <w:tc>
          <w:tcPr>
            <w:tcW w:w="2680" w:type="dxa"/>
            <w:tcBorders>
              <w:top w:val="single" w:sz="4" w:space="0" w:color="auto"/>
              <w:left w:val="single" w:sz="4" w:space="0" w:color="auto"/>
              <w:bottom w:val="single" w:sz="4" w:space="0" w:color="auto"/>
              <w:right w:val="single" w:sz="4" w:space="0" w:color="auto"/>
            </w:tcBorders>
            <w:shd w:val="clear" w:color="000000" w:fill="1F497D"/>
            <w:noWrap/>
            <w:vAlign w:val="bottom"/>
            <w:hideMark/>
          </w:tcPr>
          <w:p w:rsidR="009D16C7" w:rsidRPr="004228C3" w:rsidRDefault="009D16C7" w:rsidP="001333A9">
            <w:pPr>
              <w:rPr>
                <w:rFonts w:ascii="Calibri" w:hAnsi="Calibri"/>
                <w:b/>
                <w:bCs/>
                <w:color w:val="FFFFFF"/>
                <w:sz w:val="22"/>
                <w:szCs w:val="22"/>
                <w:lang w:eastAsia="en-GB"/>
              </w:rPr>
            </w:pPr>
            <w:r w:rsidRPr="004228C3">
              <w:rPr>
                <w:rFonts w:ascii="Calibri" w:hAnsi="Calibri"/>
                <w:b/>
                <w:bCs/>
                <w:color w:val="FFFFFF"/>
                <w:sz w:val="22"/>
                <w:szCs w:val="22"/>
                <w:lang w:eastAsia="en-GB"/>
              </w:rPr>
              <w:t>Point of delivery</w:t>
            </w:r>
          </w:p>
        </w:tc>
        <w:tc>
          <w:tcPr>
            <w:tcW w:w="1163" w:type="dxa"/>
            <w:tcBorders>
              <w:top w:val="single" w:sz="4" w:space="0" w:color="auto"/>
              <w:left w:val="nil"/>
              <w:bottom w:val="single" w:sz="4" w:space="0" w:color="auto"/>
              <w:right w:val="single" w:sz="4" w:space="0" w:color="auto"/>
            </w:tcBorders>
            <w:shd w:val="clear" w:color="000000" w:fill="1F497D"/>
            <w:vAlign w:val="bottom"/>
            <w:hideMark/>
          </w:tcPr>
          <w:p w:rsidR="009D16C7" w:rsidRPr="004228C3" w:rsidRDefault="009D16C7" w:rsidP="001333A9">
            <w:pPr>
              <w:jc w:val="center"/>
              <w:rPr>
                <w:rFonts w:ascii="Calibri" w:hAnsi="Calibri"/>
                <w:b/>
                <w:bCs/>
                <w:color w:val="FFFFFF"/>
                <w:sz w:val="22"/>
                <w:szCs w:val="22"/>
                <w:lang w:eastAsia="en-GB"/>
              </w:rPr>
            </w:pPr>
            <w:r w:rsidRPr="004228C3">
              <w:rPr>
                <w:rFonts w:ascii="Calibri" w:hAnsi="Calibri"/>
                <w:b/>
                <w:bCs/>
                <w:color w:val="FFFFFF"/>
                <w:sz w:val="22"/>
                <w:szCs w:val="22"/>
                <w:lang w:eastAsia="en-GB"/>
              </w:rPr>
              <w:t>2017-18 actuals</w:t>
            </w:r>
          </w:p>
        </w:tc>
        <w:tc>
          <w:tcPr>
            <w:tcW w:w="1134" w:type="dxa"/>
            <w:tcBorders>
              <w:top w:val="single" w:sz="4" w:space="0" w:color="auto"/>
              <w:left w:val="nil"/>
              <w:bottom w:val="single" w:sz="4" w:space="0" w:color="auto"/>
              <w:right w:val="single" w:sz="4" w:space="0" w:color="auto"/>
            </w:tcBorders>
            <w:shd w:val="clear" w:color="000000" w:fill="1F497D"/>
            <w:vAlign w:val="bottom"/>
            <w:hideMark/>
          </w:tcPr>
          <w:p w:rsidR="009D16C7" w:rsidRPr="004228C3" w:rsidRDefault="009D16C7" w:rsidP="001333A9">
            <w:pPr>
              <w:jc w:val="center"/>
              <w:rPr>
                <w:rFonts w:ascii="Calibri" w:hAnsi="Calibri"/>
                <w:b/>
                <w:bCs/>
                <w:color w:val="FFFFFF"/>
                <w:sz w:val="22"/>
                <w:szCs w:val="22"/>
                <w:lang w:eastAsia="en-GB"/>
              </w:rPr>
            </w:pPr>
            <w:r w:rsidRPr="004228C3">
              <w:rPr>
                <w:rFonts w:ascii="Calibri" w:hAnsi="Calibri"/>
                <w:b/>
                <w:bCs/>
                <w:color w:val="FFFFFF"/>
                <w:sz w:val="22"/>
                <w:szCs w:val="22"/>
                <w:lang w:eastAsia="en-GB"/>
              </w:rPr>
              <w:t>2018-19 actuals</w:t>
            </w:r>
          </w:p>
        </w:tc>
        <w:tc>
          <w:tcPr>
            <w:tcW w:w="1134" w:type="dxa"/>
            <w:tcBorders>
              <w:top w:val="single" w:sz="4" w:space="0" w:color="auto"/>
              <w:left w:val="nil"/>
              <w:bottom w:val="single" w:sz="4" w:space="0" w:color="auto"/>
              <w:right w:val="single" w:sz="4" w:space="0" w:color="auto"/>
            </w:tcBorders>
            <w:shd w:val="clear" w:color="000000" w:fill="1F497D"/>
            <w:vAlign w:val="bottom"/>
            <w:hideMark/>
          </w:tcPr>
          <w:p w:rsidR="009D16C7" w:rsidRPr="004228C3" w:rsidRDefault="009D16C7" w:rsidP="001333A9">
            <w:pPr>
              <w:jc w:val="center"/>
              <w:rPr>
                <w:rFonts w:ascii="Calibri" w:hAnsi="Calibri"/>
                <w:b/>
                <w:bCs/>
                <w:color w:val="FFFFFF"/>
                <w:sz w:val="22"/>
                <w:szCs w:val="22"/>
                <w:lang w:eastAsia="en-GB"/>
              </w:rPr>
            </w:pPr>
            <w:r w:rsidRPr="004228C3">
              <w:rPr>
                <w:rFonts w:ascii="Calibri" w:hAnsi="Calibri"/>
                <w:b/>
                <w:bCs/>
                <w:color w:val="FFFFFF"/>
                <w:sz w:val="22"/>
                <w:szCs w:val="22"/>
                <w:lang w:eastAsia="en-GB"/>
              </w:rPr>
              <w:t>2018-19 plan</w:t>
            </w:r>
          </w:p>
        </w:tc>
        <w:tc>
          <w:tcPr>
            <w:tcW w:w="1417" w:type="dxa"/>
            <w:tcBorders>
              <w:top w:val="single" w:sz="4" w:space="0" w:color="auto"/>
              <w:left w:val="nil"/>
              <w:bottom w:val="single" w:sz="4" w:space="0" w:color="auto"/>
              <w:right w:val="single" w:sz="4" w:space="0" w:color="auto"/>
            </w:tcBorders>
            <w:shd w:val="clear" w:color="000000" w:fill="1F497D"/>
            <w:vAlign w:val="bottom"/>
            <w:hideMark/>
          </w:tcPr>
          <w:p w:rsidR="009D16C7" w:rsidRPr="004228C3" w:rsidRDefault="009D16C7" w:rsidP="001333A9">
            <w:pPr>
              <w:jc w:val="center"/>
              <w:rPr>
                <w:rFonts w:ascii="Calibri" w:hAnsi="Calibri"/>
                <w:b/>
                <w:bCs/>
                <w:color w:val="FFFFFF"/>
                <w:sz w:val="22"/>
                <w:szCs w:val="22"/>
                <w:lang w:eastAsia="en-GB"/>
              </w:rPr>
            </w:pPr>
            <w:r w:rsidRPr="004228C3">
              <w:rPr>
                <w:rFonts w:ascii="Calibri" w:hAnsi="Calibri"/>
                <w:b/>
                <w:bCs/>
                <w:color w:val="FFFFFF"/>
                <w:sz w:val="22"/>
                <w:szCs w:val="22"/>
                <w:lang w:eastAsia="en-GB"/>
              </w:rPr>
              <w:t>Y</w:t>
            </w:r>
            <w:r>
              <w:rPr>
                <w:rFonts w:ascii="Calibri" w:hAnsi="Calibri"/>
                <w:b/>
                <w:bCs/>
                <w:color w:val="FFFFFF"/>
                <w:sz w:val="22"/>
                <w:szCs w:val="22"/>
                <w:lang w:eastAsia="en-GB"/>
              </w:rPr>
              <w:t>ea</w:t>
            </w:r>
            <w:r w:rsidRPr="004228C3">
              <w:rPr>
                <w:rFonts w:ascii="Calibri" w:hAnsi="Calibri"/>
                <w:b/>
                <w:bCs/>
                <w:color w:val="FFFFFF"/>
                <w:sz w:val="22"/>
                <w:szCs w:val="22"/>
                <w:lang w:eastAsia="en-GB"/>
              </w:rPr>
              <w:t>r on y</w:t>
            </w:r>
            <w:r>
              <w:rPr>
                <w:rFonts w:ascii="Calibri" w:hAnsi="Calibri"/>
                <w:b/>
                <w:bCs/>
                <w:color w:val="FFFFFF"/>
                <w:sz w:val="22"/>
                <w:szCs w:val="22"/>
                <w:lang w:eastAsia="en-GB"/>
              </w:rPr>
              <w:t>ea</w:t>
            </w:r>
            <w:r w:rsidRPr="004228C3">
              <w:rPr>
                <w:rFonts w:ascii="Calibri" w:hAnsi="Calibri"/>
                <w:b/>
                <w:bCs/>
                <w:color w:val="FFFFFF"/>
                <w:sz w:val="22"/>
                <w:szCs w:val="22"/>
                <w:lang w:eastAsia="en-GB"/>
              </w:rPr>
              <w:t>r change</w:t>
            </w:r>
          </w:p>
        </w:tc>
        <w:tc>
          <w:tcPr>
            <w:tcW w:w="1418" w:type="dxa"/>
            <w:tcBorders>
              <w:top w:val="single" w:sz="4" w:space="0" w:color="auto"/>
              <w:left w:val="nil"/>
              <w:bottom w:val="single" w:sz="4" w:space="0" w:color="auto"/>
              <w:right w:val="single" w:sz="4" w:space="0" w:color="auto"/>
            </w:tcBorders>
            <w:shd w:val="clear" w:color="000000" w:fill="1F497D"/>
            <w:vAlign w:val="bottom"/>
            <w:hideMark/>
          </w:tcPr>
          <w:p w:rsidR="009D16C7" w:rsidRPr="004228C3" w:rsidRDefault="009D16C7" w:rsidP="001333A9">
            <w:pPr>
              <w:jc w:val="center"/>
              <w:rPr>
                <w:rFonts w:ascii="Calibri" w:hAnsi="Calibri"/>
                <w:b/>
                <w:bCs/>
                <w:color w:val="FFFFFF"/>
                <w:sz w:val="22"/>
                <w:szCs w:val="22"/>
                <w:lang w:eastAsia="en-GB"/>
              </w:rPr>
            </w:pPr>
            <w:r w:rsidRPr="004228C3">
              <w:rPr>
                <w:rFonts w:ascii="Calibri" w:hAnsi="Calibri"/>
                <w:b/>
                <w:bCs/>
                <w:color w:val="FFFFFF"/>
                <w:sz w:val="22"/>
                <w:szCs w:val="22"/>
                <w:lang w:eastAsia="en-GB"/>
              </w:rPr>
              <w:t>Variance from plan</w:t>
            </w:r>
          </w:p>
        </w:tc>
      </w:tr>
      <w:tr w:rsidR="009D16C7" w:rsidRPr="004228C3" w:rsidTr="001333A9">
        <w:trPr>
          <w:trHeight w:val="293"/>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9D16C7" w:rsidRPr="004228C3" w:rsidRDefault="009D16C7" w:rsidP="001333A9">
            <w:pPr>
              <w:rPr>
                <w:rFonts w:ascii="Calibri" w:hAnsi="Calibri"/>
                <w:color w:val="000000"/>
                <w:sz w:val="22"/>
                <w:szCs w:val="22"/>
                <w:lang w:eastAsia="en-GB"/>
              </w:rPr>
            </w:pPr>
            <w:r w:rsidRPr="004228C3">
              <w:rPr>
                <w:rFonts w:ascii="Calibri" w:hAnsi="Calibri"/>
                <w:color w:val="000000"/>
                <w:sz w:val="22"/>
                <w:szCs w:val="22"/>
                <w:lang w:eastAsia="en-GB"/>
              </w:rPr>
              <w:t>GP referrals</w:t>
            </w:r>
          </w:p>
        </w:tc>
        <w:tc>
          <w:tcPr>
            <w:tcW w:w="1163"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6,518</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6,706</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6,756</w:t>
            </w:r>
          </w:p>
        </w:tc>
        <w:tc>
          <w:tcPr>
            <w:tcW w:w="1417"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2.9%</w:t>
            </w:r>
          </w:p>
        </w:tc>
        <w:tc>
          <w:tcPr>
            <w:tcW w:w="1418" w:type="dxa"/>
            <w:tcBorders>
              <w:top w:val="nil"/>
              <w:left w:val="nil"/>
              <w:bottom w:val="single" w:sz="4" w:space="0" w:color="auto"/>
              <w:right w:val="single" w:sz="4" w:space="0" w:color="auto"/>
            </w:tcBorders>
            <w:shd w:val="clear" w:color="auto" w:fill="auto"/>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-0.7%</w:t>
            </w:r>
          </w:p>
        </w:tc>
      </w:tr>
      <w:tr w:rsidR="009D16C7" w:rsidRPr="004228C3" w:rsidTr="001333A9">
        <w:trPr>
          <w:trHeight w:val="315"/>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9D16C7" w:rsidRPr="004228C3" w:rsidRDefault="009D16C7" w:rsidP="001333A9">
            <w:pPr>
              <w:rPr>
                <w:rFonts w:ascii="Calibri" w:hAnsi="Calibri"/>
                <w:color w:val="000000"/>
                <w:sz w:val="22"/>
                <w:szCs w:val="22"/>
                <w:lang w:eastAsia="en-GB"/>
              </w:rPr>
            </w:pPr>
            <w:r w:rsidRPr="004228C3">
              <w:rPr>
                <w:rFonts w:ascii="Calibri" w:hAnsi="Calibri"/>
                <w:color w:val="000000"/>
                <w:sz w:val="22"/>
                <w:szCs w:val="22"/>
                <w:lang w:eastAsia="en-GB"/>
              </w:rPr>
              <w:t>Other referrals</w:t>
            </w:r>
          </w:p>
        </w:tc>
        <w:tc>
          <w:tcPr>
            <w:tcW w:w="1163"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6,285</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6,100</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6,399</w:t>
            </w:r>
          </w:p>
        </w:tc>
        <w:tc>
          <w:tcPr>
            <w:tcW w:w="1417"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-2.9%</w:t>
            </w:r>
          </w:p>
        </w:tc>
        <w:tc>
          <w:tcPr>
            <w:tcW w:w="1418" w:type="dxa"/>
            <w:tcBorders>
              <w:top w:val="nil"/>
              <w:left w:val="nil"/>
              <w:bottom w:val="single" w:sz="4" w:space="0" w:color="auto"/>
              <w:right w:val="single" w:sz="4" w:space="0" w:color="auto"/>
            </w:tcBorders>
            <w:shd w:val="clear" w:color="auto" w:fill="auto"/>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-4.7%</w:t>
            </w:r>
          </w:p>
        </w:tc>
      </w:tr>
      <w:tr w:rsidR="009D16C7" w:rsidRPr="004228C3" w:rsidTr="001333A9">
        <w:trPr>
          <w:trHeight w:val="315"/>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9D16C7" w:rsidRPr="004228C3" w:rsidRDefault="009D16C7" w:rsidP="001333A9">
            <w:pPr>
              <w:rPr>
                <w:rFonts w:ascii="Calibri" w:hAnsi="Calibri"/>
                <w:color w:val="000000"/>
                <w:sz w:val="22"/>
                <w:szCs w:val="22"/>
                <w:lang w:eastAsia="en-GB"/>
              </w:rPr>
            </w:pPr>
            <w:r w:rsidRPr="004228C3">
              <w:rPr>
                <w:rFonts w:ascii="Calibri" w:hAnsi="Calibri"/>
                <w:color w:val="000000"/>
                <w:sz w:val="22"/>
                <w:szCs w:val="22"/>
                <w:lang w:eastAsia="en-GB"/>
              </w:rPr>
              <w:t>Total referrals</w:t>
            </w:r>
          </w:p>
        </w:tc>
        <w:tc>
          <w:tcPr>
            <w:tcW w:w="1163"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12,803</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12,806</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13,155</w:t>
            </w:r>
          </w:p>
        </w:tc>
        <w:tc>
          <w:tcPr>
            <w:tcW w:w="1417"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0.0%</w:t>
            </w:r>
          </w:p>
        </w:tc>
        <w:tc>
          <w:tcPr>
            <w:tcW w:w="1418" w:type="dxa"/>
            <w:tcBorders>
              <w:top w:val="nil"/>
              <w:left w:val="nil"/>
              <w:bottom w:val="single" w:sz="4" w:space="0" w:color="auto"/>
              <w:right w:val="single" w:sz="4" w:space="0" w:color="auto"/>
            </w:tcBorders>
            <w:shd w:val="clear" w:color="auto" w:fill="auto"/>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-2.7%</w:t>
            </w:r>
          </w:p>
        </w:tc>
      </w:tr>
      <w:tr w:rsidR="009D16C7" w:rsidRPr="004228C3" w:rsidTr="001333A9">
        <w:trPr>
          <w:trHeight w:val="208"/>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9D16C7" w:rsidRPr="004228C3" w:rsidRDefault="009D16C7" w:rsidP="001333A9">
            <w:pPr>
              <w:rPr>
                <w:rFonts w:ascii="Calibri" w:hAnsi="Calibri"/>
                <w:color w:val="000000"/>
                <w:sz w:val="22"/>
                <w:szCs w:val="22"/>
                <w:lang w:eastAsia="en-GB"/>
              </w:rPr>
            </w:pPr>
            <w:r w:rsidRPr="004228C3">
              <w:rPr>
                <w:rFonts w:ascii="Calibri" w:hAnsi="Calibri"/>
                <w:color w:val="000000"/>
                <w:sz w:val="22"/>
                <w:szCs w:val="22"/>
                <w:lang w:eastAsia="en-GB"/>
              </w:rPr>
              <w:t>Outpatient 1st attendances</w:t>
            </w:r>
          </w:p>
        </w:tc>
        <w:tc>
          <w:tcPr>
            <w:tcW w:w="1163"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12,102</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12,831</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12,477</w:t>
            </w:r>
          </w:p>
        </w:tc>
        <w:tc>
          <w:tcPr>
            <w:tcW w:w="1417"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6.0%</w:t>
            </w:r>
          </w:p>
        </w:tc>
        <w:tc>
          <w:tcPr>
            <w:tcW w:w="1418" w:type="dxa"/>
            <w:tcBorders>
              <w:top w:val="nil"/>
              <w:left w:val="nil"/>
              <w:bottom w:val="single" w:sz="4" w:space="0" w:color="auto"/>
              <w:right w:val="single" w:sz="4" w:space="0" w:color="auto"/>
            </w:tcBorders>
            <w:shd w:val="clear" w:color="auto" w:fill="auto"/>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2.8%</w:t>
            </w:r>
          </w:p>
        </w:tc>
      </w:tr>
      <w:tr w:rsidR="009D16C7" w:rsidRPr="004228C3" w:rsidTr="001333A9">
        <w:trPr>
          <w:trHeight w:val="315"/>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9D16C7" w:rsidRPr="004228C3" w:rsidRDefault="009D16C7" w:rsidP="001333A9">
            <w:pPr>
              <w:rPr>
                <w:rFonts w:ascii="Calibri" w:hAnsi="Calibri"/>
                <w:color w:val="000000"/>
                <w:sz w:val="22"/>
                <w:szCs w:val="22"/>
                <w:lang w:eastAsia="en-GB"/>
              </w:rPr>
            </w:pPr>
            <w:r w:rsidRPr="004228C3">
              <w:rPr>
                <w:rFonts w:ascii="Calibri" w:hAnsi="Calibri"/>
                <w:color w:val="000000"/>
                <w:sz w:val="22"/>
                <w:szCs w:val="22"/>
                <w:lang w:eastAsia="en-GB"/>
              </w:rPr>
              <w:t>Outpatient FU attendances</w:t>
            </w:r>
          </w:p>
        </w:tc>
        <w:tc>
          <w:tcPr>
            <w:tcW w:w="1163"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21,287</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23,419</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22,642</w:t>
            </w:r>
          </w:p>
        </w:tc>
        <w:tc>
          <w:tcPr>
            <w:tcW w:w="1417"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10.0%</w:t>
            </w:r>
          </w:p>
        </w:tc>
        <w:tc>
          <w:tcPr>
            <w:tcW w:w="1418" w:type="dxa"/>
            <w:tcBorders>
              <w:top w:val="nil"/>
              <w:left w:val="nil"/>
              <w:bottom w:val="single" w:sz="4" w:space="0" w:color="auto"/>
              <w:right w:val="single" w:sz="4" w:space="0" w:color="auto"/>
            </w:tcBorders>
            <w:shd w:val="clear" w:color="auto" w:fill="auto"/>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3.4%</w:t>
            </w:r>
          </w:p>
        </w:tc>
      </w:tr>
      <w:tr w:rsidR="009D16C7" w:rsidRPr="004228C3" w:rsidTr="001333A9">
        <w:trPr>
          <w:trHeight w:val="16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9D16C7" w:rsidRPr="004228C3" w:rsidRDefault="009D16C7" w:rsidP="001333A9">
            <w:pPr>
              <w:rPr>
                <w:rFonts w:ascii="Calibri" w:hAnsi="Calibri"/>
                <w:color w:val="000000"/>
                <w:sz w:val="22"/>
                <w:szCs w:val="22"/>
                <w:lang w:eastAsia="en-GB"/>
              </w:rPr>
            </w:pPr>
            <w:r w:rsidRPr="004228C3">
              <w:rPr>
                <w:rFonts w:ascii="Calibri" w:hAnsi="Calibri"/>
                <w:color w:val="000000"/>
                <w:sz w:val="22"/>
                <w:szCs w:val="22"/>
                <w:lang w:eastAsia="en-GB"/>
              </w:rPr>
              <w:t>Total Electives spells</w:t>
            </w:r>
          </w:p>
        </w:tc>
        <w:tc>
          <w:tcPr>
            <w:tcW w:w="1163"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7,609</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7,656</w:t>
            </w:r>
          </w:p>
        </w:tc>
        <w:tc>
          <w:tcPr>
            <w:tcW w:w="1134"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8,024</w:t>
            </w:r>
          </w:p>
        </w:tc>
        <w:tc>
          <w:tcPr>
            <w:tcW w:w="1417" w:type="dxa"/>
            <w:tcBorders>
              <w:top w:val="nil"/>
              <w:left w:val="nil"/>
              <w:bottom w:val="single" w:sz="4" w:space="0" w:color="auto"/>
              <w:right w:val="single" w:sz="4" w:space="0" w:color="auto"/>
            </w:tcBorders>
            <w:shd w:val="clear" w:color="000000" w:fill="FFFFFF"/>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0.6%</w:t>
            </w:r>
          </w:p>
        </w:tc>
        <w:tc>
          <w:tcPr>
            <w:tcW w:w="1418" w:type="dxa"/>
            <w:tcBorders>
              <w:top w:val="nil"/>
              <w:left w:val="nil"/>
              <w:bottom w:val="single" w:sz="4" w:space="0" w:color="auto"/>
              <w:right w:val="single" w:sz="4" w:space="0" w:color="auto"/>
            </w:tcBorders>
            <w:shd w:val="clear" w:color="auto" w:fill="auto"/>
            <w:vAlign w:val="center"/>
            <w:hideMark/>
          </w:tcPr>
          <w:p w:rsidR="009D16C7" w:rsidRPr="004228C3" w:rsidRDefault="009D16C7" w:rsidP="001333A9">
            <w:pPr>
              <w:jc w:val="center"/>
              <w:rPr>
                <w:rFonts w:ascii="Calibri" w:hAnsi="Calibri"/>
                <w:color w:val="000000"/>
                <w:sz w:val="22"/>
                <w:szCs w:val="22"/>
                <w:lang w:eastAsia="en-GB"/>
              </w:rPr>
            </w:pPr>
            <w:r w:rsidRPr="004228C3">
              <w:rPr>
                <w:rFonts w:ascii="Calibri" w:hAnsi="Calibri"/>
                <w:color w:val="000000"/>
                <w:sz w:val="22"/>
                <w:szCs w:val="22"/>
                <w:lang w:eastAsia="en-GB"/>
              </w:rPr>
              <w:t>-4.6%</w:t>
            </w:r>
          </w:p>
        </w:tc>
      </w:tr>
    </w:tbl>
    <w:p w:rsidR="009D16C7" w:rsidRDefault="009D16C7" w:rsidP="009D16C7">
      <w:pPr>
        <w:rPr>
          <w:rFonts w:ascii="Calibri" w:eastAsia="Verdana" w:hAnsi="Calibri" w:cs="Calibri"/>
          <w:bCs/>
          <w:color w:val="000000"/>
          <w:sz w:val="22"/>
          <w:szCs w:val="22"/>
        </w:rPr>
      </w:pPr>
    </w:p>
    <w:p w:rsidR="009D16C7" w:rsidRDefault="009D16C7" w:rsidP="009D16C7">
      <w:pPr>
        <w:rPr>
          <w:rFonts w:ascii="Calibri" w:eastAsia="Verdana" w:hAnsi="Calibri" w:cs="Calibri"/>
          <w:b/>
          <w:bCs/>
          <w:color w:val="000000"/>
          <w:sz w:val="32"/>
          <w:szCs w:val="32"/>
        </w:rPr>
      </w:pPr>
      <w:r>
        <w:rPr>
          <w:rFonts w:ascii="Calibri" w:eastAsia="Verdana" w:hAnsi="Calibri" w:cs="Calibri"/>
          <w:bCs/>
          <w:color w:val="000000"/>
          <w:sz w:val="22"/>
          <w:szCs w:val="22"/>
        </w:rPr>
        <w:t xml:space="preserve">Waiting times from referral to treatment (RTT) have improved month on month in the first four months of 2018-19 and, although there is still a significant issue locally around RTT performance, NELCCG are ahead of their planned improvement trajectory. Although, on face value, it appears that the number of patients on the waiting list has increased since the end of March 2018, it is actually the introduction of a new cohort of patients waiting for planned inpatient care that was not previously reported against this measure that has caused the increase. </w:t>
      </w:r>
      <w:r w:rsidR="00CE6584">
        <w:rPr>
          <w:rFonts w:ascii="Calibri" w:eastAsia="Verdana" w:hAnsi="Calibri" w:cs="Calibri"/>
          <w:bCs/>
          <w:color w:val="000000"/>
          <w:sz w:val="22"/>
          <w:szCs w:val="22"/>
        </w:rPr>
        <w:t>This was anticipated and planned</w:t>
      </w:r>
      <w:r>
        <w:rPr>
          <w:rFonts w:ascii="Calibri" w:eastAsia="Verdana" w:hAnsi="Calibri" w:cs="Calibri"/>
          <w:bCs/>
          <w:color w:val="000000"/>
          <w:sz w:val="22"/>
          <w:szCs w:val="22"/>
        </w:rPr>
        <w:t xml:space="preserve"> for in the CCGs operating plan and therefore we are currently below the planned waiting list numbers in July 2018 due to the reduction seen in the most recent month.  The greatest reductions have been seen in Ophthalmology, Neurology, Cardiology and Gastroenterology. Rheumatology and </w:t>
      </w:r>
      <w:r w:rsidR="00CE6584">
        <w:rPr>
          <w:rFonts w:ascii="Calibri" w:eastAsia="Verdana" w:hAnsi="Calibri" w:cs="Calibri"/>
          <w:bCs/>
          <w:color w:val="000000"/>
          <w:sz w:val="22"/>
          <w:szCs w:val="22"/>
        </w:rPr>
        <w:t>U</w:t>
      </w:r>
      <w:r>
        <w:rPr>
          <w:rFonts w:ascii="Calibri" w:eastAsia="Verdana" w:hAnsi="Calibri" w:cs="Calibri"/>
          <w:bCs/>
          <w:color w:val="000000"/>
          <w:sz w:val="22"/>
          <w:szCs w:val="22"/>
        </w:rPr>
        <w:t>rology waiting lists are increasing however and NLAG have requested that CCGs work with them to find alternative provision for chronic pain management services. North Lincs and NE Lincs CCGs have been working with current provision for pain management services to discuss options</w:t>
      </w:r>
      <w:r w:rsidR="00CE6584">
        <w:rPr>
          <w:rFonts w:ascii="Calibri" w:eastAsia="Verdana" w:hAnsi="Calibri" w:cs="Calibri"/>
          <w:bCs/>
          <w:color w:val="000000"/>
          <w:sz w:val="22"/>
          <w:szCs w:val="22"/>
        </w:rPr>
        <w:t>,</w:t>
      </w:r>
      <w:r>
        <w:rPr>
          <w:rFonts w:ascii="Calibri" w:eastAsia="Verdana" w:hAnsi="Calibri" w:cs="Calibri"/>
          <w:bCs/>
          <w:color w:val="000000"/>
          <w:sz w:val="22"/>
          <w:szCs w:val="22"/>
        </w:rPr>
        <w:t xml:space="preserve"> for patients who wish to do so</w:t>
      </w:r>
      <w:r w:rsidR="00CE6584">
        <w:rPr>
          <w:rFonts w:ascii="Calibri" w:eastAsia="Verdana" w:hAnsi="Calibri" w:cs="Calibri"/>
          <w:bCs/>
          <w:color w:val="000000"/>
          <w:sz w:val="22"/>
          <w:szCs w:val="22"/>
        </w:rPr>
        <w:t>,</w:t>
      </w:r>
      <w:r>
        <w:rPr>
          <w:rFonts w:ascii="Calibri" w:eastAsia="Verdana" w:hAnsi="Calibri" w:cs="Calibri"/>
          <w:bCs/>
          <w:color w:val="000000"/>
          <w:sz w:val="22"/>
          <w:szCs w:val="22"/>
        </w:rPr>
        <w:t xml:space="preserve"> to transfer from NLAG and ensuring that there is capacity for all new referrals to be referred elsewhere. Pain Management Solutions, St Hugh’s Hospital and </w:t>
      </w:r>
      <w:r>
        <w:rPr>
          <w:rFonts w:ascii="Calibri" w:eastAsia="Verdana" w:hAnsi="Calibri" w:cs="Calibri"/>
          <w:bCs/>
          <w:color w:val="000000"/>
          <w:sz w:val="22"/>
          <w:szCs w:val="22"/>
        </w:rPr>
        <w:lastRenderedPageBreak/>
        <w:t>NLAG are now working together to work on solutions for this supported by the CCG with plans to be proposed to the Planned Care Board on 14</w:t>
      </w:r>
      <w:r w:rsidRPr="00A45FF3">
        <w:rPr>
          <w:rFonts w:ascii="Calibri" w:eastAsia="Verdana" w:hAnsi="Calibri" w:cs="Calibri"/>
          <w:bCs/>
          <w:color w:val="000000"/>
          <w:sz w:val="22"/>
          <w:szCs w:val="22"/>
          <w:vertAlign w:val="superscript"/>
        </w:rPr>
        <w:t>th</w:t>
      </w:r>
      <w:r>
        <w:rPr>
          <w:rFonts w:ascii="Calibri" w:eastAsia="Verdana" w:hAnsi="Calibri" w:cs="Calibri"/>
          <w:bCs/>
          <w:color w:val="000000"/>
          <w:sz w:val="22"/>
          <w:szCs w:val="22"/>
        </w:rPr>
        <w:t xml:space="preserve"> September.</w:t>
      </w:r>
      <w:r w:rsidRPr="000E3111">
        <w:rPr>
          <w:rFonts w:ascii="Calibri" w:eastAsia="Verdana" w:hAnsi="Calibri" w:cs="Calibri"/>
          <w:b/>
          <w:bCs/>
          <w:color w:val="000000"/>
          <w:sz w:val="32"/>
          <w:szCs w:val="32"/>
        </w:rPr>
        <w:t xml:space="preserve"> </w:t>
      </w:r>
    </w:p>
    <w:p w:rsidR="009D16C7" w:rsidRDefault="0069784F" w:rsidP="009D16C7">
      <w:pPr>
        <w:rPr>
          <w:rFonts w:ascii="Calibri" w:eastAsia="Verdana" w:hAnsi="Calibri" w:cs="Calibri"/>
          <w:bCs/>
          <w:color w:val="000000"/>
          <w:sz w:val="22"/>
          <w:szCs w:val="22"/>
        </w:rPr>
      </w:pPr>
      <w:r>
        <w:rPr>
          <w:rFonts w:ascii="Calibri" w:eastAsia="Verdana" w:hAnsi="Calibri" w:cs="Calibri"/>
          <w:b/>
          <w:bCs/>
          <w:noProof/>
          <w:color w:val="000000"/>
          <w:sz w:val="32"/>
          <w:szCs w:val="32"/>
          <w:lang w:eastAsia="en-GB"/>
        </w:rPr>
        <w:drawing>
          <wp:inline distT="0" distB="0" distL="0" distR="0">
            <wp:extent cx="6717665" cy="3813810"/>
            <wp:effectExtent l="0" t="0" r="6985" b="0"/>
            <wp:docPr id="7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7665" cy="3813810"/>
                    </a:xfrm>
                    <a:prstGeom prst="rect">
                      <a:avLst/>
                    </a:prstGeom>
                    <a:noFill/>
                  </pic:spPr>
                </pic:pic>
              </a:graphicData>
            </a:graphic>
          </wp:inline>
        </w:drawing>
      </w:r>
    </w:p>
    <w:p w:rsidR="009D16C7" w:rsidRDefault="009D16C7" w:rsidP="009D16C7">
      <w:pPr>
        <w:rPr>
          <w:rFonts w:ascii="Calibri" w:eastAsia="Verdana" w:hAnsi="Calibri" w:cs="Calibri"/>
          <w:bCs/>
          <w:color w:val="000000"/>
          <w:sz w:val="22"/>
          <w:szCs w:val="22"/>
        </w:rPr>
      </w:pPr>
    </w:p>
    <w:p w:rsidR="009D16C7" w:rsidRPr="005321EF" w:rsidRDefault="009D16C7" w:rsidP="009D16C7">
      <w:pPr>
        <w:rPr>
          <w:rFonts w:ascii="Calibri" w:eastAsia="Verdana" w:hAnsi="Calibri" w:cs="Calibri"/>
          <w:bCs/>
          <w:color w:val="000000"/>
          <w:sz w:val="22"/>
          <w:szCs w:val="22"/>
        </w:rPr>
      </w:pPr>
      <w:r>
        <w:rPr>
          <w:rFonts w:ascii="Calibri" w:eastAsia="Verdana" w:hAnsi="Calibri" w:cs="Calibri"/>
          <w:bCs/>
          <w:color w:val="000000"/>
          <w:sz w:val="22"/>
          <w:szCs w:val="22"/>
        </w:rPr>
        <w:t>As well as the RTT pathway mentioned above we are also closely monitoring the number of 52 week waiters which peaked at the end of March at 81 patients. Since then we’ve seen a steady reduction down to 75 in July which is slightly above the CCG plan of 70. However NLAG have recently shared their trajectory which profiles the improvement starting to take effect from August onwards and are therefore slightly ahead on their improvement trajectory.</w:t>
      </w:r>
    </w:p>
    <w:p w:rsidR="009D16C7" w:rsidRDefault="009D16C7" w:rsidP="000274FB">
      <w:pPr>
        <w:jc w:val="center"/>
        <w:rPr>
          <w:rFonts w:ascii="Calibri" w:eastAsia="Verdana" w:hAnsi="Calibri" w:cs="Calibri"/>
          <w:b/>
          <w:color w:val="000000"/>
          <w:sz w:val="36"/>
          <w:szCs w:val="36"/>
        </w:rPr>
      </w:pPr>
    </w:p>
    <w:p w:rsidR="00280FD9" w:rsidRPr="0031091B" w:rsidRDefault="009D16C7" w:rsidP="000274FB">
      <w:pPr>
        <w:jc w:val="center"/>
        <w:rPr>
          <w:rFonts w:ascii="Calibri" w:eastAsia="Verdana" w:hAnsi="Calibri" w:cs="Calibri"/>
          <w:b/>
          <w:color w:val="000000"/>
          <w:sz w:val="36"/>
          <w:szCs w:val="36"/>
        </w:rPr>
      </w:pPr>
      <w:r>
        <w:rPr>
          <w:rFonts w:ascii="Calibri" w:eastAsia="Verdana" w:hAnsi="Calibri" w:cs="Calibri"/>
          <w:b/>
          <w:color w:val="000000"/>
          <w:sz w:val="36"/>
          <w:szCs w:val="36"/>
        </w:rPr>
        <w:t>Q</w:t>
      </w:r>
      <w:r w:rsidR="005B73F7" w:rsidRPr="0031091B">
        <w:rPr>
          <w:rFonts w:ascii="Calibri" w:eastAsia="Verdana" w:hAnsi="Calibri" w:cs="Calibri"/>
          <w:b/>
          <w:color w:val="000000"/>
          <w:sz w:val="36"/>
          <w:szCs w:val="36"/>
        </w:rPr>
        <w:t>uality Escalation</w:t>
      </w:r>
    </w:p>
    <w:p w:rsidR="005B73F7" w:rsidRPr="00B05D5D" w:rsidRDefault="005B73F7" w:rsidP="005B73F7">
      <w:pPr>
        <w:pStyle w:val="NormalWeb"/>
        <w:shd w:val="clear" w:color="auto" w:fill="FFFFFF"/>
        <w:spacing w:before="0" w:beforeAutospacing="0" w:after="0" w:afterAutospacing="0" w:line="360" w:lineRule="atLeast"/>
        <w:jc w:val="center"/>
        <w:textAlignment w:val="baseline"/>
        <w:rPr>
          <w:rFonts w:ascii="Calibri" w:eastAsia="Verdana" w:hAnsi="Calibri" w:cs="Calibri"/>
          <w:b/>
          <w:color w:val="000000"/>
          <w:sz w:val="16"/>
          <w:szCs w:val="16"/>
        </w:rPr>
      </w:pPr>
    </w:p>
    <w:p w:rsidR="00B05D5D" w:rsidRPr="0031091B" w:rsidRDefault="00B05D5D" w:rsidP="00B05D5D">
      <w:pPr>
        <w:rPr>
          <w:rFonts w:ascii="Calibri" w:eastAsia="Verdana" w:hAnsi="Calibri" w:cs="Calibri"/>
          <w:b/>
          <w:color w:val="000000"/>
          <w:sz w:val="36"/>
          <w:szCs w:val="36"/>
        </w:rPr>
      </w:pPr>
      <w:r w:rsidRPr="0031091B">
        <w:rPr>
          <w:rFonts w:ascii="Calibri" w:eastAsia="Verdana" w:hAnsi="Calibri" w:cs="Calibri"/>
          <w:b/>
          <w:color w:val="000000"/>
          <w:sz w:val="36"/>
          <w:szCs w:val="36"/>
        </w:rPr>
        <w:t>Quality Escalation</w:t>
      </w:r>
    </w:p>
    <w:p w:rsidR="00B05D5D" w:rsidRPr="0031091B" w:rsidRDefault="00B05D5D" w:rsidP="00B05D5D">
      <w:pPr>
        <w:pStyle w:val="NormalWeb"/>
        <w:shd w:val="clear" w:color="auto" w:fill="FFFFFF"/>
        <w:spacing w:before="0" w:beforeAutospacing="0" w:after="0" w:afterAutospacing="0" w:line="360" w:lineRule="atLeast"/>
        <w:jc w:val="center"/>
        <w:textAlignment w:val="baseline"/>
        <w:rPr>
          <w:rFonts w:ascii="Calibri" w:eastAsia="Verdana" w:hAnsi="Calibri" w:cs="Calibri"/>
          <w:b/>
          <w:color w:val="000000"/>
          <w:sz w:val="36"/>
          <w:szCs w:val="36"/>
        </w:rPr>
      </w:pPr>
    </w:p>
    <w:p w:rsidR="00B05D5D" w:rsidRPr="0031091B" w:rsidRDefault="00B05D5D" w:rsidP="00B05D5D">
      <w:pPr>
        <w:shd w:val="clear" w:color="auto" w:fill="FFFFFF"/>
        <w:autoSpaceDE w:val="0"/>
        <w:autoSpaceDN w:val="0"/>
        <w:adjustRightInd w:val="0"/>
        <w:jc w:val="both"/>
        <w:rPr>
          <w:rFonts w:ascii="Calibri" w:eastAsia="Verdana" w:hAnsi="Calibri" w:cs="Calibri"/>
          <w:color w:val="000000"/>
          <w:sz w:val="22"/>
          <w:szCs w:val="22"/>
        </w:rPr>
      </w:pPr>
      <w:r w:rsidRPr="0031091B">
        <w:rPr>
          <w:rFonts w:ascii="Calibri" w:eastAsia="Verdana" w:hAnsi="Calibri" w:cs="Calibri"/>
          <w:color w:val="000000"/>
          <w:sz w:val="22"/>
          <w:szCs w:val="22"/>
        </w:rPr>
        <w:t xml:space="preserve">The purpose of this report is to highlight the exceptions in Quality and to escalate items from the </w:t>
      </w:r>
      <w:r w:rsidR="00083852">
        <w:rPr>
          <w:rFonts w:ascii="Calibri" w:eastAsia="Verdana" w:hAnsi="Calibri" w:cs="Calibri"/>
          <w:color w:val="000000"/>
          <w:sz w:val="22"/>
          <w:szCs w:val="22"/>
        </w:rPr>
        <w:t xml:space="preserve">Clinical Governance </w:t>
      </w:r>
      <w:r w:rsidRPr="0031091B">
        <w:rPr>
          <w:rFonts w:ascii="Calibri" w:eastAsia="Verdana" w:hAnsi="Calibri" w:cs="Calibri"/>
          <w:color w:val="000000"/>
          <w:sz w:val="22"/>
          <w:szCs w:val="22"/>
        </w:rPr>
        <w:t xml:space="preserve">Committee to the Board. </w:t>
      </w:r>
    </w:p>
    <w:p w:rsidR="00B05D5D" w:rsidRPr="00517CE1" w:rsidRDefault="00B05D5D" w:rsidP="00B05D5D">
      <w:pPr>
        <w:pStyle w:val="Default"/>
        <w:jc w:val="both"/>
        <w:rPr>
          <w:rFonts w:ascii="Calibri" w:hAnsi="Calibri" w:cs="Calibri"/>
          <w:b/>
          <w:sz w:val="22"/>
          <w:szCs w:val="22"/>
          <w:highlight w:val="yellow"/>
        </w:rPr>
      </w:pPr>
    </w:p>
    <w:p w:rsidR="00B05D5D" w:rsidRPr="00493295" w:rsidRDefault="00B05D5D" w:rsidP="00B05D5D">
      <w:pPr>
        <w:pStyle w:val="Default"/>
        <w:numPr>
          <w:ilvl w:val="0"/>
          <w:numId w:val="4"/>
        </w:numPr>
        <w:jc w:val="both"/>
        <w:rPr>
          <w:rFonts w:ascii="Calibri" w:hAnsi="Calibri" w:cs="Calibri"/>
          <w:b/>
          <w:sz w:val="22"/>
          <w:szCs w:val="22"/>
        </w:rPr>
      </w:pPr>
      <w:r w:rsidRPr="00493295">
        <w:rPr>
          <w:rFonts w:ascii="Calibri" w:hAnsi="Calibri" w:cs="Calibri"/>
          <w:b/>
          <w:sz w:val="22"/>
          <w:szCs w:val="22"/>
        </w:rPr>
        <w:t>Enhanced Quality Surveillance</w:t>
      </w:r>
    </w:p>
    <w:p w:rsidR="00B05D5D" w:rsidRDefault="00C3206A" w:rsidP="00B05D5D">
      <w:pPr>
        <w:pStyle w:val="Default"/>
        <w:ind w:left="720"/>
        <w:jc w:val="both"/>
        <w:rPr>
          <w:rFonts w:ascii="Calibri" w:hAnsi="Calibri" w:cs="Calibri"/>
          <w:sz w:val="22"/>
          <w:szCs w:val="22"/>
        </w:rPr>
      </w:pPr>
      <w:r>
        <w:rPr>
          <w:rFonts w:ascii="Calibri" w:hAnsi="Calibri" w:cs="Calibri"/>
          <w:sz w:val="22"/>
          <w:szCs w:val="22"/>
        </w:rPr>
        <w:t>One</w:t>
      </w:r>
      <w:r w:rsidR="007A15A4">
        <w:rPr>
          <w:rFonts w:ascii="Calibri" w:hAnsi="Calibri" w:cs="Calibri"/>
          <w:sz w:val="22"/>
          <w:szCs w:val="22"/>
        </w:rPr>
        <w:t xml:space="preserve"> </w:t>
      </w:r>
      <w:r w:rsidR="00B05D5D">
        <w:rPr>
          <w:rFonts w:ascii="Calibri" w:hAnsi="Calibri" w:cs="Calibri"/>
          <w:sz w:val="22"/>
          <w:szCs w:val="22"/>
        </w:rPr>
        <w:t>provide</w:t>
      </w:r>
      <w:r>
        <w:rPr>
          <w:rFonts w:ascii="Calibri" w:hAnsi="Calibri" w:cs="Calibri"/>
          <w:sz w:val="22"/>
          <w:szCs w:val="22"/>
        </w:rPr>
        <w:t>r</w:t>
      </w:r>
      <w:r w:rsidR="00B05D5D">
        <w:rPr>
          <w:rFonts w:ascii="Calibri" w:hAnsi="Calibri" w:cs="Calibri"/>
          <w:sz w:val="22"/>
          <w:szCs w:val="22"/>
        </w:rPr>
        <w:t xml:space="preserve"> across the North East</w:t>
      </w:r>
      <w:r w:rsidR="00B05D5D" w:rsidRPr="00493295">
        <w:rPr>
          <w:rFonts w:ascii="Calibri" w:hAnsi="Calibri" w:cs="Calibri"/>
          <w:sz w:val="22"/>
          <w:szCs w:val="22"/>
        </w:rPr>
        <w:t xml:space="preserve"> Lincolnshire health</w:t>
      </w:r>
      <w:r w:rsidR="00B05D5D">
        <w:rPr>
          <w:rFonts w:ascii="Calibri" w:hAnsi="Calibri" w:cs="Calibri"/>
          <w:sz w:val="22"/>
          <w:szCs w:val="22"/>
        </w:rPr>
        <w:t>care</w:t>
      </w:r>
      <w:r w:rsidR="00B05D5D" w:rsidRPr="00493295">
        <w:rPr>
          <w:rFonts w:ascii="Calibri" w:hAnsi="Calibri" w:cs="Calibri"/>
          <w:sz w:val="22"/>
          <w:szCs w:val="22"/>
        </w:rPr>
        <w:t xml:space="preserve"> system </w:t>
      </w:r>
      <w:r w:rsidR="00DB0F5A">
        <w:rPr>
          <w:rFonts w:ascii="Calibri" w:hAnsi="Calibri" w:cs="Calibri"/>
          <w:sz w:val="22"/>
          <w:szCs w:val="22"/>
        </w:rPr>
        <w:t>remain</w:t>
      </w:r>
      <w:r>
        <w:rPr>
          <w:rFonts w:ascii="Calibri" w:hAnsi="Calibri" w:cs="Calibri"/>
          <w:sz w:val="22"/>
          <w:szCs w:val="22"/>
        </w:rPr>
        <w:t>s</w:t>
      </w:r>
      <w:r w:rsidR="00DB0F5A">
        <w:rPr>
          <w:rFonts w:ascii="Calibri" w:hAnsi="Calibri" w:cs="Calibri"/>
          <w:sz w:val="22"/>
          <w:szCs w:val="22"/>
        </w:rPr>
        <w:t xml:space="preserve"> to require</w:t>
      </w:r>
      <w:r w:rsidR="00B05D5D" w:rsidRPr="00493295">
        <w:rPr>
          <w:rFonts w:ascii="Calibri" w:hAnsi="Calibri" w:cs="Calibri"/>
          <w:sz w:val="22"/>
          <w:szCs w:val="22"/>
        </w:rPr>
        <w:t xml:space="preserve"> an enhanced level of </w:t>
      </w:r>
      <w:r w:rsidR="00B05D5D">
        <w:rPr>
          <w:rFonts w:ascii="Calibri" w:hAnsi="Calibri" w:cs="Calibri"/>
          <w:sz w:val="22"/>
          <w:szCs w:val="22"/>
        </w:rPr>
        <w:t xml:space="preserve">quality </w:t>
      </w:r>
      <w:r w:rsidR="00B05D5D" w:rsidRPr="00493295">
        <w:rPr>
          <w:rFonts w:ascii="Calibri" w:hAnsi="Calibri" w:cs="Calibri"/>
          <w:sz w:val="22"/>
          <w:szCs w:val="22"/>
        </w:rPr>
        <w:t>surveill</w:t>
      </w:r>
      <w:r>
        <w:rPr>
          <w:rFonts w:ascii="Calibri" w:hAnsi="Calibri" w:cs="Calibri"/>
          <w:sz w:val="22"/>
          <w:szCs w:val="22"/>
        </w:rPr>
        <w:t xml:space="preserve">ance.  </w:t>
      </w:r>
      <w:r w:rsidR="007A15A4">
        <w:rPr>
          <w:rFonts w:ascii="Calibri" w:hAnsi="Calibri" w:cs="Calibri"/>
          <w:sz w:val="22"/>
          <w:szCs w:val="22"/>
        </w:rPr>
        <w:t xml:space="preserve"> </w:t>
      </w:r>
      <w:r>
        <w:rPr>
          <w:rFonts w:ascii="Calibri" w:hAnsi="Calibri" w:cs="Calibri"/>
          <w:sz w:val="22"/>
          <w:szCs w:val="22"/>
        </w:rPr>
        <w:t>This provider is Northern Lincolnshire and Goole NHS Trust.</w:t>
      </w:r>
    </w:p>
    <w:p w:rsidR="00B05D5D" w:rsidRPr="00493295" w:rsidRDefault="00B05D5D" w:rsidP="00B05D5D">
      <w:pPr>
        <w:pStyle w:val="Default"/>
        <w:ind w:left="720"/>
        <w:jc w:val="both"/>
        <w:rPr>
          <w:rFonts w:ascii="Calibri" w:hAnsi="Calibri" w:cs="Calibri"/>
          <w:sz w:val="22"/>
          <w:szCs w:val="22"/>
        </w:rPr>
      </w:pPr>
    </w:p>
    <w:p w:rsidR="005003DC" w:rsidRPr="005003DC" w:rsidRDefault="00B05D5D" w:rsidP="007A15A4">
      <w:pPr>
        <w:pStyle w:val="Default"/>
        <w:numPr>
          <w:ilvl w:val="0"/>
          <w:numId w:val="4"/>
        </w:numPr>
        <w:jc w:val="both"/>
        <w:rPr>
          <w:rFonts w:ascii="Calibri" w:hAnsi="Calibri" w:cs="Calibri"/>
          <w:sz w:val="22"/>
          <w:szCs w:val="22"/>
        </w:rPr>
      </w:pPr>
      <w:r w:rsidRPr="0031091B">
        <w:rPr>
          <w:rFonts w:ascii="Calibri" w:hAnsi="Calibri" w:cs="Calibri"/>
          <w:b/>
          <w:sz w:val="22"/>
          <w:szCs w:val="22"/>
        </w:rPr>
        <w:t>Northern Lincolnshire and Goole NHS Trust</w:t>
      </w:r>
      <w:r w:rsidR="005003DC">
        <w:rPr>
          <w:rFonts w:ascii="Calibri" w:hAnsi="Calibri" w:cs="Calibri"/>
          <w:b/>
          <w:sz w:val="22"/>
          <w:szCs w:val="22"/>
        </w:rPr>
        <w:t xml:space="preserve"> (NLaG)</w:t>
      </w:r>
    </w:p>
    <w:p w:rsidR="00DB0F5A" w:rsidRDefault="00B05D5D" w:rsidP="00003BAC">
      <w:pPr>
        <w:pStyle w:val="Default"/>
        <w:ind w:left="720"/>
        <w:jc w:val="both"/>
        <w:rPr>
          <w:rFonts w:ascii="Calibri" w:hAnsi="Calibri" w:cs="Calibri"/>
          <w:sz w:val="22"/>
          <w:szCs w:val="22"/>
        </w:rPr>
      </w:pPr>
      <w:r w:rsidRPr="00B83B50">
        <w:rPr>
          <w:rFonts w:ascii="Calibri" w:hAnsi="Calibri" w:cs="Calibri"/>
          <w:sz w:val="22"/>
          <w:szCs w:val="22"/>
        </w:rPr>
        <w:t xml:space="preserve">The Trust remains in Special Measures for quality and finance. </w:t>
      </w:r>
    </w:p>
    <w:p w:rsidR="00DB0F5A" w:rsidRDefault="00DB0F5A" w:rsidP="005003DC">
      <w:pPr>
        <w:pStyle w:val="Default"/>
        <w:ind w:left="720"/>
        <w:jc w:val="both"/>
        <w:rPr>
          <w:rFonts w:ascii="Calibri" w:hAnsi="Calibri" w:cs="Calibri"/>
          <w:sz w:val="22"/>
          <w:szCs w:val="22"/>
        </w:rPr>
      </w:pPr>
    </w:p>
    <w:p w:rsidR="00003BAC" w:rsidRDefault="00DB0F5A" w:rsidP="00627122">
      <w:pPr>
        <w:pStyle w:val="Default"/>
        <w:ind w:left="720"/>
        <w:jc w:val="both"/>
        <w:rPr>
          <w:rFonts w:ascii="Calibri" w:hAnsi="Calibri" w:cs="Calibri"/>
          <w:sz w:val="22"/>
          <w:szCs w:val="22"/>
        </w:rPr>
      </w:pPr>
      <w:r>
        <w:rPr>
          <w:rFonts w:ascii="Calibri" w:hAnsi="Calibri" w:cs="Calibri"/>
          <w:sz w:val="22"/>
          <w:szCs w:val="22"/>
        </w:rPr>
        <w:t xml:space="preserve">The CQC completed an </w:t>
      </w:r>
      <w:r w:rsidR="007A15A4" w:rsidRPr="007A15A4">
        <w:rPr>
          <w:rFonts w:ascii="Calibri" w:hAnsi="Calibri" w:cs="Calibri"/>
          <w:sz w:val="22"/>
          <w:szCs w:val="22"/>
        </w:rPr>
        <w:t xml:space="preserve">announced </w:t>
      </w:r>
      <w:r>
        <w:rPr>
          <w:rFonts w:ascii="Calibri" w:hAnsi="Calibri" w:cs="Calibri"/>
          <w:sz w:val="22"/>
          <w:szCs w:val="22"/>
        </w:rPr>
        <w:t xml:space="preserve">comprehensive inspection of the Trust across all three sites in May, the follow-up unannounced visit has been undertaken and the Trust have supplied information to the CQC in accordance with their requests.    A formal outcome of the inspection is awaited.  </w:t>
      </w:r>
    </w:p>
    <w:p w:rsidR="00002468" w:rsidRDefault="00502FE5" w:rsidP="00B05D5D">
      <w:pPr>
        <w:pStyle w:val="Default"/>
        <w:jc w:val="both"/>
        <w:rPr>
          <w:rFonts w:ascii="Calibri" w:hAnsi="Calibri" w:cs="Calibri"/>
          <w:sz w:val="22"/>
          <w:szCs w:val="22"/>
        </w:rPr>
      </w:pPr>
      <w:r>
        <w:rPr>
          <w:rFonts w:ascii="Calibri" w:hAnsi="Calibri" w:cs="Calibri"/>
          <w:sz w:val="22"/>
          <w:szCs w:val="22"/>
        </w:rPr>
        <w:tab/>
      </w:r>
    </w:p>
    <w:p w:rsidR="000B7916" w:rsidRDefault="000B7916" w:rsidP="000B7916">
      <w:pPr>
        <w:pStyle w:val="Default"/>
        <w:ind w:left="720"/>
        <w:jc w:val="both"/>
        <w:rPr>
          <w:rFonts w:ascii="Calibri" w:hAnsi="Calibri" w:cs="Calibri"/>
          <w:sz w:val="22"/>
          <w:szCs w:val="22"/>
        </w:rPr>
      </w:pPr>
      <w:r>
        <w:rPr>
          <w:rFonts w:ascii="Calibri" w:hAnsi="Calibri" w:cs="Calibri"/>
          <w:sz w:val="22"/>
          <w:szCs w:val="22"/>
        </w:rPr>
        <w:t xml:space="preserve">Staffing, waiting times, diagnostics, capacity and demand continue to present significant challenges to the Trust’s ability to provide an acceptable service standard.  </w:t>
      </w:r>
    </w:p>
    <w:p w:rsidR="00C3206A" w:rsidRDefault="00C3206A" w:rsidP="000B7916">
      <w:pPr>
        <w:pStyle w:val="Default"/>
        <w:ind w:left="720"/>
        <w:jc w:val="both"/>
        <w:rPr>
          <w:rFonts w:ascii="Calibri" w:hAnsi="Calibri" w:cs="Calibri"/>
          <w:sz w:val="22"/>
          <w:szCs w:val="22"/>
        </w:rPr>
      </w:pPr>
    </w:p>
    <w:p w:rsidR="00C3206A" w:rsidRDefault="00C3206A" w:rsidP="000B7916">
      <w:pPr>
        <w:pStyle w:val="Default"/>
        <w:ind w:left="720"/>
        <w:jc w:val="both"/>
        <w:rPr>
          <w:rFonts w:ascii="Calibri" w:hAnsi="Calibri" w:cs="Calibri"/>
          <w:sz w:val="22"/>
          <w:szCs w:val="22"/>
        </w:rPr>
      </w:pPr>
      <w:r>
        <w:rPr>
          <w:rFonts w:ascii="Calibri" w:hAnsi="Calibri" w:cs="Calibri"/>
          <w:sz w:val="22"/>
          <w:szCs w:val="22"/>
        </w:rPr>
        <w:t xml:space="preserve">We have seen significant progress in the clinical harm review work stream.  </w:t>
      </w:r>
    </w:p>
    <w:p w:rsidR="00920869" w:rsidRPr="00920869" w:rsidRDefault="00920869" w:rsidP="00920869">
      <w:pPr>
        <w:pStyle w:val="Default"/>
        <w:ind w:left="720"/>
        <w:jc w:val="both"/>
        <w:rPr>
          <w:rFonts w:ascii="Calibri" w:hAnsi="Calibri" w:cs="Calibri"/>
          <w:b/>
          <w:sz w:val="22"/>
          <w:szCs w:val="22"/>
        </w:rPr>
      </w:pPr>
    </w:p>
    <w:p w:rsidR="00B05D5D" w:rsidRDefault="00B05D5D" w:rsidP="00B05D5D">
      <w:pPr>
        <w:pStyle w:val="Default"/>
        <w:numPr>
          <w:ilvl w:val="0"/>
          <w:numId w:val="4"/>
        </w:numPr>
        <w:jc w:val="both"/>
        <w:rPr>
          <w:rFonts w:ascii="Calibri" w:hAnsi="Calibri" w:cs="Calibri"/>
          <w:b/>
          <w:sz w:val="22"/>
          <w:szCs w:val="22"/>
        </w:rPr>
      </w:pPr>
      <w:r>
        <w:rPr>
          <w:rFonts w:ascii="Calibri" w:hAnsi="Calibri" w:cs="Calibri"/>
          <w:b/>
          <w:sz w:val="22"/>
          <w:szCs w:val="22"/>
        </w:rPr>
        <w:t>Thames Ambulance Service Limited (TASL)</w:t>
      </w:r>
    </w:p>
    <w:p w:rsidR="00BE058D" w:rsidRDefault="00BE058D" w:rsidP="00BE058D">
      <w:pPr>
        <w:pStyle w:val="Default"/>
        <w:ind w:left="720"/>
        <w:jc w:val="both"/>
        <w:rPr>
          <w:rFonts w:ascii="Calibri" w:hAnsi="Calibri" w:cs="Calibri"/>
          <w:sz w:val="22"/>
          <w:szCs w:val="22"/>
        </w:rPr>
      </w:pPr>
      <w:r>
        <w:rPr>
          <w:rFonts w:ascii="Calibri" w:hAnsi="Calibri" w:cs="Calibri"/>
          <w:sz w:val="22"/>
          <w:szCs w:val="22"/>
        </w:rPr>
        <w:t xml:space="preserve">TASL </w:t>
      </w:r>
      <w:r w:rsidR="00680409">
        <w:rPr>
          <w:rFonts w:ascii="Calibri" w:hAnsi="Calibri" w:cs="Calibri"/>
          <w:sz w:val="22"/>
          <w:szCs w:val="22"/>
        </w:rPr>
        <w:t xml:space="preserve">have moved to routine </w:t>
      </w:r>
      <w:r>
        <w:rPr>
          <w:rFonts w:ascii="Calibri" w:hAnsi="Calibri" w:cs="Calibri"/>
          <w:sz w:val="22"/>
          <w:szCs w:val="22"/>
        </w:rPr>
        <w:t>quality surveillance.  We continue to support the provider to improve, we have seen a notable reduction in the numb</w:t>
      </w:r>
      <w:r w:rsidR="00133DE1">
        <w:rPr>
          <w:rFonts w:ascii="Calibri" w:hAnsi="Calibri" w:cs="Calibri"/>
          <w:sz w:val="22"/>
          <w:szCs w:val="22"/>
        </w:rPr>
        <w:t>er of concerns logged with us</w:t>
      </w:r>
      <w:r w:rsidR="00680409">
        <w:rPr>
          <w:rFonts w:ascii="Calibri" w:hAnsi="Calibri" w:cs="Calibri"/>
          <w:sz w:val="22"/>
          <w:szCs w:val="22"/>
        </w:rPr>
        <w:t xml:space="preserve"> and have received assurance that the Provider has policies in place to articulate the Complaints and Incidents processes.  </w:t>
      </w:r>
    </w:p>
    <w:p w:rsidR="00BE058D" w:rsidRDefault="00BE058D" w:rsidP="00BE058D">
      <w:pPr>
        <w:pStyle w:val="Default"/>
        <w:ind w:left="720"/>
        <w:jc w:val="both"/>
        <w:rPr>
          <w:rFonts w:ascii="Calibri" w:hAnsi="Calibri" w:cs="Calibri"/>
          <w:sz w:val="22"/>
          <w:szCs w:val="22"/>
        </w:rPr>
      </w:pPr>
    </w:p>
    <w:p w:rsidR="00002468" w:rsidRDefault="00BE058D" w:rsidP="00502FE5">
      <w:pPr>
        <w:pStyle w:val="Default"/>
        <w:ind w:left="720"/>
        <w:jc w:val="both"/>
        <w:rPr>
          <w:rFonts w:ascii="Calibri" w:hAnsi="Calibri" w:cs="Calibri"/>
          <w:sz w:val="22"/>
          <w:szCs w:val="22"/>
        </w:rPr>
      </w:pPr>
      <w:r w:rsidRPr="00BE058D">
        <w:rPr>
          <w:rFonts w:ascii="Calibri" w:hAnsi="Calibri" w:cs="Calibri"/>
          <w:sz w:val="22"/>
          <w:szCs w:val="22"/>
        </w:rPr>
        <w:t>NL and NEL CCG continue to meet on a regu</w:t>
      </w:r>
      <w:r w:rsidR="00680409">
        <w:rPr>
          <w:rFonts w:ascii="Calibri" w:hAnsi="Calibri" w:cs="Calibri"/>
          <w:sz w:val="22"/>
          <w:szCs w:val="22"/>
        </w:rPr>
        <w:t xml:space="preserve">lar basis to share intelligence.  </w:t>
      </w:r>
    </w:p>
    <w:p w:rsidR="00680409" w:rsidRDefault="00680409" w:rsidP="00502FE5">
      <w:pPr>
        <w:pStyle w:val="Default"/>
        <w:ind w:left="720"/>
        <w:jc w:val="both"/>
        <w:rPr>
          <w:rFonts w:ascii="Calibri" w:hAnsi="Calibri" w:cs="Calibri"/>
          <w:sz w:val="22"/>
          <w:szCs w:val="22"/>
        </w:rPr>
      </w:pPr>
    </w:p>
    <w:p w:rsidR="00680409" w:rsidRDefault="00680409" w:rsidP="00680409">
      <w:pPr>
        <w:pStyle w:val="Default"/>
        <w:ind w:left="720"/>
        <w:jc w:val="both"/>
        <w:rPr>
          <w:rFonts w:ascii="Calibri" w:hAnsi="Calibri" w:cs="Calibri"/>
          <w:sz w:val="22"/>
          <w:szCs w:val="22"/>
        </w:rPr>
      </w:pPr>
      <w:r>
        <w:rPr>
          <w:rFonts w:ascii="Calibri" w:hAnsi="Calibri" w:cs="Calibri"/>
          <w:sz w:val="22"/>
          <w:szCs w:val="22"/>
        </w:rPr>
        <w:t xml:space="preserve">Regular contract meeting are in place to ensure an oversight mechanism for performance, finance and quality is maintained.  </w:t>
      </w:r>
    </w:p>
    <w:p w:rsidR="00133DE1" w:rsidRPr="00002468" w:rsidRDefault="00133DE1" w:rsidP="00002468">
      <w:pPr>
        <w:pStyle w:val="Default"/>
        <w:ind w:left="720"/>
        <w:jc w:val="both"/>
        <w:rPr>
          <w:rFonts w:ascii="Calibri" w:hAnsi="Calibri" w:cs="Calibri"/>
          <w:sz w:val="22"/>
          <w:szCs w:val="22"/>
        </w:rPr>
      </w:pPr>
    </w:p>
    <w:p w:rsidR="00002468" w:rsidRPr="00002468" w:rsidRDefault="00083852" w:rsidP="00002468">
      <w:pPr>
        <w:pStyle w:val="Default"/>
        <w:numPr>
          <w:ilvl w:val="0"/>
          <w:numId w:val="4"/>
        </w:numPr>
        <w:jc w:val="both"/>
        <w:rPr>
          <w:rFonts w:ascii="Calibri" w:hAnsi="Calibri" w:cs="Calibri"/>
          <w:b/>
          <w:sz w:val="22"/>
          <w:szCs w:val="22"/>
        </w:rPr>
      </w:pPr>
      <w:r>
        <w:rPr>
          <w:rFonts w:ascii="Calibri" w:hAnsi="Calibri" w:cs="Calibri"/>
          <w:b/>
          <w:sz w:val="22"/>
          <w:szCs w:val="22"/>
        </w:rPr>
        <w:t>Individual Funding Requests</w:t>
      </w:r>
    </w:p>
    <w:p w:rsidR="00083852" w:rsidRDefault="00083852" w:rsidP="00083852">
      <w:pPr>
        <w:pStyle w:val="Default"/>
        <w:ind w:left="720"/>
        <w:jc w:val="both"/>
        <w:rPr>
          <w:rFonts w:ascii="Calibri" w:hAnsi="Calibri" w:cs="Calibri"/>
          <w:sz w:val="22"/>
          <w:szCs w:val="22"/>
        </w:rPr>
      </w:pPr>
      <w:r w:rsidRPr="00083852">
        <w:rPr>
          <w:rFonts w:ascii="Calibri" w:hAnsi="Calibri" w:cs="Calibri"/>
          <w:sz w:val="22"/>
          <w:szCs w:val="22"/>
        </w:rPr>
        <w:t xml:space="preserve">Individual Funding Request (IFR) is an application process for healthcare professionals to complete and submit where a treatment or service is not routinely offered by the NHS where they feel their patient would benefit from treatment.  </w:t>
      </w:r>
    </w:p>
    <w:p w:rsidR="00502FE5" w:rsidRPr="00083852" w:rsidRDefault="00502FE5" w:rsidP="00083852">
      <w:pPr>
        <w:pStyle w:val="Default"/>
        <w:ind w:left="720"/>
        <w:jc w:val="both"/>
        <w:rPr>
          <w:rFonts w:ascii="Calibri" w:hAnsi="Calibri" w:cs="Calibri"/>
          <w:sz w:val="22"/>
          <w:szCs w:val="22"/>
        </w:rPr>
      </w:pPr>
    </w:p>
    <w:p w:rsidR="00083852" w:rsidRPr="00083852" w:rsidRDefault="00083852" w:rsidP="00083852">
      <w:pPr>
        <w:pStyle w:val="Default"/>
        <w:ind w:left="720"/>
        <w:jc w:val="both"/>
        <w:rPr>
          <w:rFonts w:ascii="Calibri" w:hAnsi="Calibri" w:cs="Calibri"/>
          <w:sz w:val="22"/>
          <w:szCs w:val="22"/>
        </w:rPr>
      </w:pPr>
      <w:r w:rsidRPr="00083852">
        <w:rPr>
          <w:rFonts w:ascii="Calibri" w:hAnsi="Calibri" w:cs="Calibri"/>
          <w:sz w:val="22"/>
          <w:szCs w:val="22"/>
        </w:rPr>
        <w:t>The request is submitted to the CCG IFR process.  The administration of the IFR process is completed by a provider called North of England Commissioning Support (NECS) on behalf of the CCG.  The IFR outcome decision is made by a local GP panel working on behalf of the CCG.</w:t>
      </w:r>
    </w:p>
    <w:p w:rsidR="00083852" w:rsidRPr="00083852" w:rsidRDefault="00083852" w:rsidP="00083852">
      <w:pPr>
        <w:pStyle w:val="Default"/>
        <w:ind w:left="720"/>
        <w:jc w:val="both"/>
        <w:rPr>
          <w:rFonts w:ascii="Calibri" w:hAnsi="Calibri" w:cs="Calibri"/>
          <w:sz w:val="22"/>
          <w:szCs w:val="22"/>
        </w:rPr>
      </w:pPr>
    </w:p>
    <w:p w:rsidR="00B05D5D" w:rsidRDefault="00083852" w:rsidP="00502FE5">
      <w:pPr>
        <w:pStyle w:val="Default"/>
        <w:ind w:left="720"/>
        <w:jc w:val="both"/>
        <w:rPr>
          <w:rFonts w:ascii="Calibri" w:hAnsi="Calibri" w:cs="Calibri"/>
          <w:sz w:val="22"/>
          <w:szCs w:val="22"/>
        </w:rPr>
      </w:pPr>
      <w:r w:rsidRPr="00083852">
        <w:rPr>
          <w:rFonts w:ascii="Calibri" w:hAnsi="Calibri" w:cs="Calibri"/>
          <w:sz w:val="22"/>
          <w:szCs w:val="22"/>
        </w:rPr>
        <w:t>NELCCG has experienced ‘noise in the system’ co</w:t>
      </w:r>
      <w:r w:rsidR="00502FE5">
        <w:rPr>
          <w:rFonts w:ascii="Calibri" w:hAnsi="Calibri" w:cs="Calibri"/>
          <w:sz w:val="22"/>
          <w:szCs w:val="22"/>
        </w:rPr>
        <w:t xml:space="preserve">ncerning the NEL IFR process.  </w:t>
      </w:r>
      <w:r w:rsidRPr="00083852">
        <w:rPr>
          <w:rFonts w:ascii="Calibri" w:hAnsi="Calibri" w:cs="Calibri"/>
          <w:sz w:val="22"/>
          <w:szCs w:val="22"/>
        </w:rPr>
        <w:t>The ‘noise’ is predominately coming from IFR referrers (clinicians in primary and secondary care).</w:t>
      </w:r>
    </w:p>
    <w:p w:rsidR="00502FE5" w:rsidRDefault="00502FE5" w:rsidP="00502FE5">
      <w:pPr>
        <w:pStyle w:val="Default"/>
        <w:ind w:left="720"/>
        <w:jc w:val="both"/>
        <w:rPr>
          <w:rFonts w:ascii="Calibri" w:hAnsi="Calibri" w:cs="Calibri"/>
          <w:sz w:val="22"/>
          <w:szCs w:val="22"/>
        </w:rPr>
      </w:pPr>
    </w:p>
    <w:p w:rsidR="00502FE5" w:rsidRDefault="00502FE5" w:rsidP="00502FE5">
      <w:pPr>
        <w:pStyle w:val="Default"/>
        <w:ind w:left="720"/>
        <w:jc w:val="both"/>
        <w:rPr>
          <w:rFonts w:ascii="Calibri" w:hAnsi="Calibri" w:cs="Calibri"/>
          <w:sz w:val="22"/>
          <w:szCs w:val="22"/>
        </w:rPr>
      </w:pPr>
      <w:r w:rsidRPr="00502FE5">
        <w:rPr>
          <w:rFonts w:ascii="Calibri" w:hAnsi="Calibri" w:cs="Calibri"/>
          <w:sz w:val="22"/>
          <w:szCs w:val="22"/>
        </w:rPr>
        <w:t xml:space="preserve">We decided to complete an audit of IFR to </w:t>
      </w:r>
      <w:r>
        <w:rPr>
          <w:rFonts w:ascii="Calibri" w:hAnsi="Calibri" w:cs="Calibri"/>
          <w:sz w:val="22"/>
          <w:szCs w:val="22"/>
        </w:rPr>
        <w:t xml:space="preserve">understand and validate the ‘noise’.  </w:t>
      </w:r>
      <w:r w:rsidRPr="00502FE5">
        <w:rPr>
          <w:rFonts w:ascii="Calibri" w:hAnsi="Calibri" w:cs="Calibri"/>
          <w:sz w:val="22"/>
          <w:szCs w:val="22"/>
        </w:rPr>
        <w:t>The a</w:t>
      </w:r>
      <w:r>
        <w:rPr>
          <w:rFonts w:ascii="Calibri" w:hAnsi="Calibri" w:cs="Calibri"/>
          <w:sz w:val="22"/>
          <w:szCs w:val="22"/>
        </w:rPr>
        <w:t xml:space="preserve">udit was completed in July 2018.  The audit identified action which required immediate implementation – which was undertaken in August and plans are in place to share the findings and recommendations with clinical leads.  </w:t>
      </w:r>
    </w:p>
    <w:p w:rsidR="006903F4" w:rsidRDefault="006903F4" w:rsidP="00502FE5">
      <w:pPr>
        <w:pStyle w:val="Default"/>
        <w:ind w:left="720"/>
        <w:jc w:val="both"/>
        <w:rPr>
          <w:rFonts w:ascii="Calibri" w:hAnsi="Calibri" w:cs="Calibri"/>
          <w:sz w:val="22"/>
          <w:szCs w:val="22"/>
        </w:rPr>
      </w:pPr>
    </w:p>
    <w:p w:rsidR="00502FE5" w:rsidRDefault="006903F4" w:rsidP="006903F4">
      <w:pPr>
        <w:pStyle w:val="Default"/>
        <w:numPr>
          <w:ilvl w:val="0"/>
          <w:numId w:val="4"/>
        </w:numPr>
        <w:jc w:val="both"/>
        <w:rPr>
          <w:rFonts w:ascii="Calibri" w:hAnsi="Calibri" w:cs="Calibri"/>
          <w:b/>
          <w:sz w:val="22"/>
          <w:szCs w:val="22"/>
        </w:rPr>
      </w:pPr>
      <w:r w:rsidRPr="00627122">
        <w:rPr>
          <w:rFonts w:ascii="Calibri" w:hAnsi="Calibri" w:cs="Calibri"/>
          <w:b/>
          <w:sz w:val="22"/>
          <w:szCs w:val="22"/>
        </w:rPr>
        <w:t>Infection Prevention and Control</w:t>
      </w:r>
      <w:r w:rsidR="00627122">
        <w:rPr>
          <w:rFonts w:ascii="Calibri" w:hAnsi="Calibri" w:cs="Calibri"/>
          <w:b/>
          <w:sz w:val="22"/>
          <w:szCs w:val="22"/>
        </w:rPr>
        <w:t xml:space="preserve"> – Gram Negative Blood Stream Infections</w:t>
      </w:r>
    </w:p>
    <w:p w:rsidR="00627122" w:rsidRDefault="00627122" w:rsidP="00627122">
      <w:pPr>
        <w:pStyle w:val="Default"/>
        <w:ind w:left="720"/>
        <w:jc w:val="both"/>
        <w:rPr>
          <w:rFonts w:ascii="Calibri" w:hAnsi="Calibri" w:cs="Calibri"/>
          <w:sz w:val="22"/>
          <w:szCs w:val="22"/>
        </w:rPr>
      </w:pPr>
      <w:r w:rsidRPr="00627122">
        <w:rPr>
          <w:rFonts w:ascii="Calibri" w:hAnsi="Calibri" w:cs="Calibri"/>
          <w:sz w:val="22"/>
          <w:szCs w:val="22"/>
        </w:rPr>
        <w:t>The incidence of infection reported to date for this year indicates that if it continues we will not meet the quality premium target for 2018/2019 (66.7% of the target has already been reported YTD).  The posit</w:t>
      </w:r>
      <w:r>
        <w:rPr>
          <w:rFonts w:ascii="Calibri" w:hAnsi="Calibri" w:cs="Calibri"/>
          <w:sz w:val="22"/>
          <w:szCs w:val="22"/>
        </w:rPr>
        <w:t xml:space="preserve">ion YTD is worse than last year (last year we attained the target).  We have implemented IPC project work designed to help to reduce the incidence of gram negative blood stream infections.  We have contracted a Community Nurse to assist with moving this agenda forwards more quickly. Mechanisms are in place for the Clinical Governance Committee to monitor the Gram Negative Blood Stream Infections position on a regular basis. </w:t>
      </w:r>
    </w:p>
    <w:p w:rsidR="00627122" w:rsidRDefault="00627122" w:rsidP="00627122">
      <w:pPr>
        <w:pStyle w:val="Default"/>
        <w:ind w:left="720"/>
        <w:jc w:val="both"/>
        <w:rPr>
          <w:rFonts w:ascii="Calibri" w:hAnsi="Calibri" w:cs="Calibri"/>
          <w:sz w:val="22"/>
          <w:szCs w:val="22"/>
        </w:rPr>
      </w:pPr>
    </w:p>
    <w:p w:rsidR="00627122" w:rsidRPr="00DB1483" w:rsidRDefault="00627122" w:rsidP="00627122">
      <w:pPr>
        <w:pStyle w:val="Default"/>
        <w:numPr>
          <w:ilvl w:val="0"/>
          <w:numId w:val="4"/>
        </w:numPr>
        <w:jc w:val="both"/>
        <w:rPr>
          <w:rFonts w:ascii="Calibri" w:hAnsi="Calibri" w:cs="Calibri"/>
          <w:b/>
          <w:sz w:val="22"/>
          <w:szCs w:val="22"/>
        </w:rPr>
      </w:pPr>
      <w:r w:rsidRPr="00627122">
        <w:rPr>
          <w:rFonts w:ascii="Calibri" w:hAnsi="Calibri" w:cs="Calibri"/>
          <w:b/>
          <w:sz w:val="22"/>
          <w:szCs w:val="22"/>
        </w:rPr>
        <w:t xml:space="preserve"> Site Visits</w:t>
      </w:r>
    </w:p>
    <w:p w:rsidR="00502FE5" w:rsidRDefault="00627122" w:rsidP="00502FE5">
      <w:pPr>
        <w:pStyle w:val="Default"/>
        <w:ind w:left="720"/>
        <w:jc w:val="both"/>
        <w:rPr>
          <w:rFonts w:ascii="Calibri" w:hAnsi="Calibri" w:cs="Calibri"/>
          <w:sz w:val="22"/>
          <w:szCs w:val="22"/>
        </w:rPr>
      </w:pPr>
      <w:r>
        <w:rPr>
          <w:rFonts w:ascii="Calibri" w:hAnsi="Calibri" w:cs="Calibri"/>
          <w:sz w:val="22"/>
          <w:szCs w:val="22"/>
        </w:rPr>
        <w:t xml:space="preserve">In 2017/18 the Quality Team –led 17 site visits to providers.  The majority of which were reactive visits in light of the intelligence received.  </w:t>
      </w:r>
    </w:p>
    <w:p w:rsidR="00627122" w:rsidRDefault="00627122" w:rsidP="00502FE5">
      <w:pPr>
        <w:pStyle w:val="Default"/>
        <w:ind w:left="720"/>
        <w:jc w:val="both"/>
        <w:rPr>
          <w:rFonts w:ascii="Calibri" w:hAnsi="Calibri" w:cs="Calibri"/>
          <w:sz w:val="22"/>
          <w:szCs w:val="22"/>
        </w:rPr>
      </w:pPr>
      <w:bookmarkStart w:id="0" w:name="_GoBack"/>
      <w:bookmarkEnd w:id="0"/>
    </w:p>
    <w:p w:rsidR="00627122" w:rsidRDefault="00627122" w:rsidP="00502FE5">
      <w:pPr>
        <w:pStyle w:val="Default"/>
        <w:ind w:left="720"/>
        <w:jc w:val="both"/>
        <w:rPr>
          <w:rFonts w:ascii="Calibri" w:hAnsi="Calibri" w:cs="Calibri"/>
          <w:sz w:val="22"/>
          <w:szCs w:val="22"/>
        </w:rPr>
      </w:pPr>
      <w:r>
        <w:rPr>
          <w:rFonts w:ascii="Calibri" w:hAnsi="Calibri" w:cs="Calibri"/>
          <w:sz w:val="22"/>
          <w:szCs w:val="22"/>
        </w:rPr>
        <w:t xml:space="preserve">This year we plan that site visits will be part of </w:t>
      </w:r>
      <w:r w:rsidRPr="00627122">
        <w:rPr>
          <w:rFonts w:ascii="Calibri" w:hAnsi="Calibri" w:cs="Calibri"/>
          <w:sz w:val="22"/>
          <w:szCs w:val="22"/>
        </w:rPr>
        <w:t xml:space="preserve">our quality assurance processes and business as usual, to enable a proactive system to be implemented.  </w:t>
      </w:r>
      <w:r>
        <w:rPr>
          <w:rFonts w:ascii="Calibri" w:hAnsi="Calibri" w:cs="Calibri"/>
          <w:sz w:val="22"/>
          <w:szCs w:val="22"/>
        </w:rPr>
        <w:t xml:space="preserve">The number of visits being undertaken will significantly increase to enable patient pathway and themed site visits to complement the quality assurance processes and commissioning cycle. </w:t>
      </w:r>
    </w:p>
    <w:p w:rsidR="00627122" w:rsidRPr="000B7916" w:rsidRDefault="00627122" w:rsidP="00502FE5">
      <w:pPr>
        <w:pStyle w:val="Default"/>
        <w:ind w:left="720"/>
        <w:jc w:val="both"/>
        <w:rPr>
          <w:rFonts w:ascii="Calibri" w:hAnsi="Calibri" w:cs="Calibri"/>
          <w:sz w:val="22"/>
          <w:szCs w:val="22"/>
        </w:rPr>
      </w:pPr>
    </w:p>
    <w:p w:rsidR="000B7916" w:rsidRDefault="00631481" w:rsidP="00B05D5D">
      <w:pPr>
        <w:pStyle w:val="Default"/>
        <w:numPr>
          <w:ilvl w:val="0"/>
          <w:numId w:val="4"/>
        </w:numPr>
        <w:jc w:val="both"/>
        <w:rPr>
          <w:rFonts w:ascii="Calibri" w:hAnsi="Calibri" w:cs="Calibri"/>
          <w:b/>
          <w:sz w:val="22"/>
          <w:szCs w:val="22"/>
        </w:rPr>
      </w:pPr>
      <w:r w:rsidRPr="000B7916">
        <w:rPr>
          <w:rFonts w:ascii="Calibri" w:hAnsi="Calibri" w:cs="Calibri"/>
          <w:b/>
          <w:sz w:val="22"/>
          <w:szCs w:val="22"/>
        </w:rPr>
        <w:t xml:space="preserve">Clinical Governance </w:t>
      </w:r>
      <w:r w:rsidR="00B05D5D" w:rsidRPr="000B7916">
        <w:rPr>
          <w:rFonts w:ascii="Calibri" w:hAnsi="Calibri" w:cs="Calibri"/>
          <w:b/>
          <w:sz w:val="22"/>
          <w:szCs w:val="22"/>
        </w:rPr>
        <w:t xml:space="preserve">Committee </w:t>
      </w:r>
    </w:p>
    <w:p w:rsidR="00631481" w:rsidRDefault="00631481" w:rsidP="000B7916">
      <w:pPr>
        <w:pStyle w:val="Default"/>
        <w:ind w:left="720"/>
        <w:jc w:val="both"/>
        <w:rPr>
          <w:rFonts w:ascii="Calibri" w:hAnsi="Calibri" w:cs="Calibri"/>
          <w:sz w:val="22"/>
          <w:szCs w:val="22"/>
        </w:rPr>
      </w:pPr>
      <w:r w:rsidRPr="000B7916">
        <w:rPr>
          <w:rFonts w:ascii="Calibri" w:hAnsi="Calibri" w:cs="Calibri"/>
          <w:sz w:val="22"/>
          <w:szCs w:val="22"/>
        </w:rPr>
        <w:t>The Clinical Governance Committee held its first meeting on the 16</w:t>
      </w:r>
      <w:r w:rsidRPr="000B7916">
        <w:rPr>
          <w:rFonts w:ascii="Calibri" w:hAnsi="Calibri" w:cs="Calibri"/>
          <w:sz w:val="22"/>
          <w:szCs w:val="22"/>
          <w:vertAlign w:val="superscript"/>
        </w:rPr>
        <w:t>th</w:t>
      </w:r>
      <w:r w:rsidRPr="000B7916">
        <w:rPr>
          <w:rFonts w:ascii="Calibri" w:hAnsi="Calibri" w:cs="Calibri"/>
          <w:sz w:val="22"/>
          <w:szCs w:val="22"/>
        </w:rPr>
        <w:t xml:space="preserve"> of August 2018.  </w:t>
      </w:r>
      <w:r w:rsidR="000B7916" w:rsidRPr="000B7916">
        <w:rPr>
          <w:rFonts w:ascii="Calibri" w:hAnsi="Calibri" w:cs="Calibri"/>
          <w:sz w:val="22"/>
          <w:szCs w:val="22"/>
        </w:rPr>
        <w:t>The member</w:t>
      </w:r>
      <w:r w:rsidR="000B7916">
        <w:rPr>
          <w:rFonts w:ascii="Calibri" w:hAnsi="Calibri" w:cs="Calibri"/>
          <w:sz w:val="22"/>
          <w:szCs w:val="22"/>
        </w:rPr>
        <w:t xml:space="preserve">ship is working to establish the Terms of Reference and operations of the Committee.  </w:t>
      </w:r>
    </w:p>
    <w:p w:rsidR="00105BC9" w:rsidRDefault="00105BC9" w:rsidP="000B7916">
      <w:pPr>
        <w:pStyle w:val="Default"/>
        <w:ind w:left="720"/>
        <w:jc w:val="both"/>
        <w:rPr>
          <w:rFonts w:ascii="Calibri" w:hAnsi="Calibri" w:cs="Calibri"/>
          <w:sz w:val="22"/>
          <w:szCs w:val="22"/>
        </w:rPr>
      </w:pPr>
    </w:p>
    <w:p w:rsidR="00B05D5D" w:rsidRPr="00105BC9" w:rsidRDefault="00105BC9" w:rsidP="00B05D5D">
      <w:pPr>
        <w:pStyle w:val="Default"/>
        <w:numPr>
          <w:ilvl w:val="0"/>
          <w:numId w:val="4"/>
        </w:numPr>
        <w:jc w:val="both"/>
        <w:rPr>
          <w:rFonts w:ascii="Calibri" w:hAnsi="Calibri" w:cs="Calibri"/>
          <w:sz w:val="22"/>
          <w:szCs w:val="22"/>
        </w:rPr>
      </w:pPr>
      <w:r w:rsidRPr="00105BC9">
        <w:rPr>
          <w:rFonts w:ascii="Calibri" w:hAnsi="Calibri" w:cs="Calibri"/>
          <w:b/>
          <w:sz w:val="22"/>
          <w:szCs w:val="22"/>
        </w:rPr>
        <w:t>JTAI</w:t>
      </w:r>
      <w:r w:rsidRPr="00105BC9">
        <w:rPr>
          <w:rFonts w:ascii="Calibri" w:hAnsi="Calibri" w:cs="Calibri"/>
          <w:sz w:val="22"/>
          <w:szCs w:val="22"/>
        </w:rPr>
        <w:t xml:space="preserve"> – We are anticipating a joint targeted area inspection between September and March 19 and are working together across agencies to prepare a mock inspection within the next few weeks. </w:t>
      </w:r>
    </w:p>
    <w:p w:rsidR="008F08E2" w:rsidRDefault="008F08E2" w:rsidP="00E34FDF">
      <w:pPr>
        <w:pStyle w:val="Default"/>
        <w:jc w:val="both"/>
        <w:rPr>
          <w:rFonts w:ascii="Calibri" w:hAnsi="Calibri" w:cs="Calibri"/>
          <w:sz w:val="20"/>
          <w:szCs w:val="20"/>
        </w:rPr>
      </w:pPr>
    </w:p>
    <w:p w:rsidR="008F08E2" w:rsidRDefault="008F08E2" w:rsidP="008675CA">
      <w:pPr>
        <w:spacing w:after="200" w:line="276" w:lineRule="auto"/>
        <w:rPr>
          <w:rFonts w:ascii="Calibri" w:hAnsi="Calibri" w:cs="Calibri"/>
          <w:sz w:val="20"/>
        </w:rPr>
        <w:sectPr w:rsidR="008F08E2" w:rsidSect="008F08E2">
          <w:pgSz w:w="11905" w:h="16837"/>
          <w:pgMar w:top="1134" w:right="743" w:bottom="709" w:left="743" w:header="709" w:footer="709" w:gutter="0"/>
          <w:cols w:space="708"/>
          <w:docGrid w:linePitch="360"/>
        </w:sectPr>
      </w:pPr>
    </w:p>
    <w:p w:rsidR="008675CA" w:rsidRDefault="008675CA" w:rsidP="00A94B27">
      <w:pPr>
        <w:spacing w:after="200"/>
        <w:rPr>
          <w:rFonts w:ascii="Verdana" w:eastAsia="Verdana" w:hAnsi="Verdana" w:cs="Verdana"/>
          <w:b/>
          <w:color w:val="000000"/>
          <w:sz w:val="32"/>
        </w:rPr>
      </w:pPr>
      <w:r>
        <w:rPr>
          <w:rFonts w:ascii="Verdana" w:eastAsia="Verdana" w:hAnsi="Verdana" w:cs="Verdana"/>
          <w:b/>
          <w:color w:val="000000"/>
          <w:sz w:val="32"/>
        </w:rPr>
        <w:lastRenderedPageBreak/>
        <w:t>Appendix A - Performance Exception Summary</w:t>
      </w:r>
    </w:p>
    <w:tbl>
      <w:tblPr>
        <w:tblW w:w="26535" w:type="dxa"/>
        <w:tblInd w:w="-386" w:type="dxa"/>
        <w:tblLayout w:type="fixed"/>
        <w:tblLook w:val="0000" w:firstRow="0" w:lastRow="0" w:firstColumn="0" w:lastColumn="0" w:noHBand="0" w:noVBand="0"/>
      </w:tblPr>
      <w:tblGrid>
        <w:gridCol w:w="1018"/>
        <w:gridCol w:w="4372"/>
        <w:gridCol w:w="1166"/>
        <w:gridCol w:w="1166"/>
        <w:gridCol w:w="1166"/>
        <w:gridCol w:w="1166"/>
        <w:gridCol w:w="1166"/>
        <w:gridCol w:w="1166"/>
        <w:gridCol w:w="1166"/>
        <w:gridCol w:w="1166"/>
        <w:gridCol w:w="1017"/>
        <w:gridCol w:w="1080"/>
        <w:gridCol w:w="1080"/>
        <w:gridCol w:w="1080"/>
        <w:gridCol w:w="1080"/>
        <w:gridCol w:w="1080"/>
        <w:gridCol w:w="1080"/>
        <w:gridCol w:w="1080"/>
        <w:gridCol w:w="1080"/>
        <w:gridCol w:w="1080"/>
        <w:gridCol w:w="1080"/>
      </w:tblGrid>
      <w:tr w:rsidR="00166815" w:rsidTr="006614D3">
        <w:trPr>
          <w:gridAfter w:val="10"/>
          <w:wAfter w:w="10800" w:type="dxa"/>
          <w:trHeight w:val="58"/>
          <w:tblHeader/>
        </w:trPr>
        <w:tc>
          <w:tcPr>
            <w:tcW w:w="1018" w:type="dxa"/>
            <w:vMerge w:val="restart"/>
            <w:tcBorders>
              <w:top w:val="single" w:sz="8" w:space="0" w:color="787878"/>
              <w:left w:val="single" w:sz="8" w:space="0" w:color="787878"/>
              <w:bottom w:val="single" w:sz="8" w:space="0" w:color="787878"/>
              <w:right w:val="single" w:sz="8" w:space="0" w:color="787878"/>
            </w:tcBorders>
            <w:shd w:val="clear" w:color="auto" w:fill="DCDCDC"/>
            <w:tcMar>
              <w:top w:w="40" w:type="dxa"/>
              <w:left w:w="40" w:type="dxa"/>
              <w:bottom w:w="40" w:type="dxa"/>
              <w:right w:w="40" w:type="dxa"/>
            </w:tcMar>
            <w:vAlign w:val="center"/>
          </w:tcPr>
          <w:p w:rsidR="00166815" w:rsidRDefault="00166815" w:rsidP="006614D3">
            <w:r>
              <w:rPr>
                <w:rFonts w:ascii="Verdana" w:eastAsia="Verdana" w:hAnsi="Verdana" w:cs="Verdana"/>
                <w:b/>
                <w:color w:val="000000"/>
                <w:sz w:val="16"/>
              </w:rPr>
              <w:t>Code</w:t>
            </w:r>
          </w:p>
        </w:tc>
        <w:tc>
          <w:tcPr>
            <w:tcW w:w="4372" w:type="dxa"/>
            <w:vMerge w:val="restart"/>
            <w:tcBorders>
              <w:top w:val="single" w:sz="8" w:space="0" w:color="787878"/>
              <w:left w:val="single" w:sz="8" w:space="0" w:color="787878"/>
              <w:bottom w:val="single" w:sz="8" w:space="0" w:color="787878"/>
              <w:right w:val="single" w:sz="8" w:space="0" w:color="787878"/>
            </w:tcBorders>
            <w:shd w:val="clear" w:color="auto" w:fill="DCDCDC"/>
            <w:tcMar>
              <w:top w:w="40" w:type="dxa"/>
              <w:left w:w="40" w:type="dxa"/>
              <w:bottom w:w="40" w:type="dxa"/>
              <w:right w:w="40" w:type="dxa"/>
            </w:tcMar>
            <w:vAlign w:val="center"/>
          </w:tcPr>
          <w:p w:rsidR="00166815" w:rsidRDefault="00166815" w:rsidP="006614D3">
            <w:pPr>
              <w:rPr>
                <w:rFonts w:ascii="Verdana" w:eastAsia="Verdana" w:hAnsi="Verdana" w:cs="Verdana"/>
                <w:b/>
                <w:color w:val="000000"/>
                <w:sz w:val="16"/>
              </w:rPr>
            </w:pPr>
            <w:r>
              <w:rPr>
                <w:rFonts w:ascii="Verdana" w:eastAsia="Verdana" w:hAnsi="Verdana" w:cs="Verdana"/>
                <w:b/>
                <w:color w:val="000000"/>
                <w:sz w:val="16"/>
              </w:rPr>
              <w:t>Indicator</w:t>
            </w:r>
          </w:p>
        </w:tc>
        <w:tc>
          <w:tcPr>
            <w:tcW w:w="1166" w:type="dxa"/>
            <w:vMerge w:val="restart"/>
            <w:tcBorders>
              <w:top w:val="single" w:sz="8" w:space="0" w:color="787878"/>
              <w:left w:val="single" w:sz="8" w:space="0" w:color="787878"/>
              <w:right w:val="single" w:sz="8" w:space="0" w:color="787878"/>
            </w:tcBorders>
            <w:shd w:val="clear" w:color="auto" w:fill="DCDCDC"/>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Quality Measure?</w:t>
            </w:r>
          </w:p>
        </w:tc>
        <w:tc>
          <w:tcPr>
            <w:tcW w:w="4664" w:type="dxa"/>
            <w:gridSpan w:val="4"/>
            <w:tcBorders>
              <w:top w:val="single" w:sz="8" w:space="0" w:color="787878"/>
              <w:left w:val="single" w:sz="8" w:space="0" w:color="787878"/>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Latest period</w:t>
            </w:r>
          </w:p>
        </w:tc>
        <w:tc>
          <w:tcPr>
            <w:tcW w:w="3498" w:type="dxa"/>
            <w:gridSpan w:val="3"/>
            <w:tcBorders>
              <w:top w:val="single" w:sz="8" w:space="0" w:color="787878"/>
              <w:left w:val="single" w:sz="8" w:space="0" w:color="787878"/>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Year to date</w:t>
            </w:r>
          </w:p>
        </w:tc>
        <w:tc>
          <w:tcPr>
            <w:tcW w:w="1017" w:type="dxa"/>
            <w:vMerge w:val="restart"/>
            <w:tcBorders>
              <w:top w:val="single" w:sz="8" w:space="0" w:color="787878"/>
              <w:left w:val="single" w:sz="8" w:space="0" w:color="787878"/>
              <w:bottom w:val="single" w:sz="8" w:space="0" w:color="787878"/>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Year End Forecast</w:t>
            </w:r>
          </w:p>
        </w:tc>
      </w:tr>
      <w:tr w:rsidR="00166815" w:rsidTr="006614D3">
        <w:trPr>
          <w:gridAfter w:val="10"/>
          <w:wAfter w:w="10800" w:type="dxa"/>
          <w:trHeight w:val="189"/>
          <w:tblHeader/>
        </w:trPr>
        <w:tc>
          <w:tcPr>
            <w:tcW w:w="1018" w:type="dxa"/>
            <w:vMerge/>
            <w:tcBorders>
              <w:top w:val="single" w:sz="8" w:space="0" w:color="787878"/>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rPr>
                <w:rFonts w:ascii="Verdana" w:eastAsia="Verdana" w:hAnsi="Verdana" w:cs="Verdana"/>
                <w:b/>
                <w:color w:val="000000"/>
                <w:sz w:val="16"/>
              </w:rPr>
            </w:pPr>
          </w:p>
        </w:tc>
        <w:tc>
          <w:tcPr>
            <w:tcW w:w="4372" w:type="dxa"/>
            <w:vMerge/>
            <w:tcBorders>
              <w:top w:val="single" w:sz="8" w:space="0" w:color="787878"/>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rPr>
                <w:rFonts w:ascii="Verdana" w:eastAsia="Verdana" w:hAnsi="Verdana" w:cs="Verdana"/>
                <w:b/>
                <w:color w:val="000000"/>
                <w:sz w:val="16"/>
              </w:rPr>
            </w:pPr>
          </w:p>
        </w:tc>
        <w:tc>
          <w:tcPr>
            <w:tcW w:w="1166" w:type="dxa"/>
            <w:vMerge/>
            <w:tcBorders>
              <w:left w:val="single" w:sz="8" w:space="0" w:color="787878"/>
              <w:bottom w:val="single" w:sz="8" w:space="0" w:color="000000"/>
              <w:right w:val="single" w:sz="8" w:space="0" w:color="787878"/>
            </w:tcBorders>
            <w:shd w:val="clear" w:color="auto" w:fill="DCDCDC"/>
          </w:tcPr>
          <w:p w:rsidR="00166815" w:rsidRDefault="00166815" w:rsidP="006614D3">
            <w:pPr>
              <w:jc w:val="center"/>
              <w:rPr>
                <w:rFonts w:ascii="Verdana" w:eastAsia="Verdana" w:hAnsi="Verdana" w:cs="Verdana"/>
                <w:b/>
                <w:color w:val="000000"/>
                <w:sz w:val="16"/>
              </w:rPr>
            </w:pP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Period</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Target</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Value</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Status</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Target</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Value</w:t>
            </w:r>
          </w:p>
        </w:tc>
        <w:tc>
          <w:tcPr>
            <w:tcW w:w="1166" w:type="dxa"/>
            <w:tcBorders>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r>
              <w:rPr>
                <w:rFonts w:ascii="Verdana" w:eastAsia="Verdana" w:hAnsi="Verdana" w:cs="Verdana"/>
                <w:b/>
                <w:color w:val="000000"/>
                <w:sz w:val="16"/>
              </w:rPr>
              <w:t>Status</w:t>
            </w:r>
          </w:p>
        </w:tc>
        <w:tc>
          <w:tcPr>
            <w:tcW w:w="1017" w:type="dxa"/>
            <w:vMerge/>
            <w:tcBorders>
              <w:top w:val="single" w:sz="8" w:space="0" w:color="787878"/>
              <w:left w:val="single" w:sz="8" w:space="0" w:color="787878"/>
              <w:bottom w:val="single" w:sz="8" w:space="0" w:color="000000"/>
              <w:right w:val="single" w:sz="8" w:space="0" w:color="787878"/>
            </w:tcBorders>
            <w:shd w:val="clear" w:color="auto" w:fill="DCDCDC"/>
            <w:tcMar>
              <w:top w:w="40" w:type="dxa"/>
              <w:left w:w="40" w:type="dxa"/>
              <w:bottom w:w="40" w:type="dxa"/>
              <w:right w:w="40" w:type="dxa"/>
            </w:tcMar>
            <w:vAlign w:val="center"/>
          </w:tcPr>
          <w:p w:rsidR="00166815" w:rsidRDefault="00166815" w:rsidP="006614D3">
            <w:pPr>
              <w:jc w:val="center"/>
              <w:rPr>
                <w:rFonts w:ascii="Verdana" w:eastAsia="Verdana" w:hAnsi="Verdana" w:cs="Verdana"/>
                <w:b/>
                <w:color w:val="000000"/>
                <w:sz w:val="16"/>
              </w:rPr>
            </w:pPr>
          </w:p>
        </w:tc>
      </w:tr>
      <w:tr w:rsidR="00166815" w:rsidTr="006614D3">
        <w:trPr>
          <w:gridAfter w:val="10"/>
          <w:wAfter w:w="10800" w:type="dxa"/>
          <w:trHeight w:val="2"/>
        </w:trPr>
        <w:tc>
          <w:tcPr>
            <w:tcW w:w="15735" w:type="dxa"/>
            <w:gridSpan w:val="11"/>
            <w:tcBorders>
              <w:top w:val="single" w:sz="8" w:space="0" w:color="000000"/>
              <w:left w:val="single" w:sz="8" w:space="0" w:color="000000"/>
              <w:right w:val="single" w:sz="8" w:space="0" w:color="000000"/>
            </w:tcBorders>
            <w:shd w:val="clear" w:color="auto" w:fill="FFC000"/>
          </w:tcPr>
          <w:p w:rsidR="00166815" w:rsidRDefault="00166815" w:rsidP="006614D3">
            <w:r>
              <w:rPr>
                <w:rFonts w:ascii="Verdana" w:eastAsia="Verdana" w:hAnsi="Verdana" w:cs="Verdana"/>
                <w:color w:val="000000"/>
                <w:sz w:val="20"/>
              </w:rPr>
              <w:t>Positive experience</w:t>
            </w:r>
          </w:p>
        </w:tc>
      </w:tr>
      <w:tr w:rsidR="00166815"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DAC1000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Total time in A&amp;E: four hours or less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83.97%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87.8%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86.39%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DAC1020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Cancelled Operations offered binding date within 28 days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Q1 2018/19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5.34%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26.42%</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5.34%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26.42%</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DAC1040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Numbers of unjustified mixed sex accommodation breaches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June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37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123</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Tr="006614D3">
        <w:trPr>
          <w:gridAfter w:val="10"/>
          <w:wAfter w:w="10800" w:type="dxa"/>
          <w:trHeight w:val="2"/>
        </w:trPr>
        <w:tc>
          <w:tcPr>
            <w:tcW w:w="1018"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DAC1210</w:t>
            </w:r>
          </w:p>
        </w:tc>
        <w:tc>
          <w:tcPr>
            <w:tcW w:w="4372"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Proportion of GP referrals made by e-referrals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June 2018</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100%</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54.33%</w:t>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100%</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54.33%</w:t>
            </w:r>
          </w:p>
        </w:tc>
        <w:tc>
          <w:tcPr>
            <w:tcW w:w="1166" w:type="dxa"/>
            <w:tcBorders>
              <w:top w:val="single" w:sz="8" w:space="0" w:color="78786E"/>
              <w:left w:val="single" w:sz="8" w:space="0" w:color="78786E"/>
              <w:bottom w:val="single" w:sz="8" w:space="0" w:color="000000"/>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000000"/>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Tr="006614D3">
        <w:trPr>
          <w:gridAfter w:val="10"/>
          <w:wAfter w:w="10800" w:type="dxa"/>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92D050"/>
          </w:tcPr>
          <w:p w:rsidR="00166815" w:rsidRPr="005B5F2C" w:rsidRDefault="00166815" w:rsidP="006614D3">
            <w:pPr>
              <w:rPr>
                <w:b/>
              </w:rPr>
            </w:pPr>
            <w:r w:rsidRPr="005B5F2C">
              <w:rPr>
                <w:rFonts w:ascii="Verdana" w:eastAsia="Verdana" w:hAnsi="Verdana" w:cs="Verdana"/>
                <w:b/>
                <w:color w:val="000000"/>
                <w:sz w:val="20"/>
              </w:rPr>
              <w:t>Preventing avoidable harm</w:t>
            </w:r>
          </w:p>
        </w:tc>
      </w:tr>
      <w:tr w:rsidR="00166815" w:rsidTr="006614D3">
        <w:trPr>
          <w:gridAfter w:val="10"/>
          <w:wAfter w:w="10800" w:type="dxa"/>
          <w:trHeight w:val="2"/>
        </w:trPr>
        <w:tc>
          <w:tcPr>
            <w:tcW w:w="15735" w:type="dxa"/>
            <w:gridSpan w:val="11"/>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166815">
            <w:pPr>
              <w:rPr>
                <w:rFonts w:ascii="Verdana" w:eastAsia="Verdana" w:hAnsi="Verdana" w:cs="Verdana"/>
                <w:color w:val="000000"/>
                <w:sz w:val="16"/>
              </w:rPr>
            </w:pPr>
            <w:r>
              <w:rPr>
                <w:rFonts w:ascii="Verdana" w:eastAsia="Verdana" w:hAnsi="Verdana" w:cs="Verdana"/>
                <w:color w:val="000000"/>
                <w:sz w:val="16"/>
              </w:rPr>
              <w:t>No Exceptions</w:t>
            </w:r>
          </w:p>
        </w:tc>
      </w:tr>
      <w:tr w:rsidR="00166815" w:rsidTr="006614D3">
        <w:trPr>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FFC000"/>
          </w:tcPr>
          <w:p w:rsidR="00166815" w:rsidRPr="005B5F2C" w:rsidRDefault="00166815" w:rsidP="006614D3">
            <w:pPr>
              <w:rPr>
                <w:b/>
              </w:rPr>
            </w:pPr>
            <w:r w:rsidRPr="005B5F2C">
              <w:rPr>
                <w:rFonts w:ascii="Verdana" w:eastAsia="Verdana" w:hAnsi="Verdana" w:cs="Verdana"/>
                <w:b/>
                <w:color w:val="000000"/>
                <w:sz w:val="20"/>
              </w:rPr>
              <w:t>Delaying and reducing the need for care and support</w:t>
            </w:r>
          </w:p>
        </w:tc>
        <w:tc>
          <w:tcPr>
            <w:tcW w:w="1080" w:type="dxa"/>
          </w:tcPr>
          <w:p w:rsidR="00166815" w:rsidRDefault="00166815" w:rsidP="006614D3"/>
        </w:tc>
        <w:tc>
          <w:tcPr>
            <w:tcW w:w="1080" w:type="dxa"/>
          </w:tcPr>
          <w:p w:rsidR="00166815" w:rsidRDefault="00166815" w:rsidP="006614D3"/>
        </w:tc>
        <w:tc>
          <w:tcPr>
            <w:tcW w:w="1080" w:type="dxa"/>
            <w:vAlign w:val="center"/>
          </w:tcPr>
          <w:p w:rsidR="00166815" w:rsidRDefault="00166815" w:rsidP="006614D3">
            <w:pPr>
              <w:jc w:val="center"/>
              <w:rPr>
                <w:rFonts w:ascii="Verdana" w:eastAsia="Verdana" w:hAnsi="Verdana" w:cs="Verdana"/>
                <w:color w:val="000000"/>
                <w:sz w:val="16"/>
              </w:rPr>
            </w:pPr>
          </w:p>
        </w:tc>
        <w:tc>
          <w:tcPr>
            <w:tcW w:w="1080" w:type="dxa"/>
            <w:vAlign w:val="center"/>
          </w:tcPr>
          <w:p w:rsidR="00166815" w:rsidRDefault="00166815" w:rsidP="006614D3">
            <w:pPr>
              <w:jc w:val="center"/>
              <w:rPr>
                <w:rFonts w:ascii="Verdana" w:eastAsia="Verdana" w:hAnsi="Verdana" w:cs="Verdana"/>
                <w:color w:val="000000"/>
                <w:sz w:val="16"/>
              </w:rPr>
            </w:pPr>
          </w:p>
        </w:tc>
        <w:tc>
          <w:tcPr>
            <w:tcW w:w="1080" w:type="dxa"/>
            <w:vAlign w:val="center"/>
          </w:tcPr>
          <w:p w:rsidR="00166815" w:rsidRDefault="00166815" w:rsidP="006614D3">
            <w:pPr>
              <w:jc w:val="center"/>
              <w:rPr>
                <w:rFonts w:ascii="Verdana" w:eastAsia="Verdana" w:hAnsi="Verdana" w:cs="Verdana"/>
                <w:color w:val="000000"/>
                <w:sz w:val="16"/>
              </w:rPr>
            </w:pPr>
          </w:p>
        </w:tc>
        <w:tc>
          <w:tcPr>
            <w:tcW w:w="1080" w:type="dxa"/>
            <w:vAlign w:val="center"/>
          </w:tcPr>
          <w:p w:rsidR="00166815" w:rsidRDefault="00166815" w:rsidP="006614D3">
            <w:pPr>
              <w:jc w:val="center"/>
              <w:rPr>
                <w:rFonts w:ascii="Verdana" w:eastAsia="Verdana" w:hAnsi="Verdana" w:cs="Verdana"/>
                <w:color w:val="000000"/>
                <w:sz w:val="16"/>
              </w:rPr>
            </w:pPr>
          </w:p>
        </w:tc>
        <w:tc>
          <w:tcPr>
            <w:tcW w:w="1080" w:type="dxa"/>
            <w:vAlign w:val="center"/>
          </w:tcPr>
          <w:p w:rsidR="00166815" w:rsidRDefault="00166815" w:rsidP="006614D3">
            <w:pPr>
              <w:jc w:val="center"/>
              <w:rPr>
                <w:rFonts w:ascii="Verdana" w:eastAsia="Verdana" w:hAnsi="Verdana" w:cs="Verdana"/>
                <w:color w:val="000000"/>
                <w:sz w:val="16"/>
              </w:rPr>
            </w:pPr>
          </w:p>
        </w:tc>
        <w:tc>
          <w:tcPr>
            <w:tcW w:w="1080" w:type="dxa"/>
            <w:vAlign w:val="center"/>
          </w:tcPr>
          <w:p w:rsidR="00166815" w:rsidRDefault="00166815" w:rsidP="006614D3">
            <w:pPr>
              <w:jc w:val="center"/>
              <w:rPr>
                <w:rFonts w:ascii="Verdana" w:eastAsia="Verdana" w:hAnsi="Verdana" w:cs="Verdana"/>
                <w:color w:val="000000"/>
                <w:sz w:val="16"/>
              </w:rPr>
            </w:pPr>
          </w:p>
        </w:tc>
        <w:tc>
          <w:tcPr>
            <w:tcW w:w="1080" w:type="dxa"/>
            <w:vAlign w:val="center"/>
          </w:tcPr>
          <w:p w:rsidR="00166815" w:rsidRDefault="00166815" w:rsidP="006614D3">
            <w:pPr>
              <w:jc w:val="center"/>
              <w:rPr>
                <w:rFonts w:ascii="Verdana" w:eastAsia="Verdana" w:hAnsi="Verdana" w:cs="Verdana"/>
                <w:color w:val="000000"/>
                <w:sz w:val="16"/>
              </w:rPr>
            </w:pPr>
          </w:p>
        </w:tc>
        <w:tc>
          <w:tcPr>
            <w:tcW w:w="1080" w:type="dxa"/>
            <w:vAlign w:val="center"/>
          </w:tcPr>
          <w:p w:rsidR="00166815" w:rsidRDefault="00166815" w:rsidP="006614D3">
            <w:pPr>
              <w:jc w:val="center"/>
              <w:rPr>
                <w:rFonts w:ascii="Verdana" w:eastAsia="Verdana" w:hAnsi="Verdana" w:cs="Verdana"/>
                <w:color w:val="000000"/>
                <w:sz w:val="16"/>
              </w:rPr>
            </w:pPr>
          </w:p>
        </w:tc>
      </w:tr>
      <w:tr w:rsidR="00166815"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DAC3175</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Total Elective Spells (Specific Acute)</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D673F5">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May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2813</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2744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5386</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5168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DAC3195</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Total Non-Elective Spells (Specific Acute)</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D673F5">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May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1437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1488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2811</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2825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DAC3215</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9D16C7">
            <w:pPr>
              <w:rPr>
                <w:rFonts w:ascii="Verdana" w:eastAsia="Verdana" w:hAnsi="Verdana" w:cs="Verdana"/>
                <w:color w:val="000000"/>
                <w:sz w:val="16"/>
              </w:rPr>
            </w:pPr>
            <w:r>
              <w:rPr>
                <w:rFonts w:ascii="Verdana" w:eastAsia="Verdana" w:hAnsi="Verdana" w:cs="Verdana"/>
                <w:color w:val="000000"/>
                <w:sz w:val="16"/>
              </w:rPr>
              <w:t xml:space="preserve">Consultant Led First Outpatient Attendances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D673F5">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May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4294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4451</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8158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8430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DAC3235</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9D16C7">
            <w:pPr>
              <w:rPr>
                <w:rFonts w:ascii="Verdana" w:eastAsia="Verdana" w:hAnsi="Verdana" w:cs="Verdana"/>
                <w:color w:val="000000"/>
                <w:sz w:val="16"/>
              </w:rPr>
            </w:pPr>
            <w:r>
              <w:rPr>
                <w:rFonts w:ascii="Verdana" w:eastAsia="Verdana" w:hAnsi="Verdana" w:cs="Verdana"/>
                <w:color w:val="000000"/>
                <w:sz w:val="16"/>
              </w:rPr>
              <w:t xml:space="preserve">Consultant Led Follow-Up Outpatient Attendances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D673F5">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May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7920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8190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14926</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15664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DAC3240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A&amp;E Attendances (NEL Patients)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225166">
              <w:rPr>
                <w:rFonts w:ascii="Verdana" w:eastAsia="Verdana" w:hAnsi="Verdana" w:cs="Verdana"/>
                <w:color w:val="000000"/>
                <w:sz w:val="16"/>
              </w:rPr>
              <w:t>No</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May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5050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5193</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9737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10044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Tr="006614D3">
        <w:trPr>
          <w:gridAfter w:val="10"/>
          <w:wAfter w:w="10800" w:type="dxa"/>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92D050"/>
          </w:tcPr>
          <w:p w:rsidR="00166815" w:rsidRPr="005B5F2C" w:rsidRDefault="00166815" w:rsidP="006614D3">
            <w:pPr>
              <w:rPr>
                <w:b/>
              </w:rPr>
            </w:pPr>
            <w:r w:rsidRPr="005B5F2C">
              <w:rPr>
                <w:rFonts w:ascii="Verdana" w:eastAsia="Verdana" w:hAnsi="Verdana" w:cs="Verdana"/>
                <w:b/>
                <w:color w:val="000000"/>
                <w:sz w:val="20"/>
              </w:rPr>
              <w:t>Enhancing quality of life</w:t>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DAC4050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Proportion of adults in contact with secondary mental health services living independently, with or without support</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 xml:space="preserve">No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May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78.36%</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77.33%</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FFC000"/>
          </w:tcPr>
          <w:p w:rsidR="00166815" w:rsidRPr="005B5F2C" w:rsidRDefault="00166815" w:rsidP="006614D3">
            <w:pPr>
              <w:rPr>
                <w:rFonts w:ascii="Verdana" w:eastAsia="Verdana" w:hAnsi="Verdana" w:cs="Verdana"/>
                <w:b/>
                <w:color w:val="000000"/>
                <w:sz w:val="20"/>
              </w:rPr>
            </w:pPr>
            <w:r w:rsidRPr="005B5F2C">
              <w:rPr>
                <w:rFonts w:ascii="Verdana" w:eastAsia="Verdana" w:hAnsi="Verdana" w:cs="Verdana"/>
                <w:b/>
                <w:color w:val="000000"/>
                <w:sz w:val="20"/>
              </w:rPr>
              <w:t>Preventing people from dying prematurely</w:t>
            </w:r>
          </w:p>
        </w:tc>
      </w:tr>
      <w:tr w:rsidR="00166815" w:rsidRPr="00D27A74" w:rsidTr="006614D3">
        <w:trPr>
          <w:gridAfter w:val="10"/>
          <w:wAfter w:w="10800" w:type="dxa"/>
          <w:trHeight w:val="365"/>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DAC5001</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ARP Category 1 Mean Response Time – Calls from people with life-threatening illnesses or injuries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FA2A4F">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00:07:00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00:07:41</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00:07:00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00:07:55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DAC5003</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ARP Category 1 90th centile response time  – Calls from people with life-threatening illnesses or injuries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FA2A4F">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00:15:00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00:13:53</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00:15:00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00:14:17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DAC5011</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ARP Category 2 Mean Response Time – Emergency calls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FA2A4F">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00:18:00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00:33:17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00:18:00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00:31:47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lastRenderedPageBreak/>
              <w:t>DAC5013</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ARP Category 2 90th centile response time  – Emergency Calls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FA2A4F">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00:40:00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01:10:26</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00:40:00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01:07:14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DAC5023</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ARP Category 3 90th centile response time  – Urgent Calls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Pr="00FA2A4F" w:rsidRDefault="00166815" w:rsidP="006614D3">
            <w:pPr>
              <w:jc w:val="center"/>
              <w:rPr>
                <w:rFonts w:ascii="Verdana" w:eastAsia="Verdana" w:hAnsi="Verdana" w:cs="Verdana"/>
                <w:color w:val="000000"/>
                <w:sz w:val="16"/>
              </w:rPr>
            </w:pPr>
            <w:r w:rsidRPr="00FA2A4F">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02:00:00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03:13:58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02:00:00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02:55:14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DAC5033</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ARP Category 4 90th centile response time  – Less Urgent Calls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Pr="00FA2A4F" w:rsidRDefault="00166815" w:rsidP="006614D3">
            <w:pPr>
              <w:jc w:val="center"/>
              <w:rPr>
                <w:rFonts w:ascii="Verdana" w:eastAsia="Verdana" w:hAnsi="Verdana" w:cs="Verdana"/>
                <w:color w:val="000000"/>
                <w:sz w:val="16"/>
              </w:rPr>
            </w:pPr>
            <w:r w:rsidRPr="00FA2A4F">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03:00:00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02:29:24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03:00:00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02:20:39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DAC5040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Ambulance 30 minute average turnaround time target - DPOW</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 xml:space="preserve">No </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30 mins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38.54 mins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30 mins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38.17 mins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29"/>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DAC5110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Cancer 62 Days Referral to Treatment (GP Referral)</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sidRPr="00FA2A4F">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June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60%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85%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67.69%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5735" w:type="dxa"/>
            <w:gridSpan w:val="11"/>
            <w:tcBorders>
              <w:top w:val="single" w:sz="8" w:space="0" w:color="000000"/>
              <w:left w:val="single" w:sz="8" w:space="0" w:color="000000"/>
              <w:bottom w:val="single" w:sz="8" w:space="0" w:color="000000"/>
              <w:right w:val="single" w:sz="8" w:space="0" w:color="000000"/>
            </w:tcBorders>
            <w:shd w:val="clear" w:color="auto" w:fill="FFC000"/>
          </w:tcPr>
          <w:p w:rsidR="00166815" w:rsidRPr="005B5F2C" w:rsidRDefault="00166815" w:rsidP="006614D3">
            <w:pPr>
              <w:rPr>
                <w:b/>
              </w:rPr>
            </w:pPr>
            <w:r w:rsidRPr="005B5F2C">
              <w:rPr>
                <w:rFonts w:ascii="Verdana" w:eastAsia="Verdana" w:hAnsi="Verdana" w:cs="Verdana"/>
                <w:b/>
                <w:color w:val="000000"/>
                <w:sz w:val="20"/>
              </w:rPr>
              <w:t>Helping people recover from ill health or injury</w:t>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DAC6060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RTT - Incomplete Patients: % Seen Within 18 Weeks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8F6D08">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72.4%</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77.09%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70.9%</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75.5%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DAC6070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RTT – No. waiting on incomplete pathway 52+ wks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pPr>
            <w:r w:rsidRPr="008F6D08">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235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288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DAC6140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Proportion of children &amp; young people &lt;18 receiving treatment by NHS funded community services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Pr="00326654" w:rsidRDefault="00166815" w:rsidP="006614D3">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Q4 2017/18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7.95%</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3.07%</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3498" w:type="dxa"/>
            <w:gridSpan w:val="3"/>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No data available in 2018/19</w:t>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66815" w:rsidRPr="00D27A74" w:rsidTr="006614D3">
        <w:trPr>
          <w:gridAfter w:val="10"/>
          <w:wAfter w:w="10800" w:type="dxa"/>
          <w:trHeight w:val="2"/>
        </w:trPr>
        <w:tc>
          <w:tcPr>
            <w:tcW w:w="1018"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DAC6200</w:t>
            </w:r>
          </w:p>
        </w:tc>
        <w:tc>
          <w:tcPr>
            <w:tcW w:w="4372"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rPr>
                <w:rFonts w:ascii="Verdana" w:eastAsia="Verdana" w:hAnsi="Verdana" w:cs="Verdana"/>
                <w:color w:val="000000"/>
                <w:sz w:val="16"/>
              </w:rPr>
            </w:pPr>
            <w:r>
              <w:rPr>
                <w:rFonts w:ascii="Verdana" w:eastAsia="Verdana" w:hAnsi="Verdana" w:cs="Verdana"/>
                <w:color w:val="000000"/>
                <w:sz w:val="16"/>
              </w:rPr>
              <w:t>Extended access (evening and weekends) at GP services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Pr="00326654" w:rsidRDefault="00166815" w:rsidP="006614D3">
            <w:pPr>
              <w:jc w:val="center"/>
              <w:rPr>
                <w:rFonts w:ascii="Verdana" w:eastAsia="Verdana" w:hAnsi="Verdana" w:cs="Verdana"/>
                <w:color w:val="000000"/>
                <w:sz w:val="16"/>
              </w:rPr>
            </w:pPr>
            <w:r>
              <w:rPr>
                <w:rFonts w:ascii="Verdana" w:eastAsia="Verdana" w:hAnsi="Verdana" w:cs="Verdana"/>
                <w:color w:val="000000"/>
                <w:sz w:val="16"/>
              </w:rPr>
              <w:t>Yes</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July 2018</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32.1%</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166"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32.1%</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166815" w:rsidP="006614D3">
            <w:pPr>
              <w:jc w:val="center"/>
              <w:rPr>
                <w:rFonts w:ascii="Verdana" w:eastAsia="Verdana" w:hAnsi="Verdana" w:cs="Verdana"/>
                <w:color w:val="000000"/>
                <w:sz w:val="16"/>
              </w:rPr>
            </w:pPr>
            <w:r>
              <w:rPr>
                <w:rFonts w:ascii="Verdana" w:eastAsia="Verdana" w:hAnsi="Verdana" w:cs="Verdana"/>
                <w:color w:val="000000"/>
                <w:sz w:val="16"/>
              </w:rPr>
              <w:t>0%</w:t>
            </w:r>
          </w:p>
        </w:tc>
        <w:tc>
          <w:tcPr>
            <w:tcW w:w="1166" w:type="dxa"/>
            <w:tcBorders>
              <w:top w:val="single" w:sz="8" w:space="0" w:color="78786E"/>
              <w:left w:val="single" w:sz="8" w:space="0" w:color="78786E"/>
              <w:bottom w:val="single" w:sz="8" w:space="0" w:color="78786E"/>
              <w:right w:val="single" w:sz="8" w:space="0" w:color="78786E"/>
            </w:tcBorders>
            <w:shd w:val="clear" w:color="auto" w:fill="FFFFFF"/>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203200" cy="203200"/>
                  <wp:effectExtent l="0" t="0" r="635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c>
        <w:tc>
          <w:tcPr>
            <w:tcW w:w="1017" w:type="dxa"/>
            <w:tcBorders>
              <w:top w:val="single" w:sz="8" w:space="0" w:color="78786E"/>
              <w:left w:val="single" w:sz="8" w:space="0" w:color="78786E"/>
              <w:bottom w:val="single" w:sz="8" w:space="0" w:color="78786E"/>
              <w:right w:val="single" w:sz="8" w:space="0" w:color="78786E"/>
            </w:tcBorders>
            <w:shd w:val="clear" w:color="auto" w:fill="FFFFFF"/>
            <w:tcMar>
              <w:top w:w="40" w:type="dxa"/>
              <w:left w:w="40" w:type="dxa"/>
              <w:bottom w:w="40" w:type="dxa"/>
              <w:right w:w="40" w:type="dxa"/>
            </w:tcMar>
            <w:vAlign w:val="center"/>
          </w:tcPr>
          <w:p w:rsidR="00166815" w:rsidRDefault="0069784F" w:rsidP="006614D3">
            <w:pPr>
              <w:jc w:val="center"/>
              <w:rPr>
                <w:rFonts w:ascii="Verdana" w:eastAsia="Verdana" w:hAnsi="Verdana" w:cs="Verdana"/>
                <w:color w:val="000000"/>
                <w:sz w:val="16"/>
              </w:rPr>
            </w:pPr>
            <w:r>
              <w:rPr>
                <w:rFonts w:ascii="Verdana" w:eastAsia="Verdana" w:hAnsi="Verdana" w:cs="Verdana"/>
                <w:noProof/>
                <w:color w:val="000000"/>
                <w:sz w:val="16"/>
                <w:lang w:eastAsia="en-GB"/>
              </w:rPr>
              <w:drawing>
                <wp:inline distT="0" distB="0" distL="0" distR="0">
                  <wp:extent cx="152400" cy="152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bl>
    <w:p w:rsidR="00B47EA5" w:rsidRDefault="00213942" w:rsidP="008675CA">
      <w:pPr>
        <w:spacing w:after="200" w:line="276" w:lineRule="auto"/>
        <w:rPr>
          <w:rFonts w:ascii="Verdana" w:eastAsia="Verdana" w:hAnsi="Verdana" w:cs="Verdana"/>
          <w:b/>
          <w:color w:val="000000"/>
          <w:sz w:val="32"/>
        </w:rPr>
      </w:pPr>
      <w:r>
        <w:rPr>
          <w:rFonts w:ascii="Verdana" w:eastAsia="Verdana" w:hAnsi="Verdana" w:cs="Verdana"/>
          <w:b/>
          <w:color w:val="000000"/>
          <w:sz w:val="32"/>
        </w:rPr>
        <w:br w:type="page"/>
      </w:r>
      <w:r>
        <w:rPr>
          <w:rFonts w:ascii="Verdana" w:eastAsia="Verdana" w:hAnsi="Verdana" w:cs="Verdana"/>
          <w:b/>
          <w:color w:val="000000"/>
          <w:sz w:val="32"/>
        </w:rPr>
        <w:lastRenderedPageBreak/>
        <w:t xml:space="preserve">Appendix B – Provider-level Quality </w:t>
      </w:r>
      <w:r w:rsidR="00AB5061">
        <w:rPr>
          <w:rFonts w:ascii="Verdana" w:eastAsia="Verdana" w:hAnsi="Verdana" w:cs="Verdana"/>
          <w:b/>
          <w:color w:val="000000"/>
          <w:sz w:val="32"/>
        </w:rPr>
        <w:t>Surveillance Rating</w:t>
      </w:r>
      <w:r>
        <w:rPr>
          <w:rFonts w:ascii="Verdana" w:eastAsia="Verdana" w:hAnsi="Verdana" w:cs="Verdana"/>
          <w:b/>
          <w:color w:val="000000"/>
          <w:sz w:val="32"/>
        </w:rPr>
        <w:t>s</w:t>
      </w:r>
    </w:p>
    <w:p w:rsidR="00F77729" w:rsidRDefault="0069784F" w:rsidP="008D3FCA">
      <w:pPr>
        <w:spacing w:after="200" w:line="276" w:lineRule="auto"/>
        <w:rPr>
          <w:rFonts w:eastAsia="Verdana"/>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8045450</wp:posOffset>
                </wp:positionH>
                <wp:positionV relativeFrom="paragraph">
                  <wp:posOffset>332105</wp:posOffset>
                </wp:positionV>
                <wp:extent cx="1860550" cy="4485005"/>
                <wp:effectExtent l="0" t="0" r="0" b="2540"/>
                <wp:wrapNone/>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4485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3F19" w:rsidRDefault="0069784F">
                            <w:r>
                              <w:rPr>
                                <w:noProof/>
                                <w:lang w:eastAsia="en-GB"/>
                              </w:rPr>
                              <w:drawing>
                                <wp:inline distT="0" distB="0" distL="0" distR="0">
                                  <wp:extent cx="1677035" cy="4393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7035" cy="43935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9" type="#_x0000_t202" style="position:absolute;margin-left:633.5pt;margin-top:26.15pt;width:146.5pt;height:353.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" stroked="f">
                <v:textbox style="mso-fit-shape-to-text:t">
                  <w:txbxContent>
                    <w:p w:rsidR="006F3F19" w:rsidRDefault="0069784F">
                      <w:r>
                        <w:rPr>
                          <w:noProof/>
                          <w:lang w:eastAsia="en-GB"/>
                        </w:rPr>
                        <w:drawing>
                          <wp:inline distT="0" distB="0" distL="0" distR="0">
                            <wp:extent cx="1677035" cy="4393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7035" cy="4393565"/>
                                    </a:xfrm>
                                    <a:prstGeom prst="rect">
                                      <a:avLst/>
                                    </a:prstGeom>
                                    <a:noFill/>
                                    <a:ln>
                                      <a:noFill/>
                                    </a:ln>
                                  </pic:spPr>
                                </pic:pic>
                              </a:graphicData>
                            </a:graphic>
                          </wp:inline>
                        </w:drawing>
                      </w:r>
                    </w:p>
                  </w:txbxContent>
                </v:textbox>
              </v:shape>
            </w:pict>
          </mc:Fallback>
        </mc:AlternateContent>
      </w:r>
      <w:r w:rsidR="002E41D1">
        <w:rPr>
          <w:noProof/>
          <w:lang w:eastAsia="en-GB"/>
        </w:rPr>
        <w:t xml:space="preserve">      </w:t>
      </w:r>
      <w:r w:rsidR="002E41D1">
        <w:rPr>
          <w:rFonts w:eastAsia="Verdana"/>
        </w:rPr>
        <w:t xml:space="preserve">  </w:t>
      </w:r>
      <w:r>
        <w:rPr>
          <w:rFonts w:eastAsia="Verdana"/>
          <w:noProof/>
          <w:lang w:eastAsia="en-GB"/>
        </w:rPr>
        <w:drawing>
          <wp:inline distT="0" distB="0" distL="0" distR="0">
            <wp:extent cx="2536825" cy="2482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6825" cy="2482850"/>
                    </a:xfrm>
                    <a:prstGeom prst="rect">
                      <a:avLst/>
                    </a:prstGeom>
                    <a:noFill/>
                    <a:ln>
                      <a:noFill/>
                    </a:ln>
                  </pic:spPr>
                </pic:pic>
              </a:graphicData>
            </a:graphic>
          </wp:inline>
        </w:drawing>
      </w:r>
      <w:r w:rsidR="009B2860" w:rsidRPr="009B2860">
        <w:rPr>
          <w:rFonts w:eastAsia="Verdana"/>
        </w:rPr>
        <w:t xml:space="preserve"> </w:t>
      </w:r>
      <w:r>
        <w:rPr>
          <w:rFonts w:eastAsia="Verdana"/>
          <w:noProof/>
          <w:lang w:eastAsia="en-GB"/>
        </w:rPr>
        <w:drawing>
          <wp:inline distT="0" distB="0" distL="0" distR="0">
            <wp:extent cx="2541270" cy="24847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1270" cy="2484755"/>
                    </a:xfrm>
                    <a:prstGeom prst="rect">
                      <a:avLst/>
                    </a:prstGeom>
                    <a:noFill/>
                    <a:ln>
                      <a:noFill/>
                    </a:ln>
                  </pic:spPr>
                </pic:pic>
              </a:graphicData>
            </a:graphic>
          </wp:inline>
        </w:drawing>
      </w:r>
      <w:r>
        <w:rPr>
          <w:rFonts w:eastAsia="Verdana"/>
          <w:noProof/>
          <w:lang w:eastAsia="en-GB"/>
        </w:rPr>
        <w:drawing>
          <wp:inline distT="0" distB="0" distL="0" distR="0">
            <wp:extent cx="2409825" cy="2459355"/>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825" cy="2459355"/>
                    </a:xfrm>
                    <a:prstGeom prst="rect">
                      <a:avLst/>
                    </a:prstGeom>
                    <a:noFill/>
                    <a:ln>
                      <a:noFill/>
                    </a:ln>
                  </pic:spPr>
                </pic:pic>
              </a:graphicData>
            </a:graphic>
          </wp:inline>
        </w:drawing>
      </w:r>
    </w:p>
    <w:p w:rsidR="00152FAC" w:rsidRDefault="0069784F" w:rsidP="00A34B2E">
      <w:pPr>
        <w:spacing w:after="200" w:line="276" w:lineRule="auto"/>
        <w:rPr>
          <w:rFonts w:ascii="Arial" w:hAnsi="Arial" w:cs="Arial"/>
          <w:sz w:val="20"/>
          <w:u w:val="single"/>
        </w:rPr>
      </w:pPr>
      <w:r>
        <w:rPr>
          <w:noProof/>
          <w:lang w:eastAsia="en-GB"/>
        </w:rPr>
        <w:drawing>
          <wp:anchor distT="0" distB="0" distL="114300" distR="114300" simplePos="0" relativeHeight="251658240" behindDoc="0" locked="0" layoutInCell="1" allowOverlap="1">
            <wp:simplePos x="0" y="0"/>
            <wp:positionH relativeFrom="column">
              <wp:posOffset>500380</wp:posOffset>
            </wp:positionH>
            <wp:positionV relativeFrom="paragraph">
              <wp:posOffset>756920</wp:posOffset>
            </wp:positionV>
            <wp:extent cx="1504315" cy="397510"/>
            <wp:effectExtent l="0" t="0" r="635" b="2540"/>
            <wp:wrapNone/>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l="19843" t="31549" r="20192" b="52673"/>
                    <a:stretch>
                      <a:fillRect/>
                    </a:stretch>
                  </pic:blipFill>
                  <pic:spPr bwMode="auto">
                    <a:xfrm>
                      <a:off x="0" y="0"/>
                      <a:ext cx="1504315" cy="397510"/>
                    </a:xfrm>
                    <a:prstGeom prst="rect">
                      <a:avLst/>
                    </a:prstGeom>
                    <a:solidFill>
                      <a:srgbClr val="548DD4"/>
                    </a:solidFill>
                    <a:ln>
                      <a:noFill/>
                    </a:ln>
                  </pic:spPr>
                </pic:pic>
              </a:graphicData>
            </a:graphic>
            <wp14:sizeRelH relativeFrom="page">
              <wp14:pctWidth>0</wp14:pctWidth>
            </wp14:sizeRelH>
            <wp14:sizeRelV relativeFrom="page">
              <wp14:pctHeight>0</wp14:pctHeight>
            </wp14:sizeRelV>
          </wp:anchor>
        </w:drawing>
      </w:r>
      <w:r>
        <w:rPr>
          <w:rFonts w:eastAsia="Verdana"/>
          <w:noProof/>
          <w:lang w:eastAsia="en-GB"/>
        </w:rPr>
        <w:drawing>
          <wp:inline distT="0" distB="0" distL="0" distR="0">
            <wp:extent cx="2533650" cy="2477135"/>
            <wp:effectExtent l="0" t="0" r="0" b="0"/>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2477135"/>
                    </a:xfrm>
                    <a:prstGeom prst="rect">
                      <a:avLst/>
                    </a:prstGeom>
                    <a:noFill/>
                  </pic:spPr>
                </pic:pic>
              </a:graphicData>
            </a:graphic>
          </wp:inline>
        </w:drawing>
      </w:r>
      <w:r>
        <w:rPr>
          <w:rFonts w:eastAsia="Verdana"/>
          <w:noProof/>
          <w:lang w:eastAsia="en-GB"/>
        </w:rPr>
        <w:drawing>
          <wp:inline distT="0" distB="0" distL="0" distR="0">
            <wp:extent cx="2543810" cy="247777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810" cy="2477770"/>
                    </a:xfrm>
                    <a:prstGeom prst="rect">
                      <a:avLst/>
                    </a:prstGeom>
                    <a:noFill/>
                    <a:ln>
                      <a:noFill/>
                    </a:ln>
                  </pic:spPr>
                </pic:pic>
              </a:graphicData>
            </a:graphic>
          </wp:inline>
        </w:drawing>
      </w:r>
      <w:r>
        <w:rPr>
          <w:rFonts w:eastAsia="Verdana"/>
          <w:noProof/>
          <w:lang w:eastAsia="en-GB"/>
        </w:rPr>
        <w:drawing>
          <wp:inline distT="0" distB="0" distL="0" distR="0">
            <wp:extent cx="2552065" cy="247904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065" cy="2479040"/>
                    </a:xfrm>
                    <a:prstGeom prst="rect">
                      <a:avLst/>
                    </a:prstGeom>
                    <a:noFill/>
                    <a:ln>
                      <a:noFill/>
                    </a:ln>
                  </pic:spPr>
                </pic:pic>
              </a:graphicData>
            </a:graphic>
          </wp:inline>
        </w:drawing>
      </w:r>
      <w:r w:rsidR="00AB5061">
        <w:rPr>
          <w:rFonts w:eastAsia="Verdana"/>
        </w:rPr>
        <w:t xml:space="preserve">  </w:t>
      </w:r>
    </w:p>
    <w:sectPr w:rsidR="00152FAC" w:rsidSect="00715A33">
      <w:type w:val="continuous"/>
      <w:pgSz w:w="16838" w:h="11906" w:orient="landscape"/>
      <w:pgMar w:top="1440" w:right="743" w:bottom="1440" w:left="7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3A9" w:rsidRDefault="001333A9" w:rsidP="00E1284E">
      <w:r>
        <w:separator/>
      </w:r>
    </w:p>
  </w:endnote>
  <w:endnote w:type="continuationSeparator" w:id="0">
    <w:p w:rsidR="001333A9" w:rsidRDefault="001333A9"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19" w:rsidRDefault="006F3F19">
    <w:pPr>
      <w:pStyle w:val="Footer"/>
    </w:pPr>
    <w:r>
      <w:fldChar w:fldCharType="begin"/>
    </w:r>
    <w:r>
      <w:instrText xml:space="preserve"> PAGE   \* MERGEFORMAT </w:instrText>
    </w:r>
    <w:r>
      <w:fldChar w:fldCharType="separate"/>
    </w:r>
    <w:r w:rsidR="00105BC9">
      <w:rPr>
        <w:noProof/>
      </w:rPr>
      <w:t>2</w:t>
    </w:r>
    <w:r>
      <w:rPr>
        <w:noProof/>
      </w:rPr>
      <w:fldChar w:fldCharType="end"/>
    </w:r>
  </w:p>
  <w:p w:rsidR="006F3F19" w:rsidRDefault="006F3F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19" w:rsidRDefault="006F3F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3A9" w:rsidRDefault="001333A9" w:rsidP="00E1284E">
      <w:r>
        <w:separator/>
      </w:r>
    </w:p>
  </w:footnote>
  <w:footnote w:type="continuationSeparator" w:id="0">
    <w:p w:rsidR="001333A9" w:rsidRDefault="001333A9" w:rsidP="00E12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19" w:rsidRDefault="0069784F">
    <w:pPr>
      <w:pStyle w:val="Header"/>
    </w:pPr>
    <w:r>
      <w:rPr>
        <w:noProof/>
        <w:lang w:val="en-GB" w:eastAsia="en-GB"/>
      </w:rPr>
      <mc:AlternateContent>
        <mc:Choice Requires="wps">
          <w:drawing>
            <wp:anchor distT="0" distB="0" distL="114300" distR="114300" simplePos="0" relativeHeight="251657728" behindDoc="0" locked="0" layoutInCell="0" allowOverlap="1">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F19" w:rsidRPr="00893409" w:rsidRDefault="006F3F19">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6F3F19" w:rsidRPr="00893409" w:rsidRDefault="006F3F19">
                    <w:pPr>
                      <w:pStyle w:val="Footer"/>
                      <w:rPr>
                        <w:rFonts w:eastAsia="Times New Roman"/>
                        <w:sz w:val="44"/>
                        <w:szCs w:val="44"/>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F19" w:rsidRDefault="006F3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731B"/>
    <w:multiLevelType w:val="hybridMultilevel"/>
    <w:tmpl w:val="A01A731A"/>
    <w:lvl w:ilvl="0" w:tplc="4F7CBC0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A04A8E"/>
    <w:multiLevelType w:val="hybridMultilevel"/>
    <w:tmpl w:val="F124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BF5D7F"/>
    <w:multiLevelType w:val="hybridMultilevel"/>
    <w:tmpl w:val="15048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0A30EE"/>
    <w:multiLevelType w:val="hybridMultilevel"/>
    <w:tmpl w:val="BD90EEC2"/>
    <w:lvl w:ilvl="0" w:tplc="3738D954">
      <w:start w:val="1"/>
      <w:numFmt w:val="bullet"/>
      <w:lvlText w:val="•"/>
      <w:lvlJc w:val="left"/>
      <w:pPr>
        <w:tabs>
          <w:tab w:val="num" w:pos="720"/>
        </w:tabs>
        <w:ind w:left="720" w:hanging="360"/>
      </w:pPr>
      <w:rPr>
        <w:rFonts w:ascii="Arial" w:hAnsi="Arial" w:hint="default"/>
      </w:rPr>
    </w:lvl>
    <w:lvl w:ilvl="1" w:tplc="E604C904">
      <w:start w:val="1"/>
      <w:numFmt w:val="bullet"/>
      <w:lvlText w:val="•"/>
      <w:lvlJc w:val="left"/>
      <w:pPr>
        <w:tabs>
          <w:tab w:val="num" w:pos="1440"/>
        </w:tabs>
        <w:ind w:left="1440" w:hanging="360"/>
      </w:pPr>
      <w:rPr>
        <w:rFonts w:ascii="Arial" w:hAnsi="Arial"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4">
    <w:nsid w:val="0E73126F"/>
    <w:multiLevelType w:val="hybridMultilevel"/>
    <w:tmpl w:val="BA54E2F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4C1A3A"/>
    <w:multiLevelType w:val="hybridMultilevel"/>
    <w:tmpl w:val="C680A772"/>
    <w:lvl w:ilvl="0" w:tplc="3738D954">
      <w:start w:val="1"/>
      <w:numFmt w:val="bullet"/>
      <w:lvlText w:val="•"/>
      <w:lvlJc w:val="left"/>
      <w:pPr>
        <w:tabs>
          <w:tab w:val="num" w:pos="720"/>
        </w:tabs>
        <w:ind w:left="720" w:hanging="360"/>
      </w:pPr>
      <w:rPr>
        <w:rFonts w:ascii="Arial" w:hAnsi="Arial" w:hint="default"/>
      </w:rPr>
    </w:lvl>
    <w:lvl w:ilvl="1" w:tplc="E604C904">
      <w:start w:val="1"/>
      <w:numFmt w:val="bullet"/>
      <w:lvlText w:val="•"/>
      <w:lvlJc w:val="left"/>
      <w:pPr>
        <w:tabs>
          <w:tab w:val="num" w:pos="1440"/>
        </w:tabs>
        <w:ind w:left="1440" w:hanging="360"/>
      </w:pPr>
      <w:rPr>
        <w:rFonts w:ascii="Arial" w:hAnsi="Arial" w:hint="default"/>
      </w:rPr>
    </w:lvl>
    <w:lvl w:ilvl="2" w:tplc="0809000D">
      <w:start w:val="1"/>
      <w:numFmt w:val="bullet"/>
      <w:lvlText w:val=""/>
      <w:lvlJc w:val="left"/>
      <w:pPr>
        <w:tabs>
          <w:tab w:val="num" w:pos="2160"/>
        </w:tabs>
        <w:ind w:left="2160" w:hanging="360"/>
      </w:pPr>
      <w:rPr>
        <w:rFonts w:ascii="Wingdings" w:hAnsi="Wingdings"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6">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FFC4ADF"/>
    <w:multiLevelType w:val="hybridMultilevel"/>
    <w:tmpl w:val="8F8ED0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1DB02AF"/>
    <w:multiLevelType w:val="hybridMultilevel"/>
    <w:tmpl w:val="40928956"/>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9">
    <w:nsid w:val="248673BE"/>
    <w:multiLevelType w:val="hybridMultilevel"/>
    <w:tmpl w:val="1EC4AF28"/>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10">
    <w:nsid w:val="26082A50"/>
    <w:multiLevelType w:val="hybridMultilevel"/>
    <w:tmpl w:val="CED0A958"/>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11">
    <w:nsid w:val="2BDA06A6"/>
    <w:multiLevelType w:val="hybridMultilevel"/>
    <w:tmpl w:val="ECCA8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A140B0"/>
    <w:multiLevelType w:val="hybridMultilevel"/>
    <w:tmpl w:val="E612D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9C5490F"/>
    <w:multiLevelType w:val="hybridMultilevel"/>
    <w:tmpl w:val="B4800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F140D5"/>
    <w:multiLevelType w:val="hybridMultilevel"/>
    <w:tmpl w:val="C0922E16"/>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15">
    <w:nsid w:val="71A10661"/>
    <w:multiLevelType w:val="multilevel"/>
    <w:tmpl w:val="C4FA358E"/>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73D326EB"/>
    <w:multiLevelType w:val="hybridMultilevel"/>
    <w:tmpl w:val="85FE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921768"/>
    <w:multiLevelType w:val="hybridMultilevel"/>
    <w:tmpl w:val="C53E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775D89"/>
    <w:multiLevelType w:val="hybridMultilevel"/>
    <w:tmpl w:val="501A4644"/>
    <w:lvl w:ilvl="0" w:tplc="3738D954">
      <w:start w:val="1"/>
      <w:numFmt w:val="bullet"/>
      <w:lvlText w:val="•"/>
      <w:lvlJc w:val="left"/>
      <w:pPr>
        <w:tabs>
          <w:tab w:val="num" w:pos="720"/>
        </w:tabs>
        <w:ind w:left="720" w:hanging="360"/>
      </w:pPr>
      <w:rPr>
        <w:rFonts w:ascii="Arial" w:hAnsi="Arial" w:hint="default"/>
      </w:rPr>
    </w:lvl>
    <w:lvl w:ilvl="1" w:tplc="0809000D">
      <w:start w:val="1"/>
      <w:numFmt w:val="bullet"/>
      <w:lvlText w:val=""/>
      <w:lvlJc w:val="left"/>
      <w:pPr>
        <w:tabs>
          <w:tab w:val="num" w:pos="1440"/>
        </w:tabs>
        <w:ind w:left="1440" w:hanging="360"/>
      </w:pPr>
      <w:rPr>
        <w:rFonts w:ascii="Wingdings" w:hAnsi="Wingdings" w:hint="default"/>
      </w:rPr>
    </w:lvl>
    <w:lvl w:ilvl="2" w:tplc="33128FF6">
      <w:start w:val="1"/>
      <w:numFmt w:val="bullet"/>
      <w:lvlText w:val="•"/>
      <w:lvlJc w:val="left"/>
      <w:pPr>
        <w:tabs>
          <w:tab w:val="num" w:pos="2160"/>
        </w:tabs>
        <w:ind w:left="2160" w:hanging="360"/>
      </w:pPr>
      <w:rPr>
        <w:rFonts w:ascii="Arial" w:hAnsi="Arial" w:hint="default"/>
      </w:rPr>
    </w:lvl>
    <w:lvl w:ilvl="3" w:tplc="69C40BBC" w:tentative="1">
      <w:start w:val="1"/>
      <w:numFmt w:val="bullet"/>
      <w:lvlText w:val="•"/>
      <w:lvlJc w:val="left"/>
      <w:pPr>
        <w:tabs>
          <w:tab w:val="num" w:pos="2880"/>
        </w:tabs>
        <w:ind w:left="2880" w:hanging="360"/>
      </w:pPr>
      <w:rPr>
        <w:rFonts w:ascii="Arial" w:hAnsi="Arial" w:hint="default"/>
      </w:rPr>
    </w:lvl>
    <w:lvl w:ilvl="4" w:tplc="91C4A9E8" w:tentative="1">
      <w:start w:val="1"/>
      <w:numFmt w:val="bullet"/>
      <w:lvlText w:val="•"/>
      <w:lvlJc w:val="left"/>
      <w:pPr>
        <w:tabs>
          <w:tab w:val="num" w:pos="3600"/>
        </w:tabs>
        <w:ind w:left="3600" w:hanging="360"/>
      </w:pPr>
      <w:rPr>
        <w:rFonts w:ascii="Arial" w:hAnsi="Arial" w:hint="default"/>
      </w:rPr>
    </w:lvl>
    <w:lvl w:ilvl="5" w:tplc="DD989118" w:tentative="1">
      <w:start w:val="1"/>
      <w:numFmt w:val="bullet"/>
      <w:lvlText w:val="•"/>
      <w:lvlJc w:val="left"/>
      <w:pPr>
        <w:tabs>
          <w:tab w:val="num" w:pos="4320"/>
        </w:tabs>
        <w:ind w:left="4320" w:hanging="360"/>
      </w:pPr>
      <w:rPr>
        <w:rFonts w:ascii="Arial" w:hAnsi="Arial" w:hint="default"/>
      </w:rPr>
    </w:lvl>
    <w:lvl w:ilvl="6" w:tplc="D9E6EBC6" w:tentative="1">
      <w:start w:val="1"/>
      <w:numFmt w:val="bullet"/>
      <w:lvlText w:val="•"/>
      <w:lvlJc w:val="left"/>
      <w:pPr>
        <w:tabs>
          <w:tab w:val="num" w:pos="5040"/>
        </w:tabs>
        <w:ind w:left="5040" w:hanging="360"/>
      </w:pPr>
      <w:rPr>
        <w:rFonts w:ascii="Arial" w:hAnsi="Arial" w:hint="default"/>
      </w:rPr>
    </w:lvl>
    <w:lvl w:ilvl="7" w:tplc="A5B8167E" w:tentative="1">
      <w:start w:val="1"/>
      <w:numFmt w:val="bullet"/>
      <w:lvlText w:val="•"/>
      <w:lvlJc w:val="left"/>
      <w:pPr>
        <w:tabs>
          <w:tab w:val="num" w:pos="5760"/>
        </w:tabs>
        <w:ind w:left="5760" w:hanging="360"/>
      </w:pPr>
      <w:rPr>
        <w:rFonts w:ascii="Arial" w:hAnsi="Arial" w:hint="default"/>
      </w:rPr>
    </w:lvl>
    <w:lvl w:ilvl="8" w:tplc="5B32E2F0" w:tentative="1">
      <w:start w:val="1"/>
      <w:numFmt w:val="bullet"/>
      <w:lvlText w:val="•"/>
      <w:lvlJc w:val="left"/>
      <w:pPr>
        <w:tabs>
          <w:tab w:val="num" w:pos="6480"/>
        </w:tabs>
        <w:ind w:left="6480" w:hanging="360"/>
      </w:pPr>
      <w:rPr>
        <w:rFonts w:ascii="Arial" w:hAnsi="Arial" w:hint="default"/>
      </w:rPr>
    </w:lvl>
  </w:abstractNum>
  <w:abstractNum w:abstractNumId="19">
    <w:nsid w:val="7B507450"/>
    <w:multiLevelType w:val="hybridMultilevel"/>
    <w:tmpl w:val="F4C48B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3"/>
  </w:num>
  <w:num w:numId="3">
    <w:abstractNumId w:val="0"/>
  </w:num>
  <w:num w:numId="4">
    <w:abstractNumId w:val="15"/>
  </w:num>
  <w:num w:numId="5">
    <w:abstractNumId w:val="17"/>
  </w:num>
  <w:num w:numId="6">
    <w:abstractNumId w:val="3"/>
  </w:num>
  <w:num w:numId="7">
    <w:abstractNumId w:val="18"/>
  </w:num>
  <w:num w:numId="8">
    <w:abstractNumId w:val="9"/>
  </w:num>
  <w:num w:numId="9">
    <w:abstractNumId w:val="5"/>
  </w:num>
  <w:num w:numId="10">
    <w:abstractNumId w:val="8"/>
  </w:num>
  <w:num w:numId="11">
    <w:abstractNumId w:val="10"/>
  </w:num>
  <w:num w:numId="12">
    <w:abstractNumId w:val="14"/>
  </w:num>
  <w:num w:numId="13">
    <w:abstractNumId w:val="2"/>
  </w:num>
  <w:num w:numId="14">
    <w:abstractNumId w:val="1"/>
  </w:num>
  <w:num w:numId="15">
    <w:abstractNumId w:val="16"/>
  </w:num>
  <w:num w:numId="16">
    <w:abstractNumId w:val="12"/>
  </w:num>
  <w:num w:numId="17">
    <w:abstractNumId w:val="7"/>
  </w:num>
  <w:num w:numId="18">
    <w:abstractNumId w:val="4"/>
  </w:num>
  <w:num w:numId="19">
    <w:abstractNumId w:val="19"/>
  </w:num>
  <w:num w:numId="2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2546C"/>
    <w:rsid w:val="00002468"/>
    <w:rsid w:val="00003BAC"/>
    <w:rsid w:val="00005BBC"/>
    <w:rsid w:val="00006E07"/>
    <w:rsid w:val="000257B0"/>
    <w:rsid w:val="000274FB"/>
    <w:rsid w:val="000350E4"/>
    <w:rsid w:val="0004376B"/>
    <w:rsid w:val="0004594E"/>
    <w:rsid w:val="00047D95"/>
    <w:rsid w:val="0005024B"/>
    <w:rsid w:val="00050BAF"/>
    <w:rsid w:val="00060076"/>
    <w:rsid w:val="0006198F"/>
    <w:rsid w:val="00070613"/>
    <w:rsid w:val="00075CDB"/>
    <w:rsid w:val="000771D2"/>
    <w:rsid w:val="000833CC"/>
    <w:rsid w:val="00083852"/>
    <w:rsid w:val="00084AC8"/>
    <w:rsid w:val="00086B3D"/>
    <w:rsid w:val="00087F1C"/>
    <w:rsid w:val="000944A6"/>
    <w:rsid w:val="000952C3"/>
    <w:rsid w:val="00095DF8"/>
    <w:rsid w:val="00096E41"/>
    <w:rsid w:val="000976E0"/>
    <w:rsid w:val="000A2E3E"/>
    <w:rsid w:val="000A554D"/>
    <w:rsid w:val="000A7EB7"/>
    <w:rsid w:val="000B1D46"/>
    <w:rsid w:val="000B4A33"/>
    <w:rsid w:val="000B5B70"/>
    <w:rsid w:val="000B6969"/>
    <w:rsid w:val="000B7916"/>
    <w:rsid w:val="000C416B"/>
    <w:rsid w:val="000C4D3C"/>
    <w:rsid w:val="000C6B2B"/>
    <w:rsid w:val="000C70E4"/>
    <w:rsid w:val="000D1426"/>
    <w:rsid w:val="000D1B0D"/>
    <w:rsid w:val="000D2E77"/>
    <w:rsid w:val="000E21AA"/>
    <w:rsid w:val="000E66B6"/>
    <w:rsid w:val="000F41A8"/>
    <w:rsid w:val="000F4974"/>
    <w:rsid w:val="000F54E7"/>
    <w:rsid w:val="000F746B"/>
    <w:rsid w:val="00100FD9"/>
    <w:rsid w:val="001023FA"/>
    <w:rsid w:val="00105BC9"/>
    <w:rsid w:val="00107535"/>
    <w:rsid w:val="00114A2F"/>
    <w:rsid w:val="0012144A"/>
    <w:rsid w:val="0012326C"/>
    <w:rsid w:val="00126472"/>
    <w:rsid w:val="001333A9"/>
    <w:rsid w:val="00133DE1"/>
    <w:rsid w:val="0013468B"/>
    <w:rsid w:val="0013656D"/>
    <w:rsid w:val="00136B75"/>
    <w:rsid w:val="0014170F"/>
    <w:rsid w:val="00145099"/>
    <w:rsid w:val="00146A19"/>
    <w:rsid w:val="00152879"/>
    <w:rsid w:val="00152C13"/>
    <w:rsid w:val="00152FAC"/>
    <w:rsid w:val="00153035"/>
    <w:rsid w:val="00154D61"/>
    <w:rsid w:val="00154EB5"/>
    <w:rsid w:val="001556E0"/>
    <w:rsid w:val="00157CC8"/>
    <w:rsid w:val="00160A60"/>
    <w:rsid w:val="0016479A"/>
    <w:rsid w:val="00166815"/>
    <w:rsid w:val="00176707"/>
    <w:rsid w:val="0018421C"/>
    <w:rsid w:val="00192D16"/>
    <w:rsid w:val="00193BB3"/>
    <w:rsid w:val="00197E49"/>
    <w:rsid w:val="001B143C"/>
    <w:rsid w:val="001B16A1"/>
    <w:rsid w:val="001B786A"/>
    <w:rsid w:val="001B7B61"/>
    <w:rsid w:val="001C03F7"/>
    <w:rsid w:val="001D2055"/>
    <w:rsid w:val="001D50B5"/>
    <w:rsid w:val="001D6035"/>
    <w:rsid w:val="001D6455"/>
    <w:rsid w:val="001E2B21"/>
    <w:rsid w:val="001E3408"/>
    <w:rsid w:val="001E454C"/>
    <w:rsid w:val="001E51B0"/>
    <w:rsid w:val="001F167A"/>
    <w:rsid w:val="00203C25"/>
    <w:rsid w:val="002044CF"/>
    <w:rsid w:val="00213733"/>
    <w:rsid w:val="00213942"/>
    <w:rsid w:val="002250E1"/>
    <w:rsid w:val="00227AB2"/>
    <w:rsid w:val="00231234"/>
    <w:rsid w:val="00246A4E"/>
    <w:rsid w:val="00246EFA"/>
    <w:rsid w:val="0026249D"/>
    <w:rsid w:val="002636B3"/>
    <w:rsid w:val="0027011A"/>
    <w:rsid w:val="00271442"/>
    <w:rsid w:val="002803C2"/>
    <w:rsid w:val="00280FD9"/>
    <w:rsid w:val="00281200"/>
    <w:rsid w:val="0028310B"/>
    <w:rsid w:val="0028419C"/>
    <w:rsid w:val="0028618A"/>
    <w:rsid w:val="00290124"/>
    <w:rsid w:val="00296EE5"/>
    <w:rsid w:val="00297BF1"/>
    <w:rsid w:val="002A0363"/>
    <w:rsid w:val="002A199E"/>
    <w:rsid w:val="002A2751"/>
    <w:rsid w:val="002A7028"/>
    <w:rsid w:val="002B27D3"/>
    <w:rsid w:val="002B302B"/>
    <w:rsid w:val="002C1EBC"/>
    <w:rsid w:val="002C3030"/>
    <w:rsid w:val="002C4504"/>
    <w:rsid w:val="002C47E4"/>
    <w:rsid w:val="002C51A6"/>
    <w:rsid w:val="002D114F"/>
    <w:rsid w:val="002D15A9"/>
    <w:rsid w:val="002D594D"/>
    <w:rsid w:val="002E204E"/>
    <w:rsid w:val="002E41D1"/>
    <w:rsid w:val="002E478C"/>
    <w:rsid w:val="002F277D"/>
    <w:rsid w:val="002F43D7"/>
    <w:rsid w:val="0031091B"/>
    <w:rsid w:val="003146BA"/>
    <w:rsid w:val="00320168"/>
    <w:rsid w:val="00321347"/>
    <w:rsid w:val="00324513"/>
    <w:rsid w:val="00326DBC"/>
    <w:rsid w:val="0033418E"/>
    <w:rsid w:val="003375B0"/>
    <w:rsid w:val="00343D58"/>
    <w:rsid w:val="0034526F"/>
    <w:rsid w:val="00346797"/>
    <w:rsid w:val="00350D19"/>
    <w:rsid w:val="00351078"/>
    <w:rsid w:val="00351374"/>
    <w:rsid w:val="00352BA3"/>
    <w:rsid w:val="00355B9A"/>
    <w:rsid w:val="00356E07"/>
    <w:rsid w:val="00365DBE"/>
    <w:rsid w:val="00376F6E"/>
    <w:rsid w:val="00377F53"/>
    <w:rsid w:val="00384283"/>
    <w:rsid w:val="0038601A"/>
    <w:rsid w:val="00386E77"/>
    <w:rsid w:val="00387E22"/>
    <w:rsid w:val="00390278"/>
    <w:rsid w:val="00391095"/>
    <w:rsid w:val="00394795"/>
    <w:rsid w:val="0039510D"/>
    <w:rsid w:val="003A0F4D"/>
    <w:rsid w:val="003A27FD"/>
    <w:rsid w:val="003A62B7"/>
    <w:rsid w:val="003B19AD"/>
    <w:rsid w:val="003B4CEF"/>
    <w:rsid w:val="003B7D1C"/>
    <w:rsid w:val="003C09E8"/>
    <w:rsid w:val="003C0EC4"/>
    <w:rsid w:val="003D0191"/>
    <w:rsid w:val="003D7845"/>
    <w:rsid w:val="003E298A"/>
    <w:rsid w:val="003E3415"/>
    <w:rsid w:val="003E3F7C"/>
    <w:rsid w:val="003F30ED"/>
    <w:rsid w:val="0040051A"/>
    <w:rsid w:val="004058DB"/>
    <w:rsid w:val="00407B68"/>
    <w:rsid w:val="0041636A"/>
    <w:rsid w:val="004168AE"/>
    <w:rsid w:val="00417C6B"/>
    <w:rsid w:val="004228C3"/>
    <w:rsid w:val="00430D42"/>
    <w:rsid w:val="00431D57"/>
    <w:rsid w:val="004353EC"/>
    <w:rsid w:val="00435B4E"/>
    <w:rsid w:val="004421D6"/>
    <w:rsid w:val="00447314"/>
    <w:rsid w:val="0044754D"/>
    <w:rsid w:val="00447E0D"/>
    <w:rsid w:val="00453E4B"/>
    <w:rsid w:val="004564B8"/>
    <w:rsid w:val="0046114F"/>
    <w:rsid w:val="00462732"/>
    <w:rsid w:val="004657A4"/>
    <w:rsid w:val="004668C0"/>
    <w:rsid w:val="004673F8"/>
    <w:rsid w:val="004739B5"/>
    <w:rsid w:val="00473CC5"/>
    <w:rsid w:val="00475962"/>
    <w:rsid w:val="00482B9D"/>
    <w:rsid w:val="00483CDA"/>
    <w:rsid w:val="00484085"/>
    <w:rsid w:val="00493295"/>
    <w:rsid w:val="00497EBF"/>
    <w:rsid w:val="004A18DD"/>
    <w:rsid w:val="004A1933"/>
    <w:rsid w:val="004A6D6C"/>
    <w:rsid w:val="004A6EFD"/>
    <w:rsid w:val="004B597D"/>
    <w:rsid w:val="004B6252"/>
    <w:rsid w:val="004C3542"/>
    <w:rsid w:val="004C3EAD"/>
    <w:rsid w:val="004C4025"/>
    <w:rsid w:val="004C4158"/>
    <w:rsid w:val="004C41EB"/>
    <w:rsid w:val="004C5B99"/>
    <w:rsid w:val="004C5CEA"/>
    <w:rsid w:val="004D2BBE"/>
    <w:rsid w:val="004E0257"/>
    <w:rsid w:val="004E0F7C"/>
    <w:rsid w:val="004E32B2"/>
    <w:rsid w:val="004E32B5"/>
    <w:rsid w:val="004E58C8"/>
    <w:rsid w:val="004F38F5"/>
    <w:rsid w:val="004F3950"/>
    <w:rsid w:val="004F5317"/>
    <w:rsid w:val="005003DC"/>
    <w:rsid w:val="00502FE5"/>
    <w:rsid w:val="005071CC"/>
    <w:rsid w:val="00517BA2"/>
    <w:rsid w:val="00517CE1"/>
    <w:rsid w:val="00526AA2"/>
    <w:rsid w:val="005272CD"/>
    <w:rsid w:val="005321EF"/>
    <w:rsid w:val="00533EF1"/>
    <w:rsid w:val="0054308A"/>
    <w:rsid w:val="005434A5"/>
    <w:rsid w:val="005434B1"/>
    <w:rsid w:val="00543BEC"/>
    <w:rsid w:val="0054612F"/>
    <w:rsid w:val="00550508"/>
    <w:rsid w:val="0055215C"/>
    <w:rsid w:val="00555B62"/>
    <w:rsid w:val="00556ADD"/>
    <w:rsid w:val="0056797D"/>
    <w:rsid w:val="00571A8C"/>
    <w:rsid w:val="0058163A"/>
    <w:rsid w:val="00592F7B"/>
    <w:rsid w:val="0059326B"/>
    <w:rsid w:val="00594A92"/>
    <w:rsid w:val="005A0D0A"/>
    <w:rsid w:val="005A25BD"/>
    <w:rsid w:val="005A4EC5"/>
    <w:rsid w:val="005A53D1"/>
    <w:rsid w:val="005A712D"/>
    <w:rsid w:val="005B0C13"/>
    <w:rsid w:val="005B2B55"/>
    <w:rsid w:val="005B2D3F"/>
    <w:rsid w:val="005B5B4F"/>
    <w:rsid w:val="005B73F7"/>
    <w:rsid w:val="005C0E95"/>
    <w:rsid w:val="005C6FC1"/>
    <w:rsid w:val="005D2600"/>
    <w:rsid w:val="005D34C6"/>
    <w:rsid w:val="005E302D"/>
    <w:rsid w:val="005E33AF"/>
    <w:rsid w:val="005E481B"/>
    <w:rsid w:val="005F244A"/>
    <w:rsid w:val="005F2965"/>
    <w:rsid w:val="005F46EC"/>
    <w:rsid w:val="005F6A75"/>
    <w:rsid w:val="005F6F2A"/>
    <w:rsid w:val="0060055C"/>
    <w:rsid w:val="00600A69"/>
    <w:rsid w:val="0060278C"/>
    <w:rsid w:val="00603D89"/>
    <w:rsid w:val="0061134C"/>
    <w:rsid w:val="006113BF"/>
    <w:rsid w:val="006138AD"/>
    <w:rsid w:val="00614F30"/>
    <w:rsid w:val="00626A7A"/>
    <w:rsid w:val="00627122"/>
    <w:rsid w:val="0062737A"/>
    <w:rsid w:val="006277AE"/>
    <w:rsid w:val="00631481"/>
    <w:rsid w:val="00636BEB"/>
    <w:rsid w:val="00640AD3"/>
    <w:rsid w:val="00645673"/>
    <w:rsid w:val="006614D3"/>
    <w:rsid w:val="00663808"/>
    <w:rsid w:val="006674C7"/>
    <w:rsid w:val="00672029"/>
    <w:rsid w:val="0067273D"/>
    <w:rsid w:val="00673B2B"/>
    <w:rsid w:val="006759C0"/>
    <w:rsid w:val="006759CE"/>
    <w:rsid w:val="00680409"/>
    <w:rsid w:val="0068502A"/>
    <w:rsid w:val="006903F4"/>
    <w:rsid w:val="00694040"/>
    <w:rsid w:val="006946E4"/>
    <w:rsid w:val="00697443"/>
    <w:rsid w:val="0069784F"/>
    <w:rsid w:val="00697B0F"/>
    <w:rsid w:val="00697D2D"/>
    <w:rsid w:val="006A07A5"/>
    <w:rsid w:val="006A1F73"/>
    <w:rsid w:val="006B4304"/>
    <w:rsid w:val="006B53BD"/>
    <w:rsid w:val="006C1C04"/>
    <w:rsid w:val="006C2C24"/>
    <w:rsid w:val="006C455C"/>
    <w:rsid w:val="006D1C7C"/>
    <w:rsid w:val="006E7E16"/>
    <w:rsid w:val="006F1110"/>
    <w:rsid w:val="006F1491"/>
    <w:rsid w:val="006F1FB1"/>
    <w:rsid w:val="006F3A4E"/>
    <w:rsid w:val="006F3F19"/>
    <w:rsid w:val="007012E2"/>
    <w:rsid w:val="00703268"/>
    <w:rsid w:val="00707665"/>
    <w:rsid w:val="00707D36"/>
    <w:rsid w:val="00710190"/>
    <w:rsid w:val="00710CD9"/>
    <w:rsid w:val="00714366"/>
    <w:rsid w:val="00715A33"/>
    <w:rsid w:val="007271BF"/>
    <w:rsid w:val="00727B0D"/>
    <w:rsid w:val="00730575"/>
    <w:rsid w:val="00734128"/>
    <w:rsid w:val="00737E93"/>
    <w:rsid w:val="00741427"/>
    <w:rsid w:val="00741440"/>
    <w:rsid w:val="00755483"/>
    <w:rsid w:val="00760CA7"/>
    <w:rsid w:val="007663C8"/>
    <w:rsid w:val="00766ED9"/>
    <w:rsid w:val="00767173"/>
    <w:rsid w:val="0077071B"/>
    <w:rsid w:val="00770C3E"/>
    <w:rsid w:val="0077275D"/>
    <w:rsid w:val="00772B4E"/>
    <w:rsid w:val="00775BBB"/>
    <w:rsid w:val="007807BC"/>
    <w:rsid w:val="00782DAA"/>
    <w:rsid w:val="00790E1E"/>
    <w:rsid w:val="007A15A4"/>
    <w:rsid w:val="007A3032"/>
    <w:rsid w:val="007A6F6F"/>
    <w:rsid w:val="007A768A"/>
    <w:rsid w:val="007C08FE"/>
    <w:rsid w:val="007C526F"/>
    <w:rsid w:val="007C5A57"/>
    <w:rsid w:val="007C7808"/>
    <w:rsid w:val="007D0F4B"/>
    <w:rsid w:val="007D1799"/>
    <w:rsid w:val="007D1986"/>
    <w:rsid w:val="007D4B7C"/>
    <w:rsid w:val="007D5E21"/>
    <w:rsid w:val="007D60FC"/>
    <w:rsid w:val="007E16DC"/>
    <w:rsid w:val="007E1C2F"/>
    <w:rsid w:val="007E2A23"/>
    <w:rsid w:val="007F351A"/>
    <w:rsid w:val="007F35CC"/>
    <w:rsid w:val="007F571C"/>
    <w:rsid w:val="0080065B"/>
    <w:rsid w:val="008044FD"/>
    <w:rsid w:val="0081357D"/>
    <w:rsid w:val="008257FC"/>
    <w:rsid w:val="008316C4"/>
    <w:rsid w:val="008336DE"/>
    <w:rsid w:val="008358CC"/>
    <w:rsid w:val="00840B3B"/>
    <w:rsid w:val="00841C96"/>
    <w:rsid w:val="00842E29"/>
    <w:rsid w:val="0085109B"/>
    <w:rsid w:val="00856797"/>
    <w:rsid w:val="00860551"/>
    <w:rsid w:val="00861345"/>
    <w:rsid w:val="008675CA"/>
    <w:rsid w:val="008719C2"/>
    <w:rsid w:val="00871DF3"/>
    <w:rsid w:val="00876684"/>
    <w:rsid w:val="00876931"/>
    <w:rsid w:val="008774ED"/>
    <w:rsid w:val="00880E7F"/>
    <w:rsid w:val="0089157B"/>
    <w:rsid w:val="00892498"/>
    <w:rsid w:val="00892BB9"/>
    <w:rsid w:val="00893409"/>
    <w:rsid w:val="008A17D9"/>
    <w:rsid w:val="008A18D4"/>
    <w:rsid w:val="008A1BEE"/>
    <w:rsid w:val="008A397F"/>
    <w:rsid w:val="008A55DD"/>
    <w:rsid w:val="008A593B"/>
    <w:rsid w:val="008B0319"/>
    <w:rsid w:val="008B1194"/>
    <w:rsid w:val="008B7F0C"/>
    <w:rsid w:val="008C5A15"/>
    <w:rsid w:val="008C731B"/>
    <w:rsid w:val="008D3FCA"/>
    <w:rsid w:val="008D5DB7"/>
    <w:rsid w:val="008D6EEF"/>
    <w:rsid w:val="008E6240"/>
    <w:rsid w:val="008E64EC"/>
    <w:rsid w:val="008F08E2"/>
    <w:rsid w:val="008F2A6E"/>
    <w:rsid w:val="008F56FB"/>
    <w:rsid w:val="008F6DF8"/>
    <w:rsid w:val="009016AD"/>
    <w:rsid w:val="009030A1"/>
    <w:rsid w:val="009070D8"/>
    <w:rsid w:val="00911417"/>
    <w:rsid w:val="00911F40"/>
    <w:rsid w:val="009169E9"/>
    <w:rsid w:val="009202B6"/>
    <w:rsid w:val="00920869"/>
    <w:rsid w:val="009238D9"/>
    <w:rsid w:val="00923F28"/>
    <w:rsid w:val="0092546C"/>
    <w:rsid w:val="00933BFE"/>
    <w:rsid w:val="00934F92"/>
    <w:rsid w:val="00944AD7"/>
    <w:rsid w:val="0094791B"/>
    <w:rsid w:val="0095367C"/>
    <w:rsid w:val="00966616"/>
    <w:rsid w:val="00971F37"/>
    <w:rsid w:val="00972499"/>
    <w:rsid w:val="009753E1"/>
    <w:rsid w:val="00976BA9"/>
    <w:rsid w:val="009773AF"/>
    <w:rsid w:val="00981E8B"/>
    <w:rsid w:val="009825DA"/>
    <w:rsid w:val="0098436E"/>
    <w:rsid w:val="00991A1C"/>
    <w:rsid w:val="009945A0"/>
    <w:rsid w:val="00994A24"/>
    <w:rsid w:val="00995A9E"/>
    <w:rsid w:val="009A48C6"/>
    <w:rsid w:val="009A696B"/>
    <w:rsid w:val="009B2860"/>
    <w:rsid w:val="009B572A"/>
    <w:rsid w:val="009B6CD3"/>
    <w:rsid w:val="009B7A66"/>
    <w:rsid w:val="009B7F32"/>
    <w:rsid w:val="009C03F5"/>
    <w:rsid w:val="009D16C7"/>
    <w:rsid w:val="009D4EDC"/>
    <w:rsid w:val="009D5435"/>
    <w:rsid w:val="009E4084"/>
    <w:rsid w:val="009E45D2"/>
    <w:rsid w:val="009E5BA9"/>
    <w:rsid w:val="009F2A0B"/>
    <w:rsid w:val="009F2AE2"/>
    <w:rsid w:val="009F3294"/>
    <w:rsid w:val="009F47D3"/>
    <w:rsid w:val="009F48E2"/>
    <w:rsid w:val="009F4D1A"/>
    <w:rsid w:val="00A0148B"/>
    <w:rsid w:val="00A06D73"/>
    <w:rsid w:val="00A0763A"/>
    <w:rsid w:val="00A133EA"/>
    <w:rsid w:val="00A17D08"/>
    <w:rsid w:val="00A17ED1"/>
    <w:rsid w:val="00A218A3"/>
    <w:rsid w:val="00A256FB"/>
    <w:rsid w:val="00A25FC6"/>
    <w:rsid w:val="00A30422"/>
    <w:rsid w:val="00A33704"/>
    <w:rsid w:val="00A34173"/>
    <w:rsid w:val="00A34B2E"/>
    <w:rsid w:val="00A3704C"/>
    <w:rsid w:val="00A45139"/>
    <w:rsid w:val="00A519C6"/>
    <w:rsid w:val="00A700DF"/>
    <w:rsid w:val="00A73661"/>
    <w:rsid w:val="00A760A1"/>
    <w:rsid w:val="00A76B78"/>
    <w:rsid w:val="00A819D4"/>
    <w:rsid w:val="00A81C62"/>
    <w:rsid w:val="00A8390E"/>
    <w:rsid w:val="00A9172C"/>
    <w:rsid w:val="00A9358C"/>
    <w:rsid w:val="00A94B27"/>
    <w:rsid w:val="00A977E0"/>
    <w:rsid w:val="00A97F9C"/>
    <w:rsid w:val="00AB5061"/>
    <w:rsid w:val="00AC1E5B"/>
    <w:rsid w:val="00AC785D"/>
    <w:rsid w:val="00AD2264"/>
    <w:rsid w:val="00AD7ED6"/>
    <w:rsid w:val="00AE0BFB"/>
    <w:rsid w:val="00AE1F24"/>
    <w:rsid w:val="00AE2A13"/>
    <w:rsid w:val="00AE6E8B"/>
    <w:rsid w:val="00AF2374"/>
    <w:rsid w:val="00AF4A4F"/>
    <w:rsid w:val="00AF50F5"/>
    <w:rsid w:val="00AF5F2F"/>
    <w:rsid w:val="00AF712F"/>
    <w:rsid w:val="00B0023A"/>
    <w:rsid w:val="00B04FB4"/>
    <w:rsid w:val="00B05D5D"/>
    <w:rsid w:val="00B05DD6"/>
    <w:rsid w:val="00B07766"/>
    <w:rsid w:val="00B22AA8"/>
    <w:rsid w:val="00B371E8"/>
    <w:rsid w:val="00B42C79"/>
    <w:rsid w:val="00B4427A"/>
    <w:rsid w:val="00B4777F"/>
    <w:rsid w:val="00B47EA5"/>
    <w:rsid w:val="00B507F4"/>
    <w:rsid w:val="00B53DE4"/>
    <w:rsid w:val="00B53E31"/>
    <w:rsid w:val="00B54E31"/>
    <w:rsid w:val="00B562AD"/>
    <w:rsid w:val="00B62790"/>
    <w:rsid w:val="00B62F45"/>
    <w:rsid w:val="00B658DC"/>
    <w:rsid w:val="00B70ED2"/>
    <w:rsid w:val="00B723AF"/>
    <w:rsid w:val="00B74EF0"/>
    <w:rsid w:val="00B76E57"/>
    <w:rsid w:val="00B84D4C"/>
    <w:rsid w:val="00B90193"/>
    <w:rsid w:val="00B91E14"/>
    <w:rsid w:val="00B968B6"/>
    <w:rsid w:val="00B96B78"/>
    <w:rsid w:val="00B971B9"/>
    <w:rsid w:val="00B97D14"/>
    <w:rsid w:val="00BA0DBD"/>
    <w:rsid w:val="00BB40A8"/>
    <w:rsid w:val="00BB59F5"/>
    <w:rsid w:val="00BC230B"/>
    <w:rsid w:val="00BC2ABA"/>
    <w:rsid w:val="00BC691C"/>
    <w:rsid w:val="00BD6FBD"/>
    <w:rsid w:val="00BD780E"/>
    <w:rsid w:val="00BE058D"/>
    <w:rsid w:val="00BE2588"/>
    <w:rsid w:val="00BE2870"/>
    <w:rsid w:val="00BE4470"/>
    <w:rsid w:val="00BE727A"/>
    <w:rsid w:val="00BE765A"/>
    <w:rsid w:val="00BE7675"/>
    <w:rsid w:val="00BE77DE"/>
    <w:rsid w:val="00BF6357"/>
    <w:rsid w:val="00BF79B9"/>
    <w:rsid w:val="00C05B13"/>
    <w:rsid w:val="00C10DDB"/>
    <w:rsid w:val="00C148F8"/>
    <w:rsid w:val="00C306DE"/>
    <w:rsid w:val="00C3206A"/>
    <w:rsid w:val="00C40418"/>
    <w:rsid w:val="00C40942"/>
    <w:rsid w:val="00C41576"/>
    <w:rsid w:val="00C4440A"/>
    <w:rsid w:val="00C4780A"/>
    <w:rsid w:val="00C5086C"/>
    <w:rsid w:val="00C52856"/>
    <w:rsid w:val="00C53AD5"/>
    <w:rsid w:val="00C54B5B"/>
    <w:rsid w:val="00C64717"/>
    <w:rsid w:val="00C64AF0"/>
    <w:rsid w:val="00C64C3C"/>
    <w:rsid w:val="00C67926"/>
    <w:rsid w:val="00C702D3"/>
    <w:rsid w:val="00C73512"/>
    <w:rsid w:val="00C74ACF"/>
    <w:rsid w:val="00C76179"/>
    <w:rsid w:val="00C81EF3"/>
    <w:rsid w:val="00C902C1"/>
    <w:rsid w:val="00C96F5F"/>
    <w:rsid w:val="00CA348E"/>
    <w:rsid w:val="00CA4E8E"/>
    <w:rsid w:val="00CB1860"/>
    <w:rsid w:val="00CB7985"/>
    <w:rsid w:val="00CC01B8"/>
    <w:rsid w:val="00CC2C55"/>
    <w:rsid w:val="00CD176B"/>
    <w:rsid w:val="00CD176D"/>
    <w:rsid w:val="00CE193F"/>
    <w:rsid w:val="00CE6584"/>
    <w:rsid w:val="00CF20A6"/>
    <w:rsid w:val="00CF241A"/>
    <w:rsid w:val="00CF347F"/>
    <w:rsid w:val="00CF37AB"/>
    <w:rsid w:val="00CF395E"/>
    <w:rsid w:val="00CF6C09"/>
    <w:rsid w:val="00D06EDE"/>
    <w:rsid w:val="00D1133C"/>
    <w:rsid w:val="00D16109"/>
    <w:rsid w:val="00D17302"/>
    <w:rsid w:val="00D1758E"/>
    <w:rsid w:val="00D21512"/>
    <w:rsid w:val="00D220B9"/>
    <w:rsid w:val="00D2303C"/>
    <w:rsid w:val="00D27554"/>
    <w:rsid w:val="00D30682"/>
    <w:rsid w:val="00D30DB1"/>
    <w:rsid w:val="00D3211A"/>
    <w:rsid w:val="00D355BD"/>
    <w:rsid w:val="00D4196D"/>
    <w:rsid w:val="00D45575"/>
    <w:rsid w:val="00D45E11"/>
    <w:rsid w:val="00D503F2"/>
    <w:rsid w:val="00D52193"/>
    <w:rsid w:val="00D55639"/>
    <w:rsid w:val="00D56AF2"/>
    <w:rsid w:val="00D57250"/>
    <w:rsid w:val="00D62382"/>
    <w:rsid w:val="00D64F2F"/>
    <w:rsid w:val="00D66726"/>
    <w:rsid w:val="00D6692D"/>
    <w:rsid w:val="00D71DF1"/>
    <w:rsid w:val="00D73075"/>
    <w:rsid w:val="00D73481"/>
    <w:rsid w:val="00D7667F"/>
    <w:rsid w:val="00D80DDB"/>
    <w:rsid w:val="00D94D62"/>
    <w:rsid w:val="00DA1CEC"/>
    <w:rsid w:val="00DB06D9"/>
    <w:rsid w:val="00DB0AB8"/>
    <w:rsid w:val="00DB0F5A"/>
    <w:rsid w:val="00DB1483"/>
    <w:rsid w:val="00DB69FE"/>
    <w:rsid w:val="00DB6ECB"/>
    <w:rsid w:val="00DC11F1"/>
    <w:rsid w:val="00DC2354"/>
    <w:rsid w:val="00DC32E7"/>
    <w:rsid w:val="00DC38F6"/>
    <w:rsid w:val="00DC3986"/>
    <w:rsid w:val="00DC3EAC"/>
    <w:rsid w:val="00DD2C9D"/>
    <w:rsid w:val="00DD7CE0"/>
    <w:rsid w:val="00DE01D0"/>
    <w:rsid w:val="00DE185E"/>
    <w:rsid w:val="00DE4CF4"/>
    <w:rsid w:val="00DF5E3A"/>
    <w:rsid w:val="00E01C44"/>
    <w:rsid w:val="00E07772"/>
    <w:rsid w:val="00E07E8F"/>
    <w:rsid w:val="00E115F0"/>
    <w:rsid w:val="00E1284E"/>
    <w:rsid w:val="00E13DCB"/>
    <w:rsid w:val="00E15965"/>
    <w:rsid w:val="00E2071B"/>
    <w:rsid w:val="00E23D6B"/>
    <w:rsid w:val="00E26D6F"/>
    <w:rsid w:val="00E27FDC"/>
    <w:rsid w:val="00E34FDF"/>
    <w:rsid w:val="00E37943"/>
    <w:rsid w:val="00E4286A"/>
    <w:rsid w:val="00E43A94"/>
    <w:rsid w:val="00E43ED0"/>
    <w:rsid w:val="00E52CC9"/>
    <w:rsid w:val="00E52FDA"/>
    <w:rsid w:val="00E61AF0"/>
    <w:rsid w:val="00E61EF4"/>
    <w:rsid w:val="00E65C3D"/>
    <w:rsid w:val="00E7103E"/>
    <w:rsid w:val="00E72942"/>
    <w:rsid w:val="00E72F52"/>
    <w:rsid w:val="00E73F03"/>
    <w:rsid w:val="00E76606"/>
    <w:rsid w:val="00E82AD8"/>
    <w:rsid w:val="00E83479"/>
    <w:rsid w:val="00E849C7"/>
    <w:rsid w:val="00E86651"/>
    <w:rsid w:val="00E906A5"/>
    <w:rsid w:val="00E925F9"/>
    <w:rsid w:val="00E93288"/>
    <w:rsid w:val="00EA1BA1"/>
    <w:rsid w:val="00EA2734"/>
    <w:rsid w:val="00EA4E01"/>
    <w:rsid w:val="00EA5DB8"/>
    <w:rsid w:val="00EA7C58"/>
    <w:rsid w:val="00EB1285"/>
    <w:rsid w:val="00EB1A52"/>
    <w:rsid w:val="00EB2F48"/>
    <w:rsid w:val="00EB5BA1"/>
    <w:rsid w:val="00EB634A"/>
    <w:rsid w:val="00EB6AF6"/>
    <w:rsid w:val="00EC1BFA"/>
    <w:rsid w:val="00EC218E"/>
    <w:rsid w:val="00EC2BE4"/>
    <w:rsid w:val="00EC73C9"/>
    <w:rsid w:val="00ED0709"/>
    <w:rsid w:val="00ED2667"/>
    <w:rsid w:val="00ED542C"/>
    <w:rsid w:val="00ED6CB1"/>
    <w:rsid w:val="00EE6911"/>
    <w:rsid w:val="00EE6F41"/>
    <w:rsid w:val="00EE706C"/>
    <w:rsid w:val="00EF0288"/>
    <w:rsid w:val="00EF2FCC"/>
    <w:rsid w:val="00EF395E"/>
    <w:rsid w:val="00EF5668"/>
    <w:rsid w:val="00EF5A90"/>
    <w:rsid w:val="00EF7724"/>
    <w:rsid w:val="00F00CE4"/>
    <w:rsid w:val="00F06828"/>
    <w:rsid w:val="00F128DE"/>
    <w:rsid w:val="00F15E4E"/>
    <w:rsid w:val="00F169B3"/>
    <w:rsid w:val="00F20903"/>
    <w:rsid w:val="00F23E7F"/>
    <w:rsid w:val="00F311C1"/>
    <w:rsid w:val="00F31FE4"/>
    <w:rsid w:val="00F3606E"/>
    <w:rsid w:val="00F43CFF"/>
    <w:rsid w:val="00F4672C"/>
    <w:rsid w:val="00F54DEB"/>
    <w:rsid w:val="00F62F42"/>
    <w:rsid w:val="00F63DE1"/>
    <w:rsid w:val="00F77729"/>
    <w:rsid w:val="00F77E38"/>
    <w:rsid w:val="00F94331"/>
    <w:rsid w:val="00F97C62"/>
    <w:rsid w:val="00FA4CC9"/>
    <w:rsid w:val="00FA4E17"/>
    <w:rsid w:val="00FB1C4E"/>
    <w:rsid w:val="00FB1E12"/>
    <w:rsid w:val="00FB3F65"/>
    <w:rsid w:val="00FB449C"/>
    <w:rsid w:val="00FB4CC9"/>
    <w:rsid w:val="00FB533E"/>
    <w:rsid w:val="00FB69AE"/>
    <w:rsid w:val="00FC0293"/>
    <w:rsid w:val="00FC1AAC"/>
    <w:rsid w:val="00FD75E4"/>
    <w:rsid w:val="00FE0913"/>
    <w:rsid w:val="00FE346A"/>
    <w:rsid w:val="00FE37C1"/>
    <w:rsid w:val="00FF34B2"/>
    <w:rsid w:val="00FF530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paragraph" w:styleId="Heading1">
    <w:name w:val="heading 1"/>
    <w:basedOn w:val="Normal"/>
    <w:next w:val="Normal"/>
    <w:link w:val="Heading1Char"/>
    <w:qFormat/>
    <w:rsid w:val="00203C25"/>
    <w:pPr>
      <w:keepNext/>
      <w:spacing w:before="240" w:after="60"/>
      <w:outlineLvl w:val="0"/>
    </w:pPr>
    <w:rPr>
      <w:rFonts w:ascii="Cambria" w:hAnsi="Cambria"/>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rsid w:val="00E1284E"/>
  </w:style>
  <w:style w:type="paragraph" w:styleId="Footer">
    <w:name w:val="footer"/>
    <w:basedOn w:val="Normal"/>
    <w:link w:val="FooterChar"/>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FB533E"/>
    <w:rPr>
      <w:rFonts w:ascii="Tahoma" w:hAnsi="Tahoma" w:cs="Tahoma"/>
      <w:sz w:val="16"/>
      <w:szCs w:val="16"/>
    </w:rPr>
  </w:style>
  <w:style w:type="character" w:customStyle="1" w:styleId="BalloonTextChar">
    <w:name w:val="Balloon Text Char"/>
    <w:link w:val="BalloonText"/>
    <w:rsid w:val="00FB533E"/>
    <w:rPr>
      <w:rFonts w:ascii="Tahoma" w:eastAsia="Times New Roman" w:hAnsi="Tahoma" w:cs="Tahoma"/>
      <w:sz w:val="16"/>
      <w:szCs w:val="16"/>
      <w:lang w:eastAsia="en-US"/>
    </w:rPr>
  </w:style>
  <w:style w:type="character" w:styleId="CommentReference">
    <w:name w:val="annotation reference"/>
    <w:uiPriority w:val="99"/>
    <w:semiHidden/>
    <w:unhideWhenUsed/>
    <w:rsid w:val="005E481B"/>
    <w:rPr>
      <w:sz w:val="16"/>
      <w:szCs w:val="16"/>
    </w:rPr>
  </w:style>
  <w:style w:type="paragraph" w:styleId="CommentText">
    <w:name w:val="annotation text"/>
    <w:basedOn w:val="Normal"/>
    <w:link w:val="CommentTextChar"/>
    <w:uiPriority w:val="99"/>
    <w:semiHidden/>
    <w:unhideWhenUsed/>
    <w:rsid w:val="005E481B"/>
    <w:rPr>
      <w:sz w:val="20"/>
    </w:rPr>
  </w:style>
  <w:style w:type="character" w:customStyle="1" w:styleId="CommentTextChar">
    <w:name w:val="Comment Text Char"/>
    <w:link w:val="CommentText"/>
    <w:uiPriority w:val="99"/>
    <w:semiHidden/>
    <w:rsid w:val="005E481B"/>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5E481B"/>
    <w:rPr>
      <w:b/>
      <w:bCs/>
    </w:rPr>
  </w:style>
  <w:style w:type="character" w:customStyle="1" w:styleId="CommentSubjectChar">
    <w:name w:val="Comment Subject Char"/>
    <w:link w:val="CommentSubject"/>
    <w:uiPriority w:val="99"/>
    <w:semiHidden/>
    <w:rsid w:val="005E481B"/>
    <w:rPr>
      <w:rFonts w:ascii="Times New Roman" w:eastAsia="Times New Roman" w:hAnsi="Times New Roman"/>
      <w:b/>
      <w:bCs/>
      <w:lang w:eastAsia="en-US"/>
    </w:rPr>
  </w:style>
  <w:style w:type="paragraph" w:styleId="NormalWeb">
    <w:name w:val="Normal (Web)"/>
    <w:basedOn w:val="Normal"/>
    <w:uiPriority w:val="99"/>
    <w:unhideWhenUsed/>
    <w:rsid w:val="00BF79B9"/>
    <w:pPr>
      <w:spacing w:before="100" w:beforeAutospacing="1" w:after="100" w:afterAutospacing="1"/>
    </w:pPr>
    <w:rPr>
      <w:szCs w:val="24"/>
      <w:lang w:eastAsia="en-GB"/>
    </w:rPr>
  </w:style>
  <w:style w:type="character" w:customStyle="1" w:styleId="apple-converted-space">
    <w:name w:val="apple-converted-space"/>
    <w:rsid w:val="00BF79B9"/>
  </w:style>
  <w:style w:type="character" w:customStyle="1" w:styleId="Heading1Char">
    <w:name w:val="Heading 1 Char"/>
    <w:link w:val="Heading1"/>
    <w:rsid w:val="00203C25"/>
    <w:rPr>
      <w:rFonts w:eastAsia="Times New Roman"/>
      <w:b/>
      <w:bCs/>
      <w:kern w:val="32"/>
      <w:sz w:val="32"/>
      <w:szCs w:val="32"/>
      <w:lang w:val="en-US" w:eastAsia="en-US"/>
    </w:rPr>
  </w:style>
  <w:style w:type="paragraph" w:customStyle="1" w:styleId="Normal1">
    <w:name w:val="Normal1"/>
    <w:basedOn w:val="Normal"/>
    <w:rsid w:val="00203C25"/>
    <w:pPr>
      <w:spacing w:after="200" w:line="260" w:lineRule="atLeast"/>
    </w:pPr>
    <w:rPr>
      <w:rFonts w:ascii="Calibri" w:hAnsi="Calibri"/>
      <w:sz w:val="22"/>
      <w:szCs w:val="22"/>
      <w:lang w:eastAsia="en-GB"/>
    </w:rPr>
  </w:style>
  <w:style w:type="character" w:customStyle="1" w:styleId="normalchar1">
    <w:name w:val="normal__char1"/>
    <w:rsid w:val="00203C25"/>
    <w:rPr>
      <w:rFonts w:ascii="Calibri" w:hAnsi="Calibri" w:hint="default"/>
      <w:strike w:val="0"/>
      <w:dstrike w:val="0"/>
      <w:sz w:val="22"/>
      <w:szCs w:val="22"/>
      <w:u w:val="none"/>
      <w:effect w:val="none"/>
    </w:rPr>
  </w:style>
  <w:style w:type="paragraph" w:styleId="BodyText2">
    <w:name w:val="Body Text 2"/>
    <w:basedOn w:val="Normal"/>
    <w:link w:val="BodyText2Char"/>
    <w:uiPriority w:val="99"/>
    <w:semiHidden/>
    <w:unhideWhenUsed/>
    <w:rsid w:val="005C0E95"/>
    <w:pPr>
      <w:spacing w:after="120" w:line="480" w:lineRule="auto"/>
    </w:pPr>
    <w:rPr>
      <w:rFonts w:eastAsia="Calibri"/>
      <w:szCs w:val="24"/>
    </w:rPr>
  </w:style>
  <w:style w:type="character" w:customStyle="1" w:styleId="BodyText2Char">
    <w:name w:val="Body Text 2 Char"/>
    <w:link w:val="BodyText2"/>
    <w:uiPriority w:val="99"/>
    <w:semiHidden/>
    <w:rsid w:val="005C0E95"/>
    <w:rPr>
      <w:rFonts w:ascii="Times New Roman" w:eastAsia="Calibri"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paragraph" w:styleId="Heading1">
    <w:name w:val="heading 1"/>
    <w:basedOn w:val="Normal"/>
    <w:next w:val="Normal"/>
    <w:link w:val="Heading1Char"/>
    <w:qFormat/>
    <w:rsid w:val="00203C25"/>
    <w:pPr>
      <w:keepNext/>
      <w:spacing w:before="240" w:after="60"/>
      <w:outlineLvl w:val="0"/>
    </w:pPr>
    <w:rPr>
      <w:rFonts w:ascii="Cambria" w:hAnsi="Cambria"/>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rsid w:val="00E1284E"/>
  </w:style>
  <w:style w:type="paragraph" w:styleId="Footer">
    <w:name w:val="footer"/>
    <w:basedOn w:val="Normal"/>
    <w:link w:val="FooterChar"/>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FB533E"/>
    <w:rPr>
      <w:rFonts w:ascii="Tahoma" w:hAnsi="Tahoma" w:cs="Tahoma"/>
      <w:sz w:val="16"/>
      <w:szCs w:val="16"/>
    </w:rPr>
  </w:style>
  <w:style w:type="character" w:customStyle="1" w:styleId="BalloonTextChar">
    <w:name w:val="Balloon Text Char"/>
    <w:link w:val="BalloonText"/>
    <w:rsid w:val="00FB533E"/>
    <w:rPr>
      <w:rFonts w:ascii="Tahoma" w:eastAsia="Times New Roman" w:hAnsi="Tahoma" w:cs="Tahoma"/>
      <w:sz w:val="16"/>
      <w:szCs w:val="16"/>
      <w:lang w:eastAsia="en-US"/>
    </w:rPr>
  </w:style>
  <w:style w:type="character" w:styleId="CommentReference">
    <w:name w:val="annotation reference"/>
    <w:uiPriority w:val="99"/>
    <w:semiHidden/>
    <w:unhideWhenUsed/>
    <w:rsid w:val="005E481B"/>
    <w:rPr>
      <w:sz w:val="16"/>
      <w:szCs w:val="16"/>
    </w:rPr>
  </w:style>
  <w:style w:type="paragraph" w:styleId="CommentText">
    <w:name w:val="annotation text"/>
    <w:basedOn w:val="Normal"/>
    <w:link w:val="CommentTextChar"/>
    <w:uiPriority w:val="99"/>
    <w:semiHidden/>
    <w:unhideWhenUsed/>
    <w:rsid w:val="005E481B"/>
    <w:rPr>
      <w:sz w:val="20"/>
    </w:rPr>
  </w:style>
  <w:style w:type="character" w:customStyle="1" w:styleId="CommentTextChar">
    <w:name w:val="Comment Text Char"/>
    <w:link w:val="CommentText"/>
    <w:uiPriority w:val="99"/>
    <w:semiHidden/>
    <w:rsid w:val="005E481B"/>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5E481B"/>
    <w:rPr>
      <w:b/>
      <w:bCs/>
    </w:rPr>
  </w:style>
  <w:style w:type="character" w:customStyle="1" w:styleId="CommentSubjectChar">
    <w:name w:val="Comment Subject Char"/>
    <w:link w:val="CommentSubject"/>
    <w:uiPriority w:val="99"/>
    <w:semiHidden/>
    <w:rsid w:val="005E481B"/>
    <w:rPr>
      <w:rFonts w:ascii="Times New Roman" w:eastAsia="Times New Roman" w:hAnsi="Times New Roman"/>
      <w:b/>
      <w:bCs/>
      <w:lang w:eastAsia="en-US"/>
    </w:rPr>
  </w:style>
  <w:style w:type="paragraph" w:styleId="NormalWeb">
    <w:name w:val="Normal (Web)"/>
    <w:basedOn w:val="Normal"/>
    <w:uiPriority w:val="99"/>
    <w:unhideWhenUsed/>
    <w:rsid w:val="00BF79B9"/>
    <w:pPr>
      <w:spacing w:before="100" w:beforeAutospacing="1" w:after="100" w:afterAutospacing="1"/>
    </w:pPr>
    <w:rPr>
      <w:szCs w:val="24"/>
      <w:lang w:eastAsia="en-GB"/>
    </w:rPr>
  </w:style>
  <w:style w:type="character" w:customStyle="1" w:styleId="apple-converted-space">
    <w:name w:val="apple-converted-space"/>
    <w:rsid w:val="00BF79B9"/>
  </w:style>
  <w:style w:type="character" w:customStyle="1" w:styleId="Heading1Char">
    <w:name w:val="Heading 1 Char"/>
    <w:link w:val="Heading1"/>
    <w:rsid w:val="00203C25"/>
    <w:rPr>
      <w:rFonts w:eastAsia="Times New Roman"/>
      <w:b/>
      <w:bCs/>
      <w:kern w:val="32"/>
      <w:sz w:val="32"/>
      <w:szCs w:val="32"/>
      <w:lang w:val="en-US" w:eastAsia="en-US"/>
    </w:rPr>
  </w:style>
  <w:style w:type="paragraph" w:customStyle="1" w:styleId="Normal1">
    <w:name w:val="Normal1"/>
    <w:basedOn w:val="Normal"/>
    <w:rsid w:val="00203C25"/>
    <w:pPr>
      <w:spacing w:after="200" w:line="260" w:lineRule="atLeast"/>
    </w:pPr>
    <w:rPr>
      <w:rFonts w:ascii="Calibri" w:hAnsi="Calibri"/>
      <w:sz w:val="22"/>
      <w:szCs w:val="22"/>
      <w:lang w:eastAsia="en-GB"/>
    </w:rPr>
  </w:style>
  <w:style w:type="character" w:customStyle="1" w:styleId="normalchar1">
    <w:name w:val="normal__char1"/>
    <w:rsid w:val="00203C25"/>
    <w:rPr>
      <w:rFonts w:ascii="Calibri" w:hAnsi="Calibri" w:hint="default"/>
      <w:strike w:val="0"/>
      <w:dstrike w:val="0"/>
      <w:sz w:val="22"/>
      <w:szCs w:val="22"/>
      <w:u w:val="none"/>
      <w:effect w:val="none"/>
    </w:rPr>
  </w:style>
  <w:style w:type="paragraph" w:styleId="BodyText2">
    <w:name w:val="Body Text 2"/>
    <w:basedOn w:val="Normal"/>
    <w:link w:val="BodyText2Char"/>
    <w:uiPriority w:val="99"/>
    <w:semiHidden/>
    <w:unhideWhenUsed/>
    <w:rsid w:val="005C0E95"/>
    <w:pPr>
      <w:spacing w:after="120" w:line="480" w:lineRule="auto"/>
    </w:pPr>
    <w:rPr>
      <w:rFonts w:eastAsia="Calibri"/>
      <w:szCs w:val="24"/>
    </w:rPr>
  </w:style>
  <w:style w:type="character" w:customStyle="1" w:styleId="BodyText2Char">
    <w:name w:val="Body Text 2 Char"/>
    <w:link w:val="BodyText2"/>
    <w:uiPriority w:val="99"/>
    <w:semiHidden/>
    <w:rsid w:val="005C0E95"/>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0680">
      <w:bodyDiv w:val="1"/>
      <w:marLeft w:val="0"/>
      <w:marRight w:val="0"/>
      <w:marTop w:val="0"/>
      <w:marBottom w:val="0"/>
      <w:divBdr>
        <w:top w:val="none" w:sz="0" w:space="0" w:color="auto"/>
        <w:left w:val="none" w:sz="0" w:space="0" w:color="auto"/>
        <w:bottom w:val="none" w:sz="0" w:space="0" w:color="auto"/>
        <w:right w:val="none" w:sz="0" w:space="0" w:color="auto"/>
      </w:divBdr>
    </w:div>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117799554">
      <w:bodyDiv w:val="1"/>
      <w:marLeft w:val="0"/>
      <w:marRight w:val="0"/>
      <w:marTop w:val="0"/>
      <w:marBottom w:val="0"/>
      <w:divBdr>
        <w:top w:val="none" w:sz="0" w:space="0" w:color="auto"/>
        <w:left w:val="none" w:sz="0" w:space="0" w:color="auto"/>
        <w:bottom w:val="none" w:sz="0" w:space="0" w:color="auto"/>
        <w:right w:val="none" w:sz="0" w:space="0" w:color="auto"/>
      </w:divBdr>
    </w:div>
    <w:div w:id="388114842">
      <w:bodyDiv w:val="1"/>
      <w:marLeft w:val="0"/>
      <w:marRight w:val="0"/>
      <w:marTop w:val="0"/>
      <w:marBottom w:val="0"/>
      <w:divBdr>
        <w:top w:val="none" w:sz="0" w:space="0" w:color="auto"/>
        <w:left w:val="none" w:sz="0" w:space="0" w:color="auto"/>
        <w:bottom w:val="none" w:sz="0" w:space="0" w:color="auto"/>
        <w:right w:val="none" w:sz="0" w:space="0" w:color="auto"/>
      </w:divBdr>
    </w:div>
    <w:div w:id="481309717">
      <w:bodyDiv w:val="1"/>
      <w:marLeft w:val="0"/>
      <w:marRight w:val="0"/>
      <w:marTop w:val="0"/>
      <w:marBottom w:val="0"/>
      <w:divBdr>
        <w:top w:val="none" w:sz="0" w:space="0" w:color="auto"/>
        <w:left w:val="none" w:sz="0" w:space="0" w:color="auto"/>
        <w:bottom w:val="none" w:sz="0" w:space="0" w:color="auto"/>
        <w:right w:val="none" w:sz="0" w:space="0" w:color="auto"/>
      </w:divBdr>
    </w:div>
    <w:div w:id="492842948">
      <w:bodyDiv w:val="1"/>
      <w:marLeft w:val="0"/>
      <w:marRight w:val="0"/>
      <w:marTop w:val="0"/>
      <w:marBottom w:val="0"/>
      <w:divBdr>
        <w:top w:val="none" w:sz="0" w:space="0" w:color="auto"/>
        <w:left w:val="none" w:sz="0" w:space="0" w:color="auto"/>
        <w:bottom w:val="none" w:sz="0" w:space="0" w:color="auto"/>
        <w:right w:val="none" w:sz="0" w:space="0" w:color="auto"/>
      </w:divBdr>
    </w:div>
    <w:div w:id="517088865">
      <w:bodyDiv w:val="1"/>
      <w:marLeft w:val="0"/>
      <w:marRight w:val="0"/>
      <w:marTop w:val="0"/>
      <w:marBottom w:val="0"/>
      <w:divBdr>
        <w:top w:val="none" w:sz="0" w:space="0" w:color="auto"/>
        <w:left w:val="none" w:sz="0" w:space="0" w:color="auto"/>
        <w:bottom w:val="none" w:sz="0" w:space="0" w:color="auto"/>
        <w:right w:val="none" w:sz="0" w:space="0" w:color="auto"/>
      </w:divBdr>
      <w:divsChild>
        <w:div w:id="68962220">
          <w:marLeft w:val="446"/>
          <w:marRight w:val="0"/>
          <w:marTop w:val="0"/>
          <w:marBottom w:val="0"/>
          <w:divBdr>
            <w:top w:val="none" w:sz="0" w:space="0" w:color="auto"/>
            <w:left w:val="none" w:sz="0" w:space="0" w:color="auto"/>
            <w:bottom w:val="none" w:sz="0" w:space="0" w:color="auto"/>
            <w:right w:val="none" w:sz="0" w:space="0" w:color="auto"/>
          </w:divBdr>
        </w:div>
        <w:div w:id="748237654">
          <w:marLeft w:val="446"/>
          <w:marRight w:val="0"/>
          <w:marTop w:val="0"/>
          <w:marBottom w:val="0"/>
          <w:divBdr>
            <w:top w:val="none" w:sz="0" w:space="0" w:color="auto"/>
            <w:left w:val="none" w:sz="0" w:space="0" w:color="auto"/>
            <w:bottom w:val="none" w:sz="0" w:space="0" w:color="auto"/>
            <w:right w:val="none" w:sz="0" w:space="0" w:color="auto"/>
          </w:divBdr>
        </w:div>
        <w:div w:id="911237956">
          <w:marLeft w:val="446"/>
          <w:marRight w:val="0"/>
          <w:marTop w:val="0"/>
          <w:marBottom w:val="0"/>
          <w:divBdr>
            <w:top w:val="none" w:sz="0" w:space="0" w:color="auto"/>
            <w:left w:val="none" w:sz="0" w:space="0" w:color="auto"/>
            <w:bottom w:val="none" w:sz="0" w:space="0" w:color="auto"/>
            <w:right w:val="none" w:sz="0" w:space="0" w:color="auto"/>
          </w:divBdr>
        </w:div>
        <w:div w:id="1001544929">
          <w:marLeft w:val="446"/>
          <w:marRight w:val="0"/>
          <w:marTop w:val="0"/>
          <w:marBottom w:val="0"/>
          <w:divBdr>
            <w:top w:val="none" w:sz="0" w:space="0" w:color="auto"/>
            <w:left w:val="none" w:sz="0" w:space="0" w:color="auto"/>
            <w:bottom w:val="none" w:sz="0" w:space="0" w:color="auto"/>
            <w:right w:val="none" w:sz="0" w:space="0" w:color="auto"/>
          </w:divBdr>
        </w:div>
      </w:divsChild>
    </w:div>
    <w:div w:id="622926833">
      <w:bodyDiv w:val="1"/>
      <w:marLeft w:val="0"/>
      <w:marRight w:val="0"/>
      <w:marTop w:val="0"/>
      <w:marBottom w:val="0"/>
      <w:divBdr>
        <w:top w:val="none" w:sz="0" w:space="0" w:color="auto"/>
        <w:left w:val="none" w:sz="0" w:space="0" w:color="auto"/>
        <w:bottom w:val="none" w:sz="0" w:space="0" w:color="auto"/>
        <w:right w:val="none" w:sz="0" w:space="0" w:color="auto"/>
      </w:divBdr>
    </w:div>
    <w:div w:id="704136295">
      <w:bodyDiv w:val="1"/>
      <w:marLeft w:val="0"/>
      <w:marRight w:val="0"/>
      <w:marTop w:val="0"/>
      <w:marBottom w:val="0"/>
      <w:divBdr>
        <w:top w:val="none" w:sz="0" w:space="0" w:color="auto"/>
        <w:left w:val="none" w:sz="0" w:space="0" w:color="auto"/>
        <w:bottom w:val="none" w:sz="0" w:space="0" w:color="auto"/>
        <w:right w:val="none" w:sz="0" w:space="0" w:color="auto"/>
      </w:divBdr>
    </w:div>
    <w:div w:id="784232297">
      <w:bodyDiv w:val="1"/>
      <w:marLeft w:val="0"/>
      <w:marRight w:val="0"/>
      <w:marTop w:val="0"/>
      <w:marBottom w:val="0"/>
      <w:divBdr>
        <w:top w:val="none" w:sz="0" w:space="0" w:color="auto"/>
        <w:left w:val="none" w:sz="0" w:space="0" w:color="auto"/>
        <w:bottom w:val="none" w:sz="0" w:space="0" w:color="auto"/>
        <w:right w:val="none" w:sz="0" w:space="0" w:color="auto"/>
      </w:divBdr>
    </w:div>
    <w:div w:id="873931266">
      <w:bodyDiv w:val="1"/>
      <w:marLeft w:val="0"/>
      <w:marRight w:val="0"/>
      <w:marTop w:val="0"/>
      <w:marBottom w:val="0"/>
      <w:divBdr>
        <w:top w:val="none" w:sz="0" w:space="0" w:color="auto"/>
        <w:left w:val="none" w:sz="0" w:space="0" w:color="auto"/>
        <w:bottom w:val="none" w:sz="0" w:space="0" w:color="auto"/>
        <w:right w:val="none" w:sz="0" w:space="0" w:color="auto"/>
      </w:divBdr>
    </w:div>
    <w:div w:id="935869102">
      <w:bodyDiv w:val="1"/>
      <w:marLeft w:val="0"/>
      <w:marRight w:val="0"/>
      <w:marTop w:val="0"/>
      <w:marBottom w:val="0"/>
      <w:divBdr>
        <w:top w:val="none" w:sz="0" w:space="0" w:color="auto"/>
        <w:left w:val="none" w:sz="0" w:space="0" w:color="auto"/>
        <w:bottom w:val="none" w:sz="0" w:space="0" w:color="auto"/>
        <w:right w:val="none" w:sz="0" w:space="0" w:color="auto"/>
      </w:divBdr>
    </w:div>
    <w:div w:id="1099721462">
      <w:bodyDiv w:val="1"/>
      <w:marLeft w:val="0"/>
      <w:marRight w:val="0"/>
      <w:marTop w:val="0"/>
      <w:marBottom w:val="0"/>
      <w:divBdr>
        <w:top w:val="none" w:sz="0" w:space="0" w:color="auto"/>
        <w:left w:val="none" w:sz="0" w:space="0" w:color="auto"/>
        <w:bottom w:val="none" w:sz="0" w:space="0" w:color="auto"/>
        <w:right w:val="none" w:sz="0" w:space="0" w:color="auto"/>
      </w:divBdr>
      <w:divsChild>
        <w:div w:id="421101132">
          <w:marLeft w:val="446"/>
          <w:marRight w:val="0"/>
          <w:marTop w:val="0"/>
          <w:marBottom w:val="0"/>
          <w:divBdr>
            <w:top w:val="none" w:sz="0" w:space="0" w:color="auto"/>
            <w:left w:val="none" w:sz="0" w:space="0" w:color="auto"/>
            <w:bottom w:val="none" w:sz="0" w:space="0" w:color="auto"/>
            <w:right w:val="none" w:sz="0" w:space="0" w:color="auto"/>
          </w:divBdr>
        </w:div>
        <w:div w:id="452871425">
          <w:marLeft w:val="1166"/>
          <w:marRight w:val="0"/>
          <w:marTop w:val="0"/>
          <w:marBottom w:val="0"/>
          <w:divBdr>
            <w:top w:val="none" w:sz="0" w:space="0" w:color="auto"/>
            <w:left w:val="none" w:sz="0" w:space="0" w:color="auto"/>
            <w:bottom w:val="none" w:sz="0" w:space="0" w:color="auto"/>
            <w:right w:val="none" w:sz="0" w:space="0" w:color="auto"/>
          </w:divBdr>
        </w:div>
        <w:div w:id="775716401">
          <w:marLeft w:val="446"/>
          <w:marRight w:val="0"/>
          <w:marTop w:val="0"/>
          <w:marBottom w:val="0"/>
          <w:divBdr>
            <w:top w:val="none" w:sz="0" w:space="0" w:color="auto"/>
            <w:left w:val="none" w:sz="0" w:space="0" w:color="auto"/>
            <w:bottom w:val="none" w:sz="0" w:space="0" w:color="auto"/>
            <w:right w:val="none" w:sz="0" w:space="0" w:color="auto"/>
          </w:divBdr>
        </w:div>
        <w:div w:id="929850248">
          <w:marLeft w:val="1166"/>
          <w:marRight w:val="0"/>
          <w:marTop w:val="0"/>
          <w:marBottom w:val="0"/>
          <w:divBdr>
            <w:top w:val="none" w:sz="0" w:space="0" w:color="auto"/>
            <w:left w:val="none" w:sz="0" w:space="0" w:color="auto"/>
            <w:bottom w:val="none" w:sz="0" w:space="0" w:color="auto"/>
            <w:right w:val="none" w:sz="0" w:space="0" w:color="auto"/>
          </w:divBdr>
        </w:div>
      </w:divsChild>
    </w:div>
    <w:div w:id="1188762143">
      <w:bodyDiv w:val="1"/>
      <w:marLeft w:val="0"/>
      <w:marRight w:val="0"/>
      <w:marTop w:val="0"/>
      <w:marBottom w:val="0"/>
      <w:divBdr>
        <w:top w:val="none" w:sz="0" w:space="0" w:color="auto"/>
        <w:left w:val="none" w:sz="0" w:space="0" w:color="auto"/>
        <w:bottom w:val="none" w:sz="0" w:space="0" w:color="auto"/>
        <w:right w:val="none" w:sz="0" w:space="0" w:color="auto"/>
      </w:divBdr>
    </w:div>
    <w:div w:id="1382948815">
      <w:bodyDiv w:val="1"/>
      <w:marLeft w:val="0"/>
      <w:marRight w:val="0"/>
      <w:marTop w:val="0"/>
      <w:marBottom w:val="0"/>
      <w:divBdr>
        <w:top w:val="none" w:sz="0" w:space="0" w:color="auto"/>
        <w:left w:val="none" w:sz="0" w:space="0" w:color="auto"/>
        <w:bottom w:val="none" w:sz="0" w:space="0" w:color="auto"/>
        <w:right w:val="none" w:sz="0" w:space="0" w:color="auto"/>
      </w:divBdr>
    </w:div>
    <w:div w:id="1524128538">
      <w:bodyDiv w:val="1"/>
      <w:marLeft w:val="0"/>
      <w:marRight w:val="0"/>
      <w:marTop w:val="0"/>
      <w:marBottom w:val="0"/>
      <w:divBdr>
        <w:top w:val="none" w:sz="0" w:space="0" w:color="auto"/>
        <w:left w:val="none" w:sz="0" w:space="0" w:color="auto"/>
        <w:bottom w:val="none" w:sz="0" w:space="0" w:color="auto"/>
        <w:right w:val="none" w:sz="0" w:space="0" w:color="auto"/>
      </w:divBdr>
    </w:div>
    <w:div w:id="1528517661">
      <w:bodyDiv w:val="1"/>
      <w:marLeft w:val="0"/>
      <w:marRight w:val="0"/>
      <w:marTop w:val="0"/>
      <w:marBottom w:val="0"/>
      <w:divBdr>
        <w:top w:val="none" w:sz="0" w:space="0" w:color="auto"/>
        <w:left w:val="none" w:sz="0" w:space="0" w:color="auto"/>
        <w:bottom w:val="none" w:sz="0" w:space="0" w:color="auto"/>
        <w:right w:val="none" w:sz="0" w:space="0" w:color="auto"/>
      </w:divBdr>
    </w:div>
    <w:div w:id="1619331379">
      <w:bodyDiv w:val="1"/>
      <w:marLeft w:val="0"/>
      <w:marRight w:val="0"/>
      <w:marTop w:val="0"/>
      <w:marBottom w:val="0"/>
      <w:divBdr>
        <w:top w:val="none" w:sz="0" w:space="0" w:color="auto"/>
        <w:left w:val="none" w:sz="0" w:space="0" w:color="auto"/>
        <w:bottom w:val="none" w:sz="0" w:space="0" w:color="auto"/>
        <w:right w:val="none" w:sz="0" w:space="0" w:color="auto"/>
      </w:divBdr>
    </w:div>
    <w:div w:id="1725906454">
      <w:bodyDiv w:val="1"/>
      <w:marLeft w:val="0"/>
      <w:marRight w:val="0"/>
      <w:marTop w:val="0"/>
      <w:marBottom w:val="0"/>
      <w:divBdr>
        <w:top w:val="none" w:sz="0" w:space="0" w:color="auto"/>
        <w:left w:val="none" w:sz="0" w:space="0" w:color="auto"/>
        <w:bottom w:val="none" w:sz="0" w:space="0" w:color="auto"/>
        <w:right w:val="none" w:sz="0" w:space="0" w:color="auto"/>
      </w:divBdr>
    </w:div>
    <w:div w:id="1730811507">
      <w:bodyDiv w:val="1"/>
      <w:marLeft w:val="0"/>
      <w:marRight w:val="0"/>
      <w:marTop w:val="0"/>
      <w:marBottom w:val="0"/>
      <w:divBdr>
        <w:top w:val="none" w:sz="0" w:space="0" w:color="auto"/>
        <w:left w:val="none" w:sz="0" w:space="0" w:color="auto"/>
        <w:bottom w:val="none" w:sz="0" w:space="0" w:color="auto"/>
        <w:right w:val="none" w:sz="0" w:space="0" w:color="auto"/>
      </w:divBdr>
      <w:divsChild>
        <w:div w:id="741414676">
          <w:marLeft w:val="446"/>
          <w:marRight w:val="0"/>
          <w:marTop w:val="0"/>
          <w:marBottom w:val="0"/>
          <w:divBdr>
            <w:top w:val="none" w:sz="0" w:space="0" w:color="auto"/>
            <w:left w:val="none" w:sz="0" w:space="0" w:color="auto"/>
            <w:bottom w:val="none" w:sz="0" w:space="0" w:color="auto"/>
            <w:right w:val="none" w:sz="0" w:space="0" w:color="auto"/>
          </w:divBdr>
        </w:div>
        <w:div w:id="1036276027">
          <w:marLeft w:val="1166"/>
          <w:marRight w:val="0"/>
          <w:marTop w:val="0"/>
          <w:marBottom w:val="0"/>
          <w:divBdr>
            <w:top w:val="none" w:sz="0" w:space="0" w:color="auto"/>
            <w:left w:val="none" w:sz="0" w:space="0" w:color="auto"/>
            <w:bottom w:val="none" w:sz="0" w:space="0" w:color="auto"/>
            <w:right w:val="none" w:sz="0" w:space="0" w:color="auto"/>
          </w:divBdr>
        </w:div>
        <w:div w:id="1263757960">
          <w:marLeft w:val="1166"/>
          <w:marRight w:val="0"/>
          <w:marTop w:val="0"/>
          <w:marBottom w:val="0"/>
          <w:divBdr>
            <w:top w:val="none" w:sz="0" w:space="0" w:color="auto"/>
            <w:left w:val="none" w:sz="0" w:space="0" w:color="auto"/>
            <w:bottom w:val="none" w:sz="0" w:space="0" w:color="auto"/>
            <w:right w:val="none" w:sz="0" w:space="0" w:color="auto"/>
          </w:divBdr>
        </w:div>
        <w:div w:id="1764955928">
          <w:marLeft w:val="446"/>
          <w:marRight w:val="0"/>
          <w:marTop w:val="0"/>
          <w:marBottom w:val="0"/>
          <w:divBdr>
            <w:top w:val="none" w:sz="0" w:space="0" w:color="auto"/>
            <w:left w:val="none" w:sz="0" w:space="0" w:color="auto"/>
            <w:bottom w:val="none" w:sz="0" w:space="0" w:color="auto"/>
            <w:right w:val="none" w:sz="0" w:space="0" w:color="auto"/>
          </w:divBdr>
        </w:div>
        <w:div w:id="1972859397">
          <w:marLeft w:val="1166"/>
          <w:marRight w:val="0"/>
          <w:marTop w:val="0"/>
          <w:marBottom w:val="0"/>
          <w:divBdr>
            <w:top w:val="none" w:sz="0" w:space="0" w:color="auto"/>
            <w:left w:val="none" w:sz="0" w:space="0" w:color="auto"/>
            <w:bottom w:val="none" w:sz="0" w:space="0" w:color="auto"/>
            <w:right w:val="none" w:sz="0" w:space="0" w:color="auto"/>
          </w:divBdr>
        </w:div>
        <w:div w:id="2102487841">
          <w:marLeft w:val="446"/>
          <w:marRight w:val="0"/>
          <w:marTop w:val="0"/>
          <w:marBottom w:val="0"/>
          <w:divBdr>
            <w:top w:val="none" w:sz="0" w:space="0" w:color="auto"/>
            <w:left w:val="none" w:sz="0" w:space="0" w:color="auto"/>
            <w:bottom w:val="none" w:sz="0" w:space="0" w:color="auto"/>
            <w:right w:val="none" w:sz="0" w:space="0" w:color="auto"/>
          </w:divBdr>
        </w:div>
      </w:divsChild>
    </w:div>
    <w:div w:id="1826192560">
      <w:bodyDiv w:val="1"/>
      <w:marLeft w:val="0"/>
      <w:marRight w:val="0"/>
      <w:marTop w:val="0"/>
      <w:marBottom w:val="0"/>
      <w:divBdr>
        <w:top w:val="none" w:sz="0" w:space="0" w:color="auto"/>
        <w:left w:val="none" w:sz="0" w:space="0" w:color="auto"/>
        <w:bottom w:val="none" w:sz="0" w:space="0" w:color="auto"/>
        <w:right w:val="none" w:sz="0" w:space="0" w:color="auto"/>
      </w:divBdr>
    </w:div>
    <w:div w:id="1930889374">
      <w:bodyDiv w:val="1"/>
      <w:marLeft w:val="0"/>
      <w:marRight w:val="0"/>
      <w:marTop w:val="0"/>
      <w:marBottom w:val="0"/>
      <w:divBdr>
        <w:top w:val="none" w:sz="0" w:space="0" w:color="auto"/>
        <w:left w:val="none" w:sz="0" w:space="0" w:color="auto"/>
        <w:bottom w:val="none" w:sz="0" w:space="0" w:color="auto"/>
        <w:right w:val="none" w:sz="0" w:space="0" w:color="auto"/>
      </w:divBdr>
    </w:div>
    <w:div w:id="2042709414">
      <w:bodyDiv w:val="1"/>
      <w:marLeft w:val="0"/>
      <w:marRight w:val="0"/>
      <w:marTop w:val="0"/>
      <w:marBottom w:val="0"/>
      <w:divBdr>
        <w:top w:val="none" w:sz="0" w:space="0" w:color="auto"/>
        <w:left w:val="none" w:sz="0" w:space="0" w:color="auto"/>
        <w:bottom w:val="none" w:sz="0" w:space="0" w:color="auto"/>
        <w:right w:val="none" w:sz="0" w:space="0" w:color="auto"/>
      </w:divBdr>
    </w:div>
    <w:div w:id="2043552781">
      <w:bodyDiv w:val="1"/>
      <w:marLeft w:val="0"/>
      <w:marRight w:val="0"/>
      <w:marTop w:val="0"/>
      <w:marBottom w:val="0"/>
      <w:divBdr>
        <w:top w:val="none" w:sz="0" w:space="0" w:color="auto"/>
        <w:left w:val="none" w:sz="0" w:space="0" w:color="auto"/>
        <w:bottom w:val="none" w:sz="0" w:space="0" w:color="auto"/>
        <w:right w:val="none" w:sz="0" w:space="0" w:color="auto"/>
      </w:divBdr>
    </w:div>
    <w:div w:id="2056537197">
      <w:bodyDiv w:val="1"/>
      <w:marLeft w:val="0"/>
      <w:marRight w:val="0"/>
      <w:marTop w:val="0"/>
      <w:marBottom w:val="0"/>
      <w:divBdr>
        <w:top w:val="none" w:sz="0" w:space="0" w:color="auto"/>
        <w:left w:val="none" w:sz="0" w:space="0" w:color="auto"/>
        <w:bottom w:val="none" w:sz="0" w:space="0" w:color="auto"/>
        <w:right w:val="none" w:sz="0" w:space="0" w:color="auto"/>
      </w:divBdr>
    </w:div>
    <w:div w:id="2076198757">
      <w:bodyDiv w:val="1"/>
      <w:marLeft w:val="0"/>
      <w:marRight w:val="0"/>
      <w:marTop w:val="0"/>
      <w:marBottom w:val="0"/>
      <w:divBdr>
        <w:top w:val="none" w:sz="0" w:space="0" w:color="auto"/>
        <w:left w:val="none" w:sz="0" w:space="0" w:color="auto"/>
        <w:bottom w:val="none" w:sz="0" w:space="0" w:color="auto"/>
        <w:right w:val="none" w:sz="0" w:space="0" w:color="auto"/>
      </w:divBdr>
    </w:div>
    <w:div w:id="2090536246">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0.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8DD24-FBC7-46B2-8D2F-499B2542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3010</Words>
  <Characters>17157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20127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Helen Askham</cp:lastModifiedBy>
  <cp:revision>5</cp:revision>
  <cp:lastPrinted>2015-02-05T14:14:00Z</cp:lastPrinted>
  <dcterms:created xsi:type="dcterms:W3CDTF">2018-09-05T15:43:00Z</dcterms:created>
  <dcterms:modified xsi:type="dcterms:W3CDTF">2018-09-07T11:52:00Z</dcterms:modified>
</cp:coreProperties>
</file>